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30" w:lineRule="atLeast"/>
        <w:jc w:val="center"/>
        <w:outlineLvl w:val="0"/>
        <w:rPr>
          <w:rFonts w:ascii="微软雅黑" w:hAnsi="微软雅黑" w:cs="宋体"/>
          <w:color w:val="DC1013"/>
          <w:kern w:val="36"/>
          <w:sz w:val="42"/>
          <w:szCs w:val="42"/>
        </w:rPr>
      </w:pPr>
      <w:r>
        <w:rPr>
          <w:rFonts w:hint="eastAsia" w:ascii="微软雅黑" w:hAnsi="微软雅黑" w:cs="宋体"/>
          <w:color w:val="DC1013"/>
          <w:kern w:val="36"/>
          <w:sz w:val="42"/>
          <w:szCs w:val="42"/>
        </w:rPr>
        <w:t>电子税务局操作手册及常见问题</w:t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rPr>
          <w:rFonts w:hint="eastAsia" w:ascii="微软雅黑" w:hAnsi="微软雅黑" w:cs="宋体"/>
          <w:sz w:val="24"/>
          <w:szCs w:val="24"/>
        </w:rPr>
        <w:t>         福建省电子税务局按照国家税务总局《电子税务局建设规范》相关要求进行建设，结合我省部分特色业务功能，在此我们整理了电子税务局的操作手册及常见问题，并保持更新。您可以通过点击下载进行查看。</w:t>
      </w:r>
    </w:p>
    <w:p>
      <w:pPr>
        <w:numPr>
          <w:ilvl w:val="0"/>
          <w:numId w:val="1"/>
        </w:numPr>
        <w:adjustRightInd/>
        <w:snapToGrid/>
        <w:spacing w:after="0" w:line="420" w:lineRule="atLeast"/>
        <w:rPr>
          <w:rFonts w:hint="eastAsia" w:ascii="微软雅黑" w:hAnsi="微软雅黑" w:cs="宋体"/>
          <w:b/>
          <w:bCs/>
          <w:sz w:val="24"/>
          <w:szCs w:val="24"/>
        </w:rPr>
      </w:pPr>
      <w:r>
        <w:rPr>
          <w:rFonts w:hint="eastAsia" w:ascii="微软雅黑" w:hAnsi="微软雅黑" w:cs="宋体"/>
          <w:b/>
          <w:bCs/>
          <w:sz w:val="24"/>
          <w:szCs w:val="24"/>
        </w:rPr>
        <w:t>电子税务局操作手册</w:t>
      </w:r>
    </w:p>
    <w:p>
      <w:pPr>
        <w:numPr>
          <w:numId w:val="0"/>
        </w:num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"https://download-etaxcn-com.oss-cn-shenzhen.aliyuncs.com/omni/FJDZSWJ/czsc/fjdzswj_czsc.zip"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"https://download-etaxcn-com.oss-cn-shenzhen.aliyuncs.com/omni/FJDZSWJ/czsc/czschz/fjdzswj-czsc-grbszx.zip"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国家税务总局福建省电子税务局操作手册-个人办税中心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"https://download-etaxcn-com.oss-cn-shenzhen.aliyuncs.com/omni/FJDZSWJ/czsc/czschz/fjdzswj-czsc-qybszx.zip"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国家税务总局福建省电子税务局操作手册-企业办税中心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"https://download-etaxcn-com.oss-cn-shenzhen.aliyuncs.com/omni/FJDZSWJ/czsc/czschz/fjdzswj-czsc-shbxfsbcx.zip"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国家税务总局福建省电子税务局操作手册-社会保险费申报及查询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rPr>
          <w:rFonts w:hint="eastAsia" w:ascii="微软雅黑" w:hAnsi="微软雅黑" w:cs="宋体"/>
          <w:sz w:val="24"/>
          <w:szCs w:val="24"/>
        </w:rPr>
        <w:t>除此之外，我们还准备了部分功能的专题手册，见如下：</w:t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"https://download-etaxcn-com.oss-cn-shenzhen.aliyuncs.com/omni/FJDZSWJ/czsc/fjdzswj-czsc-xyhzn.zip"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国家税务总局福建省电子税务局-新用户指南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"https://download-etaxcn-com.oss-cn-shenzhen.aliyuncs.com/omni/FJDZSWJ/czsc/czschz/fjdzswj-czsc-xtzcjdl.zip"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国家税务总局福建省电子税务局操作手册-用户注册及登录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"https://download-etaxcn-com.oss-cn-shenzhen.aliyuncs.com/omni/FJDZSWJ/czsc/fjdzswj-czsc-smcj.zip"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国家税务总局福建省电子税务局操作手册-实名采集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"https://download-etaxcn-com.oss-cn-shenzhen.aliyuncs.com/omni/FJDZSWJ/czsc/czschz/fjdzswj-czsc-smslsfyz.zip"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国家税务总局福建省电子税务局操作手册-实名刷脸验证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"https://download-etaxcn-com.oss-cn-shenzhen.aliyuncs.com/omni/FJDZSWJ/czsc/fjdzswj-czsc-zzsxfsyfjfzhsb-1.zip"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国家税务总局福建省电子税务局操作手册-增值税及附加税费整合申报（一般纳税人)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"https://download-etaxcn-com.oss-cn-shenzhen.aliyuncs.com/omni/FJDZSWJ/czsc/fjdzswj-czsc-zzsxfsyfjfzhsb-2.zip"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国家税务总局福建省电子税务局操作手册-增值税及附加税费整合申报（小规模纳税人）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"https://download-etaxcn-com.oss-cn-shenzhen.aliyuncs.com/omni/FJDZSWJ/czsc/fjdzswj-czsc-zzsxfsyfjfzhsb-3.zip"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国家税务总局福建省电子税务局操作手册-增值税及附加税费预缴申报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"https://download-etaxcn-com.oss-cn-shenzhen.aliyuncs.com/omni/FJDZSWJ/czsc/fjdzswj-czsc-zzsxfsyfjfzhsb-4.zip"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国家税务总局福建省电子税务局操作手册-消费税及附加税费申报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"https://download-etaxcn-com.oss-cn-shenzhen.aliyuncs.com/omni/FJDZSWJ/czsc/fjdzswj-czsc-cchxwsnssb.zip"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国家税务总局福建省电子税务局操作手册-财产和行为税纳税申报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"https://download-etaxcn-com.oss-cn-shenzhen.aliyuncs.com/omni/FJDZSWJ/czsc/fjdzswj-czsc-cchxwsyqysdszhsb.zip"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国家税务总局福建省电子税务局操作手册-财产和行为税与企业所得税综合申报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"https://download-etaxcn-com.oss-cn-shenzhen.aliyuncs.com/omni/FJDZSWJ/czsc/czschz/fjdzswj-czsc-cwbbbstc.zip"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国家税务总局福建省电子税务局操作手册-财务报表报送套餐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"https://download-etaxcn-com.oss-cn-shenzhen.aliyuncs.com/omni/FJDZSWJ/czsc/czschz/fjdzswj-czsc-wjayjtc.zip"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国家税务总局福建省电子税务局操作手册-外建安预缴套餐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"https://download-etaxcn-com.oss-cn-shenzhen.aliyuncs.com/omni/FJDZSWJ/czsc/czschz/fjdzswj-czsc-zrrfzfp.zip"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国家税务总局福建省电子税务局操作手册-自然人房租发票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"https://download-etaxcn-com.oss-cn-shenzhen.aliyuncs.com/omni/FJDZSWJ/czsc/czschz/fjdzswj-czsc-qkldzfppt.zip"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国家税务总局福建省电子税务局操作手册-区块链电子发票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"https://download-etaxcn-com.oss-cn-shenzhen.aliyuncs.com/omni/FJDZSWJ/czsc/czschz/fjdzswj-czsc-clgzsnssb.zip"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国家税务总局福建省电子税务局操作手册-车辆购置税申报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"https://download-etaxcn-com.oss-cn-shenzhen.aliyuncs.com/omni/FJDZSWJ/czsc/czschz/fjdzswj-czsc-glywwlbbg.zip"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国家税务总局福建省电子税务局操作手册-关联业务往来报告表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"https://download-etaxcn-com.oss-cn-shenzhen.aliyuncs.com/omni/FJDZSWJ/czsc/czschz/fjdzswj-czsc-fssrtysb.zip"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国家税务总局福建省电子税务局操作手册-非税收入通用申报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color w:val="F79646" w:themeColor="accent6"/>
          <w:sz w:val="24"/>
          <w:szCs w:val="24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"https://download-etaxcn-com.oss-cn-shenzhen.aliyuncs.com/omni/FJDZSWJ/czsc/fjdzswj-czsc-fssrhlht.zip" </w:instrText>
      </w:r>
      <w:r>
        <w:rPr>
          <w:color w:val="0000FF"/>
        </w:rP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</w:t>
      </w:r>
      <w:bookmarkStart w:id="0" w:name="_GoBack"/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四项非税收入互联互通</w:t>
      </w:r>
      <w:bookmarkEnd w:id="0"/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"https://download-etaxcn-com.oss-cn-shenzhen.aliyuncs.com/omni/FJDZSWJ/czsc/czschz/fjdzswj-czsc-yqsbyqjn.zip"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国家税务总局福建省电子税务局操作手册-延期申报核准及延期缴纳税款申请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"https://download-etaxcn-com.oss-cn-shenzhen.aliyuncs.com/omni/FJDZSWJ/czsc/fjdzswj-czsc-yjywjxxcx.zip"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国家税务总局福建省电子税务局操作手册-邮寄业务及信息查询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"https://download-etaxcn-com.oss-cn-shenzhen.aliyuncs.com/omni/FJDZSWJ/czsc/fjdzswj-czsc-sdsxfsq.zip"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国家税务总局福建省电子税务局操作手册-“三代”手续费申请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rPr>
          <w:rFonts w:hint="eastAsia" w:ascii="微软雅黑" w:hAnsi="微软雅黑" w:cs="宋体"/>
          <w:b/>
          <w:bCs/>
          <w:sz w:val="24"/>
          <w:szCs w:val="24"/>
        </w:rPr>
        <w:t>二、电子税务局常见问题</w:t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"https://download-etaxcn-com.oss-cn-shenzhen.aliyuncs.com/omni/FJDZSWJ/czsc/czschz/fjdzswj-czsc-yhdl-cjwt.zip"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国家税务总局福建省电子税务局-用户登录常见问题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"https://download-etaxcn-com.oss-cn-shenzhen.aliyuncs.com/omni/FJDZSWJ/czsc/czschz/fjdzswj-czsc-smslsfyz-cjwt.zip"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国家税务总局福建省电子税务局-实名刷脸验证常见问题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rPr>
          <w:rFonts w:hint="eastAsia" w:ascii="微软雅黑" w:hAnsi="微软雅黑" w:cs="宋体"/>
          <w:b/>
          <w:bCs/>
          <w:sz w:val="24"/>
          <w:szCs w:val="24"/>
        </w:rPr>
        <w:t>三、电子税务局APP</w:t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"https://download-etaxcn-com.oss-cn-shenzhen.aliyuncs.com/omni/FJDZSWJ/wdsj/app/fjwdzswj-czsc-app.zip"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国家税务总局福建省电子税务局-APP版操作手册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"https://download-etaxcn-com.oss-cn-shenzhen.aliyuncs.com/omni/FJDZSWJ/wdsj/app/fjwdzswj-gnqd-app.zip"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国家税务总局福建省电子税务局-APP版功能清单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rPr>
          <w:rFonts w:hint="eastAsia" w:ascii="微软雅黑" w:hAnsi="微软雅黑" w:cs="宋体"/>
          <w:b/>
          <w:bCs/>
          <w:sz w:val="24"/>
          <w:szCs w:val="24"/>
        </w:rPr>
        <w:t>四、其他工具或资料下载</w:t>
      </w:r>
    </w:p>
    <w:p>
      <w:pPr>
        <w:adjustRightInd/>
        <w:snapToGrid/>
        <w:spacing w:after="0" w:line="420" w:lineRule="atLeast"/>
        <w:rPr>
          <w:rFonts w:hint="eastAsia" w:ascii="微软雅黑" w:hAnsi="微软雅黑" w:cs="宋体"/>
          <w:sz w:val="24"/>
          <w:szCs w:val="24"/>
        </w:rPr>
      </w:pPr>
      <w:r>
        <w:fldChar w:fldCharType="begin"/>
      </w:r>
      <w:r>
        <w:instrText xml:space="preserve"> HYPERLINK "https://download-etaxcn-com.oss-cn-shenzhen.aliyuncs.com/omni/FJDZSWJ/czsc/etax-fujian-onekeytool.zip" </w:instrText>
      </w:r>
      <w:r>
        <w:fldChar w:fldCharType="separate"/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t>电子税务局环境检测工具</w:t>
      </w:r>
      <w:r>
        <w:rPr>
          <w:rFonts w:hint="eastAsia" w:ascii="微软雅黑" w:hAnsi="微软雅黑" w:cs="宋体"/>
          <w:color w:val="0000FF"/>
          <w:sz w:val="24"/>
          <w:szCs w:val="24"/>
          <w:u w:val="single"/>
        </w:rPr>
        <w:fldChar w:fldCharType="end"/>
      </w:r>
    </w:p>
    <w:p>
      <w:pPr>
        <w:adjustRightInd/>
        <w:snapToGrid/>
        <w:spacing w:line="420" w:lineRule="atLeast"/>
        <w:rPr>
          <w:rFonts w:hint="eastAsia" w:ascii="微软雅黑" w:hAnsi="微软雅黑" w:cs="宋体"/>
          <w:sz w:val="24"/>
          <w:szCs w:val="24"/>
        </w:rPr>
      </w:pPr>
      <w:r>
        <w:rPr>
          <w:rFonts w:hint="eastAsia" w:ascii="微软雅黑" w:hAnsi="微软雅黑" w:cs="宋体"/>
          <w:sz w:val="24"/>
          <w:szCs w:val="24"/>
        </w:rPr>
        <w:t> 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931D"/>
    <w:multiLevelType w:val="singleLevel"/>
    <w:tmpl w:val="5D5393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0268C"/>
    <w:rsid w:val="00D31D50"/>
    <w:rsid w:val="00D97967"/>
    <w:rsid w:val="042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7">
    <w:name w:val="List Paragraph"/>
    <w:basedOn w:val="1"/>
    <w:qFormat/>
    <w:uiPriority w:val="34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732</Words>
  <Characters>4178</Characters>
  <Lines>34</Lines>
  <Paragraphs>9</Paragraphs>
  <TotalTime>23</TotalTime>
  <ScaleCrop>false</ScaleCrop>
  <LinksUpToDate>false</LinksUpToDate>
  <CharactersWithSpaces>4901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fjgs</dc:creator>
  <cp:lastModifiedBy>fjgs</cp:lastModifiedBy>
  <dcterms:modified xsi:type="dcterms:W3CDTF">2022-01-17T00:55:51Z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