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outlineLvl w:val="9"/>
        <w:rPr>
          <w:rFonts w:hint="eastAsia" w:ascii="宋体" w:hAnsi="宋体" w:eastAsia="宋体" w:cs="宋体"/>
          <w:b/>
          <w:color w:val="auto"/>
          <w:sz w:val="24"/>
          <w:szCs w:val="24"/>
        </w:rPr>
      </w:pPr>
    </w:p>
    <w:p>
      <w:pPr>
        <w:pStyle w:val="3"/>
        <w:jc w:val="center"/>
        <w:rPr>
          <w:rFonts w:hint="eastAsia" w:ascii="宋体" w:hAnsi="宋体" w:cs="宋体"/>
          <w:b/>
          <w:color w:val="auto"/>
          <w:sz w:val="72"/>
          <w:szCs w:val="72"/>
        </w:rPr>
      </w:pPr>
      <w:bookmarkStart w:id="0" w:name="_Toc5043"/>
      <w:bookmarkStart w:id="1" w:name="_Toc29271"/>
      <w:r>
        <w:rPr>
          <w:rFonts w:hint="eastAsia" w:ascii="宋体" w:hAnsi="宋体" w:cs="宋体"/>
          <w:b/>
          <w:color w:val="auto"/>
          <w:sz w:val="72"/>
          <w:szCs w:val="72"/>
        </w:rPr>
        <w:t>竞争性磋商文件</w:t>
      </w:r>
      <w:bookmarkEnd w:id="0"/>
      <w:bookmarkEnd w:id="1"/>
    </w:p>
    <w:p>
      <w:pPr>
        <w:pStyle w:val="3"/>
        <w:jc w:val="center"/>
        <w:rPr>
          <w:rFonts w:hint="eastAsia" w:ascii="宋体" w:hAnsi="宋体" w:cs="宋体"/>
          <w:b/>
          <w:color w:val="auto"/>
          <w:sz w:val="72"/>
          <w:szCs w:val="72"/>
        </w:rPr>
      </w:pPr>
      <w:bookmarkStart w:id="2" w:name="_Toc14781"/>
      <w:bookmarkStart w:id="3" w:name="_Toc32452"/>
      <w:r>
        <w:rPr>
          <w:rFonts w:hint="eastAsia" w:ascii="宋体" w:hAnsi="宋体" w:cs="宋体"/>
          <w:b/>
          <w:color w:val="auto"/>
          <w:sz w:val="72"/>
          <w:szCs w:val="72"/>
        </w:rPr>
        <w:t>（商务部分）</w:t>
      </w:r>
      <w:bookmarkEnd w:id="2"/>
      <w:bookmarkEnd w:id="3"/>
    </w:p>
    <w:p>
      <w:pPr>
        <w:bidi w:val="0"/>
        <w:rPr>
          <w:rFonts w:hint="eastAsia" w:ascii="宋体" w:hAnsi="宋体" w:eastAsia="宋体" w:cs="宋体"/>
          <w:color w:val="auto"/>
          <w:sz w:val="24"/>
          <w:szCs w:val="24"/>
          <w:highlight w:val="none"/>
        </w:rPr>
      </w:pPr>
    </w:p>
    <w:p>
      <w:pPr>
        <w:pStyle w:val="13"/>
        <w:rPr>
          <w:rFonts w:hint="eastAsia" w:ascii="宋体" w:hAnsi="宋体" w:eastAsia="宋体" w:cs="宋体"/>
          <w:color w:val="auto"/>
          <w:sz w:val="24"/>
          <w:szCs w:val="24"/>
          <w:highlight w:val="none"/>
        </w:rPr>
      </w:pPr>
      <w:bookmarkStart w:id="136" w:name="_GoBack"/>
      <w:bookmarkEnd w:id="136"/>
    </w:p>
    <w:p>
      <w:pPr>
        <w:bidi w:val="0"/>
        <w:rPr>
          <w:rFonts w:hint="eastAsia" w:ascii="宋体" w:hAnsi="宋体" w:eastAsia="宋体" w:cs="宋体"/>
          <w:color w:val="auto"/>
          <w:sz w:val="24"/>
          <w:szCs w:val="24"/>
          <w:highlight w:val="none"/>
        </w:rPr>
      </w:pPr>
    </w:p>
    <w:p>
      <w:pPr>
        <w:pStyle w:val="7"/>
        <w:numPr>
          <w:ilvl w:val="0"/>
          <w:numId w:val="0"/>
        </w:numPr>
        <w:ind w:leftChars="200"/>
        <w:rPr>
          <w:rFonts w:hint="eastAsia"/>
          <w:color w:val="auto"/>
        </w:rPr>
      </w:pPr>
    </w:p>
    <w:p>
      <w:pPr>
        <w:pStyle w:val="9"/>
        <w:rPr>
          <w:rFonts w:hint="eastAsia"/>
          <w:color w:val="auto"/>
        </w:rPr>
      </w:pPr>
    </w:p>
    <w:p>
      <w:pPr>
        <w:pStyle w:val="15"/>
        <w:ind w:firstLine="280" w:firstLineChars="100"/>
        <w:rPr>
          <w:rFonts w:hint="eastAsia" w:hAnsi="宋体" w:cs="宋体"/>
          <w:color w:val="auto"/>
          <w:kern w:val="0"/>
          <w:sz w:val="28"/>
          <w:szCs w:val="28"/>
          <w:u w:val="single"/>
          <w:lang w:eastAsia="zh-CN"/>
        </w:rPr>
      </w:pPr>
      <w:r>
        <w:rPr>
          <w:rFonts w:hint="eastAsia" w:ascii="宋体" w:hAnsi="宋体" w:eastAsia="宋体" w:cs="宋体"/>
          <w:color w:val="auto"/>
          <w:kern w:val="0"/>
          <w:sz w:val="28"/>
          <w:szCs w:val="28"/>
        </w:rPr>
        <w:t>项目名称：</w:t>
      </w:r>
      <w:r>
        <w:rPr>
          <w:rFonts w:hint="eastAsia" w:hAnsi="宋体" w:cs="宋体"/>
          <w:color w:val="auto"/>
          <w:kern w:val="0"/>
          <w:sz w:val="28"/>
          <w:szCs w:val="28"/>
          <w:u w:val="single"/>
          <w:lang w:eastAsia="zh-CN"/>
        </w:rPr>
        <w:t>国家税务总局福州市仓山区税务局涉税（费）服务采购项目</w:t>
      </w:r>
    </w:p>
    <w:p>
      <w:pPr>
        <w:pStyle w:val="15"/>
        <w:ind w:firstLine="1400" w:firstLineChars="5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项目编号：</w:t>
      </w:r>
      <w:r>
        <w:rPr>
          <w:rFonts w:hint="eastAsia" w:hAnsi="宋体" w:cs="宋体"/>
          <w:color w:val="auto"/>
          <w:kern w:val="0"/>
          <w:sz w:val="28"/>
          <w:szCs w:val="28"/>
          <w:u w:val="single"/>
          <w:lang w:eastAsia="zh-CN"/>
        </w:rPr>
        <w:t>ZXWT-2025-30</w:t>
      </w:r>
    </w:p>
    <w:p>
      <w:pPr>
        <w:pStyle w:val="15"/>
        <w:ind w:firstLine="1400" w:firstLineChars="500"/>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采 购 人：</w:t>
      </w:r>
      <w:r>
        <w:rPr>
          <w:rFonts w:hint="eastAsia" w:hAnsi="宋体" w:cs="宋体"/>
          <w:color w:val="auto"/>
          <w:kern w:val="0"/>
          <w:sz w:val="28"/>
          <w:szCs w:val="28"/>
          <w:u w:val="single"/>
          <w:lang w:eastAsia="zh-CN"/>
        </w:rPr>
        <w:t>国家税务总局福州市仓山区税务局</w:t>
      </w:r>
    </w:p>
    <w:p>
      <w:pPr>
        <w:pStyle w:val="15"/>
        <w:ind w:firstLine="1400" w:firstLineChars="5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采购代理机构：</w:t>
      </w:r>
      <w:r>
        <w:rPr>
          <w:rFonts w:hint="eastAsia" w:ascii="宋体" w:hAnsi="宋体" w:eastAsia="宋体" w:cs="宋体"/>
          <w:color w:val="auto"/>
          <w:kern w:val="0"/>
          <w:sz w:val="28"/>
          <w:szCs w:val="28"/>
          <w:u w:val="single"/>
        </w:rPr>
        <w:t>福建省智信招标有限公司</w:t>
      </w:r>
    </w:p>
    <w:p>
      <w:pPr>
        <w:topLinePunct/>
        <w:autoSpaceDE w:val="0"/>
        <w:autoSpaceDN w:val="0"/>
        <w:spacing w:line="460" w:lineRule="exact"/>
        <w:rPr>
          <w:rFonts w:hint="eastAsia" w:ascii="宋体" w:hAnsi="宋体" w:eastAsia="宋体" w:cs="宋体"/>
          <w:b/>
          <w:color w:val="auto"/>
          <w:sz w:val="24"/>
          <w:szCs w:val="24"/>
          <w:highlight w:val="none"/>
        </w:rPr>
      </w:pPr>
    </w:p>
    <w:p>
      <w:pPr>
        <w:topLinePunct/>
        <w:autoSpaceDE w:val="0"/>
        <w:autoSpaceDN w:val="0"/>
        <w:spacing w:line="460" w:lineRule="exact"/>
        <w:jc w:val="center"/>
        <w:rPr>
          <w:rFonts w:hint="eastAsia" w:ascii="宋体" w:hAnsi="宋体" w:eastAsia="宋体" w:cs="宋体"/>
          <w:color w:val="auto"/>
          <w:sz w:val="24"/>
          <w:szCs w:val="24"/>
          <w:highlight w:val="none"/>
        </w:rPr>
      </w:pPr>
    </w:p>
    <w:p>
      <w:pPr>
        <w:pStyle w:val="7"/>
        <w:numPr>
          <w:ilvl w:val="0"/>
          <w:numId w:val="0"/>
        </w:numPr>
        <w:ind w:leftChars="200"/>
        <w:rPr>
          <w:rFonts w:hint="eastAsia"/>
          <w:color w:val="auto"/>
        </w:rPr>
      </w:pPr>
    </w:p>
    <w:p>
      <w:pPr>
        <w:pStyle w:val="10"/>
        <w:rPr>
          <w:rFonts w:hint="eastAsia"/>
          <w:color w:val="auto"/>
        </w:rPr>
      </w:pPr>
    </w:p>
    <w:p>
      <w:pPr>
        <w:topLinePunct/>
        <w:autoSpaceDE w:val="0"/>
        <w:autoSpaceDN w:val="0"/>
        <w:spacing w:line="160" w:lineRule="exact"/>
        <w:jc w:val="center"/>
        <w:rPr>
          <w:rFonts w:hint="eastAsia" w:ascii="宋体" w:hAnsi="宋体" w:eastAsia="宋体" w:cs="宋体"/>
          <w:color w:val="auto"/>
          <w:sz w:val="24"/>
          <w:szCs w:val="24"/>
          <w:highlight w:val="none"/>
        </w:rPr>
      </w:pPr>
    </w:p>
    <w:p>
      <w:pPr>
        <w:jc w:val="center"/>
        <w:rPr>
          <w:rFonts w:hint="eastAsia" w:hAnsi="宋体" w:cs="宋体"/>
          <w:color w:val="auto"/>
          <w:kern w:val="0"/>
          <w:sz w:val="28"/>
          <w:szCs w:val="28"/>
          <w:u w:val="none"/>
          <w:lang w:eastAsia="zh-CN"/>
        </w:rPr>
      </w:pPr>
      <w:r>
        <w:rPr>
          <w:rFonts w:hint="eastAsia" w:hAnsi="宋体" w:cs="宋体"/>
          <w:color w:val="auto"/>
          <w:kern w:val="0"/>
          <w:sz w:val="28"/>
          <w:szCs w:val="28"/>
          <w:u w:val="none"/>
          <w:lang w:eastAsia="zh-CN"/>
        </w:rPr>
        <w:t>国家税务总局福州市仓山区税务局</w:t>
      </w: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202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02</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13</w:t>
      </w:r>
      <w:r>
        <w:rPr>
          <w:rFonts w:hint="eastAsia" w:ascii="宋体" w:hAnsi="宋体" w:eastAsia="宋体" w:cs="宋体"/>
          <w:color w:val="auto"/>
          <w:sz w:val="28"/>
          <w:szCs w:val="28"/>
          <w:highlight w:val="none"/>
        </w:rPr>
        <w:t>日</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footerReference r:id="rId3" w:type="default"/>
          <w:pgSz w:w="11906" w:h="16838"/>
          <w:pgMar w:top="1440" w:right="1531" w:bottom="1440" w:left="1531" w:header="851" w:footer="992" w:gutter="0"/>
          <w:pgNumType w:fmt="decimal"/>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b/>
          <w:bCs/>
          <w:color w:val="auto"/>
          <w:sz w:val="32"/>
          <w:szCs w:val="32"/>
        </w:rPr>
      </w:pPr>
      <w:r>
        <w:rPr>
          <w:rFonts w:ascii="宋体" w:hAnsi="宋体" w:eastAsia="宋体"/>
          <w:b/>
          <w:bCs/>
          <w:color w:val="auto"/>
          <w:sz w:val="32"/>
          <w:szCs w:val="32"/>
        </w:rPr>
        <w:t>目录</w:t>
      </w:r>
    </w:p>
    <w:p>
      <w:pPr>
        <w:pStyle w:val="20"/>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"1-2" \h \u </w:instrText>
      </w:r>
      <w:r>
        <w:rPr>
          <w:rFonts w:hint="eastAsia" w:ascii="宋体" w:hAnsi="宋体" w:eastAsia="宋体" w:cs="宋体"/>
          <w:color w:val="auto"/>
          <w:sz w:val="24"/>
          <w:szCs w:val="24"/>
        </w:rPr>
        <w:fldChar w:fldCharType="separate"/>
      </w:r>
    </w:p>
    <w:p>
      <w:pPr>
        <w:pStyle w:val="20"/>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_Toc12643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第一章  磋商邀请</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_Toc12643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0"/>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_Toc5752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第二章　供应商须知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_Toc5752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_Toc27846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一、总则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_Toc27846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_Toc9293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二、采购文件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_Toc9293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_Toc18450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三、响应文件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_Toc18450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_Toc20651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四、响应文件递交</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_Toc20651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_Toc8791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五、磋商与评审</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_Toc8791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_Toc21852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六、成交和合同</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_Toc21852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_Toc17635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七、询问和质疑</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_Toc17635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1"/>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_Toc6779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八、其他</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_Toc6779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0"/>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_Toc13151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第三章  评审方法及标准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_Toc13151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0"/>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_Toc29753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第四章  采购合同文本</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_Toc29753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0"/>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_Toc22952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第五章　响应文件格式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_Toc22952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0"/>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_Toc31314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第六章  项目采购需求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_Toc31314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68</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end"/>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footerReference r:id="rId7" w:type="first"/>
          <w:footerReference r:id="rId5" w:type="default"/>
          <w:headerReference r:id="rId4" w:type="even"/>
          <w:footerReference r:id="rId6" w:type="even"/>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4" w:name="_Toc12643"/>
      <w:bookmarkStart w:id="5" w:name="_Toc132880655"/>
      <w:r>
        <w:rPr>
          <w:rFonts w:hint="eastAsia" w:ascii="宋体" w:hAnsi="宋体" w:eastAsia="宋体" w:cs="宋体"/>
          <w:b/>
          <w:bCs/>
          <w:color w:val="auto"/>
          <w:sz w:val="28"/>
          <w:szCs w:val="28"/>
          <w:highlight w:val="none"/>
        </w:rPr>
        <w:t>第一章  磋商邀请</w:t>
      </w:r>
      <w:bookmarkEnd w:id="4"/>
      <w:bookmarkEnd w:id="5"/>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after="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国家税务总局福州市仓山区税务局涉税（费）服务采购项目</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u w:val="single"/>
        </w:rPr>
        <w:t>福建省智信招标有限公司（福建省福州市鼓楼区五四路159号世界金龙大厦</w:t>
      </w:r>
      <w:r>
        <w:rPr>
          <w:rFonts w:hint="eastAsia" w:ascii="宋体" w:hAnsi="宋体" w:cs="宋体"/>
          <w:color w:val="auto"/>
          <w:sz w:val="24"/>
          <w:szCs w:val="24"/>
          <w:highlight w:val="none"/>
          <w:u w:val="single"/>
          <w:lang w:val="en-US" w:eastAsia="zh-CN"/>
        </w:rPr>
        <w:t>第</w:t>
      </w:r>
      <w:r>
        <w:rPr>
          <w:rFonts w:hint="eastAsia" w:ascii="宋体" w:hAnsi="宋体" w:eastAsia="宋体" w:cs="宋体"/>
          <w:color w:val="auto"/>
          <w:sz w:val="24"/>
          <w:szCs w:val="24"/>
          <w:highlight w:val="none"/>
          <w:u w:val="single"/>
        </w:rPr>
        <w:t>14层A</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C1</w:t>
      </w:r>
      <w:r>
        <w:rPr>
          <w:rFonts w:hint="eastAsia" w:ascii="宋体" w:hAnsi="宋体" w:eastAsia="宋体" w:cs="宋体"/>
          <w:color w:val="auto"/>
          <w:sz w:val="24"/>
          <w:szCs w:val="24"/>
          <w:highlight w:val="none"/>
          <w:u w:val="single"/>
        </w:rPr>
        <w:t>单元）</w:t>
      </w:r>
      <w:r>
        <w:rPr>
          <w:rFonts w:hint="eastAsia" w:ascii="宋体" w:hAnsi="宋体" w:eastAsia="宋体" w:cs="宋体"/>
          <w:color w:val="auto"/>
          <w:sz w:val="24"/>
          <w:szCs w:val="24"/>
          <w:highlight w:val="none"/>
        </w:rPr>
        <w:t>获取采购文件，并于</w:t>
      </w:r>
      <w:r>
        <w:rPr>
          <w:rFonts w:hint="eastAsia" w:ascii="宋体" w:hAnsi="宋体" w:cs="宋体"/>
          <w:color w:val="auto"/>
          <w:sz w:val="24"/>
          <w:szCs w:val="24"/>
          <w:highlight w:val="none"/>
          <w:u w:val="single"/>
          <w:lang w:val="en-US" w:eastAsia="zh-CN"/>
        </w:rPr>
        <w:t>2025</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02</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25</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09</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（北京时间）前提交响应文件</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24"/>
          <w:highlight w:val="none"/>
        </w:rPr>
      </w:pPr>
      <w:bookmarkStart w:id="6" w:name="_Toc16149"/>
      <w:bookmarkStart w:id="7" w:name="_Toc27898"/>
      <w:r>
        <w:rPr>
          <w:rFonts w:hint="eastAsia" w:ascii="宋体" w:hAnsi="宋体" w:eastAsia="宋体" w:cs="宋体"/>
          <w:b/>
          <w:bCs/>
          <w:color w:val="auto"/>
          <w:sz w:val="24"/>
          <w:szCs w:val="24"/>
          <w:highlight w:val="none"/>
        </w:rPr>
        <w:t>一、项目基本情况</w:t>
      </w:r>
      <w:bookmarkEnd w:id="6"/>
      <w:bookmarkEnd w:id="7"/>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ZXWT-2025-30</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国家税务总局福州市仓山区税务局涉税（费）服务采购项目</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cs="宋体"/>
          <w:color w:val="auto"/>
          <w:kern w:val="0"/>
          <w:sz w:val="24"/>
          <w:szCs w:val="24"/>
          <w:highlight w:val="none"/>
          <w:lang w:val="en-US" w:eastAsia="zh-CN" w:bidi="ar-SA"/>
        </w:rPr>
        <w:t>98</w:t>
      </w:r>
      <w:r>
        <w:rPr>
          <w:rFonts w:hint="eastAsia" w:ascii="宋体" w:hAnsi="宋体" w:eastAsia="宋体" w:cs="宋体"/>
          <w:color w:val="auto"/>
          <w:kern w:val="0"/>
          <w:sz w:val="24"/>
          <w:szCs w:val="24"/>
          <w:highlight w:val="none"/>
          <w:lang w:val="en-US" w:eastAsia="zh-CN" w:bidi="ar-SA"/>
        </w:rPr>
        <w:t>万元</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cs="宋体"/>
          <w:color w:val="auto"/>
          <w:kern w:val="0"/>
          <w:sz w:val="24"/>
          <w:szCs w:val="24"/>
          <w:highlight w:val="none"/>
          <w:lang w:val="en-US" w:eastAsia="zh-CN" w:bidi="ar-SA"/>
        </w:rPr>
        <w:t>98</w:t>
      </w:r>
      <w:r>
        <w:rPr>
          <w:rFonts w:hint="eastAsia" w:ascii="宋体" w:hAnsi="宋体" w:eastAsia="宋体" w:cs="宋体"/>
          <w:color w:val="auto"/>
          <w:kern w:val="0"/>
          <w:sz w:val="24"/>
          <w:szCs w:val="24"/>
          <w:highlight w:val="none"/>
          <w:lang w:val="en-US" w:eastAsia="zh-CN" w:bidi="ar-SA"/>
        </w:rPr>
        <w:t>万元</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bl>
      <w:tblPr>
        <w:tblStyle w:val="29"/>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51"/>
        <w:gridCol w:w="1625"/>
        <w:gridCol w:w="912"/>
        <w:gridCol w:w="1263"/>
        <w:gridCol w:w="4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92" w:hRule="atLeast"/>
        </w:trPr>
        <w:tc>
          <w:tcPr>
            <w:tcW w:w="951"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lang w:val="en-US" w:eastAsia="zh-CN"/>
              </w:rPr>
            </w:pPr>
            <w:r>
              <w:rPr>
                <w:rFonts w:hint="eastAsia"/>
                <w:color w:val="auto"/>
                <w:lang w:val="en-US" w:eastAsia="zh-CN"/>
              </w:rPr>
              <w:t>采购包</w:t>
            </w:r>
          </w:p>
        </w:tc>
        <w:tc>
          <w:tcPr>
            <w:tcW w:w="1625"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lang w:val="en-US" w:eastAsia="zh-CN"/>
              </w:rPr>
            </w:pPr>
            <w:r>
              <w:rPr>
                <w:rFonts w:hint="eastAsia"/>
                <w:color w:val="auto"/>
                <w:lang w:val="en-US" w:eastAsia="zh-CN"/>
              </w:rPr>
              <w:t>项目名称</w:t>
            </w:r>
          </w:p>
        </w:tc>
        <w:tc>
          <w:tcPr>
            <w:tcW w:w="912"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lang w:val="en-US" w:eastAsia="zh-CN"/>
              </w:rPr>
            </w:pPr>
            <w:r>
              <w:rPr>
                <w:rFonts w:hint="eastAsia"/>
                <w:color w:val="auto"/>
                <w:lang w:val="en-US" w:eastAsia="zh-CN"/>
              </w:rPr>
              <w:t>服务期限</w:t>
            </w:r>
          </w:p>
        </w:tc>
        <w:tc>
          <w:tcPr>
            <w:tcW w:w="1263"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lang w:val="en-US" w:eastAsia="zh-CN"/>
              </w:rPr>
            </w:pPr>
            <w:r>
              <w:rPr>
                <w:rFonts w:hint="eastAsia"/>
                <w:color w:val="auto"/>
                <w:lang w:val="en-US" w:eastAsia="zh-CN"/>
              </w:rPr>
              <w:t>预算金额（万元）</w:t>
            </w:r>
          </w:p>
        </w:tc>
        <w:tc>
          <w:tcPr>
            <w:tcW w:w="4204"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eastAsia" w:ascii="宋体" w:hAnsi="宋体"/>
                <w:color w:val="auto"/>
              </w:rPr>
            </w:pPr>
            <w:r>
              <w:rPr>
                <w:rFonts w:hint="eastAsia" w:ascii="宋体" w:hAnsi="宋体"/>
                <w:color w:val="auto"/>
              </w:rPr>
              <w:t>简要</w:t>
            </w:r>
            <w:r>
              <w:rPr>
                <w:rFonts w:hint="eastAsia"/>
                <w:color w:val="auto"/>
                <w:lang w:val="en-US" w:eastAsia="zh-CN"/>
              </w:rPr>
              <w:t>技术</w:t>
            </w:r>
            <w:r>
              <w:rPr>
                <w:rFonts w:hint="eastAsia" w:ascii="宋体" w:hAnsi="宋体"/>
                <w:color w:val="auto"/>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31" w:hRule="atLeast"/>
        </w:trPr>
        <w:tc>
          <w:tcPr>
            <w:tcW w:w="951"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lang w:val="en-US" w:eastAsia="zh-CN"/>
              </w:rPr>
            </w:pPr>
            <w:r>
              <w:rPr>
                <w:rFonts w:hint="eastAsia"/>
                <w:color w:val="auto"/>
                <w:lang w:val="en-US" w:eastAsia="zh-CN"/>
              </w:rPr>
              <w:t>1</w:t>
            </w:r>
          </w:p>
        </w:tc>
        <w:tc>
          <w:tcPr>
            <w:tcW w:w="1625" w:type="dxa"/>
            <w:shd w:val="clear" w:color="auto"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default" w:ascii="宋体" w:hAnsi="宋体" w:eastAsia="宋体"/>
                <w:color w:val="auto"/>
                <w:lang w:val="en-US" w:eastAsia="zh-CN"/>
              </w:rPr>
            </w:pPr>
            <w:r>
              <w:rPr>
                <w:rFonts w:hint="eastAsia" w:ascii="宋体" w:hAnsi="宋体" w:cs="宋体"/>
                <w:color w:val="auto"/>
                <w:sz w:val="24"/>
                <w:szCs w:val="24"/>
                <w:highlight w:val="none"/>
                <w:lang w:eastAsia="zh-CN"/>
              </w:rPr>
              <w:t>国家税务总局福州市仓山区税务局涉税（费）服务采购项目</w:t>
            </w:r>
          </w:p>
        </w:tc>
        <w:tc>
          <w:tcPr>
            <w:tcW w:w="912"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lang w:val="en-US" w:eastAsia="zh-CN"/>
              </w:rPr>
            </w:pPr>
            <w:r>
              <w:rPr>
                <w:rFonts w:hint="eastAsia"/>
                <w:color w:val="auto"/>
                <w:lang w:val="en-US" w:eastAsia="zh-CN"/>
              </w:rPr>
              <w:t>1年</w:t>
            </w:r>
          </w:p>
        </w:tc>
        <w:tc>
          <w:tcPr>
            <w:tcW w:w="1263"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Fonts w:hint="default" w:ascii="宋体" w:hAnsi="宋体" w:eastAsia="宋体"/>
                <w:color w:val="auto"/>
                <w:highlight w:val="cyan"/>
                <w:lang w:val="en-US" w:eastAsia="zh-CN"/>
              </w:rPr>
            </w:pPr>
            <w:r>
              <w:rPr>
                <w:rFonts w:hint="eastAsia" w:cs="宋体"/>
                <w:color w:val="auto"/>
                <w:sz w:val="24"/>
                <w:szCs w:val="24"/>
                <w:highlight w:val="none"/>
                <w:lang w:val="en-US" w:eastAsia="zh-CN"/>
              </w:rPr>
              <w:t>98</w:t>
            </w:r>
          </w:p>
        </w:tc>
        <w:tc>
          <w:tcPr>
            <w:tcW w:w="4204" w:type="dxa"/>
            <w:shd w:val="clear" w:color="auto" w:fill="FFFFFF"/>
            <w:noWrap w:val="0"/>
            <w:tcMar>
              <w:left w:w="108" w:type="dxa"/>
              <w:right w:w="108" w:type="dxa"/>
            </w:tcMar>
            <w:vAlign w:val="center"/>
          </w:tcPr>
          <w:p>
            <w:pPr>
              <w:keepNext w:val="0"/>
              <w:keepLines w:val="0"/>
              <w:pageBreakBefore w:val="0"/>
              <w:widowControl w:val="0"/>
              <w:tabs>
                <w:tab w:val="left" w:pos="525"/>
                <w:tab w:val="left" w:pos="737"/>
              </w:tabs>
              <w:kinsoku/>
              <w:wordWrap/>
              <w:overflowPunct/>
              <w:topLinePunct w:val="0"/>
              <w:autoSpaceDE/>
              <w:autoSpaceDN/>
              <w:bidi w:val="0"/>
              <w:adjustRightInd/>
              <w:snapToGrid w:val="0"/>
              <w:spacing w:line="600" w:lineRule="exact"/>
              <w:textAlignment w:val="auto"/>
              <w:rPr>
                <w:rFonts w:hint="default" w:ascii="宋体" w:hAnsi="宋体" w:eastAsia="宋体"/>
                <w:color w:val="auto"/>
                <w:highlight w:val="none"/>
                <w:lang w:val="en-US" w:eastAsia="zh-CN"/>
              </w:rPr>
            </w:pPr>
            <w:r>
              <w:rPr>
                <w:rFonts w:hint="eastAsia" w:ascii="宋体" w:hAnsi="宋体" w:eastAsia="宋体" w:cs="宋体"/>
                <w:sz w:val="24"/>
                <w:szCs w:val="24"/>
                <w:lang w:val="zh-CN" w:eastAsia="zh-CN"/>
              </w:rPr>
              <w:t>提供</w:t>
            </w:r>
            <w:r>
              <w:rPr>
                <w:rFonts w:hint="eastAsia" w:ascii="宋体" w:hAnsi="宋体" w:eastAsia="宋体" w:cs="宋体"/>
                <w:sz w:val="24"/>
                <w:szCs w:val="24"/>
                <w:lang w:val="zh-CN"/>
              </w:rPr>
              <w:t>办</w:t>
            </w:r>
            <w:r>
              <w:rPr>
                <w:rFonts w:hint="eastAsia" w:ascii="宋体" w:hAnsi="宋体" w:eastAsia="宋体" w:cs="宋体"/>
                <w:color w:val="auto"/>
                <w:kern w:val="0"/>
                <w:sz w:val="24"/>
                <w:szCs w:val="24"/>
                <w:highlight w:val="none"/>
                <w:lang w:val="zh-CN" w:eastAsia="zh-CN" w:bidi="ar-SA"/>
              </w:rPr>
              <w:t>税服务厅现场导税、接受咨询；辅导纳税人利用自助办税终端、</w:t>
            </w:r>
            <w:r>
              <w:rPr>
                <w:rFonts w:hint="eastAsia" w:ascii="宋体" w:hAnsi="宋体" w:eastAsia="宋体" w:cs="宋体"/>
                <w:color w:val="auto"/>
                <w:kern w:val="0"/>
                <w:sz w:val="24"/>
                <w:szCs w:val="24"/>
                <w:highlight w:val="none"/>
                <w:lang w:val="en-US" w:eastAsia="zh-CN" w:bidi="ar-SA"/>
              </w:rPr>
              <w:t>自助办税区</w:t>
            </w:r>
            <w:r>
              <w:rPr>
                <w:rFonts w:hint="eastAsia" w:ascii="宋体" w:hAnsi="宋体" w:eastAsia="宋体" w:cs="宋体"/>
                <w:color w:val="auto"/>
                <w:kern w:val="0"/>
                <w:sz w:val="24"/>
                <w:szCs w:val="24"/>
                <w:highlight w:val="none"/>
                <w:lang w:val="zh-CN" w:eastAsia="zh-CN" w:bidi="ar-SA"/>
              </w:rPr>
              <w:t>、手机进行自助办税、网上办税、掌上办税；区局税收业务咨询热线接答，12366远程座席接答；</w:t>
            </w:r>
            <w:r>
              <w:rPr>
                <w:rFonts w:hint="eastAsia" w:ascii="宋体" w:hAnsi="宋体" w:eastAsia="宋体" w:cs="宋体"/>
                <w:color w:val="auto"/>
                <w:kern w:val="0"/>
                <w:sz w:val="24"/>
                <w:szCs w:val="24"/>
                <w:highlight w:val="none"/>
                <w:lang w:val="en-US" w:eastAsia="zh-CN" w:bidi="ar-SA"/>
              </w:rPr>
              <w:t>税费争议诉求事项接待、台账录入、咨询调解等；</w:t>
            </w:r>
            <w:r>
              <w:rPr>
                <w:rFonts w:hint="eastAsia" w:ascii="宋体" w:hAnsi="宋体" w:eastAsia="宋体" w:cs="宋体"/>
                <w:color w:val="auto"/>
                <w:kern w:val="0"/>
                <w:sz w:val="24"/>
                <w:szCs w:val="24"/>
                <w:highlight w:val="none"/>
                <w:lang w:val="zh-CN" w:eastAsia="zh-CN" w:bidi="ar-SA"/>
              </w:rPr>
              <w:t>资料管理以及除总局规定办税服务厅编外人员授权负面清单以外的业务事项等辅助工作</w:t>
            </w:r>
            <w:r>
              <w:rPr>
                <w:rFonts w:hint="eastAsia" w:ascii="宋体" w:hAnsi="宋体" w:eastAsia="宋体" w:cs="宋体"/>
                <w:color w:val="auto"/>
                <w:kern w:val="0"/>
                <w:sz w:val="24"/>
                <w:szCs w:val="24"/>
                <w:highlight w:val="none"/>
                <w:lang w:val="en-US" w:eastAsia="zh-CN" w:bidi="ar-SA"/>
              </w:rPr>
              <w:t>，具体详见磋商文件第六章“项目采购需求”。</w:t>
            </w:r>
          </w:p>
        </w:tc>
      </w:tr>
    </w:tbl>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合同履行期限：自合同生效之日起至合同约定的合同义务履行完毕。</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本项目(不接受)联合体报价。</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24"/>
          <w:highlight w:val="none"/>
        </w:rPr>
      </w:pPr>
      <w:bookmarkStart w:id="8" w:name="_Toc25153"/>
      <w:r>
        <w:rPr>
          <w:rFonts w:hint="eastAsia" w:ascii="宋体" w:hAnsi="宋体" w:eastAsia="宋体" w:cs="宋体"/>
          <w:b/>
          <w:bCs/>
          <w:color w:val="auto"/>
          <w:sz w:val="24"/>
          <w:szCs w:val="24"/>
          <w:highlight w:val="none"/>
        </w:rPr>
        <w:t>二、</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的资格要求：</w:t>
      </w:r>
      <w:bookmarkEnd w:id="8"/>
    </w:p>
    <w:p>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zh-CN" w:eastAsia="zh-CN" w:bidi="ar-SA"/>
        </w:rPr>
      </w:pPr>
      <w:bookmarkStart w:id="9" w:name="_Toc21862"/>
      <w:r>
        <w:rPr>
          <w:rFonts w:hint="eastAsia" w:ascii="宋体" w:hAnsi="宋体" w:eastAsia="宋体" w:cs="宋体"/>
          <w:color w:val="auto"/>
          <w:kern w:val="2"/>
          <w:sz w:val="24"/>
          <w:szCs w:val="24"/>
          <w:highlight w:val="none"/>
          <w:lang w:val="zh-CN" w:eastAsia="zh-CN" w:bidi="ar-SA"/>
        </w:rPr>
        <w:t>1.符合国家</w:t>
      </w:r>
      <w:r>
        <w:rPr>
          <w:rFonts w:hint="eastAsia" w:ascii="宋体" w:hAnsi="宋体" w:eastAsia="宋体" w:cs="宋体"/>
          <w:color w:val="auto"/>
          <w:kern w:val="2"/>
          <w:sz w:val="24"/>
          <w:szCs w:val="24"/>
          <w:highlight w:val="none"/>
          <w:lang w:val="en-US" w:eastAsia="zh-CN" w:bidi="ar-SA"/>
        </w:rPr>
        <w:t>有关</w:t>
      </w:r>
      <w:r>
        <w:rPr>
          <w:rFonts w:hint="eastAsia" w:ascii="宋体" w:hAnsi="宋体" w:eastAsia="宋体" w:cs="宋体"/>
          <w:color w:val="auto"/>
          <w:kern w:val="2"/>
          <w:sz w:val="24"/>
          <w:szCs w:val="24"/>
          <w:highlight w:val="none"/>
          <w:lang w:val="zh-CN" w:eastAsia="zh-CN" w:bidi="ar-SA"/>
        </w:rPr>
        <w:t>法律规定，在中国境内（指关境内）注册，同时满足本项目资质要求。</w:t>
      </w:r>
    </w:p>
    <w:p>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2.供应商须符合《中华人民共和国政府采购法》第二十二条规定的条件，并提供下列证明材料：</w:t>
      </w:r>
    </w:p>
    <w:p>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(1)法人或者其他组织的营业执照等证明文件；</w:t>
      </w:r>
    </w:p>
    <w:p>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的财务状况报告【提供经会计师事务所审计的2023年度或2024年度的财务报告（须提供加盖会计师事务所公章及注册会计师签章的扫描件或复印件）；没有经审计的财务报告的，可以提供银行出具的资信证明】；</w:t>
      </w:r>
    </w:p>
    <w:p>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(3)供应商依法缴纳税收：2024年10月以来不少于1个月依法缴纳税收（不包括个人所得税）的相关材料；若为提交响应文件截止时间的当月成立的供应商，视同满足本项资格条件要求；</w:t>
      </w:r>
    </w:p>
    <w:p>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(4)供应商依法缴纳社会保障资金：2024年10月以来不少于1个月的依法缴纳社会保障资金的相关材料；若为提交响应文件截止时间的当月成立的供应商，视同满足本项资格条件要求；</w:t>
      </w:r>
    </w:p>
    <w:p>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(5)具备履行合同所必需的设备和专业技术能力的声明函：</w:t>
      </w:r>
    </w:p>
    <w:p>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(6)参加政府采购活动前三年内在经营活动中没有重大违法记录的书面声明；</w:t>
      </w:r>
    </w:p>
    <w:p>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被列入失信被执行人、重大税收违法案件当事人名单、政府采购严重违法失信行为记录名单及其他不符合《中华人民共和国政府采购法》第二十二条规定条件的供应商，不得参加本次磋商。若磋商小组通过：①“信用中国”网站（</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"qq://txfile/"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www.creditchina.gov.cn</w: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）和②中国政府采购网（</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"qq://txfile/"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www.ccgp.gov.cn</w: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）查询其上述信用记录的信用信息查询结果存在供应商拒绝参与政府采购活动相关信息的，其资格审查不合格。</w:t>
      </w:r>
    </w:p>
    <w:p>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3.落实政府采购政策需满足的资格要求：本项目不专门面向中小企业采购。</w:t>
      </w:r>
    </w:p>
    <w:p>
      <w:pPr>
        <w:keepNext w:val="0"/>
        <w:keepLines w:val="0"/>
        <w:pageBreakBefore w:val="0"/>
        <w:widowControl/>
        <w:kinsoku/>
        <w:wordWrap/>
        <w:topLinePunct w:val="0"/>
        <w:bidi w:val="0"/>
        <w:snapToGrid/>
        <w:spacing w:line="360" w:lineRule="auto"/>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4.本项目的特定资格要求：无。</w:t>
      </w:r>
    </w:p>
    <w:p>
      <w:pPr>
        <w:keepNext w:val="0"/>
        <w:keepLines w:val="0"/>
        <w:pageBreakBefore w:val="0"/>
        <w:widowControl/>
        <w:kinsoku/>
        <w:wordWrap/>
        <w:topLinePunct w:val="0"/>
        <w:bidi w:val="0"/>
        <w:snapToGrid/>
        <w:spacing w:line="360" w:lineRule="auto"/>
        <w:ind w:firstLine="480" w:firstLineChars="200"/>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5.本项目不接受联合体报价。</w:t>
      </w:r>
    </w:p>
    <w:p>
      <w:pPr>
        <w:pStyle w:val="40"/>
        <w:keepNext w:val="0"/>
        <w:keepLines w:val="0"/>
        <w:pageBreakBefore w:val="0"/>
        <w:kinsoku/>
        <w:wordWrap/>
        <w:overflowPunct/>
        <w:topLinePunct w:val="0"/>
        <w:autoSpaceDE/>
        <w:autoSpaceDN/>
        <w:bidi w:val="0"/>
        <w:adjustRightInd/>
        <w:snapToGrid/>
        <w:spacing w:afterLines="0" w:line="44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①以上资格条件，各供应商须提供有效证明文件复印件，原件备查。②若为依法免税或不需要缴纳社会保障资金的供应商，应提供相应文件证明其依法免税或不需要缴纳社会保障资金。③针对资格（1）条款：供应商为企业、个体工商户的，可提供有效的营业执照复印件；供应商为事业单位的，可提供有效的事业单位法人证书复印件；供应商为社会团体的，可提供有效的社会团体法人登记证书复印件；供应商为非企业专业服务机构的，可提供有效的执业许可证等证明材料复印件；供应商为自然人的，可提供有效的自然人身份证件复印件；其他供应商应按照有关法律、法规和规章规定，提供有效的相应具体证照复印件。</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bookmarkEnd w:id="9"/>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时间：</w:t>
      </w:r>
      <w:r>
        <w:rPr>
          <w:rFonts w:hint="eastAsia" w:ascii="宋体" w:hAnsi="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02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14</w:t>
      </w:r>
      <w:r>
        <w:rPr>
          <w:rFonts w:hint="eastAsia" w:ascii="宋体" w:hAnsi="宋体" w:eastAsia="宋体" w:cs="宋体"/>
          <w:color w:val="auto"/>
          <w:sz w:val="24"/>
          <w:szCs w:val="24"/>
          <w:highlight w:val="none"/>
          <w:u w:val="none"/>
        </w:rPr>
        <w:t>日至</w:t>
      </w:r>
      <w:r>
        <w:rPr>
          <w:rFonts w:hint="eastAsia" w:ascii="宋体" w:hAnsi="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02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21</w:t>
      </w:r>
      <w:r>
        <w:rPr>
          <w:rFonts w:hint="eastAsia" w:ascii="宋体" w:hAnsi="宋体" w:eastAsia="宋体" w:cs="宋体"/>
          <w:color w:val="auto"/>
          <w:sz w:val="24"/>
          <w:szCs w:val="24"/>
          <w:highlight w:val="none"/>
          <w:u w:val="none"/>
        </w:rPr>
        <w:t>日</w:t>
      </w:r>
      <w:r>
        <w:rPr>
          <w:rFonts w:hint="eastAsia" w:ascii="宋体" w:hAnsi="宋体" w:eastAsia="宋体" w:cs="宋体"/>
          <w:iCs/>
          <w:color w:val="auto"/>
          <w:sz w:val="24"/>
          <w:szCs w:val="24"/>
          <w:highlight w:val="none"/>
          <w:u w:val="none"/>
        </w:rPr>
        <w:t>（</w:t>
      </w:r>
      <w:r>
        <w:rPr>
          <w:rFonts w:hint="eastAsia" w:ascii="宋体" w:hAnsi="宋体" w:eastAsia="宋体" w:cs="宋体"/>
          <w:color w:val="auto"/>
          <w:sz w:val="24"/>
          <w:szCs w:val="24"/>
          <w:highlight w:val="none"/>
          <w:u w:val="none"/>
        </w:rPr>
        <w:t>磋商文件的发售期限自开始之日起不得少于5个工作日），每天上午</w:t>
      </w:r>
      <w:r>
        <w:rPr>
          <w:rFonts w:hint="eastAsia" w:ascii="宋体" w:hAnsi="宋体" w:cs="宋体"/>
          <w:color w:val="auto"/>
          <w:sz w:val="24"/>
          <w:szCs w:val="24"/>
          <w:highlight w:val="none"/>
          <w:u w:val="none"/>
          <w:lang w:val="en-US" w:eastAsia="zh-CN"/>
        </w:rPr>
        <w:t>08：00</w:t>
      </w:r>
      <w:r>
        <w:rPr>
          <w:rFonts w:hint="eastAsia" w:ascii="宋体" w:hAnsi="宋体" w:eastAsia="宋体" w:cs="宋体"/>
          <w:color w:val="auto"/>
          <w:sz w:val="24"/>
          <w:szCs w:val="24"/>
          <w:highlight w:val="none"/>
          <w:u w:val="none"/>
        </w:rPr>
        <w:t>至</w:t>
      </w:r>
      <w:r>
        <w:rPr>
          <w:rFonts w:hint="eastAsia" w:ascii="宋体" w:hAnsi="宋体" w:cs="宋体"/>
          <w:color w:val="auto"/>
          <w:sz w:val="24"/>
          <w:szCs w:val="24"/>
          <w:highlight w:val="none"/>
          <w:u w:val="none"/>
          <w:lang w:val="en-US" w:eastAsia="zh-CN"/>
        </w:rPr>
        <w:t>12：00</w:t>
      </w:r>
      <w:r>
        <w:rPr>
          <w:rFonts w:hint="eastAsia" w:ascii="宋体" w:hAnsi="宋体" w:eastAsia="宋体" w:cs="宋体"/>
          <w:color w:val="auto"/>
          <w:sz w:val="24"/>
          <w:szCs w:val="24"/>
          <w:highlight w:val="none"/>
          <w:u w:val="none"/>
        </w:rPr>
        <w:t>，下午</w:t>
      </w:r>
      <w:r>
        <w:rPr>
          <w:rFonts w:hint="eastAsia" w:ascii="宋体" w:hAnsi="宋体" w:cs="宋体"/>
          <w:color w:val="auto"/>
          <w:sz w:val="24"/>
          <w:szCs w:val="24"/>
          <w:highlight w:val="none"/>
          <w:u w:val="none"/>
          <w:lang w:val="en-US" w:eastAsia="zh-CN"/>
        </w:rPr>
        <w:t>14：30</w:t>
      </w:r>
      <w:r>
        <w:rPr>
          <w:rFonts w:hint="eastAsia" w:ascii="宋体" w:hAnsi="宋体" w:eastAsia="宋体" w:cs="宋体"/>
          <w:color w:val="auto"/>
          <w:sz w:val="24"/>
          <w:szCs w:val="24"/>
          <w:highlight w:val="none"/>
          <w:u w:val="none"/>
        </w:rPr>
        <w:t>至</w:t>
      </w:r>
      <w:r>
        <w:rPr>
          <w:rFonts w:hint="eastAsia" w:ascii="宋体" w:hAnsi="宋体" w:cs="宋体"/>
          <w:color w:val="auto"/>
          <w:sz w:val="24"/>
          <w:szCs w:val="24"/>
          <w:highlight w:val="none"/>
          <w:u w:val="none"/>
          <w:lang w:val="en-US" w:eastAsia="zh-CN"/>
        </w:rPr>
        <w:t>17：30</w:t>
      </w:r>
      <w:r>
        <w:rPr>
          <w:rFonts w:hint="eastAsia" w:ascii="宋体" w:hAnsi="宋体" w:eastAsia="宋体" w:cs="宋体"/>
          <w:color w:val="auto"/>
          <w:sz w:val="24"/>
          <w:szCs w:val="24"/>
          <w:highlight w:val="none"/>
          <w:u w:val="none"/>
        </w:rPr>
        <w:t>（北京时间，法定节假日除外）</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地点：福建省福州市鼓楼区五四路159号世界金龙大厦</w:t>
      </w:r>
      <w:r>
        <w:rPr>
          <w:rFonts w:hint="eastAsia" w:ascii="宋体" w:hAnsi="宋体" w:cs="宋体"/>
          <w:color w:val="auto"/>
          <w:sz w:val="24"/>
          <w:szCs w:val="24"/>
          <w:highlight w:val="none"/>
          <w:lang w:val="en-US" w:eastAsia="zh-CN"/>
        </w:rPr>
        <w:t>第</w:t>
      </w:r>
      <w:r>
        <w:rPr>
          <w:rFonts w:hint="eastAsia" w:ascii="宋体" w:hAnsi="宋体" w:eastAsia="宋体" w:cs="宋体"/>
          <w:color w:val="auto"/>
          <w:sz w:val="24"/>
          <w:szCs w:val="24"/>
          <w:highlight w:val="none"/>
        </w:rPr>
        <w:t>14层A</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C1</w:t>
      </w:r>
      <w:r>
        <w:rPr>
          <w:rFonts w:hint="eastAsia" w:ascii="宋体" w:hAnsi="宋体" w:eastAsia="宋体" w:cs="宋体"/>
          <w:color w:val="auto"/>
          <w:sz w:val="24"/>
          <w:szCs w:val="24"/>
          <w:highlight w:val="none"/>
        </w:rPr>
        <w:t>单元</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直接至我司办理的，须至我司填写《获取招标（采购）文件登记表》；通过邮件方式获取磋商文件者须按照本公司《获取招标（采购）文件登记表》格式（下载网址：http://www.fjzxzb.com/newshow.aspx?NewsID=7）填写清楚并加盖公章发送至本公司邮箱（zhixin04@126.com)，我公司将磋商文件发送至贵公司邮箱。未办理报名手续的不予以书面变更通知并不受理其参加本项目的磋商活动。</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售价：￥0.0 元（人民币）</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24"/>
          <w:highlight w:val="none"/>
        </w:rPr>
      </w:pPr>
      <w:bookmarkStart w:id="10" w:name="_Toc24999"/>
      <w:r>
        <w:rPr>
          <w:rFonts w:hint="eastAsia" w:ascii="宋体" w:hAnsi="宋体" w:eastAsia="宋体" w:cs="宋体"/>
          <w:b/>
          <w:bCs/>
          <w:color w:val="auto"/>
          <w:sz w:val="24"/>
          <w:szCs w:val="24"/>
          <w:highlight w:val="none"/>
        </w:rPr>
        <w:t>四、响应文件提交</w:t>
      </w:r>
      <w:bookmarkEnd w:id="10"/>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u w:val="none"/>
          <w:lang w:val="en-US" w:eastAsia="zh-CN"/>
        </w:rPr>
        <w:t>2025</w:t>
      </w:r>
      <w:r>
        <w:rPr>
          <w:rFonts w:hint="eastAsia" w:ascii="宋体" w:hAnsi="宋体" w:eastAsia="宋体" w:cs="宋体"/>
          <w:bCs/>
          <w:color w:val="auto"/>
          <w:sz w:val="24"/>
          <w:szCs w:val="24"/>
          <w:highlight w:val="none"/>
          <w:u w:val="none"/>
        </w:rPr>
        <w:t>年</w:t>
      </w:r>
      <w:r>
        <w:rPr>
          <w:rFonts w:hint="eastAsia" w:ascii="宋体" w:hAnsi="宋体" w:cs="宋体"/>
          <w:bCs/>
          <w:color w:val="auto"/>
          <w:sz w:val="24"/>
          <w:szCs w:val="24"/>
          <w:highlight w:val="none"/>
          <w:u w:val="none"/>
          <w:lang w:val="en-US" w:eastAsia="zh-CN"/>
        </w:rPr>
        <w:t>02</w:t>
      </w:r>
      <w:r>
        <w:rPr>
          <w:rFonts w:hint="eastAsia" w:ascii="宋体" w:hAnsi="宋体" w:eastAsia="宋体" w:cs="宋体"/>
          <w:bCs/>
          <w:color w:val="auto"/>
          <w:sz w:val="24"/>
          <w:szCs w:val="24"/>
          <w:highlight w:val="none"/>
          <w:u w:val="none"/>
        </w:rPr>
        <w:t>月</w:t>
      </w:r>
      <w:r>
        <w:rPr>
          <w:rFonts w:hint="eastAsia" w:ascii="宋体" w:hAnsi="宋体" w:cs="宋体"/>
          <w:bCs/>
          <w:color w:val="auto"/>
          <w:sz w:val="24"/>
          <w:szCs w:val="24"/>
          <w:highlight w:val="none"/>
          <w:u w:val="none"/>
          <w:lang w:val="en-US" w:eastAsia="zh-CN"/>
        </w:rPr>
        <w:t>25</w:t>
      </w:r>
      <w:r>
        <w:rPr>
          <w:rFonts w:hint="eastAsia" w:ascii="宋体" w:hAnsi="宋体" w:eastAsia="宋体" w:cs="宋体"/>
          <w:bCs/>
          <w:color w:val="auto"/>
          <w:sz w:val="24"/>
          <w:szCs w:val="24"/>
          <w:highlight w:val="none"/>
          <w:u w:val="none"/>
        </w:rPr>
        <w:t>日</w:t>
      </w:r>
      <w:r>
        <w:rPr>
          <w:rFonts w:hint="eastAsia" w:ascii="宋体" w:hAnsi="宋体" w:cs="宋体"/>
          <w:bCs/>
          <w:color w:val="auto"/>
          <w:sz w:val="24"/>
          <w:szCs w:val="24"/>
          <w:highlight w:val="none"/>
          <w:u w:val="none"/>
          <w:lang w:val="en-US" w:eastAsia="zh-CN"/>
        </w:rPr>
        <w:t>09</w:t>
      </w:r>
      <w:r>
        <w:rPr>
          <w:rFonts w:hint="eastAsia" w:ascii="宋体" w:hAnsi="宋体" w:eastAsia="宋体" w:cs="宋体"/>
          <w:bCs/>
          <w:color w:val="auto"/>
          <w:sz w:val="24"/>
          <w:szCs w:val="24"/>
          <w:highlight w:val="none"/>
          <w:u w:val="none"/>
        </w:rPr>
        <w:t>点</w:t>
      </w:r>
      <w:r>
        <w:rPr>
          <w:rFonts w:hint="eastAsia" w:ascii="宋体" w:hAnsi="宋体" w:cs="宋体"/>
          <w:bCs/>
          <w:color w:val="auto"/>
          <w:sz w:val="24"/>
          <w:szCs w:val="24"/>
          <w:highlight w:val="none"/>
          <w:u w:val="none"/>
          <w:lang w:val="en-US" w:eastAsia="zh-CN"/>
        </w:rPr>
        <w:t>00</w:t>
      </w:r>
      <w:r>
        <w:rPr>
          <w:rFonts w:hint="eastAsia" w:ascii="宋体" w:hAnsi="宋体" w:eastAsia="宋体" w:cs="宋体"/>
          <w:bCs/>
          <w:color w:val="auto"/>
          <w:sz w:val="24"/>
          <w:szCs w:val="24"/>
          <w:highlight w:val="none"/>
          <w:u w:val="none"/>
        </w:rPr>
        <w:t>分</w:t>
      </w:r>
      <w:r>
        <w:rPr>
          <w:rFonts w:hint="eastAsia" w:ascii="宋体" w:hAnsi="宋体" w:eastAsia="宋体" w:cs="宋体"/>
          <w:bCs/>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val="en-US" w:eastAsia="zh-CN"/>
        </w:rPr>
        <w:t>福建省福州市鼓楼区五四路159号世界金龙大厦第14层A、C1单元福建省智信招标有限公司开标大厅</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24"/>
          <w:highlight w:val="none"/>
        </w:rPr>
      </w:pPr>
      <w:bookmarkStart w:id="11" w:name="_Toc22727"/>
      <w:r>
        <w:rPr>
          <w:rFonts w:hint="eastAsia" w:ascii="宋体" w:hAnsi="宋体" w:eastAsia="宋体" w:cs="宋体"/>
          <w:b/>
          <w:bCs/>
          <w:color w:val="auto"/>
          <w:sz w:val="24"/>
          <w:szCs w:val="24"/>
          <w:highlight w:val="none"/>
        </w:rPr>
        <w:t>五、开启</w:t>
      </w:r>
      <w:bookmarkEnd w:id="11"/>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none"/>
          <w:lang w:val="en-US" w:eastAsia="zh-CN"/>
        </w:rPr>
        <w:t>2025</w:t>
      </w:r>
      <w:r>
        <w:rPr>
          <w:rFonts w:hint="eastAsia" w:ascii="宋体" w:hAnsi="宋体" w:eastAsia="宋体" w:cs="宋体"/>
          <w:bCs/>
          <w:color w:val="auto"/>
          <w:sz w:val="24"/>
          <w:szCs w:val="24"/>
          <w:highlight w:val="none"/>
          <w:u w:val="none"/>
        </w:rPr>
        <w:t>年</w:t>
      </w:r>
      <w:r>
        <w:rPr>
          <w:rFonts w:hint="eastAsia" w:ascii="宋体" w:hAnsi="宋体" w:cs="宋体"/>
          <w:bCs/>
          <w:color w:val="auto"/>
          <w:sz w:val="24"/>
          <w:szCs w:val="24"/>
          <w:highlight w:val="none"/>
          <w:u w:val="none"/>
          <w:lang w:val="en-US" w:eastAsia="zh-CN"/>
        </w:rPr>
        <w:t>02</w:t>
      </w:r>
      <w:r>
        <w:rPr>
          <w:rFonts w:hint="eastAsia" w:ascii="宋体" w:hAnsi="宋体" w:eastAsia="宋体" w:cs="宋体"/>
          <w:bCs/>
          <w:color w:val="auto"/>
          <w:sz w:val="24"/>
          <w:szCs w:val="24"/>
          <w:highlight w:val="none"/>
          <w:u w:val="none"/>
        </w:rPr>
        <w:t>月</w:t>
      </w:r>
      <w:r>
        <w:rPr>
          <w:rFonts w:hint="eastAsia" w:ascii="宋体" w:hAnsi="宋体" w:cs="宋体"/>
          <w:bCs/>
          <w:color w:val="auto"/>
          <w:sz w:val="24"/>
          <w:szCs w:val="24"/>
          <w:highlight w:val="none"/>
          <w:u w:val="none"/>
          <w:lang w:val="en-US" w:eastAsia="zh-CN"/>
        </w:rPr>
        <w:t>25</w:t>
      </w:r>
      <w:r>
        <w:rPr>
          <w:rFonts w:hint="eastAsia" w:ascii="宋体" w:hAnsi="宋体" w:eastAsia="宋体" w:cs="宋体"/>
          <w:bCs/>
          <w:color w:val="auto"/>
          <w:sz w:val="24"/>
          <w:szCs w:val="24"/>
          <w:highlight w:val="none"/>
          <w:u w:val="none"/>
        </w:rPr>
        <w:t>日</w:t>
      </w:r>
      <w:r>
        <w:rPr>
          <w:rFonts w:hint="eastAsia" w:ascii="宋体" w:hAnsi="宋体" w:cs="宋体"/>
          <w:bCs/>
          <w:color w:val="auto"/>
          <w:sz w:val="24"/>
          <w:szCs w:val="24"/>
          <w:highlight w:val="none"/>
          <w:u w:val="none"/>
          <w:lang w:val="en-US" w:eastAsia="zh-CN"/>
        </w:rPr>
        <w:t>09</w:t>
      </w:r>
      <w:r>
        <w:rPr>
          <w:rFonts w:hint="eastAsia" w:ascii="宋体" w:hAnsi="宋体" w:eastAsia="宋体" w:cs="宋体"/>
          <w:bCs/>
          <w:color w:val="auto"/>
          <w:sz w:val="24"/>
          <w:szCs w:val="24"/>
          <w:highlight w:val="none"/>
          <w:u w:val="none"/>
        </w:rPr>
        <w:t>点</w:t>
      </w:r>
      <w:r>
        <w:rPr>
          <w:rFonts w:hint="eastAsia" w:ascii="宋体" w:hAnsi="宋体" w:cs="宋体"/>
          <w:bCs/>
          <w:color w:val="auto"/>
          <w:sz w:val="24"/>
          <w:szCs w:val="24"/>
          <w:highlight w:val="none"/>
          <w:u w:val="none"/>
          <w:lang w:val="en-US" w:eastAsia="zh-CN"/>
        </w:rPr>
        <w:t>00</w:t>
      </w:r>
      <w:r>
        <w:rPr>
          <w:rFonts w:hint="eastAsia" w:ascii="宋体" w:hAnsi="宋体" w:eastAsia="宋体" w:cs="宋体"/>
          <w:bCs/>
          <w:color w:val="auto"/>
          <w:sz w:val="24"/>
          <w:szCs w:val="24"/>
          <w:highlight w:val="none"/>
          <w:u w:val="none"/>
        </w:rPr>
        <w:t>分</w:t>
      </w:r>
      <w:r>
        <w:rPr>
          <w:rFonts w:hint="eastAsia" w:ascii="宋体" w:hAnsi="宋体" w:eastAsia="宋体" w:cs="宋体"/>
          <w:bCs/>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val="en-US" w:eastAsia="zh-CN"/>
        </w:rPr>
        <w:t>福建省福州市鼓楼区五四路159号世界金龙大厦第14层A、C1单元福建省智信招标有限公司开标大厅</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24"/>
          <w:highlight w:val="none"/>
        </w:rPr>
      </w:pPr>
      <w:bookmarkStart w:id="12" w:name="_Toc30955"/>
      <w:r>
        <w:rPr>
          <w:rFonts w:hint="eastAsia" w:ascii="宋体" w:hAnsi="宋体" w:eastAsia="宋体" w:cs="宋体"/>
          <w:b/>
          <w:bCs/>
          <w:color w:val="auto"/>
          <w:sz w:val="24"/>
          <w:szCs w:val="24"/>
          <w:highlight w:val="none"/>
        </w:rPr>
        <w:t>六、公告期限</w:t>
      </w:r>
      <w:bookmarkEnd w:id="12"/>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自本公告发布之日起3个工作日。</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color w:val="auto"/>
          <w:sz w:val="24"/>
          <w:szCs w:val="24"/>
          <w:highlight w:val="none"/>
          <w:u w:val="none"/>
          <w:lang w:val="en-US" w:eastAsia="zh-CN"/>
        </w:rPr>
      </w:pPr>
      <w:bookmarkStart w:id="13" w:name="_Toc15463"/>
      <w:r>
        <w:rPr>
          <w:rFonts w:hint="eastAsia" w:ascii="宋体" w:hAnsi="宋体" w:eastAsia="宋体" w:cs="宋体"/>
          <w:b/>
          <w:bCs/>
          <w:color w:val="auto"/>
          <w:sz w:val="24"/>
          <w:szCs w:val="24"/>
          <w:highlight w:val="none"/>
        </w:rPr>
        <w:t>七、其他补充事宜</w:t>
      </w: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u w:val="none"/>
          <w:lang w:val="en-US" w:eastAsia="zh-CN"/>
        </w:rPr>
        <w:t>无</w:t>
      </w:r>
      <w:bookmarkEnd w:id="13"/>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24"/>
          <w:highlight w:val="none"/>
        </w:rPr>
      </w:pPr>
      <w:bookmarkStart w:id="14" w:name="_Toc10471"/>
      <w:r>
        <w:rPr>
          <w:rFonts w:hint="eastAsia" w:ascii="宋体" w:hAnsi="宋体" w:eastAsia="宋体" w:cs="宋体"/>
          <w:b/>
          <w:bCs/>
          <w:color w:val="auto"/>
          <w:sz w:val="24"/>
          <w:szCs w:val="24"/>
          <w:highlight w:val="none"/>
        </w:rPr>
        <w:t>八、凡对本次采购提出询问，请按以下方式联系。</w:t>
      </w:r>
      <w:bookmarkEnd w:id="14"/>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采购</w:t>
      </w:r>
      <w:r>
        <w:rPr>
          <w:rFonts w:hint="eastAsia" w:ascii="宋体" w:hAnsi="宋体" w:eastAsia="宋体" w:cs="宋体"/>
          <w:bCs/>
          <w:color w:val="auto"/>
          <w:sz w:val="24"/>
          <w:szCs w:val="24"/>
          <w:highlight w:val="none"/>
        </w:rPr>
        <w:t>人信息</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名    称：</w:t>
      </w:r>
      <w:r>
        <w:rPr>
          <w:rFonts w:hint="eastAsia" w:ascii="宋体" w:hAnsi="宋体" w:cs="宋体"/>
          <w:color w:val="auto"/>
          <w:sz w:val="24"/>
          <w:szCs w:val="24"/>
          <w:highlight w:val="none"/>
          <w:u w:val="none"/>
          <w:lang w:eastAsia="zh-CN"/>
        </w:rPr>
        <w:t>国家税务总局福州市仓山区税务局</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cs="宋体"/>
          <w:color w:val="auto"/>
          <w:sz w:val="24"/>
          <w:szCs w:val="24"/>
          <w:highlight w:val="none"/>
          <w:u w:val="none"/>
          <w:lang w:eastAsia="zh-CN"/>
        </w:rPr>
      </w:pPr>
      <w:r>
        <w:rPr>
          <w:rFonts w:hint="eastAsia" w:ascii="宋体" w:hAnsi="宋体" w:cs="宋体"/>
          <w:color w:val="auto"/>
          <w:sz w:val="24"/>
          <w:szCs w:val="24"/>
          <w:highlight w:val="none"/>
          <w:u w:val="none"/>
          <w:lang w:eastAsia="zh-CN"/>
        </w:rPr>
        <w:t>地    址：福州市仓山区则徐大道268号</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cs="宋体"/>
          <w:color w:val="auto"/>
          <w:sz w:val="24"/>
          <w:szCs w:val="24"/>
          <w:highlight w:val="none"/>
          <w:u w:val="none"/>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周星宇，0591-83536336</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2.采购代理机构信息</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    称：福建省智信招标有限公司</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址：福建省福州市鼓楼区五四路159号世界金龙大厦第14层A、C1单元</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廖丽松、林伟南、王小敏/</w:t>
      </w:r>
      <w:r>
        <w:rPr>
          <w:rFonts w:hint="eastAsia" w:ascii="宋体" w:hAnsi="宋体" w:eastAsia="宋体" w:cs="宋体"/>
          <w:color w:val="auto"/>
          <w:sz w:val="24"/>
          <w:szCs w:val="24"/>
          <w:highlight w:val="none"/>
          <w:u w:val="none"/>
        </w:rPr>
        <w:t>0591-88318332、87530730、87616211转80</w:t>
      </w:r>
      <w:r>
        <w:rPr>
          <w:rFonts w:hint="eastAsia" w:ascii="宋体" w:hAnsi="宋体" w:cs="宋体"/>
          <w:color w:val="auto"/>
          <w:sz w:val="24"/>
          <w:szCs w:val="24"/>
          <w:highlight w:val="none"/>
          <w:u w:val="none"/>
          <w:lang w:val="en-US" w:eastAsia="zh-CN"/>
        </w:rPr>
        <w:t>3</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3.项目联系方式</w:t>
      </w:r>
    </w:p>
    <w:p>
      <w:pPr>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项目联系人：</w:t>
      </w:r>
      <w:r>
        <w:rPr>
          <w:rFonts w:hint="eastAsia" w:ascii="宋体" w:hAnsi="宋体" w:cs="宋体"/>
          <w:color w:val="auto"/>
          <w:sz w:val="24"/>
          <w:szCs w:val="24"/>
          <w:highlight w:val="none"/>
          <w:u w:val="none"/>
          <w:lang w:eastAsia="zh-CN"/>
        </w:rPr>
        <w:t>廖丽松、林伟南、王小敏</w:t>
      </w:r>
    </w:p>
    <w:p>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电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话：0591-88318332、87530730、87616211转80</w:t>
      </w:r>
      <w:r>
        <w:rPr>
          <w:rFonts w:hint="eastAsia" w:ascii="宋体" w:hAnsi="宋体" w:cs="宋体"/>
          <w:color w:val="auto"/>
          <w:sz w:val="24"/>
          <w:szCs w:val="24"/>
          <w:highlight w:val="none"/>
          <w:u w:val="none"/>
          <w:lang w:val="en-US" w:eastAsia="zh-CN"/>
        </w:rPr>
        <w:t>3</w:t>
      </w:r>
    </w:p>
    <w:p>
      <w:pPr>
        <w:rPr>
          <w:rFonts w:hint="eastAsia" w:ascii="宋体" w:hAnsi="宋体" w:eastAsia="宋体" w:cs="宋体"/>
          <w:color w:val="auto"/>
          <w:sz w:val="24"/>
          <w:szCs w:val="24"/>
          <w:highlight w:val="none"/>
        </w:rPr>
        <w:sectPr>
          <w:pgSz w:w="11906" w:h="16838"/>
          <w:pgMar w:top="1440" w:right="1587" w:bottom="1440" w:left="1587"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15" w:name="_Toc5752"/>
      <w:bookmarkStart w:id="16" w:name="_Toc132880656"/>
      <w:r>
        <w:rPr>
          <w:rFonts w:hint="eastAsia" w:ascii="宋体" w:hAnsi="宋体" w:eastAsia="宋体" w:cs="宋体"/>
          <w:b/>
          <w:bCs/>
          <w:color w:val="auto"/>
          <w:sz w:val="28"/>
          <w:szCs w:val="28"/>
          <w:highlight w:val="none"/>
        </w:rPr>
        <w:t>第二章　供应商须知</w:t>
      </w:r>
      <w:bookmarkEnd w:id="15"/>
      <w:bookmarkEnd w:id="16"/>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rPr>
      </w:pPr>
      <w:bookmarkStart w:id="17" w:name="_Toc132880657"/>
      <w:r>
        <w:rPr>
          <w:rFonts w:hint="eastAsia" w:ascii="宋体" w:hAnsi="宋体" w:eastAsia="宋体" w:cs="宋体"/>
          <w:b/>
          <w:bCs/>
          <w:color w:val="auto"/>
          <w:sz w:val="28"/>
          <w:szCs w:val="28"/>
          <w:highlight w:val="none"/>
        </w:rPr>
        <w:t>供应商须知前附表</w:t>
      </w:r>
      <w:bookmarkEnd w:id="17"/>
    </w:p>
    <w:tbl>
      <w:tblPr>
        <w:tblStyle w:val="29"/>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64"/>
        <w:gridCol w:w="990"/>
        <w:gridCol w:w="5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 号</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  别</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6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项目名称、编号、预算及最高限价</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
                <w:color w:val="auto"/>
                <w:sz w:val="24"/>
                <w:szCs w:val="24"/>
                <w:highlight w:val="none"/>
                <w:u w:val="none"/>
                <w:lang w:eastAsia="zh-CN"/>
              </w:rPr>
            </w:pPr>
            <w:r>
              <w:rPr>
                <w:rFonts w:hint="eastAsia" w:ascii="宋体" w:hAnsi="宋体" w:eastAsia="宋体" w:cs="宋体"/>
                <w:color w:val="auto"/>
                <w:sz w:val="24"/>
                <w:szCs w:val="24"/>
                <w:highlight w:val="none"/>
                <w:u w:val="none"/>
              </w:rPr>
              <w:t>项目名称：</w:t>
            </w:r>
            <w:r>
              <w:rPr>
                <w:rFonts w:hint="eastAsia" w:ascii="宋体" w:hAnsi="宋体" w:cs="宋体"/>
                <w:color w:val="auto"/>
                <w:sz w:val="24"/>
                <w:szCs w:val="24"/>
                <w:highlight w:val="none"/>
                <w:u w:val="none"/>
                <w:lang w:eastAsia="zh-CN"/>
              </w:rPr>
              <w:t>国家税务总局福州市仓山区税务局涉税（费）服务采购项目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项目编号：</w:t>
            </w:r>
            <w:r>
              <w:rPr>
                <w:rFonts w:hint="eastAsia" w:ascii="宋体" w:hAnsi="宋体" w:cs="宋体"/>
                <w:color w:val="auto"/>
                <w:sz w:val="24"/>
                <w:szCs w:val="24"/>
                <w:highlight w:val="none"/>
                <w:u w:val="none"/>
                <w:lang w:eastAsia="zh-CN"/>
              </w:rPr>
              <w:t>ZXWT-2025-30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项目预算：</w:t>
            </w:r>
            <w:r>
              <w:rPr>
                <w:rFonts w:hint="eastAsia" w:ascii="宋体" w:hAnsi="宋体" w:cs="宋体"/>
                <w:color w:val="auto"/>
                <w:kern w:val="0"/>
                <w:sz w:val="24"/>
                <w:szCs w:val="24"/>
                <w:highlight w:val="none"/>
                <w:lang w:val="en-US" w:eastAsia="zh-CN" w:bidi="ar-SA"/>
              </w:rPr>
              <w:t>98</w:t>
            </w:r>
            <w:r>
              <w:rPr>
                <w:rFonts w:hint="eastAsia" w:ascii="宋体" w:hAnsi="宋体" w:eastAsia="宋体" w:cs="宋体"/>
                <w:color w:val="auto"/>
                <w:kern w:val="0"/>
                <w:sz w:val="24"/>
                <w:szCs w:val="24"/>
                <w:highlight w:val="none"/>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项目最高限价：98万元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详见《采购文件（技术部分）》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项目属性和类别</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项目属性：</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 xml:space="preserve"> </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项目类别：</w:t>
            </w:r>
            <w:r>
              <w:rPr>
                <w:rFonts w:hint="eastAsia" w:ascii="宋体" w:hAnsi="宋体" w:eastAsia="宋体" w:cs="宋体"/>
                <w:color w:val="auto"/>
                <w:sz w:val="24"/>
                <w:szCs w:val="24"/>
                <w:highlight w:val="none"/>
              </w:rPr>
              <w:t>非信息化项目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名称：</w:t>
            </w:r>
            <w:r>
              <w:rPr>
                <w:rFonts w:hint="eastAsia" w:ascii="宋体" w:hAnsi="宋体" w:cs="宋体"/>
                <w:color w:val="auto"/>
                <w:sz w:val="24"/>
                <w:szCs w:val="24"/>
                <w:highlight w:val="none"/>
                <w:u w:val="none"/>
                <w:lang w:eastAsia="zh-CN"/>
              </w:rPr>
              <w:t>国家税务总局福州市仓山区税务局</w:t>
            </w:r>
          </w:p>
          <w:p>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地址：</w:t>
            </w:r>
            <w:r>
              <w:rPr>
                <w:rFonts w:hint="eastAsia" w:ascii="宋体" w:hAnsi="宋体" w:cs="宋体"/>
                <w:color w:val="auto"/>
                <w:sz w:val="24"/>
                <w:szCs w:val="24"/>
                <w:highlight w:val="none"/>
                <w:u w:val="none"/>
                <w:lang w:eastAsia="zh-CN"/>
              </w:rPr>
              <w:t>福州市仓山区则徐大道268号</w:t>
            </w:r>
            <w:r>
              <w:rPr>
                <w:rFonts w:hint="eastAsia" w:ascii="宋体" w:hAnsi="宋体" w:eastAsia="宋体" w:cs="宋体"/>
                <w:color w:val="auto"/>
                <w:sz w:val="24"/>
                <w:szCs w:val="24"/>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周星宇，0591-83536336</w:t>
            </w:r>
            <w:r>
              <w:rPr>
                <w:rFonts w:hint="eastAsia" w:ascii="宋体" w:hAnsi="宋体" w:cs="宋体"/>
                <w:color w:val="auto"/>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名称：福建省智信招标有限公司</w:t>
            </w:r>
          </w:p>
          <w:p>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地址：福建省福州市鼓楼区五四路159号世界金龙大厦第14层A、C1单元</w:t>
            </w:r>
          </w:p>
          <w:p>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廖丽松、林伟南、王小敏</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0591-88318332、87530730、87616211转80</w:t>
            </w:r>
            <w:r>
              <w:rPr>
                <w:rFonts w:hint="eastAsia" w:ascii="宋体" w:hAnsi="宋体" w:eastAsia="宋体" w:cs="宋体"/>
                <w:color w:val="auto"/>
                <w:sz w:val="24"/>
                <w:szCs w:val="24"/>
                <w:highlight w:val="none"/>
                <w:u w:val="none"/>
                <w:lang w:val="en-US" w:eastAsia="zh-CN"/>
              </w:rPr>
              <w:t>3</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r>
              <w:rPr>
                <w:rFonts w:hint="eastAsia" w:ascii="宋体" w:hAnsi="宋体" w:eastAsia="宋体" w:cs="宋体"/>
                <w:color w:val="auto"/>
                <w:sz w:val="24"/>
                <w:szCs w:val="24"/>
                <w:highlight w:val="none"/>
                <w:lang w:val="en-US" w:eastAsia="zh-CN"/>
              </w:rPr>
              <w:t>zhixin01@126.com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供应商产生方法</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公告</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供应商库抽取</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符合要求供应商家数</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是否允许符合要求的供应商只有2家时可以继续进行采购活动：</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否 </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□是，[本项目属于</w:t>
            </w:r>
            <w:r>
              <w:rPr>
                <w:rFonts w:hint="eastAsia" w:ascii="宋体" w:hAnsi="宋体" w:eastAsia="宋体" w:cs="宋体"/>
                <w:i/>
                <w:color w:val="auto"/>
                <w:sz w:val="24"/>
                <w:szCs w:val="24"/>
                <w:highlight w:val="none"/>
                <w:u w:val="single"/>
              </w:rPr>
              <w:t>①采用竞争性磋商采购方式组织实施的市场竞争不充分的科研项目、需要扶持的科技成果转化项目；②政府购买服务项目(含政府和社会资本合作项目</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供应商资格要求</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具体详见第一章磋商邀请</w:t>
            </w:r>
            <w:r>
              <w:rPr>
                <w:rFonts w:hint="eastAsia" w:ascii="宋体" w:hAnsi="宋体" w:eastAsia="宋体" w:cs="宋体"/>
                <w:color w:val="auto"/>
                <w:sz w:val="24"/>
                <w:szCs w:val="24"/>
                <w:highlight w:val="none"/>
                <w:lang w:val="en-US" w:eastAsia="zh-CN"/>
              </w:rPr>
              <w:t>“二、</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的资格要求”要求。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是否接受联合体磋商</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采购标的对应的中小企业划分标准所属行业</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享受扶持政策获得政府采购项目的，小微企业不得将合同分包给大中型企业，中型企业不得将合同分包给大型企业。本项目</w:t>
            </w:r>
            <w:r>
              <w:rPr>
                <w:rFonts w:hint="eastAsia" w:ascii="宋体" w:hAnsi="宋体" w:eastAsia="宋体" w:cs="宋体"/>
                <w:color w:val="auto"/>
                <w:sz w:val="24"/>
                <w:szCs w:val="24"/>
                <w:highlight w:val="none"/>
                <w:lang w:val="en-US" w:eastAsia="zh-CN"/>
              </w:rPr>
              <w:t>为服务类项目，对应的中小企业划分标准所属行业为“</w:t>
            </w:r>
            <w:r>
              <w:rPr>
                <w:rFonts w:hint="eastAsia" w:ascii="宋体" w:hAnsi="宋体" w:eastAsia="宋体" w:cs="宋体"/>
                <w:b w:val="0"/>
                <w:bCs w:val="0"/>
                <w:color w:val="auto"/>
                <w:kern w:val="2"/>
                <w:sz w:val="24"/>
                <w:szCs w:val="24"/>
                <w:highlight w:val="none"/>
                <w:lang w:val="en-US" w:eastAsia="zh-CN" w:bidi="ar"/>
              </w:rPr>
              <w:t>租赁和商务服务业</w:t>
            </w:r>
            <w:r>
              <w:rPr>
                <w:rFonts w:hint="eastAsia" w:ascii="宋体" w:hAnsi="宋体" w:eastAsia="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非主体、非关键性工作分包</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是否允许供应商将本项目的非主体、非关键性工作进行分包：</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不允许</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w:t>
            </w:r>
            <w:r>
              <w:rPr>
                <w:rFonts w:hint="eastAsia" w:ascii="宋体" w:hAnsi="宋体" w:eastAsia="宋体" w:cs="宋体"/>
                <w:i/>
                <w:color w:val="auto"/>
                <w:sz w:val="24"/>
                <w:szCs w:val="24"/>
                <w:highlight w:val="none"/>
                <w:u w:val="single"/>
              </w:rPr>
              <w:t>（写明可以分包履行的具体内容、金额或者比例）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964"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619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90" w:lineRule="exact"/>
              <w:jc w:val="left"/>
              <w:textAlignment w:val="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964"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采购进口产品</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本采购项目拒绝进口产品参加磋商</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本采购项目已经财政部审核同意购买进口产品</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964"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信息发布媒体</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国家税务总局福州市税务局网站</w:t>
            </w:r>
            <w:r>
              <w:rPr>
                <w:rFonts w:hint="eastAsia" w:ascii="宋体" w:hAnsi="宋体" w:eastAsia="宋体" w:cs="宋体"/>
                <w:bCs/>
                <w:color w:val="auto"/>
                <w:sz w:val="24"/>
                <w:szCs w:val="24"/>
                <w:highlight w:val="none"/>
              </w:rPr>
              <w:t>http://fujian.chinatax.gov.cn/fzsswj/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获取采购文件</w:t>
            </w:r>
          </w:p>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时间、地点和</w:t>
            </w:r>
          </w:p>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方式等</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时间：</w:t>
            </w:r>
            <w:r>
              <w:rPr>
                <w:rFonts w:hint="eastAsia" w:ascii="宋体" w:hAnsi="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02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14</w:t>
            </w:r>
            <w:r>
              <w:rPr>
                <w:rFonts w:hint="eastAsia" w:ascii="宋体" w:hAnsi="宋体" w:eastAsia="宋体" w:cs="宋体"/>
                <w:color w:val="auto"/>
                <w:sz w:val="24"/>
                <w:szCs w:val="24"/>
                <w:highlight w:val="none"/>
                <w:u w:val="none"/>
              </w:rPr>
              <w:t>日至</w:t>
            </w:r>
            <w:r>
              <w:rPr>
                <w:rFonts w:hint="eastAsia" w:ascii="宋体" w:hAnsi="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02</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21</w:t>
            </w:r>
            <w:r>
              <w:rPr>
                <w:rFonts w:hint="eastAsia" w:ascii="宋体" w:hAnsi="宋体" w:eastAsia="宋体" w:cs="宋体"/>
                <w:color w:val="auto"/>
                <w:sz w:val="24"/>
                <w:szCs w:val="24"/>
                <w:highlight w:val="none"/>
                <w:u w:val="none"/>
              </w:rPr>
              <w:t>日</w:t>
            </w:r>
            <w:r>
              <w:rPr>
                <w:rFonts w:hint="eastAsia" w:ascii="宋体" w:hAnsi="宋体" w:eastAsia="宋体" w:cs="宋体"/>
                <w:bCs/>
                <w:color w:val="auto"/>
                <w:sz w:val="24"/>
                <w:szCs w:val="24"/>
                <w:highlight w:val="none"/>
              </w:rPr>
              <w:t>每天上午</w:t>
            </w:r>
            <w:r>
              <w:rPr>
                <w:rFonts w:hint="eastAsia" w:ascii="宋体" w:hAnsi="宋体" w:eastAsia="宋体" w:cs="宋体"/>
                <w:bCs/>
                <w:color w:val="auto"/>
                <w:sz w:val="24"/>
                <w:szCs w:val="24"/>
                <w:highlight w:val="none"/>
                <w:lang w:val="en-US" w:eastAsia="zh-CN"/>
              </w:rPr>
              <w:t>08：00</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lang w:val="en-US" w:eastAsia="zh-CN"/>
              </w:rPr>
              <w:t>12：00</w:t>
            </w:r>
            <w:r>
              <w:rPr>
                <w:rFonts w:hint="eastAsia" w:ascii="宋体" w:hAnsi="宋体" w:eastAsia="宋体" w:cs="宋体"/>
                <w:bCs/>
                <w:color w:val="auto"/>
                <w:sz w:val="24"/>
                <w:szCs w:val="24"/>
                <w:highlight w:val="none"/>
              </w:rPr>
              <w:t>，下午</w:t>
            </w:r>
            <w:r>
              <w:rPr>
                <w:rFonts w:hint="eastAsia" w:ascii="宋体" w:hAnsi="宋体" w:eastAsia="宋体" w:cs="宋体"/>
                <w:bCs/>
                <w:color w:val="auto"/>
                <w:sz w:val="24"/>
                <w:szCs w:val="24"/>
                <w:highlight w:val="none"/>
                <w:lang w:val="en-US" w:eastAsia="zh-CN"/>
              </w:rPr>
              <w:t>14：30</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lang w:val="en-US" w:eastAsia="zh-CN"/>
              </w:rPr>
              <w:t>17：30</w:t>
            </w:r>
            <w:r>
              <w:rPr>
                <w:rFonts w:hint="eastAsia" w:ascii="宋体" w:hAnsi="宋体" w:eastAsia="宋体" w:cs="宋体"/>
                <w:bCs/>
                <w:color w:val="auto"/>
                <w:sz w:val="24"/>
                <w:szCs w:val="24"/>
                <w:highlight w:val="none"/>
              </w:rPr>
              <w:t>（北京时间，法定节假日除外）</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地点：</w:t>
            </w:r>
            <w:r>
              <w:rPr>
                <w:rFonts w:hint="eastAsia" w:ascii="宋体" w:hAnsi="宋体" w:eastAsia="宋体" w:cs="宋体"/>
                <w:color w:val="auto"/>
                <w:sz w:val="24"/>
                <w:szCs w:val="24"/>
                <w:highlight w:val="none"/>
              </w:rPr>
              <w:t>福建省福州市鼓楼区五四路159号世界金龙大厦</w:t>
            </w:r>
            <w:r>
              <w:rPr>
                <w:rFonts w:hint="eastAsia" w:ascii="宋体" w:hAnsi="宋体" w:cs="宋体"/>
                <w:color w:val="auto"/>
                <w:sz w:val="24"/>
                <w:szCs w:val="24"/>
                <w:highlight w:val="none"/>
                <w:lang w:val="en-US" w:eastAsia="zh-CN"/>
              </w:rPr>
              <w:t>第</w:t>
            </w:r>
            <w:r>
              <w:rPr>
                <w:rFonts w:hint="eastAsia" w:ascii="宋体" w:hAnsi="宋体" w:eastAsia="宋体" w:cs="宋体"/>
                <w:color w:val="auto"/>
                <w:sz w:val="24"/>
                <w:szCs w:val="24"/>
                <w:highlight w:val="none"/>
              </w:rPr>
              <w:t>14层A</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C1</w:t>
            </w:r>
            <w:r>
              <w:rPr>
                <w:rFonts w:hint="eastAsia" w:ascii="宋体" w:hAnsi="宋体" w:eastAsia="宋体" w:cs="宋体"/>
                <w:color w:val="auto"/>
                <w:sz w:val="24"/>
                <w:szCs w:val="24"/>
                <w:highlight w:val="none"/>
              </w:rPr>
              <w:t>单元</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方式：</w:t>
            </w:r>
            <w:r>
              <w:rPr>
                <w:rFonts w:hint="eastAsia" w:ascii="宋体" w:hAnsi="宋体" w:eastAsia="宋体" w:cs="宋体"/>
                <w:color w:val="auto"/>
                <w:sz w:val="24"/>
                <w:szCs w:val="24"/>
                <w:highlight w:val="none"/>
              </w:rPr>
              <w:t>直接至我司办理的，须至我司填写《获取招标（采购）文件登记表》；通过邮件方式获取磋商文件者须按照本公司《获取招标（采购）文件登记表》格式（下载网址：http://www.fjzxzb.com/newshow.aspx?NewsID=7）填写清楚并加盖公章发送至本公司邮箱（zhixin04@126.com)，我公司将磋商文件发送至贵公司邮箱。未办理报名手续的不予以书面变更通知并不受理其参加本项目的磋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现场考察或召开磋商前答疑会</w:t>
            </w:r>
          </w:p>
        </w:tc>
        <w:tc>
          <w:tcPr>
            <w:tcW w:w="6197" w:type="dxa"/>
            <w:gridSpan w:val="2"/>
            <w:noWrap w:val="0"/>
            <w:vAlign w:val="center"/>
          </w:tcPr>
          <w:p>
            <w:pPr>
              <w:keepNext w:val="0"/>
              <w:keepLines w:val="0"/>
              <w:pageBreakBefore w:val="0"/>
              <w:numPr>
                <w:ilvl w:val="0"/>
                <w:numId w:val="0"/>
              </w:numPr>
              <w:tabs>
                <w:tab w:val="left" w:pos="0"/>
                <w:tab w:val="left" w:pos="420"/>
              </w:tabs>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不组织现场考察/召开磋商前答疑会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8" w:hRule="atLeast"/>
          <w:jc w:val="center"/>
        </w:trPr>
        <w:tc>
          <w:tcPr>
            <w:tcW w:w="816" w:type="dxa"/>
            <w:vMerge w:val="restart"/>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964" w:type="dxa"/>
            <w:vMerge w:val="restart"/>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响应文件组成</w:t>
            </w:r>
          </w:p>
        </w:tc>
        <w:tc>
          <w:tcPr>
            <w:tcW w:w="990" w:type="dxa"/>
            <w:vMerge w:val="restart"/>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商务部</w:t>
            </w:r>
            <w:r>
              <w:rPr>
                <w:rFonts w:hint="eastAsia" w:ascii="宋体" w:hAnsi="宋体" w:eastAsia="宋体" w:cs="宋体"/>
                <w:bCs/>
                <w:color w:val="auto"/>
                <w:sz w:val="24"/>
                <w:szCs w:val="24"/>
                <w:highlight w:val="none"/>
              </w:rPr>
              <w:t>分</w:t>
            </w:r>
          </w:p>
        </w:tc>
        <w:tc>
          <w:tcPr>
            <w:tcW w:w="5207" w:type="dxa"/>
            <w:noWrap w:val="0"/>
            <w:vAlign w:val="center"/>
          </w:tcPr>
          <w:p>
            <w:pPr>
              <w:keepNext w:val="0"/>
              <w:keepLines w:val="0"/>
              <w:pageBreakBefore w:val="0"/>
              <w:widowControl/>
              <w:tabs>
                <w:tab w:val="left" w:pos="0"/>
                <w:tab w:val="left" w:pos="420"/>
              </w:tabs>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一、资格证明文件：</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1.★合格有效的营业执照复印件；</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2.★财务状况报告：</w:t>
            </w:r>
            <w:r>
              <w:rPr>
                <w:rFonts w:hint="eastAsia" w:ascii="宋体" w:hAnsi="宋体" w:eastAsia="宋体" w:cs="宋体"/>
                <w:snapToGrid w:val="0"/>
                <w:color w:val="auto"/>
                <w:sz w:val="24"/>
                <w:szCs w:val="24"/>
              </w:rPr>
              <w:t>经会计师事务所审计的</w:t>
            </w:r>
            <w:r>
              <w:rPr>
                <w:rFonts w:hint="eastAsia" w:ascii="宋体" w:hAnsi="宋体" w:eastAsia="宋体" w:cs="宋体"/>
                <w:snapToGrid w:val="0"/>
                <w:color w:val="auto"/>
                <w:sz w:val="24"/>
                <w:szCs w:val="24"/>
                <w:lang w:val="en-US" w:eastAsia="zh-CN"/>
              </w:rPr>
              <w:t>2023年度或2024年度</w:t>
            </w:r>
            <w:r>
              <w:rPr>
                <w:rFonts w:hint="eastAsia" w:ascii="宋体" w:hAnsi="宋体" w:eastAsia="宋体" w:cs="宋体"/>
                <w:snapToGrid w:val="0"/>
                <w:color w:val="auto"/>
                <w:sz w:val="24"/>
                <w:szCs w:val="24"/>
              </w:rPr>
              <w:t>的财务报告（须提供加盖会计师事务所公章及注册会计师签章的扫描件或复印件）</w:t>
            </w:r>
            <w:r>
              <w:rPr>
                <w:rFonts w:hint="eastAsia" w:ascii="宋体" w:hAnsi="宋体" w:eastAsia="宋体" w:cs="宋体"/>
                <w:snapToGrid w:val="0"/>
                <w:color w:val="auto"/>
                <w:sz w:val="24"/>
                <w:szCs w:val="24"/>
                <w:lang w:eastAsia="zh-CN"/>
              </w:rPr>
              <w:t>，</w:t>
            </w:r>
            <w:r>
              <w:rPr>
                <w:rFonts w:hint="eastAsia" w:ascii="宋体" w:hAnsi="宋体" w:eastAsia="宋体" w:cs="宋体"/>
                <w:snapToGrid w:val="0"/>
                <w:color w:val="auto"/>
                <w:sz w:val="24"/>
                <w:szCs w:val="24"/>
              </w:rPr>
              <w:t>没有经审计的财务报告的，可以提供银行出具的资信证明</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3.★依法缴纳税收：2024年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月以来不少于1个月依法缴纳税收（不包括个人所得税）的相关材料，</w:t>
            </w:r>
            <w:r>
              <w:rPr>
                <w:rFonts w:hint="eastAsia" w:ascii="宋体" w:hAnsi="宋体" w:eastAsia="宋体" w:cs="宋体"/>
                <w:snapToGrid w:val="0"/>
                <w:color w:val="auto"/>
                <w:sz w:val="24"/>
                <w:szCs w:val="24"/>
              </w:rPr>
              <w:t>若为</w:t>
            </w:r>
            <w:r>
              <w:rPr>
                <w:rFonts w:hint="eastAsia" w:ascii="宋体" w:hAnsi="宋体" w:eastAsia="宋体" w:cs="宋体"/>
                <w:snapToGrid w:val="0"/>
                <w:color w:val="auto"/>
                <w:sz w:val="24"/>
                <w:szCs w:val="24"/>
                <w:lang w:val="en-US" w:eastAsia="zh-CN"/>
              </w:rPr>
              <w:t>提交响应文件</w:t>
            </w:r>
            <w:r>
              <w:rPr>
                <w:rFonts w:hint="eastAsia" w:ascii="宋体" w:hAnsi="宋体" w:eastAsia="宋体" w:cs="宋体"/>
                <w:snapToGrid w:val="0"/>
                <w:color w:val="auto"/>
                <w:sz w:val="24"/>
                <w:szCs w:val="24"/>
              </w:rPr>
              <w:t>截止时间的当月成立的</w:t>
            </w:r>
            <w:r>
              <w:rPr>
                <w:rFonts w:hint="eastAsia" w:ascii="宋体" w:hAnsi="宋体" w:eastAsia="宋体" w:cs="宋体"/>
                <w:snapToGrid w:val="0"/>
                <w:color w:val="auto"/>
                <w:sz w:val="24"/>
                <w:szCs w:val="24"/>
                <w:lang w:val="en-US" w:eastAsia="zh-CN"/>
              </w:rPr>
              <w:t>供应商</w:t>
            </w:r>
            <w:r>
              <w:rPr>
                <w:rFonts w:hint="eastAsia" w:ascii="宋体" w:hAnsi="宋体" w:eastAsia="宋体" w:cs="宋体"/>
                <w:snapToGrid w:val="0"/>
                <w:color w:val="auto"/>
                <w:sz w:val="24"/>
                <w:szCs w:val="24"/>
              </w:rPr>
              <w:t>，视同满足本项资格条件要求</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4.★社会保障资金：2024年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月以来不少于1个月的依法缴纳社会保障资金的相关材料，</w:t>
            </w:r>
            <w:r>
              <w:rPr>
                <w:rFonts w:hint="eastAsia" w:ascii="宋体" w:hAnsi="宋体" w:eastAsia="宋体" w:cs="宋体"/>
                <w:snapToGrid w:val="0"/>
                <w:color w:val="auto"/>
                <w:sz w:val="24"/>
                <w:szCs w:val="24"/>
              </w:rPr>
              <w:t>若为</w:t>
            </w:r>
            <w:r>
              <w:rPr>
                <w:rFonts w:hint="eastAsia" w:ascii="宋体" w:hAnsi="宋体" w:eastAsia="宋体" w:cs="宋体"/>
                <w:snapToGrid w:val="0"/>
                <w:color w:val="auto"/>
                <w:sz w:val="24"/>
                <w:szCs w:val="24"/>
                <w:lang w:val="en-US" w:eastAsia="zh-CN"/>
              </w:rPr>
              <w:t>提交响应文件</w:t>
            </w:r>
            <w:r>
              <w:rPr>
                <w:rFonts w:hint="eastAsia" w:ascii="宋体" w:hAnsi="宋体" w:eastAsia="宋体" w:cs="宋体"/>
                <w:snapToGrid w:val="0"/>
                <w:color w:val="auto"/>
                <w:sz w:val="24"/>
                <w:szCs w:val="24"/>
              </w:rPr>
              <w:t>截止时间的当月成立的</w:t>
            </w:r>
            <w:r>
              <w:rPr>
                <w:rFonts w:hint="eastAsia" w:ascii="宋体" w:hAnsi="宋体" w:eastAsia="宋体" w:cs="宋体"/>
                <w:snapToGrid w:val="0"/>
                <w:color w:val="auto"/>
                <w:sz w:val="24"/>
                <w:szCs w:val="24"/>
                <w:lang w:val="en-US" w:eastAsia="zh-CN"/>
              </w:rPr>
              <w:t>供应商</w:t>
            </w:r>
            <w:r>
              <w:rPr>
                <w:rFonts w:hint="eastAsia" w:ascii="宋体" w:hAnsi="宋体" w:eastAsia="宋体" w:cs="宋体"/>
                <w:snapToGrid w:val="0"/>
                <w:color w:val="auto"/>
                <w:sz w:val="24"/>
                <w:szCs w:val="24"/>
              </w:rPr>
              <w:t>，视同满足本项资格条件要求</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5.★具备履行合同所必需的设备和专业技术能力的</w:t>
            </w:r>
            <w:r>
              <w:rPr>
                <w:rFonts w:hint="eastAsia" w:ascii="宋体" w:hAnsi="宋体" w:cs="宋体"/>
                <w:color w:val="auto"/>
                <w:sz w:val="24"/>
                <w:szCs w:val="24"/>
                <w:highlight w:val="none"/>
                <w:lang w:val="en-US" w:eastAsia="zh-CN"/>
              </w:rPr>
              <w:t>声明函</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snapToGrid w:val="0"/>
                <w:color w:val="auto"/>
                <w:sz w:val="24"/>
                <w:szCs w:val="24"/>
              </w:rPr>
              <w:t>参加政府采购活动前</w:t>
            </w:r>
            <w:r>
              <w:rPr>
                <w:rFonts w:hint="eastAsia" w:ascii="宋体" w:hAnsi="宋体" w:eastAsia="宋体" w:cs="宋体"/>
                <w:snapToGrid w:val="0"/>
                <w:color w:val="auto"/>
                <w:sz w:val="24"/>
                <w:szCs w:val="24"/>
                <w:lang w:val="en-US" w:eastAsia="zh-CN"/>
              </w:rPr>
              <w:t>三</w:t>
            </w:r>
            <w:r>
              <w:rPr>
                <w:rFonts w:hint="eastAsia" w:ascii="宋体" w:hAnsi="宋体" w:eastAsia="宋体" w:cs="宋体"/>
                <w:snapToGrid w:val="0"/>
                <w:color w:val="auto"/>
                <w:sz w:val="24"/>
                <w:szCs w:val="24"/>
              </w:rPr>
              <w:t>年内在经营活动中没有重大违法记录的书面声明</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color w:val="auto"/>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snapToGrid w:val="0"/>
                <w:color w:val="auto"/>
                <w:sz w:val="24"/>
                <w:szCs w:val="24"/>
              </w:rPr>
              <w:t>参加政府采购活动前</w:t>
            </w:r>
            <w:r>
              <w:rPr>
                <w:rFonts w:hint="eastAsia" w:ascii="宋体" w:hAnsi="宋体" w:eastAsia="宋体" w:cs="宋体"/>
                <w:snapToGrid w:val="0"/>
                <w:color w:val="auto"/>
                <w:sz w:val="24"/>
                <w:szCs w:val="24"/>
                <w:lang w:val="en-US" w:eastAsia="zh-CN"/>
              </w:rPr>
              <w:t>三</w:t>
            </w:r>
            <w:r>
              <w:rPr>
                <w:rFonts w:hint="eastAsia" w:ascii="宋体" w:hAnsi="宋体" w:eastAsia="宋体" w:cs="宋体"/>
                <w:snapToGrid w:val="0"/>
                <w:color w:val="auto"/>
                <w:sz w:val="24"/>
                <w:szCs w:val="24"/>
              </w:rPr>
              <w:t>年内无行贿犯罪记录的书面声明</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u w:val="single"/>
                <w:lang w:val="en-US" w:eastAsia="zh-CN"/>
              </w:rPr>
              <w:t>其他要求：见第一章 磋商邀请“二、供应商的资格要求</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990"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bCs/>
                <w:color w:val="auto"/>
                <w:sz w:val="24"/>
                <w:szCs w:val="24"/>
                <w:highlight w:val="none"/>
              </w:rPr>
            </w:pPr>
          </w:p>
        </w:tc>
        <w:tc>
          <w:tcPr>
            <w:tcW w:w="5207" w:type="dxa"/>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报价一览表</w:t>
            </w:r>
            <w:r>
              <w:rPr>
                <w:rFonts w:hint="eastAsia" w:ascii="宋体" w:hAnsi="宋体" w:eastAsia="宋体" w:cs="宋体"/>
                <w:b/>
                <w:bCs/>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1.★磋商报价表</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990"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bCs/>
                <w:color w:val="auto"/>
                <w:sz w:val="24"/>
                <w:szCs w:val="24"/>
                <w:highlight w:val="none"/>
              </w:rPr>
            </w:pPr>
          </w:p>
        </w:tc>
        <w:tc>
          <w:tcPr>
            <w:tcW w:w="5207" w:type="dxa"/>
            <w:noWrap w:val="0"/>
            <w:vAlign w:val="center"/>
          </w:tcPr>
          <w:p>
            <w:pPr>
              <w:keepNext w:val="0"/>
              <w:keepLines w:val="0"/>
              <w:pageBreakBefore w:val="0"/>
              <w:widowControl/>
              <w:shd w:val="clear" w:color="auto" w:fill="FFFFFF"/>
              <w:tabs>
                <w:tab w:val="left" w:pos="475"/>
                <w:tab w:val="left" w:pos="617"/>
              </w:tabs>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三、其他文件及资料：</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1.★授权委托书（</w:t>
            </w:r>
            <w:r>
              <w:rPr>
                <w:rFonts w:hint="eastAsia" w:ascii="宋体" w:hAnsi="宋体" w:eastAsia="宋体" w:cs="宋体"/>
                <w:i/>
                <w:color w:val="auto"/>
                <w:sz w:val="24"/>
                <w:szCs w:val="24"/>
                <w:highlight w:val="none"/>
              </w:rPr>
              <w:t>参考响应文件格式1</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2.★磋商响应函（</w:t>
            </w:r>
            <w:r>
              <w:rPr>
                <w:rFonts w:hint="eastAsia" w:ascii="宋体" w:hAnsi="宋体" w:eastAsia="宋体" w:cs="宋体"/>
                <w:i/>
                <w:color w:val="auto"/>
                <w:sz w:val="24"/>
                <w:szCs w:val="24"/>
                <w:highlight w:val="none"/>
              </w:rPr>
              <w:t>参考响应文件格式2</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3.商务条款偏离表；</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.中小企业声明函</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监狱企业证明文件[监狱企业参加政府采购活动的，应提交省级</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以上监狱管理局、戒毒管理局（含新疆生产建设兵团）出具的证明文件]</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残疾人福利性单位声明函（残疾人福利性单位参加政府采购活动的，应提交此函）；</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Cs/>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.供应商认为需要提供的其它说明和资料</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990"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技术部分</w:t>
            </w:r>
          </w:p>
        </w:tc>
        <w:tc>
          <w:tcPr>
            <w:tcW w:w="5207" w:type="dxa"/>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★1.技术条款偏离表；</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2.服务方案、实施方案及技术方案；</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3.供应商认为需要提供的其它说明和资料</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6" w:type="dxa"/>
            <w:vMerge w:val="continue"/>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6197" w:type="dxa"/>
            <w:gridSpan w:val="2"/>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val="en-US" w:eastAsia="zh-CN"/>
              </w:rPr>
              <w:t>注：</w:t>
            </w:r>
            <w:r>
              <w:rPr>
                <w:rFonts w:hint="eastAsia" w:ascii="宋体" w:hAnsi="宋体" w:eastAsia="宋体" w:cs="宋体"/>
                <w:b/>
                <w:color w:val="auto"/>
                <w:sz w:val="24"/>
                <w:szCs w:val="24"/>
                <w:highlight w:val="none"/>
              </w:rPr>
              <w:t>以上带★的文件及资料未提供或提供的无效，则响应无效。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磋商响应有效期</w:t>
            </w: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从提交响应文件的截止之日起计算</w:t>
            </w:r>
            <w:r>
              <w:rPr>
                <w:rFonts w:hint="eastAsia" w:ascii="宋体" w:hAnsi="宋体" w:cs="宋体"/>
                <w:color w:val="auto"/>
                <w:sz w:val="24"/>
                <w:szCs w:val="24"/>
                <w:highlight w:val="none"/>
                <w:u w:val="single"/>
                <w:lang w:val="en-US" w:eastAsia="zh-CN"/>
              </w:rPr>
              <w:t>90</w:t>
            </w:r>
            <w:r>
              <w:rPr>
                <w:rFonts w:hint="eastAsia" w:ascii="宋体" w:hAnsi="宋体" w:eastAsia="宋体" w:cs="宋体"/>
                <w:color w:val="auto"/>
                <w:sz w:val="24"/>
                <w:szCs w:val="24"/>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提交响应文件方式、截止时间、地点</w:t>
            </w: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b/>
                <w:color w:val="auto"/>
                <w:sz w:val="24"/>
                <w:szCs w:val="24"/>
                <w:highlight w:val="none"/>
              </w:rPr>
              <w:t>提交方式：</w:t>
            </w:r>
            <w:r>
              <w:rPr>
                <w:rFonts w:hint="eastAsia" w:ascii="宋体" w:hAnsi="宋体" w:eastAsia="宋体" w:cs="宋体"/>
                <w:color w:val="auto"/>
                <w:sz w:val="24"/>
                <w:szCs w:val="24"/>
                <w:highlight w:val="none"/>
                <w:u w:val="none"/>
              </w:rPr>
              <w:t>纸质文件提交</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Cs/>
                <w:color w:val="auto"/>
                <w:sz w:val="24"/>
                <w:szCs w:val="24"/>
                <w:highlight w:val="none"/>
                <w:u w:val="none"/>
              </w:rPr>
            </w:pPr>
            <w:r>
              <w:rPr>
                <w:rFonts w:hint="eastAsia" w:ascii="宋体" w:hAnsi="宋体" w:eastAsia="宋体" w:cs="宋体"/>
                <w:b/>
                <w:color w:val="auto"/>
                <w:sz w:val="24"/>
                <w:szCs w:val="24"/>
                <w:highlight w:val="none"/>
              </w:rPr>
              <w:t>提交响应文件截止时间：</w:t>
            </w:r>
            <w:r>
              <w:rPr>
                <w:rFonts w:hint="eastAsia" w:ascii="宋体" w:hAnsi="宋体" w:cs="宋体"/>
                <w:color w:val="auto"/>
                <w:sz w:val="24"/>
                <w:szCs w:val="24"/>
                <w:highlight w:val="none"/>
                <w:u w:val="single"/>
                <w:lang w:val="en-US" w:eastAsia="zh-CN"/>
              </w:rPr>
              <w:t>2025</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02</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25</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09</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u w:val="none"/>
                <w:lang w:val="en-US" w:eastAsia="zh-CN"/>
              </w:rPr>
              <w:t>（北京时间）</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地点：</w:t>
            </w:r>
            <w:r>
              <w:rPr>
                <w:rFonts w:hint="eastAsia" w:ascii="宋体" w:hAnsi="宋体" w:cs="宋体"/>
                <w:color w:val="auto"/>
                <w:sz w:val="24"/>
                <w:szCs w:val="24"/>
                <w:highlight w:val="none"/>
                <w:u w:val="none"/>
                <w:lang w:val="en-US" w:eastAsia="zh-CN"/>
              </w:rPr>
              <w:t>福建省福州市鼓楼区五四路159号世界金龙大厦第14层A、C1单元福建省智信招标有限公司开标大厅</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联系电话：</w:t>
            </w:r>
            <w:r>
              <w:rPr>
                <w:rFonts w:hint="eastAsia" w:ascii="宋体" w:hAnsi="宋体" w:eastAsia="宋体" w:cs="宋体"/>
                <w:b w:val="0"/>
                <w:bCs/>
                <w:color w:val="auto"/>
                <w:sz w:val="24"/>
                <w:szCs w:val="24"/>
                <w:highlight w:val="none"/>
                <w:u w:val="none"/>
              </w:rPr>
              <w:t>0591-88318332、87530730、87616211转80</w:t>
            </w:r>
            <w:r>
              <w:rPr>
                <w:rFonts w:hint="eastAsia" w:ascii="宋体" w:hAnsi="宋体" w:cs="宋体"/>
                <w:b w:val="0"/>
                <w:bCs/>
                <w:color w:val="auto"/>
                <w:sz w:val="24"/>
                <w:szCs w:val="24"/>
                <w:highlight w:val="none"/>
                <w:u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响应文件开启时间和地点</w:t>
            </w: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default" w:ascii="宋体" w:hAnsi="宋体" w:eastAsia="宋体" w:cs="宋体"/>
                <w:color w:val="auto"/>
                <w:sz w:val="24"/>
                <w:szCs w:val="24"/>
                <w:highlight w:val="none"/>
                <w:lang w:val="en-US"/>
              </w:rPr>
            </w:pPr>
            <w:r>
              <w:rPr>
                <w:rFonts w:hint="eastAsia" w:ascii="宋体" w:hAnsi="宋体" w:eastAsia="宋体" w:cs="宋体"/>
                <w:b/>
                <w:color w:val="auto"/>
                <w:sz w:val="24"/>
                <w:szCs w:val="24"/>
                <w:highlight w:val="none"/>
              </w:rPr>
              <w:t>时间：</w:t>
            </w:r>
            <w:r>
              <w:rPr>
                <w:rFonts w:hint="eastAsia" w:ascii="宋体" w:hAnsi="宋体" w:cs="宋体"/>
                <w:color w:val="auto"/>
                <w:sz w:val="24"/>
                <w:szCs w:val="24"/>
                <w:highlight w:val="none"/>
                <w:u w:val="single"/>
                <w:lang w:val="en-US" w:eastAsia="zh-CN"/>
              </w:rPr>
              <w:t>2025</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02</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25</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09</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u w:val="none"/>
                <w:lang w:val="en-US" w:eastAsia="zh-CN"/>
              </w:rPr>
              <w:t>（北京时间）</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地点：</w:t>
            </w:r>
            <w:r>
              <w:rPr>
                <w:rFonts w:hint="eastAsia" w:ascii="宋体" w:hAnsi="宋体" w:cs="宋体"/>
                <w:color w:val="auto"/>
                <w:sz w:val="24"/>
                <w:szCs w:val="24"/>
                <w:highlight w:val="none"/>
                <w:u w:val="none"/>
                <w:lang w:val="en-US" w:eastAsia="zh-CN"/>
              </w:rPr>
              <w:t>福建省福州市鼓楼区五四路159号世界金龙大厦第14层A、C1单元福建省智信招标有限公司开标大厅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964" w:type="dxa"/>
            <w:noWrap w:val="0"/>
            <w:vAlign w:val="center"/>
          </w:tcPr>
          <w:p>
            <w:pPr>
              <w:keepNext w:val="0"/>
              <w:keepLines w:val="0"/>
              <w:pageBreakBefore w:val="0"/>
              <w:tabs>
                <w:tab w:val="left" w:pos="1875"/>
              </w:tabs>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磋商保证金</w:t>
            </w: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不</w:t>
            </w:r>
            <w:r>
              <w:rPr>
                <w:rFonts w:hint="eastAsia" w:ascii="宋体" w:hAnsi="宋体" w:eastAsia="宋体" w:cs="宋体"/>
                <w:b w:val="0"/>
                <w:bCs w:val="0"/>
                <w:color w:val="auto"/>
                <w:sz w:val="24"/>
                <w:szCs w:val="24"/>
                <w:highlight w:val="none"/>
              </w:rPr>
              <w:t>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964" w:type="dxa"/>
            <w:noWrap w:val="0"/>
            <w:vAlign w:val="center"/>
          </w:tcPr>
          <w:p>
            <w:pPr>
              <w:keepNext w:val="0"/>
              <w:keepLines w:val="0"/>
              <w:pageBreakBefore w:val="0"/>
              <w:tabs>
                <w:tab w:val="left" w:pos="1875"/>
              </w:tabs>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不予退还磋商保证金的情形</w:t>
            </w: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有下列情形之一的，磋商保证金将不予退还：</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（1）供应商在提交响应文件截止时间后撤回响应文件的；</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（2）供应商在响应文件中提供虚假材料的；</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（3）除因不可抗力或磋商文件认可的情形以外，成交供应商不与采购人签订合同的；</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（4）供应商与采购人、其他供应商或者采购代理机构恶意串通的； </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（5）其他不予退还磋商保证金的情形：</w:t>
            </w:r>
            <w:r>
              <w:rPr>
                <w:rFonts w:hint="eastAsia" w:ascii="宋体" w:hAnsi="宋体" w:cs="宋体"/>
                <w:color w:val="auto"/>
                <w:sz w:val="24"/>
                <w:szCs w:val="24"/>
                <w:highlight w:val="none"/>
                <w:u w:val="none"/>
                <w:lang w:val="en-US" w:eastAsia="zh-CN"/>
              </w:rPr>
              <w:t>无</w:t>
            </w:r>
            <w:r>
              <w:rPr>
                <w:rFonts w:hint="eastAsia" w:ascii="宋体" w:hAnsi="宋体" w:eastAsia="宋体" w:cs="宋体"/>
                <w:color w:val="auto"/>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964"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信用记录审查</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关于在政府采购活动中查询及使用信用记录有关问题的通知》（财库〔2016〕125号）规定，磋商小组将通过“信用中国”网站（www.creditchina.gov.cn）、中国政府采购网（www.ccgp.gov.cn），对供应商截止到提交响应文件截止时间的信用记录进行审查，对列入失信被执行人、重大税收违法案件当事人名单、政府采购严重违法失信行为记录名单及其他不符合《中华人民共和国政府采购法》第二十二条规定条件的供应商，其磋商响应将被拒绝。</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本次查询的信用记录仅限于本项目使用，查询结果将留存在采购档案中。</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在上述指定网站不能查询信用信息的供应商，应提供相关证明材料（原件加盖公章）。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支持中小型</w:t>
            </w:r>
          </w:p>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企业发展</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根据《政府采购促进中小型企业发展管理办法》（财库〔2020〕46号），鼓励中小企业参加本项目采购活动。</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在货物采购项目中，</w:t>
            </w:r>
            <w:r>
              <w:rPr>
                <w:rFonts w:hint="eastAsia" w:ascii="宋体" w:hAnsi="宋体" w:eastAsia="宋体" w:cs="宋体"/>
                <w:color w:val="auto"/>
                <w:sz w:val="24"/>
                <w:szCs w:val="24"/>
                <w:highlight w:val="none"/>
              </w:rPr>
              <w:t>满足所有标的均由中小企业制造，即所有标的均由中小企业生产且使用该中小企业商号或者注册商标的，可享受中小企业扶持政策。</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在服务采购项目中，</w:t>
            </w:r>
            <w:r>
              <w:rPr>
                <w:rFonts w:hint="eastAsia" w:ascii="宋体" w:hAnsi="宋体" w:eastAsia="宋体" w:cs="宋体"/>
                <w:color w:val="auto"/>
                <w:sz w:val="24"/>
                <w:szCs w:val="24"/>
                <w:highlight w:val="none"/>
              </w:rPr>
              <w:t>满足服务由中小企业承接，即提供服务的人员为中小企业依照《中华人民共和国劳动合同法》订立劳动合同的从业人员的，可享受中小企业扶持政策。</w:t>
            </w:r>
          </w:p>
          <w:p>
            <w:pPr>
              <w:keepNext w:val="0"/>
              <w:keepLines w:val="0"/>
              <w:pageBreakBefore w:val="0"/>
              <w:widowControl w:val="0"/>
              <w:kinsoku/>
              <w:wordWrap/>
              <w:overflowPunct/>
              <w:topLinePunct w:val="0"/>
              <w:autoSpaceDE/>
              <w:autoSpaceDN/>
              <w:bidi w:val="0"/>
              <w:adjustRightInd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在工程采购项目中，</w:t>
            </w:r>
            <w:r>
              <w:rPr>
                <w:rFonts w:hint="eastAsia" w:ascii="宋体" w:hAnsi="宋体" w:eastAsia="宋体" w:cs="宋体"/>
                <w:color w:val="auto"/>
                <w:sz w:val="24"/>
                <w:szCs w:val="24"/>
                <w:highlight w:val="none"/>
              </w:rPr>
              <w:t>满足工程由中小企业承建，即工程施工单位为中小企业，可享受中小企业扶持政策。</w:t>
            </w:r>
          </w:p>
          <w:p>
            <w:pPr>
              <w:keepNext w:val="0"/>
              <w:keepLines w:val="0"/>
              <w:pageBreakBefore w:val="0"/>
              <w:widowControl w:val="0"/>
              <w:kinsoku/>
              <w:wordWrap/>
              <w:overflowPunct/>
              <w:topLinePunct w:val="0"/>
              <w:autoSpaceDE/>
              <w:autoSpaceDN/>
              <w:bidi w:val="0"/>
              <w:adjustRightInd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采购包1：</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专门面向中小企业采购项目。</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□预留份额面向中小企业采购项目（说明：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非专门面向中小企业采购项目。对小型和微型企业的报价给予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支持监狱企业发展</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根据《关于政府采购支持监狱企业发展有关问题的通知》（财库〔2014〕68号），监狱企业视同小型、微型企业，按照</w:t>
            </w:r>
            <w:r>
              <w:rPr>
                <w:rFonts w:hint="eastAsia" w:ascii="宋体" w:hAnsi="宋体" w:cs="宋体"/>
                <w:b/>
                <w:bCs/>
                <w:color w:val="auto"/>
                <w:sz w:val="24"/>
                <w:szCs w:val="24"/>
                <w:highlight w:val="none"/>
                <w:lang w:val="en-US" w:eastAsia="zh-CN"/>
              </w:rPr>
              <w:t>供应商须知前附表第25项</w:t>
            </w:r>
            <w:r>
              <w:rPr>
                <w:rFonts w:hint="eastAsia" w:ascii="宋体" w:hAnsi="宋体" w:cs="宋体"/>
                <w:color w:val="auto"/>
                <w:sz w:val="24"/>
                <w:szCs w:val="24"/>
                <w:highlight w:val="none"/>
                <w:lang w:val="en-US" w:eastAsia="zh-CN"/>
              </w:rPr>
              <w:t>享受价格扣除政策。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促进残疾人</w:t>
            </w:r>
          </w:p>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就业</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根据《关于促进残疾人就业政府采购政策的通知》（财库〔2017〕141号），残疾人福利性单位视同小型、微型企业，按照</w:t>
            </w:r>
            <w:r>
              <w:rPr>
                <w:rFonts w:hint="eastAsia" w:ascii="宋体" w:hAnsi="宋体" w:cs="宋体"/>
                <w:b/>
                <w:bCs/>
                <w:color w:val="auto"/>
                <w:sz w:val="24"/>
                <w:szCs w:val="24"/>
                <w:highlight w:val="none"/>
                <w:lang w:val="en-US" w:eastAsia="zh-CN"/>
              </w:rPr>
              <w:t>供应商须知前附表第25项</w:t>
            </w:r>
            <w:r>
              <w:rPr>
                <w:rFonts w:hint="eastAsia" w:ascii="宋体" w:hAnsi="宋体" w:cs="宋体"/>
                <w:color w:val="auto"/>
                <w:sz w:val="24"/>
                <w:szCs w:val="24"/>
                <w:highlight w:val="none"/>
                <w:lang w:val="en-US" w:eastAsia="zh-CN"/>
              </w:rPr>
              <w:t>享受价格扣除政策。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964" w:type="dxa"/>
            <w:vMerge w:val="restart"/>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其他法律法规强制性规定或扶持政策</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eastAsia="宋体" w:cs="宋体"/>
                <w:b/>
                <w:bCs/>
                <w:color w:val="auto"/>
                <w:kern w:val="2"/>
                <w:sz w:val="24"/>
                <w:szCs w:val="24"/>
                <w:highlight w:val="none"/>
                <w:u w:val="single"/>
                <w:lang w:val="en-US" w:eastAsia="zh-CN" w:bidi="ar-SA"/>
              </w:rPr>
            </w:pPr>
            <w:r>
              <w:rPr>
                <w:rFonts w:hint="eastAsia" w:ascii="宋体" w:hAnsi="宋体" w:cs="宋体"/>
                <w:color w:val="auto"/>
                <w:sz w:val="24"/>
                <w:szCs w:val="24"/>
                <w:highlight w:val="none"/>
                <w:lang w:val="en-US" w:eastAsia="zh-CN"/>
              </w:rPr>
              <w:t>采购包1：</w:t>
            </w: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val="en-US" w:eastAsia="zh-CN"/>
              </w:rPr>
              <w:t>采购包</w:t>
            </w:r>
            <w:r>
              <w:rPr>
                <w:rFonts w:hint="eastAsia" w:ascii="宋体" w:hAnsi="宋体" w:eastAsia="宋体" w:cs="宋体"/>
                <w:color w:val="auto"/>
                <w:sz w:val="24"/>
                <w:szCs w:val="24"/>
                <w:highlight w:val="none"/>
              </w:rPr>
              <w:t>中强制采购节能产品的货物名称：</w:t>
            </w:r>
            <w:r>
              <w:rPr>
                <w:rFonts w:hint="eastAsia" w:ascii="宋体" w:hAnsi="宋体" w:eastAsia="宋体" w:cs="宋体"/>
                <w:b/>
                <w:bCs/>
                <w:color w:val="auto"/>
                <w:kern w:val="2"/>
                <w:sz w:val="24"/>
                <w:szCs w:val="24"/>
                <w:highlight w:val="none"/>
                <w:u w:val="single"/>
                <w:lang w:val="en-US" w:eastAsia="zh-CN" w:bidi="ar-SA"/>
              </w:rPr>
              <w:t>无。</w:t>
            </w:r>
          </w:p>
          <w:p>
            <w:pPr>
              <w:keepNext w:val="0"/>
              <w:keepLines w:val="0"/>
              <w:pageBreakBefore w:val="0"/>
              <w:kinsoku/>
              <w:wordWrap/>
              <w:overflowPunct/>
              <w:bidi w:val="0"/>
              <w:spacing w:line="39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注：供应商所投上述产品必须具有节能产品认证证书，并提供依据国家确定的认证机构出具的、处于有效期之内的节能产品认证证书复印件，否则响应无效。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本项目中采购信息安全产品的货物名称：</w:t>
            </w:r>
            <w:r>
              <w:rPr>
                <w:rFonts w:hint="eastAsia" w:ascii="宋体" w:hAnsi="宋体" w:cs="宋体"/>
                <w:color w:val="auto"/>
                <w:sz w:val="24"/>
                <w:szCs w:val="24"/>
                <w:highlight w:val="none"/>
                <w:u w:val="single"/>
                <w:lang w:val="en-US" w:eastAsia="zh-CN"/>
              </w:rPr>
              <w:t>无</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注：供应商所投上述产品需为国家认证的信息安全产品，并提供由中国网络安全审查技术与认证中心（原中国信息安全认证中心）按国家标准认证颁发的有效认证证书复印件，否则响应无效。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其他法律法规强制性规定或扶持政策：</w:t>
            </w:r>
            <w:r>
              <w:rPr>
                <w:rFonts w:hint="eastAsia" w:ascii="宋体" w:hAnsi="宋体" w:cs="宋体"/>
                <w:color w:val="auto"/>
                <w:sz w:val="24"/>
                <w:szCs w:val="24"/>
                <w:highlight w:val="none"/>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964" w:type="dxa"/>
            <w:noWrap w:val="0"/>
            <w:vAlign w:val="center"/>
          </w:tcPr>
          <w:p>
            <w:pPr>
              <w:keepNext w:val="0"/>
              <w:keepLines w:val="0"/>
              <w:pageBreakBefore w:val="0"/>
              <w:tabs>
                <w:tab w:val="left" w:pos="1875"/>
              </w:tabs>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评审方法及分值</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详见采购文件商务部分第三章。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履约保证金</w:t>
            </w:r>
          </w:p>
        </w:tc>
        <w:tc>
          <w:tcPr>
            <w:tcW w:w="6197" w:type="dxa"/>
            <w:gridSpan w:val="2"/>
            <w:noWrap w:val="0"/>
            <w:vAlign w:val="center"/>
          </w:tcPr>
          <w:p>
            <w:pPr>
              <w:keepNext w:val="0"/>
              <w:keepLines w:val="0"/>
              <w:pageBreakBefore w:val="0"/>
              <w:widowControl w:val="0"/>
              <w:kinsoku/>
              <w:wordWrap/>
              <w:overflowPunct/>
              <w:bidi w:val="0"/>
              <w:adjustRightInd w:val="0"/>
              <w:snapToGrid w:val="0"/>
              <w:spacing w:after="0"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不要求提供</w:t>
            </w:r>
          </w:p>
          <w:p>
            <w:pPr>
              <w:keepNext w:val="0"/>
              <w:keepLines w:val="0"/>
              <w:pageBreakBefore w:val="0"/>
              <w:widowControl w:val="0"/>
              <w:kinsoku/>
              <w:wordWrap/>
              <w:overflowPunct/>
              <w:topLinePunct/>
              <w:autoSpaceDE w:val="0"/>
              <w:autoSpaceDN w:val="0"/>
              <w:bidi w:val="0"/>
              <w:adjustRightInd w:val="0"/>
              <w:snapToGrid w:val="0"/>
              <w:spacing w:after="0" w:line="400" w:lineRule="exact"/>
              <w:textAlignment w:val="auto"/>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本采购项目履约保证金为合同金额的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，提交方式为银行电汇、金融机构或担保机构出具的保函。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接收质疑的方式、部门、电话和通讯地址</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质疑联系方式：</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（1）接收质疑函的方式：</w:t>
            </w:r>
            <w:r>
              <w:rPr>
                <w:rFonts w:hint="eastAsia" w:ascii="宋体" w:hAnsi="宋体" w:eastAsia="宋体" w:cs="宋体"/>
                <w:color w:val="auto"/>
                <w:sz w:val="24"/>
                <w:szCs w:val="24"/>
                <w:highlight w:val="none"/>
                <w:u w:val="single"/>
              </w:rPr>
              <w:t>书面形式</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（2）联系部门：</w:t>
            </w:r>
            <w:r>
              <w:rPr>
                <w:rFonts w:hint="eastAsia" w:ascii="宋体" w:hAnsi="宋体" w:eastAsia="宋体" w:cs="宋体"/>
                <w:color w:val="auto"/>
                <w:sz w:val="24"/>
                <w:szCs w:val="24"/>
                <w:highlight w:val="none"/>
                <w:u w:val="single"/>
              </w:rPr>
              <w:t>福建省智信招标有限公司</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eastAsia="zh-CN"/>
              </w:rPr>
              <w:t>国家税务总局福州市仓山区税务局</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（3）联系电话：</w:t>
            </w:r>
            <w:r>
              <w:rPr>
                <w:rFonts w:hint="eastAsia" w:ascii="宋体" w:hAnsi="宋体" w:eastAsia="宋体" w:cs="宋体"/>
                <w:color w:val="auto"/>
                <w:sz w:val="24"/>
                <w:szCs w:val="24"/>
                <w:highlight w:val="none"/>
                <w:u w:val="single"/>
              </w:rPr>
              <w:t>0591-88318332、87530730、87616211转80</w:t>
            </w:r>
            <w:r>
              <w:rPr>
                <w:rFonts w:hint="eastAsia" w:ascii="宋体" w:hAnsi="宋体" w:cs="宋体"/>
                <w:color w:val="auto"/>
                <w:sz w:val="24"/>
                <w:szCs w:val="24"/>
                <w:highlight w:val="none"/>
                <w:u w:val="single"/>
                <w:lang w:val="en-US" w:eastAsia="zh-CN"/>
              </w:rPr>
              <w:t>3</w:t>
            </w:r>
          </w:p>
          <w:p>
            <w:pPr>
              <w:keepNext w:val="0"/>
              <w:keepLines w:val="0"/>
              <w:pageBreakBefore w:val="0"/>
              <w:kinsoku/>
              <w:wordWrap/>
              <w:overflowPunct/>
              <w:bidi w:val="0"/>
              <w:spacing w:line="390" w:lineRule="exact"/>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（4）通讯地址：</w:t>
            </w:r>
            <w:r>
              <w:rPr>
                <w:rFonts w:hint="eastAsia" w:ascii="宋体" w:hAnsi="宋体" w:eastAsia="宋体" w:cs="宋体"/>
                <w:color w:val="auto"/>
                <w:sz w:val="24"/>
                <w:szCs w:val="24"/>
                <w:highlight w:val="none"/>
                <w:u w:val="single"/>
              </w:rPr>
              <w:t>福建省福州市鼓楼区五四路159号世界金龙大厦</w:t>
            </w:r>
            <w:r>
              <w:rPr>
                <w:rFonts w:hint="eastAsia" w:ascii="宋体" w:hAnsi="宋体" w:cs="宋体"/>
                <w:color w:val="auto"/>
                <w:sz w:val="24"/>
                <w:szCs w:val="24"/>
                <w:highlight w:val="none"/>
                <w:u w:val="single"/>
                <w:lang w:val="en-US" w:eastAsia="zh-CN"/>
              </w:rPr>
              <w:t>第</w:t>
            </w:r>
            <w:r>
              <w:rPr>
                <w:rFonts w:hint="eastAsia" w:ascii="宋体" w:hAnsi="宋体" w:eastAsia="宋体" w:cs="宋体"/>
                <w:color w:val="auto"/>
                <w:sz w:val="24"/>
                <w:szCs w:val="24"/>
                <w:highlight w:val="none"/>
                <w:u w:val="single"/>
              </w:rPr>
              <w:t>14层A</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C1</w:t>
            </w:r>
            <w:r>
              <w:rPr>
                <w:rFonts w:hint="eastAsia" w:ascii="宋体" w:hAnsi="宋体" w:eastAsia="宋体" w:cs="宋体"/>
                <w:color w:val="auto"/>
                <w:sz w:val="24"/>
                <w:szCs w:val="24"/>
                <w:highlight w:val="none"/>
                <w:u w:val="single"/>
              </w:rPr>
              <w:t>单元</w:t>
            </w:r>
            <w:r>
              <w:rPr>
                <w:rFonts w:hint="eastAsia" w:ascii="宋体" w:hAnsi="宋体" w:cs="宋体"/>
                <w:color w:val="auto"/>
                <w:sz w:val="24"/>
                <w:szCs w:val="24"/>
                <w:highlight w:val="none"/>
                <w:u w:val="single"/>
                <w:lang w:val="en-US" w:eastAsia="zh-CN"/>
              </w:rPr>
              <w:t>福建省智信招标有限公司</w:t>
            </w:r>
          </w:p>
          <w:p>
            <w:pPr>
              <w:keepNext w:val="0"/>
              <w:keepLines w:val="0"/>
              <w:pageBreakBefore w:val="0"/>
              <w:kinsoku/>
              <w:wordWrap/>
              <w:overflowPunct/>
              <w:bidi w:val="0"/>
              <w:spacing w:line="39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（5）电子邮箱：</w:t>
            </w:r>
            <w:r>
              <w:rPr>
                <w:rFonts w:hint="eastAsia" w:ascii="宋体" w:hAnsi="宋体" w:cs="宋体"/>
                <w:color w:val="auto"/>
                <w:sz w:val="24"/>
                <w:szCs w:val="24"/>
                <w:highlight w:val="none"/>
                <w:u w:val="single"/>
                <w:lang w:val="en-US" w:eastAsia="zh-CN"/>
              </w:rPr>
              <w:t>zhixin01@126.com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需提交的响应文件份数</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需提交的响应文件份数：</w:t>
            </w:r>
          </w:p>
          <w:p>
            <w:pPr>
              <w:keepNext w:val="0"/>
              <w:keepLines w:val="0"/>
              <w:pageBreakBefore w:val="0"/>
              <w:kinsoku/>
              <w:wordWrap/>
              <w:overflowPunct/>
              <w:bidi w:val="0"/>
              <w:spacing w:line="39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（1）正本</w:t>
            </w:r>
            <w:r>
              <w:rPr>
                <w:rFonts w:hint="eastAsia" w:ascii="宋体" w:hAnsi="宋体" w:eastAsia="宋体" w:cs="宋体"/>
                <w:b/>
                <w:bCs/>
                <w:color w:val="auto"/>
                <w:sz w:val="24"/>
                <w:szCs w:val="24"/>
                <w:highlight w:val="none"/>
                <w:u w:val="single"/>
              </w:rPr>
              <w:t>1</w:t>
            </w:r>
            <w:r>
              <w:rPr>
                <w:rFonts w:hint="eastAsia" w:ascii="宋体" w:hAnsi="宋体" w:eastAsia="宋体" w:cs="宋体"/>
                <w:b/>
                <w:bCs/>
                <w:color w:val="auto"/>
                <w:sz w:val="24"/>
                <w:szCs w:val="24"/>
                <w:highlight w:val="none"/>
              </w:rPr>
              <w:t>份、副本</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份。</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（2）电子文件</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份（</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扫描件 </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Word）。采用光盘或U盘刻录提交。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代理费用</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代理费用：</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（1）本项目代理费用由</w:t>
            </w:r>
            <w:r>
              <w:rPr>
                <w:rFonts w:hint="eastAsia" w:ascii="宋体" w:hAnsi="宋体" w:eastAsia="宋体" w:cs="宋体"/>
                <w:color w:val="auto"/>
                <w:sz w:val="24"/>
                <w:szCs w:val="24"/>
                <w:highlight w:val="none"/>
                <w:u w:val="single"/>
              </w:rPr>
              <w:t>成交供应商</w:t>
            </w:r>
            <w:r>
              <w:rPr>
                <w:rFonts w:hint="eastAsia" w:ascii="宋体" w:hAnsi="宋体" w:eastAsia="宋体" w:cs="宋体"/>
                <w:color w:val="auto"/>
                <w:sz w:val="24"/>
                <w:szCs w:val="24"/>
                <w:highlight w:val="none"/>
              </w:rPr>
              <w:t>支付。</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（2）代理费用收取方式及标准：</w:t>
            </w:r>
          </w:p>
          <w:p>
            <w:pPr>
              <w:keepNext w:val="0"/>
              <w:keepLines w:val="0"/>
              <w:pageBreakBefore w:val="0"/>
              <w:kinsoku/>
              <w:wordWrap/>
              <w:overflowPunct/>
              <w:bidi w:val="0"/>
              <w:spacing w:line="39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以</w:t>
            </w:r>
            <w:r>
              <w:rPr>
                <w:rFonts w:hint="eastAsia" w:ascii="宋体" w:hAnsi="宋体" w:cs="宋体"/>
                <w:color w:val="auto"/>
                <w:sz w:val="24"/>
                <w:szCs w:val="24"/>
                <w:highlight w:val="none"/>
                <w:u w:val="none"/>
                <w:lang w:val="en-US" w:eastAsia="zh-CN"/>
              </w:rPr>
              <w:t>成交</w:t>
            </w:r>
            <w:r>
              <w:rPr>
                <w:rFonts w:hint="eastAsia" w:ascii="宋体" w:hAnsi="宋体" w:eastAsia="宋体" w:cs="宋体"/>
                <w:color w:val="auto"/>
                <w:sz w:val="24"/>
                <w:szCs w:val="24"/>
                <w:highlight w:val="none"/>
                <w:u w:val="none"/>
              </w:rPr>
              <w:t>金额为基数</w:t>
            </w:r>
            <w:r>
              <w:rPr>
                <w:rFonts w:hint="eastAsia" w:ascii="宋体" w:hAnsi="宋体" w:cs="宋体"/>
                <w:color w:val="auto"/>
                <w:sz w:val="24"/>
                <w:szCs w:val="24"/>
                <w:highlight w:val="none"/>
                <w:u w:val="none"/>
                <w:lang w:val="en-US" w:eastAsia="zh-CN"/>
              </w:rPr>
              <w:t>按下列标准进行</w:t>
            </w:r>
            <w:r>
              <w:rPr>
                <w:rFonts w:hint="eastAsia" w:ascii="宋体" w:hAnsi="宋体" w:eastAsia="宋体" w:cs="宋体"/>
                <w:color w:val="auto"/>
                <w:sz w:val="24"/>
                <w:szCs w:val="24"/>
                <w:highlight w:val="none"/>
                <w:u w:val="none"/>
              </w:rPr>
              <w:t>计算，向</w:t>
            </w:r>
            <w:r>
              <w:rPr>
                <w:rFonts w:hint="eastAsia" w:ascii="宋体" w:hAnsi="宋体" w:cs="宋体"/>
                <w:color w:val="auto"/>
                <w:sz w:val="24"/>
                <w:szCs w:val="24"/>
                <w:highlight w:val="none"/>
                <w:u w:val="none"/>
                <w:lang w:val="en-US" w:eastAsia="zh-CN"/>
              </w:rPr>
              <w:t>成交供应商</w:t>
            </w:r>
            <w:r>
              <w:rPr>
                <w:rFonts w:hint="eastAsia" w:ascii="宋体" w:hAnsi="宋体" w:eastAsia="宋体" w:cs="宋体"/>
                <w:color w:val="auto"/>
                <w:sz w:val="24"/>
                <w:szCs w:val="24"/>
                <w:highlight w:val="none"/>
                <w:u w:val="none"/>
              </w:rPr>
              <w:t>收取，</w:t>
            </w:r>
            <w:r>
              <w:rPr>
                <w:rFonts w:hint="eastAsia" w:ascii="宋体" w:hAnsi="宋体" w:cs="宋体"/>
                <w:color w:val="auto"/>
                <w:sz w:val="24"/>
                <w:szCs w:val="24"/>
                <w:highlight w:val="none"/>
                <w:u w:val="none"/>
                <w:lang w:val="en-US" w:eastAsia="zh-CN"/>
              </w:rPr>
              <w:t>成交供应商</w:t>
            </w:r>
            <w:r>
              <w:rPr>
                <w:rFonts w:hint="eastAsia" w:ascii="宋体" w:hAnsi="宋体" w:eastAsia="宋体" w:cs="宋体"/>
                <w:color w:val="auto"/>
                <w:sz w:val="24"/>
                <w:szCs w:val="24"/>
                <w:highlight w:val="none"/>
                <w:u w:val="none"/>
              </w:rPr>
              <w:t>应以转</w:t>
            </w:r>
            <w:r>
              <w:rPr>
                <w:rFonts w:hint="eastAsia" w:ascii="宋体" w:hAnsi="宋体" w:cs="宋体"/>
                <w:color w:val="auto"/>
                <w:sz w:val="24"/>
                <w:szCs w:val="24"/>
                <w:highlight w:val="none"/>
                <w:u w:val="none"/>
                <w:lang w:val="en-US" w:eastAsia="zh-CN"/>
              </w:rPr>
              <w:t>账</w:t>
            </w:r>
            <w:r>
              <w:rPr>
                <w:rFonts w:hint="eastAsia" w:ascii="宋体" w:hAnsi="宋体" w:eastAsia="宋体" w:cs="宋体"/>
                <w:color w:val="auto"/>
                <w:sz w:val="24"/>
                <w:szCs w:val="24"/>
                <w:highlight w:val="none"/>
                <w:u w:val="none"/>
              </w:rPr>
              <w:t>或电汇等付款方式一次性向采购代理机构缴纳招标代理服务费。</w:t>
            </w:r>
          </w:p>
          <w:p>
            <w:pPr>
              <w:keepNext w:val="0"/>
              <w:keepLines w:val="0"/>
              <w:pageBreakBefore w:val="0"/>
              <w:kinsoku/>
              <w:wordWrap/>
              <w:overflowPunct/>
              <w:bidi w:val="0"/>
              <w:spacing w:line="39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附：招标代理服务费收费标准：100万元以下按</w:t>
            </w:r>
            <w:r>
              <w:rPr>
                <w:rFonts w:hint="eastAsia" w:ascii="宋体" w:hAnsi="宋体" w:cs="宋体"/>
                <w:color w:val="auto"/>
                <w:sz w:val="24"/>
                <w:szCs w:val="24"/>
                <w:highlight w:val="none"/>
                <w:u w:val="none"/>
                <w:lang w:val="en-US" w:eastAsia="zh-CN"/>
              </w:rPr>
              <w:t>1.5</w:t>
            </w:r>
            <w:r>
              <w:rPr>
                <w:rFonts w:hint="eastAsia" w:ascii="宋体" w:hAnsi="宋体" w:eastAsia="宋体" w:cs="宋体"/>
                <w:color w:val="auto"/>
                <w:sz w:val="24"/>
                <w:szCs w:val="24"/>
                <w:highlight w:val="none"/>
                <w:u w:val="none"/>
              </w:rPr>
              <w:t>%计算收取。</w:t>
            </w:r>
          </w:p>
          <w:p>
            <w:pPr>
              <w:keepNext w:val="0"/>
              <w:keepLines w:val="0"/>
              <w:pageBreakBefore w:val="0"/>
              <w:kinsoku/>
              <w:wordWrap/>
              <w:overflowPunct/>
              <w:bidi w:val="0"/>
              <w:spacing w:line="390" w:lineRule="exact"/>
              <w:textAlignment w:val="auto"/>
              <w:rPr>
                <w:rFonts w:hint="eastAsia" w:ascii="宋体" w:hAnsi="宋体" w:cs="宋体"/>
                <w:b/>
                <w:bCs/>
                <w:color w:val="auto"/>
                <w:sz w:val="24"/>
                <w:szCs w:val="24"/>
                <w:highlight w:val="none"/>
                <w:u w:val="none"/>
                <w:lang w:val="en-US" w:eastAsia="zh-CN"/>
              </w:rPr>
            </w:pPr>
            <w:r>
              <w:rPr>
                <w:rFonts w:hint="eastAsia" w:ascii="宋体" w:hAnsi="宋体" w:cs="宋体"/>
                <w:b/>
                <w:bCs/>
                <w:color w:val="auto"/>
                <w:sz w:val="24"/>
                <w:szCs w:val="24"/>
                <w:highlight w:val="none"/>
                <w:u w:val="none"/>
                <w:lang w:val="en-US" w:eastAsia="zh-CN"/>
              </w:rPr>
              <w:t>注：</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收款人</w:t>
            </w:r>
            <w:r>
              <w:rPr>
                <w:rFonts w:hint="eastAsia" w:ascii="宋体" w:hAnsi="宋体" w:eastAsia="宋体" w:cs="宋体"/>
                <w:color w:val="auto"/>
                <w:sz w:val="24"/>
                <w:szCs w:val="24"/>
                <w:highlight w:val="none"/>
                <w:u w:val="none"/>
                <w:lang w:val="en-US" w:eastAsia="zh-CN"/>
              </w:rPr>
              <w:t>信息</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开户名：福建省智信招标有限公司</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开户行：中国光大银行福州市杨桥支行</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 xml:space="preserve">账号：087739120100304037933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16"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1964"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其他补充事项</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其他补充事项：</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本项目不为线上采购项目，采购文件中关于“线上采购项目”等有关表述，均不适用于本项目。（若有矛盾，以此为准</w:t>
            </w:r>
            <w:r>
              <w:rPr>
                <w:rFonts w:hint="eastAsia" w:ascii="宋体" w:hAnsi="宋体" w:eastAsia="宋体" w:cs="宋体"/>
                <w:color w:val="auto"/>
                <w:sz w:val="24"/>
                <w:szCs w:val="24"/>
                <w:highlight w:val="none"/>
                <w:lang w:val="en-US" w:eastAsia="zh-CN"/>
              </w:rPr>
              <w:t>。）</w:t>
            </w:r>
          </w:p>
          <w:p>
            <w:pPr>
              <w:keepNext w:val="0"/>
              <w:keepLines w:val="0"/>
              <w:pageBreakBefore w:val="0"/>
              <w:kinsoku/>
              <w:wordWrap/>
              <w:overflowPunct/>
              <w:bidi w:val="0"/>
              <w:spacing w:line="390" w:lineRule="exact"/>
              <w:textAlignment w:val="auto"/>
              <w:rPr>
                <w:rFonts w:hint="default"/>
                <w:color w:val="auto"/>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目非依法进行的政府采购项目。采购人根据内控制度，同时参照政府采购（含相关规定）程序规范本次采购活动。采购文件中关于“政府采购”的有关表述，仅出于表述参照政府采购程序过程的目的。在适用法律上不受政府采购相关法律法规限制，遵从本采购文件有关规定。</w:t>
            </w:r>
          </w:p>
        </w:tc>
      </w:tr>
    </w:tbl>
    <w:p>
      <w:pPr>
        <w:spacing w:after="0" w:line="240" w:lineRule="auto"/>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18" w:name="_Toc132880658"/>
      <w:bookmarkStart w:id="19" w:name="_Toc27846"/>
      <w:r>
        <w:rPr>
          <w:rFonts w:hint="eastAsia" w:ascii="宋体" w:hAnsi="宋体" w:eastAsia="宋体" w:cs="宋体"/>
          <w:b/>
          <w:bCs/>
          <w:color w:val="auto"/>
          <w:sz w:val="24"/>
          <w:szCs w:val="24"/>
          <w:highlight w:val="none"/>
        </w:rPr>
        <w:t>一、总则</w:t>
      </w:r>
      <w:bookmarkEnd w:id="18"/>
      <w:bookmarkEnd w:id="19"/>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1.预算资金及来源</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本项目已经</w:t>
      </w:r>
      <w:r>
        <w:rPr>
          <w:rFonts w:hint="eastAsia" w:ascii="宋体" w:hAnsi="宋体" w:cs="宋体"/>
          <w:b/>
          <w:color w:val="auto"/>
          <w:sz w:val="24"/>
          <w:szCs w:val="24"/>
          <w:highlight w:val="none"/>
          <w:u w:val="single"/>
          <w:lang w:eastAsia="zh-CN"/>
        </w:rPr>
        <w:t>国家税务总局福州市仓山区税务局</w:t>
      </w:r>
      <w:r>
        <w:rPr>
          <w:rFonts w:hint="eastAsia" w:ascii="宋体" w:hAnsi="宋体" w:eastAsia="宋体" w:cs="宋体"/>
          <w:color w:val="auto"/>
          <w:sz w:val="24"/>
          <w:szCs w:val="24"/>
          <w:highlight w:val="none"/>
        </w:rPr>
        <w:t>批准立项。</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本项目预算资金见</w:t>
      </w:r>
      <w:r>
        <w:rPr>
          <w:rFonts w:hint="eastAsia" w:ascii="宋体" w:hAnsi="宋体" w:eastAsia="宋体" w:cs="宋体"/>
          <w:b/>
          <w:bCs/>
          <w:color w:val="auto"/>
          <w:sz w:val="24"/>
          <w:szCs w:val="24"/>
          <w:highlight w:val="none"/>
        </w:rPr>
        <w:t>供应商须知前附表</w:t>
      </w:r>
      <w:r>
        <w:rPr>
          <w:rFonts w:hint="eastAsia" w:ascii="宋体" w:hAnsi="宋体" w:eastAsia="宋体" w:cs="宋体"/>
          <w:color w:val="auto"/>
          <w:sz w:val="24"/>
          <w:szCs w:val="24"/>
          <w:highlight w:val="none"/>
        </w:rPr>
        <w:t>，已列入</w:t>
      </w:r>
      <w:r>
        <w:rPr>
          <w:rFonts w:hint="eastAsia" w:ascii="宋体" w:hAnsi="宋体" w:cs="宋体"/>
          <w:b/>
          <w:color w:val="auto"/>
          <w:sz w:val="24"/>
          <w:szCs w:val="24"/>
          <w:highlight w:val="none"/>
          <w:u w:val="single"/>
          <w:lang w:eastAsia="zh-CN"/>
        </w:rPr>
        <w:t>国家税务总局福州市仓山区税务局</w:t>
      </w:r>
      <w:r>
        <w:rPr>
          <w:rFonts w:hint="eastAsia" w:ascii="宋体" w:hAnsi="宋体" w:eastAsia="宋体" w:cs="宋体"/>
          <w:color w:val="auto"/>
          <w:sz w:val="24"/>
          <w:szCs w:val="24"/>
          <w:highlight w:val="none"/>
        </w:rPr>
        <w:t>预算。</w:t>
      </w:r>
    </w:p>
    <w:p>
      <w:pPr>
        <w:keepNext w:val="0"/>
        <w:keepLines w:val="0"/>
        <w:pageBreakBefore w:val="0"/>
        <w:numPr>
          <w:ilvl w:val="0"/>
          <w:numId w:val="0"/>
        </w:numPr>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2.合格的产品和服务（工程）</w:t>
      </w:r>
    </w:p>
    <w:p>
      <w:pPr>
        <w:keepNext w:val="0"/>
        <w:keepLines w:val="0"/>
        <w:pageBreakBefore w:val="0"/>
        <w:tabs>
          <w:tab w:val="left" w:pos="2160"/>
        </w:tabs>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本项目所涉及的所有产品和服务（工程）均应来自中国境内（指关境内），合同金额的支付也仅限于这些产品和服务（工程）。</w:t>
      </w:r>
    </w:p>
    <w:p>
      <w:pPr>
        <w:keepNext w:val="0"/>
        <w:keepLines w:val="0"/>
        <w:pageBreakBefore w:val="0"/>
        <w:tabs>
          <w:tab w:val="left" w:pos="2160"/>
        </w:tabs>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合格的产品和服务（工程），即</w:t>
      </w:r>
      <w:r>
        <w:rPr>
          <w:rFonts w:hint="eastAsia" w:ascii="宋体" w:hAnsi="宋体" w:eastAsia="宋体" w:cs="宋体"/>
          <w:b/>
          <w:bCs/>
          <w:color w:val="auto"/>
          <w:sz w:val="24"/>
          <w:szCs w:val="24"/>
          <w:highlight w:val="none"/>
        </w:rPr>
        <w:t>采购需求</w:t>
      </w:r>
      <w:r>
        <w:rPr>
          <w:rFonts w:hint="eastAsia" w:ascii="宋体" w:hAnsi="宋体" w:eastAsia="宋体" w:cs="宋体"/>
          <w:color w:val="auto"/>
          <w:sz w:val="24"/>
          <w:szCs w:val="24"/>
          <w:highlight w:val="none"/>
        </w:rPr>
        <w:t>见</w:t>
      </w:r>
      <w:r>
        <w:rPr>
          <w:rFonts w:hint="eastAsia" w:ascii="宋体" w:hAnsi="宋体" w:eastAsia="宋体" w:cs="宋体"/>
          <w:b/>
          <w:color w:val="auto"/>
          <w:sz w:val="24"/>
          <w:szCs w:val="24"/>
          <w:highlight w:val="none"/>
        </w:rPr>
        <w:t>采购文件（技术部分）。</w:t>
      </w:r>
    </w:p>
    <w:p>
      <w:pPr>
        <w:keepNext w:val="0"/>
        <w:keepLines w:val="0"/>
        <w:pageBreakBefore w:val="0"/>
        <w:kinsoku/>
        <w:wordWrap/>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供应商应保证所提供的产品及服务（工程）免受第三方提出侵犯其知识产权（专利权、商标权、工业设计权及使用权）的请求及起诉。</w:t>
      </w:r>
    </w:p>
    <w:p>
      <w:pPr>
        <w:keepNext w:val="0"/>
        <w:keepLines w:val="0"/>
        <w:pageBreakBefore w:val="0"/>
        <w:numPr>
          <w:ilvl w:val="0"/>
          <w:numId w:val="0"/>
        </w:numPr>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3.合格的供应商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3.1一般规定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3.1.1供应商应遵守《政府采购法》及其实施条例、《政府采购竞争性磋商采购方式管理暂行办法》、《政府采购质疑和投诉办法》及有关政府采购的规定，同时还应遵守有关法律、法规和规章的强制性规定。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3.1.2供应商的资格要求及本项目的特定资格要求见</w:t>
      </w:r>
      <w:r>
        <w:rPr>
          <w:rFonts w:hint="eastAsia" w:ascii="宋体" w:hAnsi="宋体" w:eastAsia="宋体" w:cs="宋体"/>
          <w:b/>
          <w:bCs/>
          <w:color w:val="auto"/>
          <w:sz w:val="24"/>
          <w:szCs w:val="24"/>
          <w:highlight w:val="none"/>
        </w:rPr>
        <w:t>供应商须知前附</w:t>
      </w:r>
      <w:r>
        <w:rPr>
          <w:rFonts w:hint="eastAsia" w:ascii="宋体" w:hAnsi="宋体" w:eastAsia="宋体" w:cs="宋体"/>
          <w:color w:val="auto"/>
          <w:sz w:val="24"/>
          <w:szCs w:val="24"/>
          <w:highlight w:val="none"/>
        </w:rPr>
        <w:t>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3.1.3资格条件中所称“重大违法记录”，是指供应商因违法经营受到刑事处罚或者责令停产停业、吊销许可证或者执照、较大数额罚款等行政处罚。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供应商在参加政府采购活动前3年内因违法经营被禁止在一定期限内参加政府采购活动，期限届满的，可以参加政府采购活动。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“较大数额罚款”认定为200万元以上的罚款，法律、行政法规以及国务院有关部门明确规定相关领域“较大数额罚款”标准高于200万元的，从其规定。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3.1.4信用记录要求</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将通过“信用中国”网站（www.creditchina.gov.cn）、中国政府采购网（www.ccgp.gov.cn）等渠道查询供应商的信用记录，并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3.2联合体</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3.2.1若本项目接受联合体，则两个以上的自然人、法人或者其他组织可以组成一个联合体，以一个供应商的身份共同参加政府采购。</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3.2.2以联合体形式参加磋商的，联合体各方应按第二章要求提供资格条件材料。</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3.2.3联合体中有同类资质的供应商按照联合体分工承担相同工作的，应当按照资质等级较低的供应商确定资质等级。</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3.2.4联合体应当提交联合协议，载明联合体各方承担的工作和义务。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3.2.5联合体各方应当共同与采购人签订采购合同，就采购合同约定的事项对采购人承担连带责任。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3.2.6以联合体形式参加政府采购活动的，联合体各方不得再单独参加或者与其他供应商另外组成联合体参加同一合同项下的政府采购活动。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3.3禁止规定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3.3.1单位负责人为同一人或者存在直接控股、管理关系的不同供应商，不得参加同一采购包的政府采购活动。否则响应均无效。</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3.3.2除单一来源采购项目外，为采购项目提供整体设计、规范编制或者项目管理、监理、检测等服务的供应商，不得再参加该采购项目的其他采购活动。否则响应无效。</w:t>
      </w:r>
    </w:p>
    <w:p>
      <w:pPr>
        <w:keepNext w:val="0"/>
        <w:keepLines w:val="0"/>
        <w:pageBreakBefore w:val="0"/>
        <w:numPr>
          <w:ilvl w:val="0"/>
          <w:numId w:val="0"/>
        </w:numPr>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4.磋商响应费用</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供应商应承担所有与编写、提交响应文件有关的费用，不论磋商的结果如何，采购人在任何情况下均无义务和责任承担这些费用。</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20" w:name="_Toc9293"/>
      <w:bookmarkStart w:id="21" w:name="_Toc132880659"/>
      <w:r>
        <w:rPr>
          <w:rFonts w:hint="eastAsia" w:ascii="宋体" w:hAnsi="宋体" w:eastAsia="宋体" w:cs="宋体"/>
          <w:b/>
          <w:bCs/>
          <w:color w:val="auto"/>
          <w:sz w:val="24"/>
          <w:szCs w:val="24"/>
          <w:highlight w:val="none"/>
        </w:rPr>
        <w:t>二、采购文件</w:t>
      </w:r>
      <w:bookmarkEnd w:id="20"/>
      <w:bookmarkEnd w:id="21"/>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5.采购文件构成</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第一部分 商务部分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（1）磋商邀请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（3）评审方法及标准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（4）政府采购合同文本</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（5）响应文件格式</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第二部分 技术部分</w:t>
      </w:r>
    </w:p>
    <w:p>
      <w:pPr>
        <w:keepNext w:val="0"/>
        <w:keepLines w:val="0"/>
        <w:pageBreakBefore w:val="0"/>
        <w:kinsoku/>
        <w:wordWrap/>
        <w:topLinePunct/>
        <w:autoSpaceDE w:val="0"/>
        <w:autoSpaceDN w:val="0"/>
        <w:bidi w:val="0"/>
        <w:adjustRightInd w:val="0"/>
        <w:snapToGrid w:val="0"/>
        <w:spacing w:after="0" w:line="420" w:lineRule="exact"/>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6.采购文件询问、澄清或修改</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6.1 供应商对采购文件如有疑问的，可以向采购人或者采购代理机构提出询问，采购人或者采购代理机构应当在3个工作日内作出答复</w:t>
      </w:r>
      <w:r>
        <w:rPr>
          <w:rFonts w:hint="eastAsia" w:ascii="宋体" w:hAnsi="宋体" w:eastAsia="宋体" w:cs="宋体"/>
          <w:bCs/>
          <w:color w:val="auto"/>
          <w:sz w:val="24"/>
          <w:szCs w:val="24"/>
          <w:highlight w:val="none"/>
        </w:rPr>
        <w:t>，但答复的内容不得涉及商业秘密。</w:t>
      </w:r>
      <w:r>
        <w:rPr>
          <w:rFonts w:hint="eastAsia" w:ascii="宋体" w:hAnsi="宋体" w:eastAsia="宋体" w:cs="宋体"/>
          <w:color w:val="auto"/>
          <w:sz w:val="24"/>
          <w:szCs w:val="24"/>
          <w:highlight w:val="none"/>
        </w:rPr>
        <w:t>如有必要，采购人或者采购代理机构可对采购文件进行澄清或者修改。</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提交首次响应文件截止之日前，采购人、采购代理机构或者磋商小组可以对已发出的磋商文件进行必要的澄清或者修改。</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澄清或者修改将在原公告发布媒体上发布更正公告，并以书面形式通知所有获取磋商文件的供应商。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6.5澄清或者修改的内容作为磋商文件的组成部分。</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22" w:name="_Toc18450"/>
      <w:bookmarkStart w:id="23" w:name="_Toc132880660"/>
      <w:r>
        <w:rPr>
          <w:rFonts w:hint="eastAsia" w:ascii="宋体" w:hAnsi="宋体" w:eastAsia="宋体" w:cs="宋体"/>
          <w:b/>
          <w:bCs/>
          <w:color w:val="auto"/>
          <w:sz w:val="24"/>
          <w:szCs w:val="24"/>
          <w:highlight w:val="none"/>
        </w:rPr>
        <w:t>三、响应文件</w:t>
      </w:r>
      <w:bookmarkEnd w:id="22"/>
      <w:bookmarkEnd w:id="23"/>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响应文件编制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7.1响应文件的编制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7.1.1供应商应先仔细阅读采购文件的全部内容后，再进行响应文件的编制。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7.1.2响应文件应满足采购文件提出的实质性要求和条件，并保证其所提交的全部资料是不可割离且真实、有效、准确、完整和不具有任何误导性的，否则造成不利后果由供应商承担责任。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7.2响应文件的语言</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7.2.1除采购文件另有规定外，响应文件应使用中文文本并使用中文简化字，若有不同文本，以中文简化字文本为准。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7.2.2响应文件提供的全部资料中，若属于非中文描述的，应同时提供中文简化字译本。</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7.2.3除在采购文件的要求中另有规定外，响应文件计量单位应使用中华人民共和国法定计量单位。</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7.3供应商制作响应文件前须提前办理数字证书和电子签章，办理方式和注意事项详见网站《供应商操作手册》。供应商在国家税务总局集中采购中心网站（https://swcg.chinatax.gov.cn） “下载中心”下载并安装“供应商投标工具”，使用投标工具编制响应文件。（</w:t>
      </w:r>
      <w:r>
        <w:rPr>
          <w:rFonts w:hint="eastAsia" w:ascii="宋体" w:hAnsi="宋体" w:cs="宋体"/>
          <w:color w:val="auto"/>
          <w:sz w:val="24"/>
          <w:szCs w:val="24"/>
          <w:highlight w:val="none"/>
          <w:lang w:val="en-US" w:eastAsia="zh-CN"/>
        </w:rPr>
        <w:t>本项目不</w:t>
      </w:r>
      <w:r>
        <w:rPr>
          <w:rFonts w:hint="eastAsia" w:ascii="宋体" w:hAnsi="宋体" w:eastAsia="宋体" w:cs="宋体"/>
          <w:color w:val="auto"/>
          <w:sz w:val="24"/>
          <w:szCs w:val="24"/>
          <w:highlight w:val="none"/>
        </w:rPr>
        <w:t>适用）</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8.响应文件的组成</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响应文件包括商务部分和技术部分。</w:t>
      </w:r>
    </w:p>
    <w:p>
      <w:pPr>
        <w:keepNext w:val="0"/>
        <w:keepLines w:val="0"/>
        <w:pageBreakBefore w:val="0"/>
        <w:kinsoku/>
        <w:wordWrap/>
        <w:topLinePunct/>
        <w:autoSpaceDE w:val="0"/>
        <w:autoSpaceDN w:val="0"/>
        <w:bidi w:val="0"/>
        <w:adjustRightInd w:val="0"/>
        <w:snapToGrid w:val="0"/>
        <w:spacing w:after="0" w:line="42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响应文件</w:t>
      </w:r>
      <w:r>
        <w:rPr>
          <w:rFonts w:hint="eastAsia" w:ascii="宋体" w:hAnsi="宋体" w:eastAsia="宋体" w:cs="宋体"/>
          <w:b/>
          <w:bCs/>
          <w:color w:val="auto"/>
          <w:sz w:val="24"/>
          <w:szCs w:val="24"/>
          <w:highlight w:val="none"/>
        </w:rPr>
        <w:t>商务部分</w:t>
      </w:r>
      <w:r>
        <w:rPr>
          <w:rFonts w:hint="eastAsia" w:ascii="宋体" w:hAnsi="宋体" w:eastAsia="宋体" w:cs="宋体"/>
          <w:color w:val="auto"/>
          <w:sz w:val="24"/>
          <w:szCs w:val="24"/>
          <w:highlight w:val="none"/>
        </w:rPr>
        <w:t>主要包括的文件和资料：</w:t>
      </w:r>
    </w:p>
    <w:p>
      <w:pPr>
        <w:keepNext w:val="0"/>
        <w:keepLines w:val="0"/>
        <w:pageBreakBefore w:val="0"/>
        <w:kinsoku/>
        <w:wordWrap/>
        <w:topLinePunct/>
        <w:autoSpaceDE w:val="0"/>
        <w:autoSpaceDN w:val="0"/>
        <w:bidi w:val="0"/>
        <w:adjustRightInd w:val="0"/>
        <w:snapToGrid w:val="0"/>
        <w:spacing w:after="0" w:line="42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 资格证明文件，见</w:t>
      </w:r>
      <w:r>
        <w:rPr>
          <w:rFonts w:hint="eastAsia" w:ascii="宋体" w:hAnsi="宋体" w:eastAsia="宋体" w:cs="宋体"/>
          <w:b/>
          <w:color w:val="auto"/>
          <w:sz w:val="24"/>
          <w:szCs w:val="24"/>
          <w:highlight w:val="none"/>
        </w:rPr>
        <w:t>供应商须知前附表。</w:t>
      </w:r>
    </w:p>
    <w:p>
      <w:pPr>
        <w:keepNext w:val="0"/>
        <w:keepLines w:val="0"/>
        <w:pageBreakBefore w:val="0"/>
        <w:kinsoku/>
        <w:wordWrap/>
        <w:overflowPunct w:val="0"/>
        <w:autoSpaceDE w:val="0"/>
        <w:autoSpaceDN w:val="0"/>
        <w:bidi w:val="0"/>
        <w:adjustRightInd w:val="0"/>
        <w:snapToGrid w:val="0"/>
        <w:spacing w:after="0" w:line="420" w:lineRule="exact"/>
        <w:ind w:firstLine="487"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8.2.2 其他文件及资料，见</w:t>
      </w:r>
      <w:r>
        <w:rPr>
          <w:rFonts w:hint="eastAsia" w:ascii="宋体" w:hAnsi="宋体" w:eastAsia="宋体" w:cs="宋体"/>
          <w:b/>
          <w:color w:val="auto"/>
          <w:sz w:val="24"/>
          <w:szCs w:val="24"/>
          <w:highlight w:val="none"/>
        </w:rPr>
        <w:t>供应商须知前附表。</w:t>
      </w:r>
    </w:p>
    <w:p>
      <w:pPr>
        <w:keepNext w:val="0"/>
        <w:keepLines w:val="0"/>
        <w:pageBreakBefore w:val="0"/>
        <w:kinsoku/>
        <w:wordWrap/>
        <w:overflowPunct w:val="0"/>
        <w:autoSpaceDE w:val="0"/>
        <w:autoSpaceDN w:val="0"/>
        <w:bidi w:val="0"/>
        <w:adjustRightInd w:val="0"/>
        <w:snapToGrid w:val="0"/>
        <w:spacing w:after="0" w:line="420" w:lineRule="exact"/>
        <w:ind w:firstLine="487"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响应文件</w:t>
      </w:r>
      <w:r>
        <w:rPr>
          <w:rFonts w:hint="eastAsia" w:ascii="宋体" w:hAnsi="宋体" w:eastAsia="宋体" w:cs="宋体"/>
          <w:b/>
          <w:bCs/>
          <w:color w:val="auto"/>
          <w:sz w:val="24"/>
          <w:szCs w:val="24"/>
          <w:highlight w:val="none"/>
        </w:rPr>
        <w:t>技术部分</w:t>
      </w:r>
      <w:r>
        <w:rPr>
          <w:rFonts w:hint="eastAsia" w:ascii="宋体" w:hAnsi="宋体" w:eastAsia="宋体" w:cs="宋体"/>
          <w:color w:val="auto"/>
          <w:sz w:val="24"/>
          <w:szCs w:val="24"/>
          <w:highlight w:val="none"/>
        </w:rPr>
        <w:t>主要包括的文件及资料，见</w:t>
      </w:r>
      <w:r>
        <w:rPr>
          <w:rFonts w:hint="eastAsia" w:ascii="宋体" w:hAnsi="宋体" w:eastAsia="宋体" w:cs="宋体"/>
          <w:b/>
          <w:color w:val="auto"/>
          <w:sz w:val="24"/>
          <w:szCs w:val="24"/>
          <w:highlight w:val="none"/>
        </w:rPr>
        <w:t>供应商须知前附表。</w:t>
      </w:r>
    </w:p>
    <w:p>
      <w:pPr>
        <w:keepNext w:val="0"/>
        <w:keepLines w:val="0"/>
        <w:pageBreakBefore w:val="0"/>
        <w:kinsoku/>
        <w:wordWrap/>
        <w:overflowPunct w:val="0"/>
        <w:autoSpaceDE w:val="0"/>
        <w:autoSpaceDN w:val="0"/>
        <w:bidi w:val="0"/>
        <w:adjustRightInd w:val="0"/>
        <w:snapToGrid w:val="0"/>
        <w:spacing w:after="0" w:line="420" w:lineRule="exact"/>
        <w:ind w:firstLine="487"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证明资料如标明有效期的，必须在有效期内。</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9.报价要求</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除采购文件另有规定外，应以人民币报价。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本项目不接受任何形式的赠送、“零”报价和折扣报价。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本项目以磋商总报价为依据计算价格分。磋商总报价应包括采购文件中要求供应商承担所有工作内容的全部费用。</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最低报价不能作为成交的保证。</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 供应商的报价不得超过采购项目预算。</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10.响应文件的书写、密封、签署、盖章</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10.1书写</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10.1.1响应文件应使用不能擦去的墨料或墨水打印、书写。</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10.1.2响应文件内容应没有涂改或行间插字。若有前述改动，在改动处应由单位负责人（授权代表）签字确认或加盖供应商的单位公章或校正章。</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10.2密封</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10.2.1响应文件应胶装或装订成册，避免材料散装、脱落。</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响应文件应使用不透明的牛皮纸或档案袋等材料密封包装，并在外包装封面注明“正本”或“副本”，以及项目编号、项目名称、开标时间等信息，避免响应文件被误拆或提前拆封。响应文件正本应按上述要求制作。副本可按上述要求制作，也可用正本的完整复印件，并与正本保持一致（若不一致，以正本为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10.3签署、盖章</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10.3.1响应文件中要求签字处应由供应商的单位负责人（授权代表）签字或加盖个人印章。</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10.3.2响应文件必须按照采购文件给出文件格式的签署要求进行签署。</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10.3.3供应商在</w:t>
      </w:r>
      <w:r>
        <w:rPr>
          <w:rFonts w:hint="eastAsia" w:ascii="宋体" w:hAnsi="宋体" w:eastAsia="宋体" w:cs="宋体"/>
          <w:b/>
          <w:bCs/>
          <w:color w:val="auto"/>
          <w:sz w:val="24"/>
          <w:szCs w:val="24"/>
          <w:highlight w:val="none"/>
        </w:rPr>
        <w:t>“磋商响应函”“法定代表人授权委托书”</w:t>
      </w:r>
      <w:r>
        <w:rPr>
          <w:rFonts w:hint="eastAsia" w:ascii="宋体" w:hAnsi="宋体" w:eastAsia="宋体" w:cs="宋体"/>
          <w:color w:val="auto"/>
          <w:sz w:val="24"/>
          <w:szCs w:val="24"/>
          <w:highlight w:val="none"/>
        </w:rPr>
        <w:t>上应当按格式要求加盖与供应商名称全称一致的标准公章，并按照采购文件第五章响应文件格式中的相应格式文件要求签署全名或加盖名章。</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10.3.4响应文件中的“盖章”指加盖供应商的“公章”，而非“合同专用章”、“投标专用章”等其他非公章。</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响应有效期</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响应有效期见</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在此期间，响应文件对供应商具有法律约束力，以保证采购人或者采购代理机构有足够的时间完成磋商、评审、定标以及签订合同。响应文件中承诺的响应有效期应当不少于采购文件中载明的响应有效期，否则作为无效响应处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特殊情况下，在原响应有效期期满之前，采购人或者采购代理机构可征得供应商同意延长响应有效期。</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24" w:name="_Toc132880661"/>
      <w:bookmarkStart w:id="25" w:name="_Toc20651"/>
      <w:r>
        <w:rPr>
          <w:rFonts w:hint="eastAsia" w:ascii="宋体" w:hAnsi="宋体" w:eastAsia="宋体" w:cs="宋体"/>
          <w:b/>
          <w:bCs/>
          <w:color w:val="auto"/>
          <w:sz w:val="24"/>
          <w:szCs w:val="24"/>
          <w:highlight w:val="none"/>
        </w:rPr>
        <w:t>四、响应文件递交</w:t>
      </w:r>
      <w:bookmarkEnd w:id="24"/>
      <w:bookmarkEnd w:id="25"/>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响应文件递交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供应商应当在</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要求提交响应文件截止时间前，根据《供应商须知前附表》载明方式提交响应文件。提交响应文件截止时间后，提交响应文件的将被拒绝。</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线上采购项目应登录评审管理系统并使用投标工具加密上传响应文件。除上述方式之外，不接受供应商以纸质文件以及其他任何方式提交的响应文件。供应商应充分考虑网络传输时间等因素，合理安排上传时间。提交响应文件截止时间后，评审管理系统不提供响应文件上传功能。供应商未完成响应文件上传的，磋商响应将被拒绝。</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响应文件补充、修改或撤回</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供应商在提交响应文件截止时间前，可以对所提交的响应文件进行补充、修改或者撤回，并书面通知采购人、采购代理机构。补充、修改的内容应当按照采购文件要求签署、盖章、密封后，作为响应文件的组成部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线上采购项目，供应商在提交响应文件截止时间前，可以登录评审管理系统对所提交的响应文件进行撤回、补充、修改、重新提交。补充、修改的内容应当按照采购文件要求签署、盖章。</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提交响应文件截止时间后，不支持对已提交的响应文件作任何补充、修改或者撤回。</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26" w:name="_Toc8791"/>
      <w:bookmarkStart w:id="27" w:name="_Toc132880662"/>
      <w:r>
        <w:rPr>
          <w:rFonts w:hint="eastAsia" w:ascii="宋体" w:hAnsi="宋体" w:eastAsia="宋体" w:cs="宋体"/>
          <w:b/>
          <w:bCs/>
          <w:color w:val="auto"/>
          <w:sz w:val="24"/>
          <w:szCs w:val="24"/>
          <w:highlight w:val="none"/>
        </w:rPr>
        <w:t>五、磋商与评审</w:t>
      </w:r>
      <w:bookmarkEnd w:id="26"/>
      <w:bookmarkEnd w:id="27"/>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14.磋商小组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磋商与评审由依法组建的磋商小组负责，磋商小组由采购人代表和评审专家组成。</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评审专家应当遵守评审工作纪律，不得泄露评审情况和评审中获悉的商业秘密。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磋商小组成员应当按照客观、公正、审慎的原则，根据磋商文件规定的评审程序、评审方法和评审标准进行独立评审。</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15.初步审查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(1)供应商未按照磋商文件规定提交磋商保证金的；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(2)未按照磋商文件规定要求密封、签署、盖章的；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(3)响应有效期不足的；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(4)供应商不满足磋商文件供应商资格条件或未按照磋商文件规定提供资格证明材料的；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(5)响应文件不满足磋商文件实质性条款的。响应文件是否实质性响应磋商文件，由磋商小组依据磋商文件规定、供应商响应文件及磋商情况认定；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(6)供应商存在失信记录的：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失信记录是指，通过“信用中国”网站(www.creditchina.gov.cn)、中国政府采购网(www.ccgp.gov.cn)查询相关主体信用记录，列入失信被执行人、重大税收违法案件当事人名单、政府采购严重违法失信行为记录名单及其他不符合《政府采购法》第二十二条规定条件的情况。失信情况查询详见供应商须知前附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(7)其他不符合法律、规章、规范性文件和磋商文件规定的。</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16.澄清</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供应商的澄清、说明或者更正应当采用书面形式，由其法定代表人或其授权代表签字，供应商的澄清、说明或者更正不得超出磋商文件的范围或者改变响应文件的实质性内容。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16.3关于响应描述（即响应文件中描述的内容）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（1）响应描述前后不一致且不涉及证明材料的：按照本节第16.1条、16.2条规定执行。</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（2）响应描述与证明材料不一致或多份证明材料之间不一致的：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①磋商小组将要求供应商进行书面澄清，无法澄清的将按照不利于供应商的内容进行评审。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②供应商按照要求进行澄清的，采购人以澄清内容为准进行验收；供应商未按照要求进行澄清的，采购人以响应描述或证明材料中有利于采购人的内容进行验收。供应商应对证明材料的真实性、有效性承担责任。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成交供应商的响应描述存在前后不一致、与证明材料不一致或多份证明材料之间不一致情形之一但在磋商中未能发现，则采购人将以响应描述或证明材料中有利于采购人的内容进行验收，成交供应商应自行承担由此产生的风险及费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除磋商小组要求供应商做出的澄清、说明或者补正以外，磋商小组不接受供应商的任何询问、说明、更改及文件。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供应商的澄清必须在规定的时间内提交。</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17.磋商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初审结束后，磋商小组所有成员集中与单一供应商分别进行磋商，并给予所有参加磋商的供应商平等的磋商机会。供应商应派其法定代表人或授权代表参加磋商。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　对磋商文件作出的实质性变动是磋商文件的有效组成部分，磋商小组应当及时以书面形式同时通知所有参加磋商的供应商。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　磋商文件不能详细列明采购标的技术、服务要求，需经磋商由供应商提供最终设计方案或解决方案的，磋商结束后，磋商小组应当按照少数服从多数的原则投票推荐3家以上供应商的设计方案或者解决方案。</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　磋商小组应当根据实际情况与供应商进行磋商，并确定磋商的轮次。</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17.7　已提交响应文件的供应商，在提交最后报价之前，可以根据磋商情况退出磋商。采购人或采购代理机构应当退还退出磋商的供应商的磋商保证金。</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17.8　磋商结束后，供应商按照磋商小组要求重新提交的响应文件，不满足磋商文件及变动后的技术、服务要求以及合同草案条款的实质性要求的，将视为无效响应文件。</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18.最后报价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磋商结束后，磋商小组应当要求所有实质性响应的供应商在规定时间内提交最后报价，提交最后报价的供应商不得少于3家。（符合</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规定的允许符合要求的供应商只有2家时可以继续进行采购活动的情形，提交最后报价的供应商可以为2家）。</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最后报价是供应商响应文件的有效组成部分。如磋商小组没有对磋商文件作实质性变动或增加新的需求，最后报价不得高于首轮报价。</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19.最后报价评审</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最后报价计算错误修正的原则</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(1)最后报价的大写金额和小写金额不一致的，以大写金额为准。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(2)总价金额与按分项报价汇总金额不一致的，以分项报价金额计算结果为准。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(3)分项报价金额小数点有明显错位的，应以总价为准，并修改分项报价。</w:t>
      </w:r>
    </w:p>
    <w:p>
      <w:pPr>
        <w:keepNext w:val="0"/>
        <w:keepLines w:val="0"/>
        <w:pageBreakBefore w:val="0"/>
        <w:kinsoku/>
        <w:wordWrap/>
        <w:overflowPunct w:val="0"/>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(4)同时出现两种以上不一致的，按照前款规定的顺序修正。 </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(5)如果供应商不接受对其错误的更正，其最后报价将被视为无效报价或确定为无效响应。</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最后报价的价格扣除原则</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落实政府采购政策进行价格调整的规则详见第三章第2.3条。</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磋商报价得分：以供应商的最后报价作为价格评分依据。供应商的评审价为按上述条款修正并给予价格扣除优惠后的价格。</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价格评分统一采用低价优先法计算，即满足磋商文件要求且价格最低的评审价为评审基准价，其价格分为满分。其他供应商的价格分统一按照下列公式计算：</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磋商报价得分=（磋商基准价/最后磋商报价）×价格满分值</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20.综合评审</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经磋商确定最终采购需求和提交最后报价的供应商后，由磋商小组采用综合评分法对提交最后报价的供应商的响应文件和最后报价进行综合评分。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评审办法及标准见第三章。</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评审时，磋商小组成员应当独立对每个有效响应的文件进行评价、打分，然后汇总每个供应商每项评分因素的得分。</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21.提出成交供应商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磋商小组应当按照综合评分由高到低的顺序提出3名以上成交候选供应商，并编写评审报告。（符合</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规定的允许符合要求的供应商只有2家时可以继续进行采购活动的情形，推荐的成交候选供应商可以为2家）</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w:t>
      </w:r>
      <w:r>
        <w:rPr>
          <w:rFonts w:hint="eastAsia" w:ascii="宋体" w:hAnsi="宋体" w:eastAsia="宋体" w:cs="宋体"/>
          <w:color w:val="auto"/>
          <w:sz w:val="24"/>
          <w:szCs w:val="24"/>
          <w:highlight w:val="none"/>
          <w:u w:val="single"/>
        </w:rPr>
        <w:t>评审得分相同的，按照最后报价由低到高的顺序推荐。评审得分且最后报价相同的，按照技术指标</w:t>
      </w:r>
      <w:r>
        <w:rPr>
          <w:rFonts w:hint="eastAsia" w:ascii="宋体" w:hAnsi="宋体" w:cs="宋体"/>
          <w:color w:val="auto"/>
          <w:sz w:val="24"/>
          <w:szCs w:val="24"/>
          <w:highlight w:val="none"/>
          <w:u w:val="single"/>
          <w:lang w:eastAsia="zh-CN"/>
        </w:rPr>
        <w:t>得分由高到低</w:t>
      </w:r>
      <w:r>
        <w:rPr>
          <w:rFonts w:hint="eastAsia" w:ascii="宋体" w:hAnsi="宋体" w:eastAsia="宋体" w:cs="宋体"/>
          <w:color w:val="auto"/>
          <w:sz w:val="24"/>
          <w:szCs w:val="24"/>
          <w:highlight w:val="none"/>
          <w:u w:val="single"/>
        </w:rPr>
        <w:t>顺序推荐</w:t>
      </w:r>
      <w:r>
        <w:rPr>
          <w:rFonts w:hint="eastAsia" w:ascii="宋体" w:hAnsi="宋体" w:eastAsia="宋体" w:cs="宋体"/>
          <w:color w:val="auto"/>
          <w:sz w:val="24"/>
          <w:szCs w:val="24"/>
          <w:highlight w:val="none"/>
        </w:rPr>
        <w:t>。</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22.磋商终止</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出现下列情形之一的，采购人或者采购代理机构应当终止竞争性磋商采购活动，在财政部指定的媒体上发布项目终止公告并说明原因，重新开展采购活动：</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(3)在采购过程中符合竞争要求的供应商或者报价未超过采购预算的供应商不足3家的，或者提交最后报价的供应商少于3家的；（符合</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 xml:space="preserve">规定的允许符合要求的供应商只有2家时可以继续进行采购活动的情形，符合竞争要求的供应商或者报价未超过采购预算的供应商或者提交最后报价的供应商不足2家的；） </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28" w:name="_Toc132880663"/>
      <w:bookmarkStart w:id="29" w:name="_Toc21852"/>
      <w:r>
        <w:rPr>
          <w:rFonts w:hint="eastAsia" w:ascii="宋体" w:hAnsi="宋体" w:eastAsia="宋体" w:cs="宋体"/>
          <w:b/>
          <w:bCs/>
          <w:color w:val="auto"/>
          <w:sz w:val="24"/>
          <w:szCs w:val="24"/>
          <w:highlight w:val="none"/>
        </w:rPr>
        <w:t>六、成交和合同</w:t>
      </w:r>
      <w:bookmarkEnd w:id="28"/>
      <w:bookmarkEnd w:id="29"/>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成交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23.1采购代理机构应当在评审结束后2个工作日内将评审报告送采购人确认。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 采购人或者采购代理机构应当在成交供应商确定后2个工作日内，在</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规定的媒体上公告成交结果，并将磋商文件随成交结果同时公告。</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 在公告成交结果的同时，采购人或者采购代理机构应当向成交供应商发出成交通知书。</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 成交通知书对采购人和成交供应商具有同等法律效力。</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签订合同</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采购人与成交供应商应当在成交通知书发出之日起30日内，按照磋商文件确定的合同文本以及采购标的、规格型号、采购金额、采购数量、技术和服务要求等事项签订政府采购合同。</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成交供应商拒绝签订政府采购合同的，采购人可以按照本章第23.2条规定的原则确定其他供应商作为成交供应商并签订政府采购合同，也可以重新开展采购活动。拒绝签订政府采购合同的成交供应商不得参加对该项目重新开展的采购活动。</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25</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履约保证金</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25.1成交供应商按照</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的规定，在签订采购合同前，向采购人提交履约保证金。联合体成交的，履约保证金以联合体各方或联合体中牵头人的名义提交。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25.2成交供应商没有按照</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的规定提交履约保证金的，视为放弃成交资格，其磋商保证金不予退还。</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30" w:name="_Toc17635"/>
      <w:bookmarkStart w:id="31" w:name="_Toc132880664"/>
      <w:r>
        <w:rPr>
          <w:rFonts w:hint="eastAsia" w:ascii="宋体" w:hAnsi="宋体" w:eastAsia="宋体" w:cs="宋体"/>
          <w:b/>
          <w:bCs/>
          <w:color w:val="auto"/>
          <w:sz w:val="24"/>
          <w:szCs w:val="24"/>
          <w:highlight w:val="none"/>
        </w:rPr>
        <w:t>七、询问和质疑</w:t>
      </w:r>
      <w:bookmarkEnd w:id="30"/>
      <w:bookmarkEnd w:id="31"/>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26. 询问</w:t>
      </w:r>
    </w:p>
    <w:p>
      <w:pPr>
        <w:keepNext w:val="0"/>
        <w:keepLines w:val="0"/>
        <w:pageBreakBefore w:val="0"/>
        <w:kinsoku/>
        <w:wordWrap/>
        <w:topLinePunct/>
        <w:autoSpaceDE w:val="0"/>
        <w:autoSpaceDN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26.1潜在供应商、供应商对政府采购活动事项有疑问的，可以向采购人或者采购代理机构提出询问，采购人或者采购代理机构应当在3个工作日内对依法提出的询问作出答复，但答复的内容不得涉及商业秘密。</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质疑</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潜在供应商、供应商（统称质疑人）认为采购文件、采购过程和成交结果使自己的权益受到损害的，可以在知道或者应知其权益受到损害之日起7个工作日内以书面形式向采购人或者采购代理机构提出质疑。联系部门、联系电话、通讯地址、电子邮箱</w:t>
      </w:r>
      <w:r>
        <w:rPr>
          <w:rFonts w:hint="eastAsia" w:ascii="宋体" w:hAnsi="宋体" w:eastAsia="宋体" w:cs="宋体"/>
          <w:b/>
          <w:bCs/>
          <w:color w:val="auto"/>
          <w:sz w:val="24"/>
          <w:szCs w:val="24"/>
          <w:highlight w:val="none"/>
        </w:rPr>
        <w:t>见</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27.2在法定质疑期内，针对同一采购程序环节的质疑应一次性提出。</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27.3质疑人应知其权益受到损害之日，是指： </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（1）对可以质疑的采购文件提出质疑的，为收到采购文件之日或者采购文件公告期限届满之日；</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（2）对采购过程提出质疑的，为各采购程序环节结束之日；</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（3）对成交结果提出质疑的，为成交结果公告期限届满之日。</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27.4质疑应当有明确的请求和必要的证明材料。供应商为自然人的，应当由本人签字；供应商为法人或者其他组织的，应当由法定代表人、主要负责人，或者其授权代表签字或者签章，并加盖公章。</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27.5 采购人或者代理机构应当在收到供应商的质疑函后7个工作日内，对质疑内容作出答复，</w:t>
      </w:r>
      <w:r>
        <w:rPr>
          <w:rFonts w:hint="eastAsia" w:ascii="宋体" w:hAnsi="宋体" w:eastAsia="宋体" w:cs="宋体"/>
          <w:bCs/>
          <w:color w:val="auto"/>
          <w:sz w:val="24"/>
          <w:szCs w:val="24"/>
          <w:highlight w:val="none"/>
        </w:rPr>
        <w:t>书面形式</w:t>
      </w:r>
      <w:r>
        <w:rPr>
          <w:rFonts w:hint="eastAsia" w:ascii="宋体" w:hAnsi="宋体" w:eastAsia="宋体" w:cs="宋体"/>
          <w:color w:val="auto"/>
          <w:sz w:val="24"/>
          <w:szCs w:val="24"/>
          <w:highlight w:val="none"/>
        </w:rPr>
        <w:t>通知质疑供应商和其他有关供应商，但答复内容不得涉及商业秘密。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27.6质疑人对采购人、采购代理机构的答复不满意或者采购人、采购代理机构未在规定的时间内作出答复的，可以在答复期满后15个工作日内向同级人民政府财政部门投诉。</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27.7投诉应当有明确的请求和必要的证明材料。投诉的事项不得超出已质疑事项的范围。</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32" w:name="_Toc132880665"/>
      <w:bookmarkStart w:id="33" w:name="_Toc6779"/>
      <w:r>
        <w:rPr>
          <w:rFonts w:hint="eastAsia" w:ascii="宋体" w:hAnsi="宋体" w:eastAsia="宋体" w:cs="宋体"/>
          <w:b/>
          <w:bCs/>
          <w:color w:val="auto"/>
          <w:sz w:val="24"/>
          <w:szCs w:val="24"/>
          <w:highlight w:val="none"/>
        </w:rPr>
        <w:t>八、其他</w:t>
      </w:r>
      <w:bookmarkEnd w:id="32"/>
      <w:bookmarkEnd w:id="33"/>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28</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保密</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28.1采购人、采购代理机构应当按照政府采购法和本办法的规定组织开展竞争性磋商，并采取必要措施，保证磋商在严格保密的情况下进行。任何单位和个人不得非法干预、影响磋商过程和结果。</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 磋商小组成员和参与评审工作的有关人员对评审情况以及在评审过程中获悉的国家秘密、商业秘密负有保密责任。</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 知识产权与规避专利、版权纠纷</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 知识产权</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29.1.1 项目系统的版权属于采购人所有，成交供应商应向采购人开放并提供涉及本项目软件开发、升级完善、运行维护等工作的全部源代码（含保证期内的后续升级版本）。由本项目系统形成的技术和成果的专利申请权、专利权、技术秘密的所有权、使用权、转让权等知识产权归采购人所有。</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 规避专利、版权纠纷</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29.2.1 供应商应保证其响应方案中的有关软件、文件、图纸等没有违反有关专利和版权等知识产权的规定。</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29.2.2 成交供应商应保证采购人在中华人民共和国使用本项目成果任何一部分、或接受乙方服务时，免受第三方提出的侵犯其专利权、商标权或工业设计权等知识产权的索赔或起诉。</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29.2.3 如果采购人在使用本项目任何一部分时被任何第三方诉称侵犯了第三方知识产权或任何其它权利，成交供应商应负责处理这一指控并应以成交供应商的名义自负费用向起诉方提出抗辩。由此可能产生的一切法律责任和经济责任均由成交供应商承担。</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29.2.4 如果采购人发现任何第三方在采购人未被许可的范围内非法使用采购人获得的知识产权，采购人应通知成交供应商。成交供应商应在收到采购人通知后14天内采取行动制止非法使用行为，否则由成交供应商承担相应的责任。</w:t>
      </w:r>
    </w:p>
    <w:p>
      <w:pPr>
        <w:pageBreakBefore w:val="0"/>
        <w:kinsoku/>
        <w:wordWrap/>
        <w:bidi w:val="0"/>
        <w:spacing w:line="360" w:lineRule="auto"/>
        <w:textAlignment w:val="auto"/>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34" w:name="_Toc13151"/>
      <w:bookmarkStart w:id="35" w:name="_Toc132880666"/>
      <w:r>
        <w:rPr>
          <w:rFonts w:hint="eastAsia" w:ascii="宋体" w:hAnsi="宋体" w:eastAsia="宋体" w:cs="宋体"/>
          <w:b/>
          <w:bCs/>
          <w:color w:val="auto"/>
          <w:sz w:val="28"/>
          <w:szCs w:val="28"/>
          <w:highlight w:val="none"/>
        </w:rPr>
        <w:t>第三章  评审方法及标准</w:t>
      </w:r>
      <w:bookmarkEnd w:id="34"/>
    </w:p>
    <w:p>
      <w:pPr>
        <w:keepNext w:val="0"/>
        <w:keepLines w:val="0"/>
        <w:pageBreakBefore w:val="0"/>
        <w:kinsoku/>
        <w:wordWrap/>
        <w:overflowPunct/>
        <w:topLinePunct/>
        <w:autoSpaceDE w:val="0"/>
        <w:autoSpaceDN w:val="0"/>
        <w:bidi w:val="0"/>
        <w:adjustRightInd w:val="0"/>
        <w:snapToGrid w:val="0"/>
        <w:spacing w:after="0" w:line="400" w:lineRule="exact"/>
        <w:ind w:firstLine="482" w:firstLineChars="200"/>
        <w:textAlignment w:val="auto"/>
        <w:outlineLvl w:val="1"/>
        <w:rPr>
          <w:rFonts w:hint="eastAsia" w:ascii="宋体" w:hAnsi="宋体" w:eastAsia="宋体" w:cs="宋体"/>
          <w:b/>
          <w:color w:val="auto"/>
          <w:sz w:val="24"/>
          <w:szCs w:val="24"/>
          <w:highlight w:val="none"/>
        </w:rPr>
      </w:pPr>
      <w:bookmarkStart w:id="36" w:name="_Toc18715"/>
      <w:r>
        <w:rPr>
          <w:rFonts w:hint="eastAsia" w:ascii="宋体" w:hAnsi="宋体" w:eastAsia="宋体" w:cs="宋体"/>
          <w:b/>
          <w:color w:val="auto"/>
          <w:sz w:val="24"/>
          <w:szCs w:val="24"/>
          <w:highlight w:val="none"/>
        </w:rPr>
        <w:t>1.评审方法</w:t>
      </w:r>
      <w:bookmarkEnd w:id="36"/>
    </w:p>
    <w:p>
      <w:pPr>
        <w:keepNext w:val="0"/>
        <w:keepLines w:val="0"/>
        <w:pageBreakBefore w:val="0"/>
        <w:widowControl/>
        <w:kinsoku/>
        <w:wordWrap/>
        <w:overflowPunct/>
        <w:topLinePunct/>
        <w:autoSpaceDE w:val="0"/>
        <w:autoSpaceDN w:val="0"/>
        <w:bidi w:val="0"/>
        <w:adjustRightInd w:val="0"/>
        <w:snapToGrid w:val="0"/>
        <w:spacing w:after="0" w:line="4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1.1 本项目评审方法：</w:t>
      </w:r>
      <w:r>
        <w:rPr>
          <w:rFonts w:hint="eastAsia" w:ascii="宋体" w:hAnsi="宋体" w:eastAsia="宋体" w:cs="宋体"/>
          <w:b/>
          <w:color w:val="auto"/>
          <w:sz w:val="24"/>
          <w:szCs w:val="24"/>
          <w:highlight w:val="none"/>
          <w:u w:val="single"/>
        </w:rPr>
        <w:t>采用综合评分法</w:t>
      </w:r>
      <w:r>
        <w:rPr>
          <w:rFonts w:hint="eastAsia" w:ascii="宋体" w:hAnsi="宋体" w:cs="宋体"/>
          <w:b/>
          <w:color w:val="auto"/>
          <w:sz w:val="24"/>
          <w:szCs w:val="24"/>
          <w:highlight w:val="none"/>
          <w:u w:val="single"/>
          <w:lang w:eastAsia="zh-CN"/>
        </w:rPr>
        <w:t>，</w:t>
      </w:r>
      <w:r>
        <w:rPr>
          <w:rFonts w:hint="eastAsia" w:ascii="宋体" w:hAnsi="宋体" w:cs="宋体"/>
          <w:b/>
          <w:color w:val="auto"/>
          <w:sz w:val="24"/>
          <w:szCs w:val="24"/>
          <w:highlight w:val="none"/>
          <w:u w:val="single"/>
          <w:lang w:val="en-US" w:eastAsia="zh-CN"/>
        </w:rPr>
        <w:t>推荐三名成交候选人。</w:t>
      </w:r>
    </w:p>
    <w:p>
      <w:pPr>
        <w:keepNext w:val="0"/>
        <w:keepLines w:val="0"/>
        <w:pageBreakBefore w:val="0"/>
        <w:kinsoku/>
        <w:wordWrap/>
        <w:overflowPunct/>
        <w:topLinePunct/>
        <w:autoSpaceDE w:val="0"/>
        <w:autoSpaceDN w:val="0"/>
        <w:bidi w:val="0"/>
        <w:adjustRightInd w:val="0"/>
        <w:snapToGrid w:val="0"/>
        <w:spacing w:after="0" w:line="400" w:lineRule="exact"/>
        <w:ind w:firstLine="482" w:firstLineChars="200"/>
        <w:textAlignment w:val="auto"/>
        <w:outlineLvl w:val="1"/>
        <w:rPr>
          <w:rFonts w:hint="eastAsia" w:ascii="宋体" w:hAnsi="宋体" w:eastAsia="宋体" w:cs="宋体"/>
          <w:b/>
          <w:color w:val="auto"/>
          <w:sz w:val="24"/>
          <w:szCs w:val="24"/>
          <w:highlight w:val="none"/>
        </w:rPr>
      </w:pPr>
      <w:bookmarkStart w:id="37" w:name="_Toc7770"/>
      <w:r>
        <w:rPr>
          <w:rFonts w:hint="eastAsia" w:ascii="宋体" w:hAnsi="宋体" w:eastAsia="宋体" w:cs="宋体"/>
          <w:b/>
          <w:color w:val="auto"/>
          <w:sz w:val="24"/>
          <w:szCs w:val="24"/>
          <w:highlight w:val="none"/>
        </w:rPr>
        <w:t>2.评分标准</w:t>
      </w:r>
      <w:bookmarkEnd w:id="37"/>
    </w:p>
    <w:p>
      <w:pPr>
        <w:tabs>
          <w:tab w:val="center" w:pos="4890"/>
        </w:tabs>
        <w:spacing w:line="360" w:lineRule="auto"/>
        <w:ind w:firstLine="560"/>
        <w:rPr>
          <w:rFonts w:ascii="仿宋_GB2312" w:hAnsi="仿宋" w:eastAsia="仿宋_GB2312" w:cs="仿宋_GB2312"/>
          <w:color w:val="auto"/>
          <w:sz w:val="28"/>
          <w:szCs w:val="28"/>
        </w:rPr>
      </w:pPr>
      <w:r>
        <w:rPr>
          <w:rFonts w:hint="eastAsia" w:ascii="宋体" w:hAnsi="宋体" w:eastAsia="宋体" w:cs="宋体"/>
          <w:color w:val="auto"/>
          <w:sz w:val="24"/>
          <w:szCs w:val="24"/>
          <w:highlight w:val="none"/>
        </w:rPr>
        <w:t>2.1 本项目</w:t>
      </w:r>
      <w:r>
        <w:rPr>
          <w:rFonts w:hint="eastAsia" w:ascii="宋体" w:hAnsi="宋体" w:eastAsia="宋体" w:cs="宋体"/>
          <w:b/>
          <w:color w:val="auto"/>
          <w:sz w:val="24"/>
          <w:szCs w:val="24"/>
          <w:highlight w:val="none"/>
          <w:u w:val="single"/>
        </w:rPr>
        <w:t>采用综合评分法</w:t>
      </w:r>
      <w:r>
        <w:rPr>
          <w:rFonts w:hint="eastAsia" w:ascii="宋体" w:hAnsi="宋体" w:eastAsia="宋体" w:cs="宋体"/>
          <w:color w:val="auto"/>
          <w:sz w:val="24"/>
          <w:szCs w:val="24"/>
          <w:highlight w:val="none"/>
        </w:rPr>
        <w:t>进行评分，综合评分法是指响应文件满足采购文件全部实质性要求，且按照评审因素的量化指标评审得分最高的供应商为成交候选供应商的评审方法。</w:t>
      </w:r>
    </w:p>
    <w:p>
      <w:pPr>
        <w:pStyle w:val="38"/>
        <w:keepNext w:val="0"/>
        <w:keepLines w:val="0"/>
        <w:pageBreakBefore w:val="0"/>
        <w:widowControl w:val="0"/>
        <w:kinsoku/>
        <w:wordWrap/>
        <w:overflowPunct/>
        <w:bidi w:val="0"/>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评审因素主要内容如下表。</w:t>
      </w:r>
    </w:p>
    <w:p>
      <w:pPr>
        <w:keepNext w:val="0"/>
        <w:keepLines w:val="0"/>
        <w:pageBreakBefore w:val="0"/>
        <w:kinsoku/>
        <w:wordWrap/>
        <w:overflowPunct/>
        <w:topLinePunct/>
        <w:autoSpaceDE w:val="0"/>
        <w:autoSpaceDN w:val="0"/>
        <w:bidi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本项目价格分值为</w:t>
      </w:r>
      <w:r>
        <w:rPr>
          <w:rFonts w:hint="eastAsia" w:ascii="宋体" w:hAnsi="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rPr>
        <w:t>分，其余评审因素分值为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90 </w:t>
      </w:r>
      <w:r>
        <w:rPr>
          <w:rFonts w:hint="eastAsia" w:ascii="宋体" w:hAnsi="宋体" w:eastAsia="宋体" w:cs="宋体"/>
          <w:color w:val="auto"/>
          <w:sz w:val="24"/>
          <w:szCs w:val="24"/>
          <w:highlight w:val="none"/>
        </w:rPr>
        <w:t>分。</w:t>
      </w:r>
    </w:p>
    <w:p>
      <w:pPr>
        <w:spacing w:line="400" w:lineRule="exact"/>
        <w:ind w:firstLine="354" w:firstLineChars="147"/>
        <w:rPr>
          <w:rFonts w:ascii="宋体" w:hAnsi="宋体" w:cs="宋体"/>
          <w:b/>
          <w:color w:val="auto"/>
          <w:kern w:val="1"/>
          <w:sz w:val="24"/>
          <w:szCs w:val="24"/>
          <w:highlight w:val="none"/>
        </w:rPr>
      </w:pPr>
      <w:r>
        <w:rPr>
          <w:rFonts w:hint="eastAsia" w:ascii="宋体" w:hAnsi="宋体" w:cs="宋体"/>
          <w:b/>
          <w:color w:val="auto"/>
          <w:kern w:val="1"/>
          <w:sz w:val="24"/>
          <w:szCs w:val="24"/>
          <w:highlight w:val="none"/>
        </w:rPr>
        <w:t>各部</w:t>
      </w:r>
      <w:r>
        <w:rPr>
          <w:rFonts w:hint="eastAsia" w:ascii="宋体" w:hAnsi="宋体" w:cs="宋体"/>
          <w:b/>
          <w:color w:val="auto"/>
          <w:kern w:val="1"/>
          <w:sz w:val="24"/>
          <w:szCs w:val="24"/>
          <w:highlight w:val="none"/>
          <w:lang w:val="en-US" w:eastAsia="zh-CN"/>
        </w:rPr>
        <w:t>分</w:t>
      </w:r>
      <w:r>
        <w:rPr>
          <w:rFonts w:hint="eastAsia" w:ascii="宋体" w:hAnsi="宋体" w:cs="宋体"/>
          <w:b/>
          <w:color w:val="auto"/>
          <w:kern w:val="1"/>
          <w:sz w:val="24"/>
          <w:szCs w:val="24"/>
          <w:highlight w:val="none"/>
        </w:rPr>
        <w:t>评分分值分布如下：</w:t>
      </w:r>
    </w:p>
    <w:p>
      <w:pPr>
        <w:pStyle w:val="15"/>
        <w:spacing w:line="400" w:lineRule="exact"/>
        <w:ind w:firstLine="480" w:firstLineChars="200"/>
        <w:rPr>
          <w:rFonts w:hAnsi="宋体" w:cs="宋体"/>
          <w:color w:val="auto"/>
          <w:sz w:val="24"/>
          <w:szCs w:val="24"/>
          <w:highlight w:val="none"/>
        </w:rPr>
      </w:pPr>
      <w:r>
        <w:rPr>
          <w:rFonts w:hAnsi="宋体" w:cs="宋体"/>
          <w:color w:val="auto"/>
          <w:sz w:val="24"/>
          <w:szCs w:val="24"/>
          <w:highlight w:val="none"/>
        </w:rPr>
        <w:t>A</w:t>
      </w:r>
      <w:r>
        <w:rPr>
          <w:rFonts w:hint="eastAsia" w:hAnsi="宋体" w:cs="宋体"/>
          <w:color w:val="auto"/>
          <w:sz w:val="24"/>
          <w:szCs w:val="24"/>
          <w:highlight w:val="none"/>
        </w:rPr>
        <w:t>：价格</w:t>
      </w:r>
      <w:r>
        <w:rPr>
          <w:rFonts w:hAnsi="宋体" w:cs="宋体"/>
          <w:color w:val="auto"/>
          <w:sz w:val="24"/>
          <w:szCs w:val="24"/>
          <w:highlight w:val="none"/>
        </w:rPr>
        <w:t>部分</w:t>
      </w:r>
      <w:r>
        <w:rPr>
          <w:rFonts w:hint="eastAsia" w:hAnsi="宋体" w:cs="宋体"/>
          <w:color w:val="auto"/>
          <w:sz w:val="24"/>
          <w:szCs w:val="24"/>
          <w:highlight w:val="none"/>
        </w:rPr>
        <w:t>评分</w:t>
      </w:r>
      <w:r>
        <w:rPr>
          <w:rFonts w:hAnsi="宋体" w:cs="宋体"/>
          <w:color w:val="auto"/>
          <w:sz w:val="24"/>
          <w:szCs w:val="24"/>
          <w:highlight w:val="none"/>
        </w:rPr>
        <w:t xml:space="preserve">           </w:t>
      </w:r>
      <w:r>
        <w:rPr>
          <w:rFonts w:hint="eastAsia" w:hAnsi="宋体" w:cs="宋体"/>
          <w:color w:val="auto"/>
          <w:sz w:val="24"/>
          <w:szCs w:val="24"/>
          <w:highlight w:val="none"/>
        </w:rPr>
        <w:t>满分</w:t>
      </w:r>
      <w:r>
        <w:rPr>
          <w:rFonts w:hint="eastAsia" w:hAnsi="宋体" w:cs="宋体"/>
          <w:color w:val="auto"/>
          <w:sz w:val="24"/>
          <w:szCs w:val="24"/>
          <w:highlight w:val="none"/>
          <w:lang w:val="en-US" w:eastAsia="zh-CN"/>
        </w:rPr>
        <w:t xml:space="preserve">10 </w:t>
      </w:r>
      <w:r>
        <w:rPr>
          <w:rFonts w:hint="eastAsia" w:hAnsi="宋体" w:cs="宋体"/>
          <w:color w:val="auto"/>
          <w:sz w:val="24"/>
          <w:szCs w:val="24"/>
          <w:highlight w:val="none"/>
        </w:rPr>
        <w:t>分</w:t>
      </w:r>
    </w:p>
    <w:p>
      <w:pPr>
        <w:pStyle w:val="15"/>
        <w:spacing w:line="400" w:lineRule="exact"/>
        <w:ind w:firstLine="480" w:firstLineChars="200"/>
        <w:rPr>
          <w:rFonts w:hint="eastAsia" w:hAnsi="宋体" w:cs="宋体"/>
          <w:color w:val="auto"/>
          <w:sz w:val="24"/>
          <w:szCs w:val="24"/>
          <w:highlight w:val="none"/>
        </w:rPr>
      </w:pPr>
      <w:r>
        <w:rPr>
          <w:rFonts w:hAnsi="宋体" w:cs="宋体"/>
          <w:color w:val="auto"/>
          <w:sz w:val="24"/>
          <w:szCs w:val="24"/>
          <w:highlight w:val="none"/>
        </w:rPr>
        <w:t>B</w:t>
      </w:r>
      <w:r>
        <w:rPr>
          <w:rFonts w:hint="eastAsia" w:hAnsi="宋体" w:cs="宋体"/>
          <w:color w:val="auto"/>
          <w:sz w:val="24"/>
          <w:szCs w:val="24"/>
          <w:highlight w:val="none"/>
        </w:rPr>
        <w:t>：商务部</w:t>
      </w:r>
      <w:r>
        <w:rPr>
          <w:rFonts w:hAnsi="宋体" w:cs="宋体"/>
          <w:color w:val="auto"/>
          <w:sz w:val="24"/>
          <w:szCs w:val="24"/>
          <w:highlight w:val="none"/>
        </w:rPr>
        <w:t>分</w:t>
      </w:r>
      <w:r>
        <w:rPr>
          <w:rFonts w:hint="eastAsia" w:hAnsi="宋体" w:cs="宋体"/>
          <w:color w:val="auto"/>
          <w:sz w:val="24"/>
          <w:szCs w:val="24"/>
          <w:highlight w:val="none"/>
        </w:rPr>
        <w:t>评分</w:t>
      </w:r>
      <w:r>
        <w:rPr>
          <w:rFonts w:hAnsi="宋体" w:cs="宋体"/>
          <w:color w:val="auto"/>
          <w:sz w:val="24"/>
          <w:szCs w:val="24"/>
          <w:highlight w:val="none"/>
        </w:rPr>
        <w:t xml:space="preserve">           </w:t>
      </w:r>
      <w:r>
        <w:rPr>
          <w:rFonts w:hint="eastAsia" w:hAnsi="宋体" w:cs="宋体"/>
          <w:color w:val="auto"/>
          <w:sz w:val="24"/>
          <w:szCs w:val="24"/>
          <w:highlight w:val="none"/>
        </w:rPr>
        <w:t>满分</w:t>
      </w:r>
      <w:r>
        <w:rPr>
          <w:rFonts w:hint="eastAsia" w:hAnsi="宋体" w:cs="宋体"/>
          <w:color w:val="auto"/>
          <w:sz w:val="24"/>
          <w:szCs w:val="24"/>
          <w:highlight w:val="none"/>
          <w:lang w:val="en-US" w:eastAsia="zh-CN"/>
        </w:rPr>
        <w:t>39</w:t>
      </w:r>
      <w:r>
        <w:rPr>
          <w:rFonts w:hint="eastAsia" w:hAnsi="宋体" w:cs="宋体"/>
          <w:color w:val="auto"/>
          <w:sz w:val="24"/>
          <w:szCs w:val="24"/>
          <w:highlight w:val="none"/>
        </w:rPr>
        <w:t>分</w:t>
      </w:r>
    </w:p>
    <w:p>
      <w:pPr>
        <w:pStyle w:val="15"/>
        <w:spacing w:line="400" w:lineRule="exact"/>
        <w:ind w:firstLine="480" w:firstLineChars="200"/>
        <w:rPr>
          <w:rFonts w:hAnsi="宋体" w:cs="宋体"/>
          <w:color w:val="auto"/>
          <w:sz w:val="24"/>
          <w:szCs w:val="24"/>
          <w:highlight w:val="none"/>
        </w:rPr>
      </w:pPr>
      <w:r>
        <w:rPr>
          <w:rFonts w:hAnsi="宋体" w:cs="宋体"/>
          <w:color w:val="auto"/>
          <w:sz w:val="24"/>
          <w:szCs w:val="24"/>
          <w:highlight w:val="none"/>
        </w:rPr>
        <w:t>C</w:t>
      </w:r>
      <w:r>
        <w:rPr>
          <w:rFonts w:hint="eastAsia" w:hAnsi="宋体" w:cs="宋体"/>
          <w:color w:val="auto"/>
          <w:sz w:val="24"/>
          <w:szCs w:val="24"/>
          <w:highlight w:val="none"/>
        </w:rPr>
        <w:t>：技术</w:t>
      </w:r>
      <w:r>
        <w:rPr>
          <w:rFonts w:hAnsi="宋体" w:cs="宋体"/>
          <w:color w:val="auto"/>
          <w:sz w:val="24"/>
          <w:szCs w:val="24"/>
          <w:highlight w:val="none"/>
        </w:rPr>
        <w:t>部分</w:t>
      </w:r>
      <w:r>
        <w:rPr>
          <w:rFonts w:hint="eastAsia" w:hAnsi="宋体" w:cs="宋体"/>
          <w:color w:val="auto"/>
          <w:sz w:val="24"/>
          <w:szCs w:val="24"/>
          <w:highlight w:val="none"/>
        </w:rPr>
        <w:t>评分</w:t>
      </w:r>
      <w:r>
        <w:rPr>
          <w:rFonts w:hAnsi="宋体" w:cs="宋体"/>
          <w:color w:val="auto"/>
          <w:sz w:val="24"/>
          <w:szCs w:val="24"/>
          <w:highlight w:val="none"/>
        </w:rPr>
        <w:t xml:space="preserve">           </w:t>
      </w:r>
      <w:r>
        <w:rPr>
          <w:rFonts w:hint="eastAsia" w:hAnsi="宋体" w:cs="宋体"/>
          <w:color w:val="auto"/>
          <w:sz w:val="24"/>
          <w:szCs w:val="24"/>
          <w:highlight w:val="none"/>
        </w:rPr>
        <w:t>满分</w:t>
      </w:r>
      <w:r>
        <w:rPr>
          <w:rFonts w:hint="eastAsia" w:hAnsi="宋体" w:cs="宋体"/>
          <w:color w:val="auto"/>
          <w:sz w:val="24"/>
          <w:szCs w:val="24"/>
          <w:highlight w:val="none"/>
          <w:lang w:val="en-US" w:eastAsia="zh-CN"/>
        </w:rPr>
        <w:t>51</w:t>
      </w:r>
      <w:r>
        <w:rPr>
          <w:rFonts w:hint="eastAsia" w:hAnsi="宋体" w:cs="宋体"/>
          <w:color w:val="auto"/>
          <w:sz w:val="24"/>
          <w:szCs w:val="24"/>
          <w:highlight w:val="none"/>
        </w:rPr>
        <w:t>分</w:t>
      </w:r>
    </w:p>
    <w:p>
      <w:pPr>
        <w:keepNext w:val="0"/>
        <w:keepLines w:val="0"/>
        <w:pageBreakBefore w:val="0"/>
        <w:kinsoku/>
        <w:wordWrap/>
        <w:overflowPunct/>
        <w:topLinePunct/>
        <w:autoSpaceDE w:val="0"/>
        <w:autoSpaceDN w:val="0"/>
        <w:bidi w:val="0"/>
        <w:spacing w:after="0" w:line="400" w:lineRule="exact"/>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评审标准如下表：</w:t>
      </w:r>
    </w:p>
    <w:tbl>
      <w:tblPr>
        <w:tblStyle w:val="29"/>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31"/>
        <w:gridCol w:w="900"/>
        <w:gridCol w:w="632"/>
        <w:gridCol w:w="1102"/>
        <w:gridCol w:w="4602"/>
        <w:gridCol w:w="6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97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类别</w:t>
            </w:r>
          </w:p>
        </w:tc>
        <w:tc>
          <w:tcPr>
            <w:tcW w:w="67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评审因素</w:t>
            </w:r>
          </w:p>
        </w:tc>
        <w:tc>
          <w:tcPr>
            <w:tcW w:w="119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主要内容</w:t>
            </w:r>
          </w:p>
        </w:tc>
        <w:tc>
          <w:tcPr>
            <w:tcW w:w="485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指标要求</w:t>
            </w:r>
          </w:p>
        </w:tc>
        <w:tc>
          <w:tcPr>
            <w:tcW w:w="676" w:type="dxa"/>
            <w:tcBorders>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细项分值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9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价格分 (1</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分)</w:t>
            </w:r>
          </w:p>
        </w:tc>
        <w:tc>
          <w:tcPr>
            <w:tcW w:w="6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价格</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pStyle w:val="38"/>
              <w:widowControl w:val="0"/>
              <w:shd w:val="clear" w:color="auto" w:fill="auto"/>
              <w:snapToGrid w:val="0"/>
              <w:spacing w:line="276" w:lineRule="auto"/>
              <w:jc w:val="both"/>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磋商报价得分=（磋商基准价／最后磋商报价）×满分值</w:t>
            </w:r>
          </w:p>
          <w:p>
            <w:pPr>
              <w:pStyle w:val="38"/>
              <w:widowControl w:val="0"/>
              <w:shd w:val="clear" w:color="auto" w:fill="auto"/>
              <w:snapToGrid w:val="0"/>
              <w:spacing w:line="276" w:lineRule="auto"/>
              <w:jc w:val="both"/>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（1）磋商基准价为满足磋商文件要求且最后报价最低的供应商的价格。</w:t>
            </w:r>
          </w:p>
          <w:p>
            <w:pPr>
              <w:spacing w:before="48" w:after="48"/>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（2）因落实政府采购政策进行价格调整的，以调整后的价格计算磋商基准价和最后磋商报价。</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bidi="ar-SA"/>
                <w14:textFill>
                  <w14:solidFill>
                    <w14:schemeClr w14:val="tx1"/>
                  </w14:solidFill>
                </w14:textFill>
              </w:rPr>
              <w:t>注：</w:t>
            </w:r>
            <w:r>
              <w:rPr>
                <w:rFonts w:hint="eastAsia" w:ascii="宋体" w:hAnsi="宋体" w:eastAsia="宋体" w:cs="宋体"/>
                <w:color w:val="000000" w:themeColor="text1"/>
                <w:sz w:val="24"/>
                <w:szCs w:val="24"/>
                <w:lang w:val="zh-CN" w:eastAsia="zh-CN" w:bidi="ar-SA"/>
                <w14:textFill>
                  <w14:solidFill>
                    <w14:schemeClr w14:val="tx1"/>
                  </w14:solidFill>
                </w14:textFill>
              </w:rPr>
              <w:t>采购人不接受供应商的恶意低价竞争，</w:t>
            </w:r>
            <w:r>
              <w:rPr>
                <w:rFonts w:hint="eastAsia" w:ascii="宋体" w:hAnsi="宋体" w:eastAsia="宋体" w:cs="宋体"/>
                <w:color w:val="000000" w:themeColor="text1"/>
                <w:sz w:val="24"/>
                <w:szCs w:val="24"/>
                <w:lang w:val="en-US" w:eastAsia="zh-CN" w:bidi="ar-SA"/>
                <w14:textFill>
                  <w14:solidFill>
                    <w14:schemeClr w14:val="tx1"/>
                  </w14:solidFill>
                </w14:textFill>
              </w:rPr>
              <w:t>磋商小组</w:t>
            </w:r>
            <w:r>
              <w:rPr>
                <w:rFonts w:hint="eastAsia" w:ascii="宋体" w:hAnsi="宋体" w:eastAsia="宋体" w:cs="宋体"/>
                <w:color w:val="000000" w:themeColor="text1"/>
                <w:sz w:val="24"/>
                <w:szCs w:val="24"/>
                <w:lang w:val="zh-CN" w:eastAsia="zh-CN" w:bidi="ar-SA"/>
                <w14:textFill>
                  <w14:solidFill>
                    <w14:schemeClr w14:val="tx1"/>
                  </w14:solidFill>
                </w14:textFill>
              </w:rPr>
              <w:t>认为供应商的报价明显低于其他通过符合性审查</w:t>
            </w:r>
            <w:r>
              <w:rPr>
                <w:rFonts w:hint="eastAsia" w:ascii="宋体" w:hAnsi="宋体" w:eastAsia="宋体" w:cs="宋体"/>
                <w:color w:val="000000" w:themeColor="text1"/>
                <w:sz w:val="24"/>
                <w:szCs w:val="24"/>
                <w:lang w:val="en-US" w:eastAsia="zh-CN" w:bidi="ar-SA"/>
                <w14:textFill>
                  <w14:solidFill>
                    <w14:schemeClr w14:val="tx1"/>
                  </w14:solidFill>
                </w14:textFill>
              </w:rPr>
              <w:t>的</w:t>
            </w:r>
            <w:r>
              <w:rPr>
                <w:rFonts w:hint="eastAsia" w:ascii="宋体" w:hAnsi="宋体" w:eastAsia="宋体" w:cs="宋体"/>
                <w:color w:val="000000" w:themeColor="text1"/>
                <w:sz w:val="24"/>
                <w:szCs w:val="24"/>
                <w:lang w:val="zh-CN" w:eastAsia="zh-CN" w:bidi="ar-SA"/>
                <w14:textFill>
                  <w14:solidFill>
                    <w14:schemeClr w14:val="tx1"/>
                  </w14:solidFill>
                </w14:textFill>
              </w:rPr>
              <w:t>供应商的报价，有可能影响产品质量或者不能诚信履约的，要求其在评标现场提供书面说明，并提交相关证明材料，供应商不能证明其报价合理性的，</w:t>
            </w:r>
            <w:r>
              <w:rPr>
                <w:rFonts w:hint="eastAsia" w:ascii="宋体" w:hAnsi="宋体" w:eastAsia="宋体" w:cs="宋体"/>
                <w:color w:val="000000" w:themeColor="text1"/>
                <w:sz w:val="24"/>
                <w:szCs w:val="24"/>
                <w:lang w:val="en-US" w:eastAsia="zh-CN" w:bidi="ar-SA"/>
                <w14:textFill>
                  <w14:solidFill>
                    <w14:schemeClr w14:val="tx1"/>
                  </w14:solidFill>
                </w14:textFill>
              </w:rPr>
              <w:t>磋商小组</w:t>
            </w:r>
            <w:r>
              <w:rPr>
                <w:rFonts w:hint="eastAsia" w:ascii="宋体" w:hAnsi="宋体" w:eastAsia="宋体" w:cs="宋体"/>
                <w:color w:val="000000" w:themeColor="text1"/>
                <w:sz w:val="24"/>
                <w:szCs w:val="24"/>
                <w:lang w:val="zh-CN" w:eastAsia="zh-CN" w:bidi="ar-SA"/>
                <w14:textFill>
                  <w14:solidFill>
                    <w14:schemeClr w14:val="tx1"/>
                  </w14:solidFill>
                </w14:textFill>
              </w:rPr>
              <w:t>将对其作为无效投标处理。</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970"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商务</w:t>
            </w:r>
            <w:r>
              <w:rPr>
                <w:rFonts w:hint="eastAsia" w:ascii="宋体" w:hAnsi="宋体" w:eastAsia="宋体" w:cs="宋体"/>
                <w:color w:val="000000" w:themeColor="text1"/>
                <w:sz w:val="24"/>
                <w:szCs w:val="24"/>
                <w14:textFill>
                  <w14:solidFill>
                    <w14:schemeClr w14:val="tx1"/>
                  </w14:solidFill>
                </w14:textFill>
              </w:rPr>
              <w:t>分 (3</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分)</w:t>
            </w:r>
          </w:p>
        </w:tc>
        <w:tc>
          <w:tcPr>
            <w:tcW w:w="670"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履约能力</w:t>
            </w: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企业认证</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供应商提供有效期内的ISO9001质量管理体系认证证书、ISO45001职业健康安全管理体系认证证书</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每提供一类得3分，本项最高可得6分。</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注：须提供有效期内的相关证书复印件</w:t>
            </w:r>
            <w:r>
              <w:rPr>
                <w:rFonts w:hint="eastAsia" w:ascii="宋体" w:hAnsi="宋体" w:eastAsia="宋体" w:cs="宋体"/>
                <w:color w:val="000000" w:themeColor="text1"/>
                <w:sz w:val="24"/>
                <w:szCs w:val="24"/>
                <w:lang w:val="en-US" w:eastAsia="zh-CN"/>
                <w14:textFill>
                  <w14:solidFill>
                    <w14:schemeClr w14:val="tx1"/>
                  </w14:solidFill>
                </w14:textFill>
              </w:rPr>
              <w:t>或提供</w:t>
            </w:r>
            <w:r>
              <w:rPr>
                <w:rFonts w:hint="eastAsia" w:ascii="宋体" w:hAnsi="宋体" w:eastAsia="宋体" w:cs="宋体"/>
                <w:color w:val="000000" w:themeColor="text1"/>
                <w:sz w:val="24"/>
                <w:szCs w:val="24"/>
                <w14:textFill>
                  <w14:solidFill>
                    <w14:schemeClr w14:val="tx1"/>
                  </w14:solidFill>
                </w14:textFill>
              </w:rPr>
              <w:t>国家认证认可监督管理委员会(http://www.cnca.gov.cn)【或中国合格评定国家认可委员会(https://www.cnas.org.cn)】网站的下载网页并注明网址，否则不得分。</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970" w:type="dxa"/>
            <w:vMerge w:val="continue"/>
            <w:tcBorders>
              <w:left w:val="single" w:color="000000" w:sz="4" w:space="0"/>
              <w:right w:val="single" w:color="000000"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670" w:type="dxa"/>
            <w:vMerge w:val="continue"/>
            <w:tcBorders>
              <w:left w:val="single" w:color="000000" w:sz="4" w:space="0"/>
              <w:right w:val="single" w:color="000000"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企业人员证书</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供应商具有专职法务团队，有专职法务人员处理各类劳务纠纷，提供律师证或法律职业资格证书得</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分。</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注：须提供有效证书复印件或取得证书官方网站公示截图（或证书状态体现为“有效”的查询结果的网页截图）、提交响应文件截止之前六个月</w:t>
            </w:r>
            <w:r>
              <w:rPr>
                <w:rFonts w:hint="eastAsia" w:ascii="宋体" w:hAnsi="宋体" w:eastAsia="宋体" w:cs="宋体"/>
                <w:color w:val="000000" w:themeColor="text1"/>
                <w:sz w:val="24"/>
                <w:szCs w:val="24"/>
                <w:lang w:val="en-US" w:eastAsia="zh-CN"/>
                <w14:textFill>
                  <w14:solidFill>
                    <w14:schemeClr w14:val="tx1"/>
                  </w14:solidFill>
                </w14:textFill>
              </w:rPr>
              <w:t>内</w:t>
            </w:r>
            <w:r>
              <w:rPr>
                <w:rFonts w:hint="eastAsia" w:ascii="宋体" w:hAnsi="宋体" w:eastAsia="宋体" w:cs="宋体"/>
                <w:color w:val="000000" w:themeColor="text1"/>
                <w:sz w:val="24"/>
                <w:szCs w:val="24"/>
                <w:lang w:eastAsia="zh-CN"/>
                <w14:textFill>
                  <w14:solidFill>
                    <w14:schemeClr w14:val="tx1"/>
                  </w14:solidFill>
                </w14:textFill>
              </w:rPr>
              <w:t>任意一个月供应商为其缴纳的社保证明材料并加盖供应商公章（若为提交响应文件截止当月成立的供应商，提供社保增员材料视为满足该条件）。</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4" w:hRule="atLeast"/>
        </w:trPr>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970" w:type="dxa"/>
            <w:vMerge w:val="continue"/>
            <w:tcBorders>
              <w:left w:val="single" w:color="000000" w:sz="4" w:space="0"/>
              <w:right w:val="single" w:color="000000"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670" w:type="dxa"/>
            <w:vMerge w:val="continue"/>
            <w:tcBorders>
              <w:left w:val="single" w:color="000000" w:sz="4" w:space="0"/>
              <w:right w:val="single" w:color="000000"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i w:val="0"/>
                <w:iCs w:val="0"/>
                <w:smallCaps w:val="0"/>
                <w:color w:val="000000" w:themeColor="text1"/>
                <w:sz w:val="24"/>
                <w:szCs w:val="24"/>
                <w14:textFill>
                  <w14:solidFill>
                    <w14:schemeClr w14:val="tx1"/>
                  </w14:solidFill>
                </w14:textFill>
              </w:rPr>
              <w:t>团队管理（项目经理）</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val="0"/>
                <w:bCs w:val="0"/>
                <w:i w:val="0"/>
                <w:iCs w:val="0"/>
                <w:smallCaps w:val="0"/>
                <w:color w:val="000000" w:themeColor="text1"/>
                <w:sz w:val="24"/>
                <w:szCs w:val="24"/>
                <w14:textFill>
                  <w14:solidFill>
                    <w14:schemeClr w14:val="tx1"/>
                  </w14:solidFill>
                </w14:textFill>
              </w:rPr>
              <w:t>根据</w:t>
            </w:r>
            <w:r>
              <w:rPr>
                <w:rFonts w:hint="eastAsia" w:ascii="宋体" w:hAnsi="宋体" w:eastAsia="宋体" w:cs="宋体"/>
                <w:b w:val="0"/>
                <w:bCs w:val="0"/>
                <w:i w:val="0"/>
                <w:iCs w:val="0"/>
                <w:smallCaps w:val="0"/>
                <w:color w:val="000000" w:themeColor="text1"/>
                <w:sz w:val="24"/>
                <w:szCs w:val="24"/>
                <w:lang w:eastAsia="zh-CN"/>
                <w14:textFill>
                  <w14:solidFill>
                    <w14:schemeClr w14:val="tx1"/>
                  </w14:solidFill>
                </w14:textFill>
              </w:rPr>
              <w:t>供应商</w:t>
            </w:r>
            <w:r>
              <w:rPr>
                <w:rFonts w:hint="eastAsia" w:ascii="宋体" w:hAnsi="宋体" w:eastAsia="宋体" w:cs="宋体"/>
                <w:b w:val="0"/>
                <w:bCs w:val="0"/>
                <w:i w:val="0"/>
                <w:iCs w:val="0"/>
                <w:smallCaps w:val="0"/>
                <w:color w:val="000000" w:themeColor="text1"/>
                <w:sz w:val="24"/>
                <w:szCs w:val="24"/>
                <w14:textFill>
                  <w14:solidFill>
                    <w14:schemeClr w14:val="tx1"/>
                  </w14:solidFill>
                </w14:textFill>
              </w:rPr>
              <w:t>拟</w:t>
            </w:r>
            <w:r>
              <w:rPr>
                <w:rFonts w:hint="eastAsia" w:ascii="宋体" w:hAnsi="宋体" w:eastAsia="宋体" w:cs="宋体"/>
                <w:b w:val="0"/>
                <w:bCs w:val="0"/>
                <w:i w:val="0"/>
                <w:iCs w:val="0"/>
                <w:smallCaps w:val="0"/>
                <w:color w:val="000000" w:themeColor="text1"/>
                <w:sz w:val="24"/>
                <w:szCs w:val="24"/>
                <w:lang w:eastAsia="zh-CN"/>
                <w14:textFill>
                  <w14:solidFill>
                    <w14:schemeClr w14:val="tx1"/>
                  </w14:solidFill>
                </w14:textFill>
              </w:rPr>
              <w:t>为</w:t>
            </w:r>
            <w:r>
              <w:rPr>
                <w:rFonts w:hint="eastAsia" w:ascii="宋体" w:hAnsi="宋体" w:eastAsia="宋体" w:cs="宋体"/>
                <w:b w:val="0"/>
                <w:bCs w:val="0"/>
                <w:i w:val="0"/>
                <w:iCs w:val="0"/>
                <w:smallCaps w:val="0"/>
                <w:color w:val="000000" w:themeColor="text1"/>
                <w:sz w:val="24"/>
                <w:szCs w:val="24"/>
                <w14:textFill>
                  <w14:solidFill>
                    <w14:schemeClr w14:val="tx1"/>
                  </w14:solidFill>
                </w14:textFill>
              </w:rPr>
              <w:t>本项目配备的项目经理情况进行评分。具有与本项目</w:t>
            </w:r>
            <w:r>
              <w:rPr>
                <w:rFonts w:hint="eastAsia" w:ascii="宋体" w:hAnsi="宋体" w:eastAsia="宋体" w:cs="宋体"/>
                <w:color w:val="000000" w:themeColor="text1"/>
                <w:sz w:val="24"/>
                <w:szCs w:val="24"/>
                <w14:textFill>
                  <w14:solidFill>
                    <w14:schemeClr w14:val="tx1"/>
                  </w14:solidFill>
                </w14:textFill>
              </w:rPr>
              <w:t>辅助性服务</w:t>
            </w:r>
            <w:r>
              <w:rPr>
                <w:rFonts w:hint="eastAsia" w:ascii="宋体" w:hAnsi="宋体" w:eastAsia="宋体" w:cs="宋体"/>
                <w:b w:val="0"/>
                <w:bCs w:val="0"/>
                <w:i w:val="0"/>
                <w:iCs w:val="0"/>
                <w:smallCaps w:val="0"/>
                <w:color w:val="000000" w:themeColor="text1"/>
                <w:sz w:val="24"/>
                <w:szCs w:val="24"/>
                <w14:textFill>
                  <w14:solidFill>
                    <w14:schemeClr w14:val="tx1"/>
                  </w14:solidFill>
                </w14:textFill>
              </w:rPr>
              <w:t>相似岗位(见项目需求中的岗位</w:t>
            </w:r>
            <w:r>
              <w:rPr>
                <w:rFonts w:hint="eastAsia" w:ascii="宋体" w:hAnsi="宋体" w:eastAsia="宋体" w:cs="宋体"/>
                <w:b w:val="0"/>
                <w:bCs w:val="0"/>
                <w:i w:val="0"/>
                <w:iCs w:val="0"/>
                <w:smallCaps w:val="0"/>
                <w:color w:val="000000" w:themeColor="text1"/>
                <w:sz w:val="24"/>
                <w:szCs w:val="24"/>
                <w:lang w:eastAsia="zh-CN"/>
                <w14:textFill>
                  <w14:solidFill>
                    <w14:schemeClr w14:val="tx1"/>
                  </w14:solidFill>
                </w14:textFill>
              </w:rPr>
              <w:t>及数量</w:t>
            </w:r>
            <w:r>
              <w:rPr>
                <w:rFonts w:hint="eastAsia" w:ascii="宋体" w:hAnsi="宋体" w:eastAsia="宋体" w:cs="宋体"/>
                <w:b w:val="0"/>
                <w:bCs w:val="0"/>
                <w:i w:val="0"/>
                <w:iCs w:val="0"/>
                <w:smallCaps w:val="0"/>
                <w:color w:val="000000" w:themeColor="text1"/>
                <w:sz w:val="24"/>
                <w:szCs w:val="24"/>
                <w14:textFill>
                  <w14:solidFill>
                    <w14:schemeClr w14:val="tx1"/>
                  </w14:solidFill>
                </w14:textFill>
              </w:rPr>
              <w:t>需求)5年及以上管理工作经验的</w:t>
            </w:r>
            <w:r>
              <w:rPr>
                <w:rFonts w:hint="eastAsia" w:ascii="宋体" w:hAnsi="宋体" w:eastAsia="宋体" w:cs="宋体"/>
                <w:b w:val="0"/>
                <w:bCs w:val="0"/>
                <w:i w:val="0"/>
                <w:iCs w:val="0"/>
                <w:smallCaps w:val="0"/>
                <w:color w:val="000000" w:themeColor="text1"/>
                <w:sz w:val="24"/>
                <w:szCs w:val="24"/>
                <w:lang w:val="en-US" w:eastAsia="zh-CN"/>
                <w14:textFill>
                  <w14:solidFill>
                    <w14:schemeClr w14:val="tx1"/>
                  </w14:solidFill>
                </w14:textFill>
              </w:rPr>
              <w:t>5</w:t>
            </w:r>
            <w:r>
              <w:rPr>
                <w:rFonts w:hint="eastAsia" w:ascii="宋体" w:hAnsi="宋体" w:eastAsia="宋体" w:cs="宋体"/>
                <w:b w:val="0"/>
                <w:bCs w:val="0"/>
                <w:i w:val="0"/>
                <w:iCs w:val="0"/>
                <w:smallCaps w:val="0"/>
                <w:color w:val="000000" w:themeColor="text1"/>
                <w:sz w:val="24"/>
                <w:szCs w:val="24"/>
                <w14:textFill>
                  <w14:solidFill>
                    <w14:schemeClr w14:val="tx1"/>
                  </w14:solidFill>
                </w14:textFill>
              </w:rPr>
              <w:t>分；具有3年及以上并在5年以下管理工作经验的得</w:t>
            </w:r>
            <w:r>
              <w:rPr>
                <w:rFonts w:hint="eastAsia" w:ascii="宋体" w:hAnsi="宋体" w:eastAsia="宋体" w:cs="宋体"/>
                <w:b w:val="0"/>
                <w:bCs w:val="0"/>
                <w:i w:val="0"/>
                <w:iCs w:val="0"/>
                <w:smallCap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i w:val="0"/>
                <w:iCs w:val="0"/>
                <w:smallCaps w:val="0"/>
                <w:color w:val="000000" w:themeColor="text1"/>
                <w:sz w:val="24"/>
                <w:szCs w:val="24"/>
                <w14:textFill>
                  <w14:solidFill>
                    <w14:schemeClr w14:val="tx1"/>
                  </w14:solidFill>
                </w14:textFill>
              </w:rPr>
              <w:t>分；其它情况不得分。</w:t>
            </w:r>
            <w:r>
              <w:rPr>
                <w:rFonts w:hint="eastAsia" w:ascii="宋体" w:hAnsi="宋体" w:eastAsia="宋体" w:cs="宋体"/>
                <w:b w:val="0"/>
                <w:bCs w:val="0"/>
                <w:i w:val="0"/>
                <w:iCs w:val="0"/>
                <w:smallCaps w:val="0"/>
                <w:color w:val="000000" w:themeColor="text1"/>
                <w:sz w:val="24"/>
                <w:szCs w:val="24"/>
                <w14:textFill>
                  <w14:solidFill>
                    <w14:schemeClr w14:val="tx1"/>
                  </w14:solidFill>
                </w14:textFill>
              </w:rPr>
              <w:br w:type="textWrapping"/>
            </w:r>
            <w:r>
              <w:rPr>
                <w:rFonts w:hint="eastAsia" w:ascii="宋体" w:hAnsi="宋体" w:eastAsia="宋体" w:cs="宋体"/>
                <w:b w:val="0"/>
                <w:bCs w:val="0"/>
                <w:i w:val="0"/>
                <w:iCs w:val="0"/>
                <w:smallCaps w:val="0"/>
                <w:color w:val="000000" w:themeColor="text1"/>
                <w:sz w:val="24"/>
                <w:szCs w:val="24"/>
                <w:lang w:eastAsia="zh-CN"/>
                <w14:textFill>
                  <w14:solidFill>
                    <w14:schemeClr w14:val="tx1"/>
                  </w14:solidFill>
                </w14:textFill>
              </w:rPr>
              <w:t>注：需</w:t>
            </w:r>
            <w:r>
              <w:rPr>
                <w:rFonts w:hint="eastAsia" w:ascii="宋体" w:hAnsi="宋体" w:eastAsia="宋体" w:cs="宋体"/>
                <w:b w:val="0"/>
                <w:bCs w:val="0"/>
                <w:i w:val="0"/>
                <w:iCs w:val="0"/>
                <w:smallCaps w:val="0"/>
                <w:color w:val="000000" w:themeColor="text1"/>
                <w:sz w:val="24"/>
                <w:szCs w:val="24"/>
                <w14:textFill>
                  <w14:solidFill>
                    <w14:schemeClr w14:val="tx1"/>
                  </w14:solidFill>
                </w14:textFill>
              </w:rPr>
              <w:t>提供</w:t>
            </w:r>
            <w:r>
              <w:rPr>
                <w:rFonts w:hint="eastAsia" w:ascii="宋体" w:hAnsi="宋体" w:eastAsia="宋体" w:cs="宋体"/>
                <w:b w:val="0"/>
                <w:bCs w:val="0"/>
                <w:i w:val="0"/>
                <w:iCs w:val="0"/>
                <w:smallCaps w:val="0"/>
                <w:color w:val="000000" w:themeColor="text1"/>
                <w:sz w:val="24"/>
                <w:szCs w:val="24"/>
                <w:lang w:eastAsia="zh-CN"/>
                <w14:textFill>
                  <w14:solidFill>
                    <w14:schemeClr w14:val="tx1"/>
                  </w14:solidFill>
                </w14:textFill>
              </w:rPr>
              <w:t>拟配备</w:t>
            </w:r>
            <w:r>
              <w:rPr>
                <w:rFonts w:hint="eastAsia" w:ascii="宋体" w:hAnsi="宋体" w:eastAsia="宋体" w:cs="宋体"/>
                <w:b w:val="0"/>
                <w:bCs w:val="0"/>
                <w:i w:val="0"/>
                <w:iCs w:val="0"/>
                <w:smallCaps w:val="0"/>
                <w:color w:val="000000" w:themeColor="text1"/>
                <w:sz w:val="24"/>
                <w:szCs w:val="24"/>
                <w14:textFill>
                  <w14:solidFill>
                    <w14:schemeClr w14:val="tx1"/>
                  </w14:solidFill>
                </w14:textFill>
              </w:rPr>
              <w:t>人员</w:t>
            </w:r>
            <w:r>
              <w:rPr>
                <w:rFonts w:hint="eastAsia" w:ascii="宋体" w:hAnsi="宋体" w:eastAsia="宋体" w:cs="宋体"/>
                <w:b w:val="0"/>
                <w:bCs w:val="0"/>
                <w:i w:val="0"/>
                <w:iCs w:val="0"/>
                <w:smallCaps w:val="0"/>
                <w:color w:val="000000" w:themeColor="text1"/>
                <w:sz w:val="24"/>
                <w:szCs w:val="24"/>
                <w:lang w:eastAsia="zh-CN"/>
                <w14:textFill>
                  <w14:solidFill>
                    <w14:schemeClr w14:val="tx1"/>
                  </w14:solidFill>
                </w14:textFill>
              </w:rPr>
              <w:t>的</w:t>
            </w:r>
            <w:r>
              <w:rPr>
                <w:rFonts w:hint="eastAsia" w:ascii="宋体" w:hAnsi="宋体" w:eastAsia="宋体" w:cs="宋体"/>
                <w:b w:val="0"/>
                <w:bCs w:val="0"/>
                <w:i w:val="0"/>
                <w:iCs w:val="0"/>
                <w:smallCaps w:val="0"/>
                <w:color w:val="000000" w:themeColor="text1"/>
                <w:sz w:val="24"/>
                <w:szCs w:val="24"/>
                <w14:textFill>
                  <w14:solidFill>
                    <w14:schemeClr w14:val="tx1"/>
                  </w14:solidFill>
                </w14:textFill>
              </w:rPr>
              <w:t>聘用合同、相关经验证明、</w:t>
            </w:r>
            <w:r>
              <w:rPr>
                <w:rFonts w:hint="eastAsia" w:ascii="宋体" w:hAnsi="宋体" w:eastAsia="宋体" w:cs="宋体"/>
                <w:color w:val="000000" w:themeColor="text1"/>
                <w:sz w:val="24"/>
                <w:szCs w:val="24"/>
                <w:lang w:eastAsia="zh-CN"/>
                <w14:textFill>
                  <w14:solidFill>
                    <w14:schemeClr w14:val="tx1"/>
                  </w14:solidFill>
                </w14:textFill>
              </w:rPr>
              <w:t>提交响应文件截止之前六个月</w:t>
            </w:r>
            <w:r>
              <w:rPr>
                <w:rFonts w:hint="eastAsia" w:ascii="宋体" w:hAnsi="宋体" w:eastAsia="宋体" w:cs="宋体"/>
                <w:color w:val="000000" w:themeColor="text1"/>
                <w:sz w:val="24"/>
                <w:szCs w:val="24"/>
                <w:lang w:val="en-US" w:eastAsia="zh-CN"/>
                <w14:textFill>
                  <w14:solidFill>
                    <w14:schemeClr w14:val="tx1"/>
                  </w14:solidFill>
                </w14:textFill>
              </w:rPr>
              <w:t>内</w:t>
            </w:r>
            <w:r>
              <w:rPr>
                <w:rFonts w:hint="eastAsia" w:ascii="宋体" w:hAnsi="宋体" w:eastAsia="宋体" w:cs="宋体"/>
                <w:b w:val="0"/>
                <w:bCs w:val="0"/>
                <w:i w:val="0"/>
                <w:iCs w:val="0"/>
                <w:smallCaps w:val="0"/>
                <w:color w:val="000000" w:themeColor="text1"/>
                <w:sz w:val="24"/>
                <w:szCs w:val="24"/>
                <w14:textFill>
                  <w14:solidFill>
                    <w14:schemeClr w14:val="tx1"/>
                  </w14:solidFill>
                </w14:textFill>
              </w:rPr>
              <w:t>任意一个月在</w:t>
            </w:r>
            <w:r>
              <w:rPr>
                <w:rFonts w:hint="eastAsia" w:ascii="宋体" w:hAnsi="宋体" w:eastAsia="宋体" w:cs="宋体"/>
                <w:b w:val="0"/>
                <w:bCs w:val="0"/>
                <w:i w:val="0"/>
                <w:iCs w:val="0"/>
                <w:smallCaps w:val="0"/>
                <w:color w:val="000000" w:themeColor="text1"/>
                <w:sz w:val="24"/>
                <w:szCs w:val="24"/>
                <w:lang w:eastAsia="zh-CN"/>
                <w14:textFill>
                  <w14:solidFill>
                    <w14:schemeClr w14:val="tx1"/>
                  </w14:solidFill>
                </w14:textFill>
              </w:rPr>
              <w:t>供应商</w:t>
            </w:r>
            <w:r>
              <w:rPr>
                <w:rFonts w:hint="eastAsia" w:ascii="宋体" w:hAnsi="宋体" w:eastAsia="宋体" w:cs="宋体"/>
                <w:b w:val="0"/>
                <w:bCs w:val="0"/>
                <w:i w:val="0"/>
                <w:iCs w:val="0"/>
                <w:smallCaps w:val="0"/>
                <w:color w:val="000000" w:themeColor="text1"/>
                <w:sz w:val="24"/>
                <w:szCs w:val="24"/>
                <w14:textFill>
                  <w14:solidFill>
                    <w14:schemeClr w14:val="tx1"/>
                  </w14:solidFill>
                </w14:textFill>
              </w:rPr>
              <w:t>单位缴纳社保的证明材料，否则不得分。</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970" w:type="dxa"/>
            <w:vMerge w:val="continue"/>
            <w:tcBorders>
              <w:left w:val="single" w:color="000000" w:sz="4" w:space="0"/>
              <w:right w:val="single" w:color="000000"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670" w:type="dxa"/>
            <w:vMerge w:val="continue"/>
            <w:tcBorders>
              <w:left w:val="single" w:color="000000" w:sz="4" w:space="0"/>
              <w:right w:val="single" w:color="000000"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人员投保</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供应商承诺成交后，应为本项目的服务人员购买人身意外伤害险：</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30万≤承诺保险赔偿金额＜60万，得2分；</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60万≤承诺保险赔偿金额＜100万，得4分；</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100万≤承诺保险赔偿金额，得6分；</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本项最高可得6分。</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注：供应商需提供书面承诺函并加盖供应商公章。供应商需在合同签订后10个工作日内，向采购人提供保单或保险合同、购买发票等相关证明文件的复印件并加盖公章。</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970" w:type="dxa"/>
            <w:vMerge w:val="continue"/>
            <w:tcBorders>
              <w:left w:val="single" w:color="000000" w:sz="4" w:space="0"/>
              <w:right w:val="single" w:color="000000"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670" w:type="dxa"/>
            <w:vMerge w:val="continue"/>
            <w:tcBorders>
              <w:left w:val="single" w:color="000000" w:sz="4" w:space="0"/>
              <w:right w:val="single" w:color="000000"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公共责任风险控制</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供应商承诺成交后，应在服务有效期内为服务项目购买公共责任险：</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100万≤投保公众责任险累计赔偿限额＜300万，得2分；</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300万≤投保公众责任险累计赔偿限额＜600万，得4分；</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600万≤投保公众责任险累计赔偿限额，得6分；</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本项最高可得6分。</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注：供应商需提供书面承诺函并加盖供应商公章，格式自拟。供应商需在合同签订后10个工作日内，向采购人提供保单或保险合同、购买发票等相关证明文件的复印件并加盖公章。</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p>
        </w:tc>
        <w:tc>
          <w:tcPr>
            <w:tcW w:w="970" w:type="dxa"/>
            <w:vMerge w:val="continue"/>
            <w:tcBorders>
              <w:left w:val="single" w:color="000000" w:sz="4" w:space="0"/>
              <w:right w:val="single" w:color="000000"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670" w:type="dxa"/>
            <w:vMerge w:val="continue"/>
            <w:tcBorders>
              <w:left w:val="single" w:color="000000" w:sz="4" w:space="0"/>
              <w:right w:val="single" w:color="000000"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服务响应承诺情况</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承诺遇应急情况（如人员突发疾病、工伤亡处理、劳动争议等）须紧急处理的，从接到采购人通知到采购人处的响应时间＜0.5个小时的得4分；0.5个小时≤响应时间＜1个小时的得2分；响应时间≥1小时的得1分。提供承诺函（格式自拟），否则不得分。本项最高可得 4 分。</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注：供应商需提供书面承诺函并加盖供应商公章，格式自拟。</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970" w:type="dxa"/>
            <w:vMerge w:val="continue"/>
            <w:tcBorders>
              <w:left w:val="single" w:color="000000" w:sz="4" w:space="0"/>
              <w:right w:val="single" w:color="000000"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670" w:type="dxa"/>
            <w:vMerge w:val="continue"/>
            <w:tcBorders>
              <w:left w:val="single" w:color="000000" w:sz="4" w:space="0"/>
              <w:right w:val="single" w:color="000000"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项目案例</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供应商提交202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年以来通过各类采购取得的服务外包项目案例，每提供一份得1分，本项最高可得</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分。</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注：同一个被服务单位（以合同签订的不同法人主体作为不同的被服务单位）只按一项案例计算。需提供中标（成交）通知书或合同复印件为佐证材料并加盖公章</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970" w:type="dxa"/>
            <w:vMerge w:val="continue"/>
            <w:tcBorders>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670" w:type="dxa"/>
            <w:vMerge w:val="continue"/>
            <w:tcBorders>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项目满意度评价</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供应商提供202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年以来通过各类采购取得的服务外包项目满意度评价表，每提供一份优秀等肯定性评价的满意度评价表得1分，本项最高可得</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须提供加盖甲方盖章的</w:t>
            </w:r>
            <w:r>
              <w:rPr>
                <w:rFonts w:hint="eastAsia" w:ascii="宋体" w:hAnsi="宋体" w:eastAsia="宋体" w:cs="宋体"/>
                <w:color w:val="000000" w:themeColor="text1"/>
                <w:sz w:val="24"/>
                <w:szCs w:val="24"/>
                <w:lang w:eastAsia="zh-CN"/>
                <w14:textFill>
                  <w14:solidFill>
                    <w14:schemeClr w14:val="tx1"/>
                  </w14:solidFill>
                </w14:textFill>
              </w:rPr>
              <w:t>满意度评价表为佐证材料并加盖</w:t>
            </w:r>
            <w:r>
              <w:rPr>
                <w:rFonts w:hint="eastAsia" w:ascii="宋体" w:hAnsi="宋体" w:eastAsia="宋体" w:cs="宋体"/>
                <w:color w:val="000000" w:themeColor="text1"/>
                <w:sz w:val="24"/>
                <w:szCs w:val="24"/>
                <w:lang w:val="en-US" w:eastAsia="zh-CN"/>
                <w14:textFill>
                  <w14:solidFill>
                    <w14:schemeClr w14:val="tx1"/>
                  </w14:solidFill>
                </w14:textFill>
              </w:rPr>
              <w:t>供应商单位</w:t>
            </w:r>
            <w:r>
              <w:rPr>
                <w:rFonts w:hint="eastAsia" w:ascii="宋体" w:hAnsi="宋体" w:eastAsia="宋体" w:cs="宋体"/>
                <w:color w:val="000000" w:themeColor="text1"/>
                <w:sz w:val="24"/>
                <w:szCs w:val="24"/>
                <w:lang w:eastAsia="zh-CN"/>
                <w14:textFill>
                  <w14:solidFill>
                    <w14:schemeClr w14:val="tx1"/>
                  </w14:solidFill>
                </w14:textFill>
              </w:rPr>
              <w:t>公章。</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p>
        </w:tc>
        <w:tc>
          <w:tcPr>
            <w:tcW w:w="970"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分 (51分)</w:t>
            </w:r>
          </w:p>
        </w:tc>
        <w:tc>
          <w:tcPr>
            <w:tcW w:w="670"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服务水平</w:t>
            </w: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需求理解及总体服务方案</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供应商提供的需求理解及总体服务方案及措施（包括针对本项目的详细项目需求分析、采购人当前服务岗位及人员情况、针对本项目行业特殊性的重点难点分析理解三个模块）的完整性、科学性、可操作性，进行综合评分。磋商小组依据方案内容进行评审，每个模块提供的内容完整可行的得2分，可行性一般</w:t>
            </w:r>
            <w:r>
              <w:rPr>
                <w:rFonts w:hint="eastAsia" w:ascii="宋体" w:hAnsi="宋体" w:eastAsia="宋体" w:cs="宋体"/>
                <w:color w:val="000000" w:themeColor="text1"/>
                <w:sz w:val="24"/>
                <w:szCs w:val="24"/>
                <w:lang w:val="en-US" w:eastAsia="zh-CN"/>
                <w14:textFill>
                  <w14:solidFill>
                    <w14:schemeClr w14:val="tx1"/>
                  </w14:solidFill>
                </w14:textFill>
              </w:rPr>
              <w:t>具备可操作性</w:t>
            </w:r>
            <w:r>
              <w:rPr>
                <w:rFonts w:hint="eastAsia" w:ascii="宋体" w:hAnsi="宋体" w:eastAsia="宋体" w:cs="宋体"/>
                <w:color w:val="000000" w:themeColor="text1"/>
                <w:sz w:val="24"/>
                <w:szCs w:val="24"/>
                <w:lang w:eastAsia="zh-CN"/>
                <w14:textFill>
                  <w14:solidFill>
                    <w14:schemeClr w14:val="tx1"/>
                  </w14:solidFill>
                </w14:textFill>
              </w:rPr>
              <w:t>的得1分，未提供的不得分。</w:t>
            </w:r>
            <w:r>
              <w:rPr>
                <w:rFonts w:hint="eastAsia" w:ascii="宋体" w:hAnsi="宋体" w:eastAsia="宋体" w:cs="宋体"/>
                <w:color w:val="000000" w:themeColor="text1"/>
                <w:sz w:val="24"/>
                <w:szCs w:val="24"/>
                <w14:textFill>
                  <w14:solidFill>
                    <w14:schemeClr w14:val="tx1"/>
                  </w14:solidFill>
                </w14:textFill>
              </w:rPr>
              <w:t>本项最高可得 6 分。</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970" w:type="dxa"/>
            <w:vMerge w:val="continue"/>
            <w:tcBorders>
              <w:left w:val="single" w:color="000000" w:sz="4" w:space="0"/>
              <w:right w:val="single" w:color="000000"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670" w:type="dxa"/>
            <w:vMerge w:val="continue"/>
            <w:tcBorders>
              <w:left w:val="single" w:color="000000" w:sz="4" w:space="0"/>
              <w:right w:val="single" w:color="000000"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运</w:t>
            </w:r>
            <w:r>
              <w:rPr>
                <w:rFonts w:hint="eastAsia" w:ascii="宋体" w:hAnsi="宋体" w:eastAsia="宋体" w:cs="宋体"/>
                <w:color w:val="000000" w:themeColor="text1"/>
                <w:sz w:val="24"/>
                <w:szCs w:val="24"/>
                <w14:textFill>
                  <w14:solidFill>
                    <w14:schemeClr w14:val="tx1"/>
                  </w14:solidFill>
                </w14:textFill>
              </w:rPr>
              <w:t>营管理方案</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供应商针对本项目设计的经营管理方案（包括管理制度、团队建设管理两个模块）的完整性、科学性、可操作性，进行综合评分。磋商小组依据方案内容进行评审，每个模块提供的内容完整可行的得2分，可行性一般</w:t>
            </w:r>
            <w:r>
              <w:rPr>
                <w:rFonts w:hint="eastAsia" w:ascii="宋体" w:hAnsi="宋体" w:eastAsia="宋体" w:cs="宋体"/>
                <w:color w:val="000000" w:themeColor="text1"/>
                <w:sz w:val="24"/>
                <w:szCs w:val="24"/>
                <w:lang w:val="en-US" w:eastAsia="zh-CN"/>
                <w14:textFill>
                  <w14:solidFill>
                    <w14:schemeClr w14:val="tx1"/>
                  </w14:solidFill>
                </w14:textFill>
              </w:rPr>
              <w:t>具备可操作性</w:t>
            </w:r>
            <w:r>
              <w:rPr>
                <w:rFonts w:hint="eastAsia" w:ascii="宋体" w:hAnsi="宋体" w:eastAsia="宋体" w:cs="宋体"/>
                <w:color w:val="000000" w:themeColor="text1"/>
                <w:sz w:val="24"/>
                <w:szCs w:val="24"/>
                <w:lang w:eastAsia="zh-CN"/>
                <w14:textFill>
                  <w14:solidFill>
                    <w14:schemeClr w14:val="tx1"/>
                  </w14:solidFill>
                </w14:textFill>
              </w:rPr>
              <w:t>的得1分，未提供的不得分。</w:t>
            </w:r>
            <w:r>
              <w:rPr>
                <w:rFonts w:hint="eastAsia" w:ascii="宋体" w:hAnsi="宋体" w:eastAsia="宋体" w:cs="宋体"/>
                <w:color w:val="000000" w:themeColor="text1"/>
                <w:sz w:val="24"/>
                <w:szCs w:val="24"/>
                <w14:textFill>
                  <w14:solidFill>
                    <w14:schemeClr w14:val="tx1"/>
                  </w14:solidFill>
                </w14:textFill>
              </w:rPr>
              <w:t>本项最高可得 4 分。</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970" w:type="dxa"/>
            <w:vMerge w:val="continue"/>
            <w:tcBorders>
              <w:left w:val="single" w:color="000000" w:sz="4" w:space="0"/>
              <w:right w:val="single" w:color="000000"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670" w:type="dxa"/>
            <w:vMerge w:val="continue"/>
            <w:tcBorders>
              <w:left w:val="single" w:color="000000" w:sz="4" w:space="0"/>
              <w:right w:val="single" w:color="000000"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人员管理方案</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供应商针对本服务外包项目制定整体的人员管理方案（包括人员招聘机制、人员薪酬管理制度、人员培训方案、人员考核方案、人员补充方案、人员淘汰机制六个模块）的完整性、科学性、可操作性，进行综合评分。磋商小组依据方案内容进行评审，每个模块提供的内容完整可行的得2分，可行性一般</w:t>
            </w:r>
            <w:r>
              <w:rPr>
                <w:rFonts w:hint="eastAsia" w:ascii="宋体" w:hAnsi="宋体" w:eastAsia="宋体" w:cs="宋体"/>
                <w:color w:val="000000" w:themeColor="text1"/>
                <w:sz w:val="24"/>
                <w:szCs w:val="24"/>
                <w:lang w:val="en-US" w:eastAsia="zh-CN"/>
                <w14:textFill>
                  <w14:solidFill>
                    <w14:schemeClr w14:val="tx1"/>
                  </w14:solidFill>
                </w14:textFill>
              </w:rPr>
              <w:t>具备可操作性</w:t>
            </w:r>
            <w:r>
              <w:rPr>
                <w:rFonts w:hint="eastAsia" w:ascii="宋体" w:hAnsi="宋体" w:eastAsia="宋体" w:cs="宋体"/>
                <w:color w:val="000000" w:themeColor="text1"/>
                <w:sz w:val="24"/>
                <w:szCs w:val="24"/>
                <w:lang w:eastAsia="zh-CN"/>
                <w14:textFill>
                  <w14:solidFill>
                    <w14:schemeClr w14:val="tx1"/>
                  </w14:solidFill>
                </w14:textFill>
              </w:rPr>
              <w:t>的得1分，未提供的不得分。</w:t>
            </w:r>
            <w:r>
              <w:rPr>
                <w:rFonts w:hint="eastAsia" w:ascii="宋体" w:hAnsi="宋体" w:eastAsia="宋体" w:cs="宋体"/>
                <w:color w:val="000000" w:themeColor="text1"/>
                <w:sz w:val="24"/>
                <w:szCs w:val="24"/>
                <w14:textFill>
                  <w14:solidFill>
                    <w14:schemeClr w14:val="tx1"/>
                  </w14:solidFill>
                </w14:textFill>
              </w:rPr>
              <w:t>本项最高可得12分。</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970" w:type="dxa"/>
            <w:vMerge w:val="continue"/>
            <w:tcBorders>
              <w:left w:val="single" w:color="000000" w:sz="4" w:space="0"/>
              <w:right w:val="single" w:color="000000"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670" w:type="dxa"/>
            <w:vMerge w:val="continue"/>
            <w:tcBorders>
              <w:left w:val="single" w:color="000000" w:sz="4" w:space="0"/>
              <w:right w:val="single" w:color="000000"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服务质量保障措施</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供应商制定服务质量保障措施（包括内控制度体系、服务人员业务能力保障、服务质量现场控制措施、服务质量反馈及改良机制、监督检查五个模块）的完整性、科学性、可操作性，进行综合评分。磋商小组依据方案内容进行评审，每个模块提供的内容完整可行的得2分，可行性一般</w:t>
            </w:r>
            <w:r>
              <w:rPr>
                <w:rFonts w:hint="eastAsia" w:ascii="宋体" w:hAnsi="宋体" w:eastAsia="宋体" w:cs="宋体"/>
                <w:color w:val="000000" w:themeColor="text1"/>
                <w:sz w:val="24"/>
                <w:szCs w:val="24"/>
                <w:lang w:val="en-US" w:eastAsia="zh-CN"/>
                <w14:textFill>
                  <w14:solidFill>
                    <w14:schemeClr w14:val="tx1"/>
                  </w14:solidFill>
                </w14:textFill>
              </w:rPr>
              <w:t>具备可操作性</w:t>
            </w:r>
            <w:r>
              <w:rPr>
                <w:rFonts w:hint="eastAsia" w:ascii="宋体" w:hAnsi="宋体" w:eastAsia="宋体" w:cs="宋体"/>
                <w:color w:val="000000" w:themeColor="text1"/>
                <w:sz w:val="24"/>
                <w:szCs w:val="24"/>
                <w:lang w:eastAsia="zh-CN"/>
                <w14:textFill>
                  <w14:solidFill>
                    <w14:schemeClr w14:val="tx1"/>
                  </w14:solidFill>
                </w14:textFill>
              </w:rPr>
              <w:t>的得1分，未提供的不得分。</w:t>
            </w:r>
            <w:r>
              <w:rPr>
                <w:rFonts w:hint="eastAsia" w:ascii="宋体" w:hAnsi="宋体" w:eastAsia="宋体" w:cs="宋体"/>
                <w:color w:val="000000" w:themeColor="text1"/>
                <w:sz w:val="24"/>
                <w:szCs w:val="24"/>
                <w14:textFill>
                  <w14:solidFill>
                    <w14:schemeClr w14:val="tx1"/>
                  </w14:solidFill>
                </w14:textFill>
              </w:rPr>
              <w:t>本项最高可得10分。</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970" w:type="dxa"/>
            <w:vMerge w:val="continue"/>
            <w:tcBorders>
              <w:left w:val="single" w:color="000000" w:sz="4" w:space="0"/>
              <w:right w:val="single" w:color="000000"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670" w:type="dxa"/>
            <w:vMerge w:val="continue"/>
            <w:tcBorders>
              <w:left w:val="single" w:color="000000" w:sz="4" w:space="0"/>
              <w:right w:val="single" w:color="000000"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应急处理方案</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供应商针对本项目可能发生的重大事件制定有效的应急方案（包括重大安全因素分析、制定应急预案的原则、外部联系协调措施、常见事故救援应急预案四个模块）的科学性、严密性、可操作性，进行综合评分。磋商小组依据方案内容进行评审，每个模块提供的内容完整可行的得2分，可行性一般</w:t>
            </w:r>
            <w:r>
              <w:rPr>
                <w:rFonts w:hint="eastAsia" w:ascii="宋体" w:hAnsi="宋体" w:eastAsia="宋体" w:cs="宋体"/>
                <w:color w:val="000000" w:themeColor="text1"/>
                <w:sz w:val="24"/>
                <w:szCs w:val="24"/>
                <w:lang w:val="en-US" w:eastAsia="zh-CN"/>
                <w14:textFill>
                  <w14:solidFill>
                    <w14:schemeClr w14:val="tx1"/>
                  </w14:solidFill>
                </w14:textFill>
              </w:rPr>
              <w:t>具备可操作性</w:t>
            </w:r>
            <w:r>
              <w:rPr>
                <w:rFonts w:hint="eastAsia" w:ascii="宋体" w:hAnsi="宋体" w:eastAsia="宋体" w:cs="宋体"/>
                <w:color w:val="000000" w:themeColor="text1"/>
                <w:sz w:val="24"/>
                <w:szCs w:val="24"/>
                <w:lang w:eastAsia="zh-CN"/>
                <w14:textFill>
                  <w14:solidFill>
                    <w14:schemeClr w14:val="tx1"/>
                  </w14:solidFill>
                </w14:textFill>
              </w:rPr>
              <w:t>的得1分，未提供的不得分。</w:t>
            </w:r>
            <w:r>
              <w:rPr>
                <w:rFonts w:hint="eastAsia" w:ascii="宋体" w:hAnsi="宋体" w:eastAsia="宋体" w:cs="宋体"/>
                <w:color w:val="000000" w:themeColor="text1"/>
                <w:sz w:val="24"/>
                <w:szCs w:val="24"/>
                <w14:textFill>
                  <w14:solidFill>
                    <w14:schemeClr w14:val="tx1"/>
                  </w14:solidFill>
                </w14:textFill>
              </w:rPr>
              <w:t>本项最高可得8分。</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970" w:type="dxa"/>
            <w:vMerge w:val="continue"/>
            <w:tcBorders>
              <w:left w:val="single" w:color="000000" w:sz="4" w:space="0"/>
              <w:right w:val="single" w:color="000000"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670" w:type="dxa"/>
            <w:vMerge w:val="continue"/>
            <w:tcBorders>
              <w:left w:val="single" w:color="000000" w:sz="4" w:space="0"/>
              <w:right w:val="single" w:color="000000"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保密工作管理方案</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供应商制定保密工作管理方案（包括开展保密教育的周期及方式、日常工作涉及保密事项及管理措施、违反保密原则的处罚、工作交接程序四个模块）的科学性、严密性、可操作性，进行综合评分。磋商小组依据方案内容进行评审，每个模块提供的内容完整可行的得2分，可行性一般</w:t>
            </w:r>
            <w:r>
              <w:rPr>
                <w:rFonts w:hint="eastAsia" w:ascii="宋体" w:hAnsi="宋体" w:eastAsia="宋体" w:cs="宋体"/>
                <w:color w:val="000000" w:themeColor="text1"/>
                <w:sz w:val="24"/>
                <w:szCs w:val="24"/>
                <w:lang w:val="en-US" w:eastAsia="zh-CN"/>
                <w14:textFill>
                  <w14:solidFill>
                    <w14:schemeClr w14:val="tx1"/>
                  </w14:solidFill>
                </w14:textFill>
              </w:rPr>
              <w:t>具备可操作性</w:t>
            </w:r>
            <w:r>
              <w:rPr>
                <w:rFonts w:hint="eastAsia" w:ascii="宋体" w:hAnsi="宋体" w:eastAsia="宋体" w:cs="宋体"/>
                <w:color w:val="000000" w:themeColor="text1"/>
                <w:sz w:val="24"/>
                <w:szCs w:val="24"/>
                <w:lang w:eastAsia="zh-CN"/>
                <w14:textFill>
                  <w14:solidFill>
                    <w14:schemeClr w14:val="tx1"/>
                  </w14:solidFill>
                </w14:textFill>
              </w:rPr>
              <w:t>的得1分，未提供的不得分。</w:t>
            </w:r>
            <w:r>
              <w:rPr>
                <w:rFonts w:hint="eastAsia" w:ascii="宋体" w:hAnsi="宋体" w:eastAsia="宋体" w:cs="宋体"/>
                <w:color w:val="000000" w:themeColor="text1"/>
                <w:sz w:val="24"/>
                <w:szCs w:val="24"/>
                <w14:textFill>
                  <w14:solidFill>
                    <w14:schemeClr w14:val="tx1"/>
                  </w14:solidFill>
                </w14:textFill>
              </w:rPr>
              <w:t>本项最高可得8分。</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970" w:type="dxa"/>
            <w:vMerge w:val="continue"/>
            <w:tcBorders>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670" w:type="dxa"/>
            <w:vMerge w:val="continue"/>
            <w:tcBorders>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 w:val="24"/>
                <w:szCs w:val="24"/>
                <w14:textFill>
                  <w14:solidFill>
                    <w14:schemeClr w14:val="tx1"/>
                  </w14:solidFill>
                </w14:textFill>
              </w:rPr>
            </w:pPr>
          </w:p>
        </w:tc>
        <w:tc>
          <w:tcPr>
            <w:tcW w:w="11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投诉管理方案</w:t>
            </w:r>
          </w:p>
        </w:tc>
        <w:tc>
          <w:tcPr>
            <w:tcW w:w="4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根据供应商提供的采购人针对服务人员服务态度、服务能力、服务质量等方面的投诉管理方案的科学性、严密性、可操作性，进行综合评分。磋商小组依据方案内容进行评审，内容完整可行的得3分，可行性一般</w:t>
            </w:r>
            <w:r>
              <w:rPr>
                <w:rFonts w:hint="eastAsia" w:ascii="宋体" w:hAnsi="宋体" w:eastAsia="宋体" w:cs="宋体"/>
                <w:color w:val="000000" w:themeColor="text1"/>
                <w:sz w:val="24"/>
                <w:szCs w:val="24"/>
                <w:lang w:val="en-US" w:eastAsia="zh-CN"/>
                <w14:textFill>
                  <w14:solidFill>
                    <w14:schemeClr w14:val="tx1"/>
                  </w14:solidFill>
                </w14:textFill>
              </w:rPr>
              <w:t>具备可操作性</w:t>
            </w:r>
            <w:r>
              <w:rPr>
                <w:rFonts w:hint="eastAsia" w:ascii="宋体" w:hAnsi="宋体" w:eastAsia="宋体" w:cs="宋体"/>
                <w:color w:val="000000" w:themeColor="text1"/>
                <w:sz w:val="24"/>
                <w:szCs w:val="24"/>
                <w:lang w:eastAsia="zh-CN"/>
                <w14:textFill>
                  <w14:solidFill>
                    <w14:schemeClr w14:val="tx1"/>
                  </w14:solidFill>
                </w14:textFill>
              </w:rPr>
              <w:t>的得1分，未提供的不得分。</w:t>
            </w:r>
            <w:r>
              <w:rPr>
                <w:rFonts w:hint="eastAsia" w:ascii="宋体" w:hAnsi="宋体" w:eastAsia="宋体" w:cs="宋体"/>
                <w:color w:val="000000" w:themeColor="text1"/>
                <w:sz w:val="24"/>
                <w:szCs w:val="24"/>
                <w14:textFill>
                  <w14:solidFill>
                    <w14:schemeClr w14:val="tx1"/>
                  </w14:solidFill>
                </w14:textFill>
              </w:rPr>
              <w:t>本项最高可得3分。</w:t>
            </w:r>
          </w:p>
        </w:tc>
        <w:tc>
          <w:tcPr>
            <w:tcW w:w="67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499" w:type="dxa"/>
            <w:gridSpan w:val="4"/>
            <w:tcBorders>
              <w:top w:val="single" w:color="000000" w:sz="4" w:space="0"/>
              <w:right w:val="single" w:color="000000" w:sz="4" w:space="0"/>
            </w:tcBorders>
            <w:tcMar>
              <w:top w:w="0" w:type="dxa"/>
              <w:left w:w="108" w:type="dxa"/>
              <w:bottom w:w="0" w:type="dxa"/>
              <w:right w:w="108" w:type="dxa"/>
            </w:tcMa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合计</w:t>
            </w:r>
          </w:p>
        </w:tc>
        <w:tc>
          <w:tcPr>
            <w:tcW w:w="5526" w:type="dxa"/>
            <w:gridSpan w:val="2"/>
            <w:tcBorders>
              <w:top w:val="single" w:color="000000" w:sz="4" w:space="0"/>
              <w:left w:val="single" w:color="000000" w:sz="4" w:space="0"/>
            </w:tcBorders>
            <w:tcMar>
              <w:top w:w="0" w:type="dxa"/>
              <w:left w:w="108" w:type="dxa"/>
              <w:bottom w:w="0" w:type="dxa"/>
              <w:right w:w="108" w:type="dxa"/>
            </w:tcMar>
          </w:tcPr>
          <w:p>
            <w:pPr>
              <w:spacing w:before="48" w:after="48"/>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100</w:t>
            </w:r>
          </w:p>
        </w:tc>
      </w:tr>
    </w:tbl>
    <w:p>
      <w:pPr>
        <w:topLinePunct/>
        <w:autoSpaceDE w:val="0"/>
        <w:autoSpaceDN w:val="0"/>
        <w:spacing w:after="0" w:line="360" w:lineRule="auto"/>
        <w:rPr>
          <w:rFonts w:hint="default" w:ascii="宋体" w:hAnsi="宋体" w:eastAsia="宋体" w:cs="宋体"/>
          <w:color w:val="auto"/>
          <w:sz w:val="24"/>
          <w:szCs w:val="24"/>
          <w:highlight w:val="none"/>
          <w:lang w:val="en-US" w:eastAsia="zh-CN"/>
        </w:rPr>
      </w:pPr>
      <w:r>
        <w:rPr>
          <w:rFonts w:hint="default" w:ascii="宋体" w:hAnsi="宋体" w:eastAsia="宋体" w:cs="宋体"/>
          <w:b/>
          <w:bCs/>
          <w:color w:val="auto"/>
          <w:sz w:val="24"/>
          <w:szCs w:val="24"/>
          <w:highlight w:val="none"/>
        </w:rPr>
        <w:t>2.3 落实政府采购政策进行价格调整的规则：</w:t>
      </w:r>
    </w:p>
    <w:tbl>
      <w:tblPr>
        <w:tblStyle w:val="30"/>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68"/>
        <w:gridCol w:w="2144"/>
        <w:gridCol w:w="44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8" w:type="dxa"/>
            <w:noWrap w:val="0"/>
            <w:vAlign w:val="center"/>
          </w:tcPr>
          <w:p>
            <w:pPr>
              <w:pStyle w:val="38"/>
              <w:keepNext w:val="0"/>
              <w:keepLines w:val="0"/>
              <w:pageBreakBefore w:val="0"/>
              <w:widowControl w:val="0"/>
              <w:kinsoku/>
              <w:wordWrap/>
              <w:bidi w:val="0"/>
              <w:snapToGrid w:val="0"/>
              <w:spacing w:line="276" w:lineRule="auto"/>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政府采购政策</w:t>
            </w:r>
          </w:p>
        </w:tc>
        <w:tc>
          <w:tcPr>
            <w:tcW w:w="2350" w:type="dxa"/>
            <w:noWrap w:val="0"/>
            <w:vAlign w:val="center"/>
          </w:tcPr>
          <w:p>
            <w:pPr>
              <w:pStyle w:val="38"/>
              <w:keepNext w:val="0"/>
              <w:keepLines w:val="0"/>
              <w:pageBreakBefore w:val="0"/>
              <w:widowControl w:val="0"/>
              <w:kinsoku/>
              <w:wordWrap/>
              <w:bidi w:val="0"/>
              <w:snapToGrid w:val="0"/>
              <w:spacing w:line="276" w:lineRule="auto"/>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价格扣除规则</w:t>
            </w:r>
          </w:p>
        </w:tc>
        <w:tc>
          <w:tcPr>
            <w:tcW w:w="5031" w:type="dxa"/>
            <w:noWrap w:val="0"/>
            <w:vAlign w:val="center"/>
          </w:tcPr>
          <w:p>
            <w:pPr>
              <w:pStyle w:val="38"/>
              <w:keepNext w:val="0"/>
              <w:keepLines w:val="0"/>
              <w:pageBreakBefore w:val="0"/>
              <w:widowControl w:val="0"/>
              <w:kinsoku/>
              <w:wordWrap/>
              <w:bidi w:val="0"/>
              <w:snapToGrid w:val="0"/>
              <w:spacing w:line="276" w:lineRule="auto"/>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享受价格扣除的条件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068" w:type="dxa"/>
            <w:noWrap w:val="0"/>
            <w:vAlign w:val="center"/>
          </w:tcPr>
          <w:p>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节约能源政策</w:t>
            </w:r>
          </w:p>
        </w:tc>
        <w:tc>
          <w:tcPr>
            <w:tcW w:w="7381" w:type="dxa"/>
            <w:gridSpan w:val="2"/>
            <w:noWrap w:val="0"/>
            <w:vAlign w:val="center"/>
          </w:tcPr>
          <w:p>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本项目不适用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8" w:type="dxa"/>
            <w:noWrap w:val="0"/>
            <w:vAlign w:val="center"/>
          </w:tcPr>
          <w:p>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保护环境政策</w:t>
            </w:r>
          </w:p>
        </w:tc>
        <w:tc>
          <w:tcPr>
            <w:tcW w:w="7381" w:type="dxa"/>
            <w:gridSpan w:val="2"/>
            <w:noWrap w:val="0"/>
            <w:vAlign w:val="center"/>
          </w:tcPr>
          <w:p>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本项目不适用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8" w:type="dxa"/>
            <w:noWrap w:val="0"/>
            <w:vAlign w:val="center"/>
          </w:tcPr>
          <w:p>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促进中小企业</w:t>
            </w:r>
          </w:p>
          <w:p>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发展政策</w:t>
            </w:r>
          </w:p>
        </w:tc>
        <w:tc>
          <w:tcPr>
            <w:tcW w:w="2350" w:type="dxa"/>
            <w:vMerge w:val="restart"/>
            <w:noWrap w:val="0"/>
            <w:vAlign w:val="center"/>
          </w:tcPr>
          <w:p>
            <w:pPr>
              <w:pStyle w:val="38"/>
              <w:keepNext w:val="0"/>
              <w:keepLines w:val="0"/>
              <w:pageBreakBefore w:val="0"/>
              <w:widowControl w:val="0"/>
              <w:kinsoku/>
              <w:wordWrap/>
              <w:bidi w:val="0"/>
              <w:snapToGrid w:val="0"/>
              <w:spacing w:line="276" w:lineRule="auto"/>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0"/>
                <w:sz w:val="24"/>
                <w:szCs w:val="24"/>
                <w:highlight w:val="none"/>
              </w:rPr>
              <w:t>对小型和微型企业的投标价格给予</w:t>
            </w:r>
            <w:r>
              <w:rPr>
                <w:rFonts w:hint="eastAsia" w:ascii="宋体" w:hAnsi="宋体" w:eastAsia="宋体" w:cs="宋体"/>
                <w:color w:val="auto"/>
                <w:kern w:val="0"/>
                <w:sz w:val="24"/>
                <w:szCs w:val="24"/>
                <w:highlight w:val="none"/>
                <w:u w:val="single"/>
                <w:lang w:val="en-US" w:eastAsia="zh-CN"/>
              </w:rPr>
              <w:t>20</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%的扣除，用扣除后的价格参与评审。</w:t>
            </w:r>
          </w:p>
        </w:tc>
        <w:tc>
          <w:tcPr>
            <w:tcW w:w="5031" w:type="dxa"/>
            <w:vMerge w:val="restart"/>
            <w:noWrap w:val="0"/>
            <w:vAlign w:val="center"/>
          </w:tcPr>
          <w:p>
            <w:pPr>
              <w:pStyle w:val="38"/>
              <w:keepNext w:val="0"/>
              <w:keepLines w:val="0"/>
              <w:pageBreakBefore w:val="0"/>
              <w:widowControl w:val="0"/>
              <w:kinsoku/>
              <w:wordWrap/>
              <w:bidi w:val="0"/>
              <w:snapToGrid w:val="0"/>
              <w:spacing w:line="276"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在货物采购项目中，满足所有标的均由中小企业制造，即所有标的均由中小企业生产且使用该中小企业商号或者注册商标的，可享受中小企业扶持政策。</w:t>
            </w:r>
          </w:p>
          <w:p>
            <w:pPr>
              <w:pStyle w:val="38"/>
              <w:keepNext w:val="0"/>
              <w:keepLines w:val="0"/>
              <w:pageBreakBefore w:val="0"/>
              <w:widowControl w:val="0"/>
              <w:kinsoku/>
              <w:wordWrap/>
              <w:bidi w:val="0"/>
              <w:snapToGrid w:val="0"/>
              <w:spacing w:line="276"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在服务采购项目中，满足服务由中小企业承接，即提供服务的人员为中小企业依照《中华人民共和国劳动合同法》订立劳动合同的从业人员的，可享受中小企业扶持政策。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8" w:type="dxa"/>
            <w:noWrap w:val="0"/>
            <w:vAlign w:val="center"/>
          </w:tcPr>
          <w:p>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促进残疾人就业政策</w:t>
            </w:r>
          </w:p>
        </w:tc>
        <w:tc>
          <w:tcPr>
            <w:tcW w:w="2350" w:type="dxa"/>
            <w:vMerge w:val="continue"/>
            <w:noWrap w:val="0"/>
            <w:vAlign w:val="center"/>
          </w:tcPr>
          <w:p>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p>
        </w:tc>
        <w:tc>
          <w:tcPr>
            <w:tcW w:w="5031" w:type="dxa"/>
            <w:vMerge w:val="continue"/>
            <w:noWrap w:val="0"/>
            <w:vAlign w:val="center"/>
          </w:tcPr>
          <w:p>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8" w:type="dxa"/>
            <w:noWrap w:val="0"/>
            <w:vAlign w:val="center"/>
          </w:tcPr>
          <w:p>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支持监狱企业</w:t>
            </w:r>
          </w:p>
          <w:p>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发展政策</w:t>
            </w:r>
          </w:p>
        </w:tc>
        <w:tc>
          <w:tcPr>
            <w:tcW w:w="2350" w:type="dxa"/>
            <w:vMerge w:val="continue"/>
            <w:noWrap w:val="0"/>
            <w:vAlign w:val="center"/>
          </w:tcPr>
          <w:p>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1"/>
                <w:szCs w:val="21"/>
                <w:highlight w:val="none"/>
              </w:rPr>
            </w:pPr>
          </w:p>
        </w:tc>
        <w:tc>
          <w:tcPr>
            <w:tcW w:w="5031" w:type="dxa"/>
            <w:vMerge w:val="continue"/>
            <w:noWrap w:val="0"/>
            <w:vAlign w:val="center"/>
          </w:tcPr>
          <w:p>
            <w:pPr>
              <w:pStyle w:val="38"/>
              <w:keepNext w:val="0"/>
              <w:keepLines w:val="0"/>
              <w:pageBreakBefore w:val="0"/>
              <w:widowControl w:val="0"/>
              <w:kinsoku/>
              <w:wordWrap/>
              <w:bidi w:val="0"/>
              <w:snapToGrid w:val="0"/>
              <w:spacing w:line="276" w:lineRule="auto"/>
              <w:jc w:val="center"/>
              <w:rPr>
                <w:rFonts w:hint="eastAsia" w:ascii="宋体" w:hAnsi="宋体" w:eastAsia="宋体" w:cs="宋体"/>
                <w:color w:val="auto"/>
                <w:kern w:val="2"/>
                <w:sz w:val="21"/>
                <w:szCs w:val="21"/>
                <w:highlight w:val="none"/>
              </w:rPr>
            </w:pPr>
          </w:p>
        </w:tc>
      </w:tr>
    </w:tbl>
    <w:p>
      <w:pPr>
        <w:topLinePunct/>
        <w:autoSpaceDE w:val="0"/>
        <w:autoSpaceDN w:val="0"/>
        <w:spacing w:after="0" w:line="360" w:lineRule="auto"/>
        <w:ind w:firstLine="480" w:firstLineChars="200"/>
        <w:rPr>
          <w:rFonts w:hint="default" w:ascii="宋体" w:hAnsi="宋体" w:eastAsia="宋体" w:cs="宋体"/>
          <w:color w:val="auto"/>
          <w:sz w:val="24"/>
          <w:szCs w:val="24"/>
          <w:highlight w:val="none"/>
          <w:lang w:val="en-US" w:eastAsia="zh-CN"/>
        </w:rPr>
      </w:pPr>
    </w:p>
    <w:p>
      <w:pPr>
        <w:rPr>
          <w:color w:val="auto"/>
        </w:rPr>
      </w:pPr>
    </w:p>
    <w:bookmarkEnd w:id="35"/>
    <w:p>
      <w:pPr>
        <w:topLinePunct/>
        <w:autoSpaceDE w:val="0"/>
        <w:autoSpaceDN w:val="0"/>
        <w:spacing w:after="0" w:line="360" w:lineRule="auto"/>
        <w:ind w:firstLine="480" w:firstLineChars="200"/>
        <w:rPr>
          <w:rFonts w:hint="default" w:ascii="宋体" w:hAnsi="宋体" w:eastAsia="宋体" w:cs="宋体"/>
          <w:color w:val="auto"/>
          <w:sz w:val="24"/>
          <w:szCs w:val="24"/>
          <w:highlight w:val="none"/>
          <w:lang w:val="en-US" w:eastAsia="zh-CN"/>
        </w:rPr>
      </w:pPr>
      <w:bookmarkStart w:id="38" w:name="_Toc222"/>
    </w:p>
    <w:p>
      <w:pPr>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39" w:name="_Toc29753"/>
      <w:r>
        <w:rPr>
          <w:rFonts w:hint="eastAsia" w:ascii="宋体" w:hAnsi="宋体" w:eastAsia="宋体" w:cs="宋体"/>
          <w:b/>
          <w:bCs/>
          <w:color w:val="auto"/>
          <w:sz w:val="28"/>
          <w:szCs w:val="28"/>
          <w:highlight w:val="none"/>
        </w:rPr>
        <w:t>第四章  采购合同文本</w:t>
      </w:r>
      <w:bookmarkEnd w:id="39"/>
    </w:p>
    <w:p>
      <w:pPr>
        <w:pStyle w:val="15"/>
        <w:keepNext w:val="0"/>
        <w:keepLines w:val="0"/>
        <w:pageBreakBefore w:val="0"/>
        <w:widowControl w:val="0"/>
        <w:kinsoku/>
        <w:wordWrap/>
        <w:overflowPunct/>
        <w:bidi w:val="0"/>
        <w:adjustRightInd/>
        <w:jc w:val="center"/>
        <w:textAlignment w:val="auto"/>
        <w:outlineLvl w:val="9"/>
        <w:rPr>
          <w:rFonts w:hint="eastAsia" w:ascii="华文中宋" w:hAnsi="华文中宋" w:eastAsia="华文中宋" w:cs="华文中宋"/>
          <w:b w:val="0"/>
          <w:bCs/>
          <w:color w:val="auto"/>
          <w:sz w:val="32"/>
          <w:szCs w:val="32"/>
          <w:highlight w:val="none"/>
        </w:rPr>
      </w:pPr>
    </w:p>
    <w:p>
      <w:pPr>
        <w:pStyle w:val="15"/>
        <w:keepNext w:val="0"/>
        <w:keepLines w:val="0"/>
        <w:pageBreakBefore w:val="0"/>
        <w:widowControl w:val="0"/>
        <w:kinsoku/>
        <w:wordWrap/>
        <w:overflowPunct/>
        <w:bidi w:val="0"/>
        <w:adjustRightInd/>
        <w:jc w:val="center"/>
        <w:textAlignment w:val="auto"/>
        <w:outlineLvl w:val="9"/>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合 同 书</w:t>
      </w:r>
    </w:p>
    <w:p>
      <w:pPr>
        <w:pStyle w:val="15"/>
        <w:keepNext w:val="0"/>
        <w:keepLines w:val="0"/>
        <w:pageBreakBefore w:val="0"/>
        <w:widowControl w:val="0"/>
        <w:kinsoku/>
        <w:wordWrap/>
        <w:overflowPunct/>
        <w:bidi w:val="0"/>
        <w:adjustRightInd/>
        <w:jc w:val="center"/>
        <w:textAlignment w:val="auto"/>
        <w:outlineLvl w:val="9"/>
        <w:rPr>
          <w:rFonts w:hint="eastAsia" w:ascii="华文中宋" w:hAnsi="华文中宋" w:eastAsia="华文中宋" w:cs="华文中宋"/>
          <w:b w:val="0"/>
          <w:bCs/>
          <w:color w:val="auto"/>
          <w:sz w:val="32"/>
          <w:szCs w:val="32"/>
          <w:highlight w:val="none"/>
        </w:rPr>
      </w:pPr>
    </w:p>
    <w:p>
      <w:pPr>
        <w:keepNext w:val="0"/>
        <w:keepLines w:val="0"/>
        <w:pageBreakBefore w:val="0"/>
        <w:widowControl w:val="0"/>
        <w:tabs>
          <w:tab w:val="left" w:pos="540"/>
          <w:tab w:val="left" w:pos="1080"/>
          <w:tab w:val="left" w:pos="1440"/>
        </w:tabs>
        <w:kinsoku/>
        <w:wordWrap/>
        <w:overflowPunct/>
        <w:bidi w:val="0"/>
        <w:adjustRightInd/>
        <w:snapToGrid w:val="0"/>
        <w:jc w:val="center"/>
        <w:textAlignment w:val="auto"/>
        <w:outlineLvl w:val="9"/>
        <w:rPr>
          <w:rFonts w:hint="eastAsia" w:ascii="宋体" w:hAnsi="宋体" w:cs="宋体"/>
          <w:color w:val="auto"/>
          <w:sz w:val="32"/>
          <w:szCs w:val="32"/>
          <w:highlight w:val="none"/>
        </w:rPr>
      </w:pPr>
    </w:p>
    <w:p>
      <w:pPr>
        <w:keepNext w:val="0"/>
        <w:keepLines w:val="0"/>
        <w:pageBreakBefore w:val="0"/>
        <w:widowControl w:val="0"/>
        <w:tabs>
          <w:tab w:val="left" w:pos="540"/>
          <w:tab w:val="left" w:pos="1080"/>
          <w:tab w:val="left" w:pos="1440"/>
        </w:tabs>
        <w:kinsoku/>
        <w:wordWrap/>
        <w:overflowPunct/>
        <w:bidi w:val="0"/>
        <w:adjustRightInd/>
        <w:snapToGrid w:val="0"/>
        <w:jc w:val="center"/>
        <w:textAlignment w:val="auto"/>
        <w:outlineLvl w:val="9"/>
        <w:rPr>
          <w:rFonts w:hint="eastAsia" w:ascii="宋体" w:hAnsi="宋体" w:cs="宋体"/>
          <w:color w:val="auto"/>
          <w:sz w:val="32"/>
          <w:szCs w:val="32"/>
          <w:highlight w:val="none"/>
        </w:rPr>
      </w:pPr>
    </w:p>
    <w:p>
      <w:pPr>
        <w:keepNext w:val="0"/>
        <w:keepLines w:val="0"/>
        <w:pageBreakBefore w:val="0"/>
        <w:widowControl w:val="0"/>
        <w:tabs>
          <w:tab w:val="left" w:pos="540"/>
          <w:tab w:val="left" w:pos="1080"/>
          <w:tab w:val="left" w:pos="1440"/>
        </w:tabs>
        <w:kinsoku/>
        <w:wordWrap/>
        <w:overflowPunct/>
        <w:bidi w:val="0"/>
        <w:adjustRightInd/>
        <w:snapToGrid w:val="0"/>
        <w:jc w:val="center"/>
        <w:textAlignment w:val="auto"/>
        <w:outlineLvl w:val="9"/>
        <w:rPr>
          <w:rFonts w:hint="eastAsia" w:ascii="宋体" w:hAnsi="宋体" w:cs="宋体"/>
          <w:color w:val="auto"/>
          <w:sz w:val="32"/>
          <w:szCs w:val="32"/>
          <w:highlight w:val="none"/>
        </w:rPr>
      </w:pPr>
    </w:p>
    <w:p>
      <w:pPr>
        <w:keepNext w:val="0"/>
        <w:keepLines w:val="0"/>
        <w:pageBreakBefore w:val="0"/>
        <w:widowControl w:val="0"/>
        <w:tabs>
          <w:tab w:val="left" w:pos="540"/>
          <w:tab w:val="left" w:pos="1080"/>
          <w:tab w:val="left" w:pos="1440"/>
        </w:tabs>
        <w:kinsoku/>
        <w:wordWrap/>
        <w:overflowPunct/>
        <w:bidi w:val="0"/>
        <w:adjustRightInd/>
        <w:snapToGrid w:val="0"/>
        <w:ind w:left="1680" w:leftChars="800"/>
        <w:jc w:val="center"/>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outlineLvl w:val="9"/>
        <w:rPr>
          <w:rFonts w:hint="eastAsia" w:ascii="宋体" w:hAnsi="宋体" w:eastAsia="宋体" w:cs="宋体"/>
          <w:b w:val="0"/>
          <w:bCs/>
          <w:color w:val="auto"/>
          <w:sz w:val="24"/>
          <w:szCs w:val="24"/>
          <w:highlight w:val="none"/>
        </w:rPr>
      </w:pPr>
    </w:p>
    <w:p>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项目名称：</w:t>
      </w:r>
      <w:r>
        <w:rPr>
          <w:rFonts w:hint="eastAsia" w:ascii="宋体" w:hAnsi="宋体" w:eastAsia="宋体" w:cs="宋体"/>
          <w:b w:val="0"/>
          <w:bCs/>
          <w:color w:val="auto"/>
          <w:sz w:val="24"/>
          <w:szCs w:val="24"/>
          <w:highlight w:val="none"/>
          <w:u w:val="single"/>
          <w:lang w:val="en-US" w:eastAsia="zh-CN"/>
        </w:rPr>
        <w:t xml:space="preserve">                   </w:t>
      </w:r>
    </w:p>
    <w:p>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包</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eastAsia="zh-CN"/>
        </w:rPr>
        <w:t>号：</w:t>
      </w:r>
      <w:r>
        <w:rPr>
          <w:rFonts w:hint="eastAsia" w:ascii="宋体" w:hAnsi="宋体" w:eastAsia="宋体" w:cs="宋体"/>
          <w:b w:val="0"/>
          <w:bCs/>
          <w:color w:val="auto"/>
          <w:sz w:val="24"/>
          <w:szCs w:val="24"/>
          <w:highlight w:val="none"/>
          <w:u w:val="single"/>
          <w:lang w:val="en-US" w:eastAsia="zh-CN"/>
        </w:rPr>
        <w:t xml:space="preserve">                   </w:t>
      </w:r>
    </w:p>
    <w:p>
      <w:pPr>
        <w:keepNext w:val="0"/>
        <w:keepLines w:val="0"/>
        <w:pageBreakBefore w:val="0"/>
        <w:widowControl w:val="0"/>
        <w:tabs>
          <w:tab w:val="left" w:pos="540"/>
          <w:tab w:val="left" w:pos="1080"/>
          <w:tab w:val="left" w:pos="1440"/>
        </w:tabs>
        <w:kinsoku/>
        <w:wordWrap/>
        <w:overflowPunct/>
        <w:bidi w:val="0"/>
        <w:adjustRightInd/>
        <w:snapToGrid w:val="0"/>
        <w:spacing w:line="360" w:lineRule="auto"/>
        <w:ind w:left="2100" w:leftChars="1000" w:firstLine="0"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合同编号：</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 xml:space="preserve"> </w:t>
      </w:r>
    </w:p>
    <w:p>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880" w:leftChars="800" w:hanging="1200" w:hangingChars="500"/>
        <w:textAlignment w:val="auto"/>
        <w:rPr>
          <w:rFonts w:hint="eastAsia" w:ascii="宋体" w:hAnsi="宋体" w:eastAsia="宋体" w:cs="宋体"/>
          <w:b w:val="0"/>
          <w:bCs/>
          <w:color w:val="auto"/>
          <w:sz w:val="24"/>
          <w:szCs w:val="24"/>
          <w:highlight w:val="none"/>
        </w:rPr>
      </w:pPr>
    </w:p>
    <w:p>
      <w:pPr>
        <w:pStyle w:val="15"/>
        <w:keepNext w:val="0"/>
        <w:keepLines w:val="0"/>
        <w:pageBreakBefore w:val="0"/>
        <w:widowControl w:val="0"/>
        <w:kinsoku/>
        <w:wordWrap/>
        <w:overflowPunct/>
        <w:bidi w:val="0"/>
        <w:adjustRightInd/>
        <w:spacing w:line="360" w:lineRule="auto"/>
        <w:jc w:val="center"/>
        <w:textAlignment w:val="auto"/>
        <w:rPr>
          <w:rFonts w:hint="eastAsia" w:ascii="宋体" w:hAnsi="宋体" w:eastAsia="宋体" w:cs="宋体"/>
          <w:b w:val="0"/>
          <w:bCs/>
          <w:color w:val="auto"/>
          <w:sz w:val="24"/>
          <w:szCs w:val="24"/>
          <w:highlight w:val="none"/>
        </w:rPr>
      </w:pPr>
    </w:p>
    <w:p>
      <w:pPr>
        <w:pStyle w:val="15"/>
        <w:keepNext w:val="0"/>
        <w:keepLines w:val="0"/>
        <w:pageBreakBefore w:val="0"/>
        <w:widowControl w:val="0"/>
        <w:tabs>
          <w:tab w:val="left" w:pos="3045"/>
        </w:tabs>
        <w:kinsoku/>
        <w:wordWrap/>
        <w:overflowPunct/>
        <w:bidi w:val="0"/>
        <w:adjustRightIn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b/>
      </w:r>
    </w:p>
    <w:p>
      <w:pPr>
        <w:pStyle w:val="15"/>
        <w:keepNext w:val="0"/>
        <w:keepLines w:val="0"/>
        <w:pageBreakBefore w:val="0"/>
        <w:widowControl w:val="0"/>
        <w:kinsoku/>
        <w:wordWrap/>
        <w:overflowPunct/>
        <w:bidi w:val="0"/>
        <w:adjustRightInd/>
        <w:spacing w:line="360" w:lineRule="auto"/>
        <w:jc w:val="both"/>
        <w:textAlignment w:val="auto"/>
        <w:rPr>
          <w:rFonts w:hint="eastAsia" w:ascii="宋体" w:hAnsi="宋体" w:eastAsia="宋体" w:cs="宋体"/>
          <w:b w:val="0"/>
          <w:bCs/>
          <w:color w:val="auto"/>
          <w:sz w:val="24"/>
          <w:szCs w:val="24"/>
          <w:highlight w:val="none"/>
        </w:rPr>
      </w:pPr>
    </w:p>
    <w:p>
      <w:pPr>
        <w:pStyle w:val="15"/>
        <w:keepNext w:val="0"/>
        <w:keepLines w:val="0"/>
        <w:pageBreakBefore w:val="0"/>
        <w:widowControl w:val="0"/>
        <w:kinsoku/>
        <w:wordWrap/>
        <w:overflowPunct/>
        <w:bidi w:val="0"/>
        <w:adjustRightInd/>
        <w:spacing w:line="360" w:lineRule="auto"/>
        <w:jc w:val="center"/>
        <w:textAlignment w:val="auto"/>
        <w:rPr>
          <w:rFonts w:hint="eastAsia" w:ascii="宋体" w:hAnsi="宋体" w:eastAsia="宋体" w:cs="宋体"/>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840" w:leftChars="400" w:firstLine="1298" w:firstLineChars="541"/>
        <w:textAlignment w:val="auto"/>
        <w:outlineLvl w:val="1"/>
        <w:rPr>
          <w:rFonts w:hint="eastAsia" w:ascii="宋体" w:hAnsi="宋体" w:eastAsia="宋体" w:cs="宋体"/>
          <w:b w:val="0"/>
          <w:bCs/>
          <w:color w:val="auto"/>
          <w:sz w:val="24"/>
          <w:szCs w:val="24"/>
          <w:highlight w:val="none"/>
          <w:lang w:eastAsia="zh-CN"/>
        </w:rPr>
      </w:pPr>
      <w:bookmarkStart w:id="40" w:name="_Toc26360"/>
      <w:bookmarkStart w:id="41" w:name="_Toc16329"/>
      <w:r>
        <w:rPr>
          <w:rFonts w:hint="eastAsia" w:ascii="宋体" w:hAnsi="宋体" w:eastAsia="宋体" w:cs="宋体"/>
          <w:b w:val="0"/>
          <w:bCs/>
          <w:color w:val="auto"/>
          <w:sz w:val="24"/>
          <w:szCs w:val="24"/>
          <w:highlight w:val="none"/>
        </w:rPr>
        <w:t xml:space="preserve">甲    方： </w:t>
      </w:r>
      <w:bookmarkEnd w:id="40"/>
      <w:bookmarkEnd w:id="41"/>
      <w:r>
        <w:rPr>
          <w:rFonts w:hint="eastAsia" w:ascii="宋体" w:hAnsi="宋体" w:cs="宋体"/>
          <w:b w:val="0"/>
          <w:bCs/>
          <w:color w:val="auto"/>
          <w:sz w:val="24"/>
          <w:szCs w:val="24"/>
          <w:highlight w:val="none"/>
          <w:u w:val="single"/>
          <w:lang w:eastAsia="zh-CN"/>
        </w:rPr>
        <w:t>国家税务总局福州市仓山区税务局</w:t>
      </w:r>
    </w:p>
    <w:p>
      <w:pPr>
        <w:keepNext w:val="0"/>
        <w:keepLines w:val="0"/>
        <w:pageBreakBefore w:val="0"/>
        <w:widowControl w:val="0"/>
        <w:kinsoku/>
        <w:wordWrap/>
        <w:overflowPunct/>
        <w:topLinePunct w:val="0"/>
        <w:autoSpaceDE/>
        <w:autoSpaceDN/>
        <w:bidi w:val="0"/>
        <w:adjustRightInd/>
        <w:snapToGrid/>
        <w:spacing w:line="360" w:lineRule="auto"/>
        <w:ind w:left="840" w:leftChars="400" w:firstLine="1298" w:firstLineChars="541"/>
        <w:textAlignment w:val="auto"/>
        <w:outlineLvl w:val="9"/>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rPr>
        <w:t xml:space="preserve">乙    方： </w:t>
      </w:r>
      <w:r>
        <w:rPr>
          <w:rFonts w:hint="eastAsia" w:ascii="宋体" w:hAnsi="宋体" w:eastAsia="宋体" w:cs="宋体"/>
          <w:b w:val="0"/>
          <w:bCs/>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840" w:leftChars="400" w:firstLine="1298" w:firstLineChars="541"/>
        <w:textAlignment w:val="auto"/>
        <w:outlineLvl w:val="9"/>
        <w:rPr>
          <w:rFonts w:hint="eastAsia" w:ascii="宋体" w:hAnsi="宋体" w:eastAsia="宋体" w:cs="宋体"/>
          <w:b w:val="0"/>
          <w:bCs/>
          <w:color w:val="auto"/>
          <w:sz w:val="24"/>
          <w:szCs w:val="24"/>
          <w:highlight w:val="none"/>
          <w:u w:val="single"/>
          <w:lang w:eastAsia="zh-CN"/>
        </w:rPr>
      </w:pPr>
      <w:r>
        <w:rPr>
          <w:rFonts w:hint="eastAsia" w:ascii="宋体" w:hAnsi="宋体" w:eastAsia="宋体" w:cs="宋体"/>
          <w:b w:val="0"/>
          <w:bCs/>
          <w:color w:val="auto"/>
          <w:sz w:val="24"/>
          <w:szCs w:val="24"/>
          <w:highlight w:val="none"/>
        </w:rPr>
        <w:t xml:space="preserve">日    期：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年</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月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eastAsia="zh-CN"/>
        </w:rPr>
        <w:t>日</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宋体" w:hAnsi="宋体" w:eastAsia="宋体" w:cs="宋体"/>
          <w:b/>
          <w:color w:val="auto"/>
          <w:sz w:val="24"/>
          <w:szCs w:val="24"/>
          <w:highlight w:val="none"/>
        </w:rPr>
      </w:pPr>
      <w:r>
        <w:rPr>
          <w:rFonts w:ascii="宋体" w:hAnsi="宋体" w:cs="宋体"/>
          <w:b/>
          <w:bCs/>
          <w:color w:val="auto"/>
          <w:sz w:val="28"/>
          <w:highlight w:val="none"/>
          <w:u w:val="single"/>
        </w:rPr>
        <w:br w:type="page"/>
      </w:r>
      <w:r>
        <w:rPr>
          <w:rFonts w:hint="eastAsia" w:ascii="宋体" w:hAnsi="宋体" w:eastAsia="宋体" w:cs="宋体"/>
          <w:b/>
          <w:color w:val="auto"/>
          <w:sz w:val="24"/>
          <w:szCs w:val="24"/>
          <w:highlight w:val="none"/>
        </w:rPr>
        <w:t>合同条款前附表</w:t>
      </w:r>
    </w:p>
    <w:tbl>
      <w:tblPr>
        <w:tblStyle w:val="2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440"/>
        <w:gridCol w:w="1767"/>
        <w:gridCol w:w="5475"/>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768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合同名称</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2160"/>
              </w:tabs>
              <w:kinsoku/>
              <w:wordWrap/>
              <w:overflowPunct/>
              <w:topLinePunct/>
              <w:autoSpaceDE w:val="0"/>
              <w:autoSpaceDN w:val="0"/>
              <w:bidi w:val="0"/>
              <w:adjustRightInd w:val="0"/>
              <w:snapToGrid w:val="0"/>
              <w:spacing w:line="400" w:lineRule="exact"/>
              <w:jc w:val="both"/>
              <w:textAlignment w:val="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合同类型</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2160"/>
              </w:tabs>
              <w:kinsoku/>
              <w:wordWrap/>
              <w:overflowPunct/>
              <w:topLinePunct/>
              <w:autoSpaceDE w:val="0"/>
              <w:autoSpaceDN w:val="0"/>
              <w:bidi w:val="0"/>
              <w:adjustRightInd w:val="0"/>
              <w:snapToGrid w:val="0"/>
              <w:spacing w:line="400" w:lineRule="exact"/>
              <w:jc w:val="both"/>
              <w:textAlignment w:val="auto"/>
              <w:rPr>
                <w:rFonts w:hint="eastAsia" w:ascii="宋体" w:hAnsi="宋体" w:eastAsia="宋体" w:cs="宋体"/>
                <w:b/>
                <w:bCs/>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定价方式</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2160"/>
              </w:tabs>
              <w:kinsoku/>
              <w:wordWrap/>
              <w:overflowPunct/>
              <w:topLinePunct/>
              <w:autoSpaceDE w:val="0"/>
              <w:autoSpaceDN w:val="0"/>
              <w:bidi w:val="0"/>
              <w:adjustRightInd w:val="0"/>
              <w:snapToGrid w:val="0"/>
              <w:spacing w:line="400" w:lineRule="exact"/>
              <w:jc w:val="both"/>
              <w:textAlignment w:val="auto"/>
              <w:rPr>
                <w:rFonts w:hint="eastAsia" w:ascii="宋体" w:hAnsi="宋体" w:eastAsia="宋体" w:cs="宋体"/>
                <w:b/>
                <w:bCs/>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2207" w:type="dxa"/>
            <w:gridSpan w:val="2"/>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甲方名称</w:t>
            </w:r>
          </w:p>
        </w:tc>
        <w:tc>
          <w:tcPr>
            <w:tcW w:w="5475" w:type="dxa"/>
            <w:tcBorders>
              <w:top w:val="single" w:color="auto" w:sz="4" w:space="0"/>
              <w:left w:val="single" w:color="auto" w:sz="6" w:space="0"/>
              <w:bottom w:val="single" w:color="auto" w:sz="6"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甲方地址</w:t>
            </w:r>
          </w:p>
        </w:tc>
        <w:tc>
          <w:tcPr>
            <w:tcW w:w="5475"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restart"/>
            <w:tcBorders>
              <w:top w:val="single" w:color="auto" w:sz="6" w:space="0"/>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甲方相关部门</w:t>
            </w:r>
          </w:p>
        </w:tc>
        <w:tc>
          <w:tcPr>
            <w:tcW w:w="1767"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甲方采购部门</w:t>
            </w:r>
          </w:p>
        </w:tc>
        <w:tc>
          <w:tcPr>
            <w:tcW w:w="5485" w:type="dxa"/>
            <w:gridSpan w:val="2"/>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5485" w:type="dxa"/>
            <w:gridSpan w:val="2"/>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需求部门</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乙方名称</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6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乙方企业性质</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中型企业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小型企业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微型企业    </w:t>
            </w:r>
          </w:p>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监狱企业</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残疾人福利性单位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乙方地址</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乙方联系人</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rPr>
              <w:t>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本合同服务内容为：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合同付款</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pStyle w:val="39"/>
              <w:keepNext w:val="0"/>
              <w:keepLines w:val="0"/>
              <w:pageBreakBefore w:val="0"/>
              <w:numPr>
                <w:ilvl w:val="0"/>
                <w:numId w:val="0"/>
              </w:numPr>
              <w:tabs>
                <w:tab w:val="left" w:pos="84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合同以人民币结算，付款方式：</w:t>
            </w:r>
          </w:p>
          <w:p>
            <w:pPr>
              <w:pStyle w:val="39"/>
              <w:keepNext w:val="0"/>
              <w:keepLines w:val="0"/>
              <w:pageBreakBefore w:val="0"/>
              <w:numPr>
                <w:ilvl w:val="0"/>
                <w:numId w:val="0"/>
              </w:numPr>
              <w:tabs>
                <w:tab w:val="left" w:pos="840"/>
              </w:tabs>
              <w:kinsoku/>
              <w:wordWrap/>
              <w:overflowPunct/>
              <w:bidi w:val="0"/>
              <w:adjustRightInd w:val="0"/>
              <w:snapToGrid w:val="0"/>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甲方收到发票后15日之内支付乙方上个月的结算费用。甲方在服务期内进行岗位调整的,根据乙方对应岗位的投标报价据实结算。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履约保证金及返还</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项目不要求提供履约保证金。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自合同签订之日起至服务期满</w:t>
            </w:r>
            <w:r>
              <w:rPr>
                <w:rFonts w:hint="eastAsia" w:ascii="宋体" w:hAnsi="宋体" w:eastAsia="宋体" w:cs="宋体"/>
                <w:color w:val="auto"/>
                <w:sz w:val="24"/>
                <w:szCs w:val="24"/>
                <w:highlight w:val="none"/>
                <w:lang w:eastAsia="zh-CN"/>
              </w:rPr>
              <w:t>验收合格</w:t>
            </w:r>
            <w:r>
              <w:rPr>
                <w:rFonts w:hint="eastAsia" w:ascii="宋体" w:hAnsi="宋体" w:eastAsia="宋体" w:cs="宋体"/>
                <w:color w:val="auto"/>
                <w:sz w:val="24"/>
                <w:szCs w:val="24"/>
                <w:highlight w:val="none"/>
              </w:rPr>
              <w:t>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lang w:eastAsia="zh-CN"/>
              </w:rPr>
              <w:t>项目服务期</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自合同签订之日起至</w:t>
            </w:r>
            <w:r>
              <w:rPr>
                <w:rFonts w:hint="eastAsia" w:ascii="宋体" w:hAnsi="宋体" w:eastAsia="宋体" w:cs="宋体"/>
                <w:color w:val="auto"/>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合同履约地点</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合同约定地点或甲方指定地点</w:t>
            </w:r>
          </w:p>
        </w:tc>
      </w:tr>
    </w:tbl>
    <w:p>
      <w:pPr>
        <w:tabs>
          <w:tab w:val="left" w:pos="700"/>
        </w:tabs>
        <w:topLinePunct/>
        <w:autoSpaceDE w:val="0"/>
        <w:autoSpaceDN w:val="0"/>
        <w:spacing w:line="460" w:lineRule="exact"/>
        <w:rPr>
          <w:rFonts w:hint="eastAsia" w:ascii="宋体" w:hAnsi="宋体" w:cs="宋体"/>
          <w:b/>
          <w:color w:val="auto"/>
          <w:sz w:val="24"/>
          <w:highlight w:val="none"/>
        </w:rPr>
      </w:pPr>
      <w:r>
        <w:rPr>
          <w:rFonts w:hint="eastAsia" w:ascii="宋体" w:hAnsi="宋体" w:cs="宋体"/>
          <w:b/>
          <w:color w:val="auto"/>
          <w:sz w:val="28"/>
          <w:highlight w:val="none"/>
        </w:rPr>
        <w:br w:type="page"/>
      </w:r>
    </w:p>
    <w:p>
      <w:pPr>
        <w:keepNext w:val="0"/>
        <w:keepLines w:val="0"/>
        <w:pageBreakBefore w:val="0"/>
        <w:widowControl w:val="0"/>
        <w:tabs>
          <w:tab w:val="left" w:pos="0"/>
        </w:tabs>
        <w:kinsoku/>
        <w:wordWrap/>
        <w:overflowPunct/>
        <w:topLinePunct/>
        <w:autoSpaceDE w:val="0"/>
        <w:autoSpaceDN w:val="0"/>
        <w:bidi w:val="0"/>
        <w:adjustRightInd/>
        <w:snapToGrid/>
        <w:spacing w:line="360" w:lineRule="auto"/>
        <w:jc w:val="center"/>
        <w:textAlignment w:val="auto"/>
        <w:rPr>
          <w:rFonts w:hint="default" w:ascii="Times New Roman" w:hAnsi="Times New Roman" w:cs="Times New Roman"/>
          <w:b/>
          <w:color w:val="auto"/>
          <w:sz w:val="24"/>
          <w:highlight w:val="none"/>
        </w:rPr>
      </w:pPr>
      <w:r>
        <w:rPr>
          <w:rFonts w:hint="eastAsia" w:ascii="宋体" w:hAnsi="宋体" w:cs="宋体"/>
          <w:b/>
          <w:color w:val="auto"/>
          <w:sz w:val="24"/>
          <w:highlight w:val="none"/>
        </w:rPr>
        <w:t xml:space="preserve">一   合  同 </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u w:val="single"/>
          <w:lang w:eastAsia="zh-CN"/>
        </w:rPr>
        <w:t>国家税务总局福州市仓山区税务局</w:t>
      </w:r>
      <w:r>
        <w:rPr>
          <w:rFonts w:hint="eastAsia" w:ascii="宋体" w:hAnsi="宋体" w:eastAsia="宋体" w:cs="宋体"/>
          <w:color w:val="auto"/>
          <w:sz w:val="22"/>
          <w:szCs w:val="22"/>
          <w:highlight w:val="none"/>
        </w:rPr>
        <w:t>（以下简称“甲方”）通过</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val="en-US" w:eastAsia="zh-CN"/>
        </w:rPr>
        <w:t>式</w:t>
      </w:r>
      <w:r>
        <w:rPr>
          <w:rFonts w:hint="eastAsia" w:ascii="宋体" w:hAnsi="宋体" w:eastAsia="宋体" w:cs="宋体"/>
          <w:color w:val="auto"/>
          <w:sz w:val="22"/>
          <w:szCs w:val="22"/>
          <w:highlight w:val="none"/>
        </w:rPr>
        <w:t>采购</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确定</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公司（以下简称“乙方”）为《</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w:t>
      </w:r>
      <w:r>
        <w:rPr>
          <w:rFonts w:hint="eastAsia" w:ascii="宋体" w:hAnsi="宋体" w:eastAsia="宋体" w:cs="宋体"/>
          <w:color w:val="auto"/>
          <w:sz w:val="22"/>
          <w:szCs w:val="22"/>
          <w:highlight w:val="none"/>
          <w:lang w:eastAsia="zh-CN"/>
        </w:rPr>
        <w:t>中标（成交）供应商</w:t>
      </w:r>
      <w:r>
        <w:rPr>
          <w:rFonts w:hint="eastAsia" w:ascii="宋体" w:hAnsi="宋体" w:eastAsia="宋体" w:cs="宋体"/>
          <w:color w:val="auto"/>
          <w:sz w:val="22"/>
          <w:szCs w:val="22"/>
          <w:highlight w:val="none"/>
        </w:rPr>
        <w:t>。甲乙双方同意按照该项目</w:t>
      </w:r>
      <w:r>
        <w:rPr>
          <w:rFonts w:hint="eastAsia" w:ascii="宋体" w:hAnsi="宋体" w:eastAsia="宋体" w:cs="宋体"/>
          <w:color w:val="auto"/>
          <w:sz w:val="22"/>
          <w:szCs w:val="22"/>
          <w:highlight w:val="none"/>
          <w:lang w:eastAsia="zh-CN"/>
        </w:rPr>
        <w:t>招标（采购）文件</w:t>
      </w:r>
      <w:r>
        <w:rPr>
          <w:rFonts w:hint="eastAsia" w:ascii="宋体" w:hAnsi="宋体" w:eastAsia="宋体" w:cs="宋体"/>
          <w:color w:val="auto"/>
          <w:sz w:val="22"/>
          <w:szCs w:val="22"/>
          <w:highlight w:val="none"/>
        </w:rPr>
        <w:t>约定的内容，签署《</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合同书》（合同编号：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，以下简称“合同”)。</w:t>
      </w:r>
    </w:p>
    <w:p>
      <w:pPr>
        <w:keepNext w:val="0"/>
        <w:keepLines w:val="0"/>
        <w:pageBreakBefore w:val="0"/>
        <w:widowControl w:val="0"/>
        <w:kinsoku/>
        <w:wordWrap/>
        <w:overflowPunct/>
        <w:topLinePunct/>
        <w:autoSpaceDE w:val="0"/>
        <w:autoSpaceDN w:val="0"/>
        <w:bidi w:val="0"/>
        <w:snapToGrid w:val="0"/>
        <w:spacing w:line="400" w:lineRule="exact"/>
        <w:ind w:left="482"/>
        <w:outlineLvl w:val="1"/>
        <w:rPr>
          <w:rFonts w:hint="eastAsia" w:ascii="宋体" w:hAnsi="宋体" w:eastAsia="宋体" w:cs="宋体"/>
          <w:b/>
          <w:color w:val="auto"/>
          <w:sz w:val="22"/>
          <w:szCs w:val="22"/>
          <w:highlight w:val="none"/>
        </w:rPr>
      </w:pPr>
      <w:bookmarkStart w:id="42" w:name="_Toc11041"/>
      <w:bookmarkStart w:id="43" w:name="_Toc4627"/>
      <w:r>
        <w:rPr>
          <w:rFonts w:hint="eastAsia" w:ascii="宋体" w:hAnsi="宋体" w:eastAsia="宋体" w:cs="宋体"/>
          <w:b/>
          <w:color w:val="auto"/>
          <w:sz w:val="22"/>
          <w:szCs w:val="22"/>
          <w:highlight w:val="none"/>
        </w:rPr>
        <w:t>1. 合同文件</w:t>
      </w:r>
      <w:bookmarkEnd w:id="42"/>
      <w:bookmarkEnd w:id="43"/>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本合同所附下列文件是构成本合同不可分割的部分：</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（1）合同通用条款；</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（2）报价表（总报价表和分项报价表）；</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）招标（采购）文件；</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投标（响应）</w:t>
      </w:r>
      <w:r>
        <w:rPr>
          <w:rFonts w:hint="eastAsia" w:ascii="宋体" w:hAnsi="宋体" w:eastAsia="宋体" w:cs="宋体"/>
          <w:color w:val="auto"/>
          <w:sz w:val="22"/>
          <w:szCs w:val="22"/>
          <w:highlight w:val="none"/>
        </w:rPr>
        <w:t>文件。</w:t>
      </w:r>
    </w:p>
    <w:p>
      <w:pPr>
        <w:keepNext w:val="0"/>
        <w:keepLines w:val="0"/>
        <w:pageBreakBefore w:val="0"/>
        <w:widowControl w:val="0"/>
        <w:kinsoku/>
        <w:wordWrap/>
        <w:overflowPunct/>
        <w:topLinePunct/>
        <w:autoSpaceDE w:val="0"/>
        <w:autoSpaceDN w:val="0"/>
        <w:bidi w:val="0"/>
        <w:snapToGrid w:val="0"/>
        <w:spacing w:line="400" w:lineRule="exact"/>
        <w:ind w:left="482"/>
        <w:outlineLvl w:val="1"/>
        <w:rPr>
          <w:rFonts w:hint="eastAsia" w:ascii="宋体" w:hAnsi="宋体" w:eastAsia="宋体" w:cs="宋体"/>
          <w:b/>
          <w:color w:val="auto"/>
          <w:sz w:val="22"/>
          <w:szCs w:val="22"/>
          <w:highlight w:val="none"/>
        </w:rPr>
      </w:pPr>
      <w:bookmarkStart w:id="44" w:name="_Toc9580"/>
      <w:bookmarkStart w:id="45" w:name="_Toc19921"/>
      <w:r>
        <w:rPr>
          <w:rFonts w:hint="eastAsia" w:ascii="宋体" w:hAnsi="宋体" w:eastAsia="宋体" w:cs="宋体"/>
          <w:b/>
          <w:color w:val="auto"/>
          <w:sz w:val="22"/>
          <w:szCs w:val="22"/>
          <w:highlight w:val="none"/>
        </w:rPr>
        <w:t>2. 合同范围和条件</w:t>
      </w:r>
      <w:bookmarkEnd w:id="44"/>
      <w:bookmarkEnd w:id="45"/>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本合同的范围和条件应与上述合同文件的规定相一致。</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33" w:firstLineChars="196"/>
        <w:outlineLvl w:val="1"/>
        <w:rPr>
          <w:rFonts w:hint="eastAsia" w:ascii="宋体" w:hAnsi="宋体" w:eastAsia="宋体" w:cs="宋体"/>
          <w:b/>
          <w:color w:val="auto"/>
          <w:sz w:val="22"/>
          <w:szCs w:val="22"/>
          <w:highlight w:val="none"/>
        </w:rPr>
      </w:pPr>
      <w:bookmarkStart w:id="46" w:name="_Toc25418"/>
      <w:bookmarkStart w:id="47" w:name="_Toc4439"/>
      <w:r>
        <w:rPr>
          <w:rFonts w:hint="eastAsia" w:ascii="宋体" w:hAnsi="宋体" w:eastAsia="宋体" w:cs="宋体"/>
          <w:b/>
          <w:color w:val="auto"/>
          <w:sz w:val="22"/>
          <w:szCs w:val="22"/>
          <w:highlight w:val="none"/>
        </w:rPr>
        <w:t>3. 合同金额</w:t>
      </w:r>
      <w:bookmarkEnd w:id="46"/>
      <w:bookmarkEnd w:id="47"/>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本合同金额为人民币</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rPr>
        <w:t>元</w:t>
      </w:r>
      <w:r>
        <w:rPr>
          <w:rFonts w:hint="eastAsia" w:ascii="宋体" w:hAnsi="宋体" w:eastAsia="宋体" w:cs="宋体"/>
          <w:color w:val="auto"/>
          <w:sz w:val="22"/>
          <w:szCs w:val="22"/>
          <w:highlight w:val="none"/>
        </w:rPr>
        <w:t>整（¥</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w:t>
      </w:r>
    </w:p>
    <w:p>
      <w:pPr>
        <w:keepNext w:val="0"/>
        <w:keepLines w:val="0"/>
        <w:pageBreakBefore w:val="0"/>
        <w:widowControl w:val="0"/>
        <w:numPr>
          <w:ilvl w:val="0"/>
          <w:numId w:val="0"/>
        </w:numPr>
        <w:tabs>
          <w:tab w:val="left" w:pos="700"/>
        </w:tabs>
        <w:kinsoku/>
        <w:wordWrap/>
        <w:overflowPunct/>
        <w:topLinePunct/>
        <w:autoSpaceDE w:val="0"/>
        <w:autoSpaceDN w:val="0"/>
        <w:bidi w:val="0"/>
        <w:snapToGrid w:val="0"/>
        <w:spacing w:line="400" w:lineRule="exact"/>
        <w:ind w:firstLine="442" w:firstLineChars="200"/>
        <w:outlineLvl w:val="1"/>
        <w:rPr>
          <w:rFonts w:hint="eastAsia" w:ascii="宋体" w:hAnsi="宋体" w:eastAsia="宋体" w:cs="宋体"/>
          <w:b/>
          <w:color w:val="auto"/>
          <w:sz w:val="22"/>
          <w:szCs w:val="22"/>
          <w:highlight w:val="none"/>
        </w:rPr>
      </w:pPr>
      <w:bookmarkStart w:id="48" w:name="_Toc28641"/>
      <w:bookmarkStart w:id="49" w:name="_Toc26416"/>
      <w:r>
        <w:rPr>
          <w:rFonts w:hint="eastAsia" w:ascii="宋体" w:hAnsi="宋体" w:eastAsia="宋体" w:cs="宋体"/>
          <w:b/>
          <w:color w:val="auto"/>
          <w:sz w:val="22"/>
          <w:szCs w:val="22"/>
          <w:highlight w:val="none"/>
          <w:lang w:val="en"/>
        </w:rPr>
        <w:t>4.</w:t>
      </w:r>
      <w:r>
        <w:rPr>
          <w:rFonts w:hint="eastAsia" w:ascii="宋体" w:hAnsi="宋体" w:eastAsia="宋体" w:cs="宋体"/>
          <w:b/>
          <w:color w:val="auto"/>
          <w:sz w:val="22"/>
          <w:szCs w:val="22"/>
          <w:highlight w:val="none"/>
        </w:rPr>
        <w:t>付款条件</w:t>
      </w:r>
      <w:bookmarkEnd w:id="48"/>
      <w:bookmarkEnd w:id="49"/>
    </w:p>
    <w:p>
      <w:pPr>
        <w:pStyle w:val="39"/>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400" w:lineRule="exact"/>
        <w:ind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合同以人民币结算，付款方式：</w:t>
      </w:r>
    </w:p>
    <w:p>
      <w:pPr>
        <w:pStyle w:val="2"/>
        <w:rPr>
          <w:rFonts w:hint="eastAsia" w:ascii="宋体" w:hAnsi="宋体" w:eastAsia="宋体" w:cs="宋体"/>
          <w:color w:val="auto"/>
          <w:kern w:val="2"/>
          <w:sz w:val="22"/>
          <w:szCs w:val="22"/>
          <w:highlight w:val="none"/>
          <w:lang w:val="en-US" w:eastAsia="zh-CN" w:bidi="ar-SA"/>
        </w:rPr>
      </w:pPr>
      <w:bookmarkStart w:id="50" w:name="_Toc28883"/>
      <w:bookmarkStart w:id="51" w:name="_Toc6077"/>
      <w:r>
        <w:rPr>
          <w:rFonts w:hint="eastAsia" w:ascii="宋体" w:hAnsi="宋体" w:eastAsia="宋体" w:cs="宋体"/>
          <w:color w:val="auto"/>
          <w:kern w:val="2"/>
          <w:sz w:val="22"/>
          <w:szCs w:val="22"/>
          <w:highlight w:val="none"/>
          <w:lang w:val="en-US" w:eastAsia="zh-CN" w:bidi="ar-SA"/>
        </w:rPr>
        <w:t>按月支付费用：甲方收到发票后15日之内支付乙方上个月的结算费用。甲方在服务期内进行岗位调整的,根据乙方对应岗位的投标报价据实结算。</w:t>
      </w:r>
    </w:p>
    <w:p>
      <w:pPr>
        <w:keepNext w:val="0"/>
        <w:keepLines w:val="0"/>
        <w:pageBreakBefore w:val="0"/>
        <w:widowControl w:val="0"/>
        <w:kinsoku/>
        <w:wordWrap/>
        <w:overflowPunct/>
        <w:topLinePunct/>
        <w:autoSpaceDE w:val="0"/>
        <w:autoSpaceDN w:val="0"/>
        <w:bidi w:val="0"/>
        <w:snapToGrid w:val="0"/>
        <w:spacing w:line="400" w:lineRule="exact"/>
        <w:ind w:left="482"/>
        <w:outlineLvl w:val="1"/>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rPr>
        <w:t>5. 合同签订</w:t>
      </w:r>
      <w:r>
        <w:rPr>
          <w:rFonts w:hint="eastAsia" w:ascii="宋体" w:hAnsi="宋体" w:eastAsia="宋体" w:cs="宋体"/>
          <w:b/>
          <w:color w:val="auto"/>
          <w:sz w:val="22"/>
          <w:szCs w:val="22"/>
          <w:highlight w:val="none"/>
          <w:lang w:eastAsia="zh-CN"/>
        </w:rPr>
        <w:t>及生效</w:t>
      </w:r>
      <w:bookmarkEnd w:id="50"/>
      <w:bookmarkEnd w:id="51"/>
    </w:p>
    <w:p>
      <w:pPr>
        <w:pStyle w:val="39"/>
        <w:keepNext w:val="0"/>
        <w:keepLines w:val="0"/>
        <w:pageBreakBefore w:val="0"/>
        <w:widowControl w:val="0"/>
        <w:numPr>
          <w:ilvl w:val="0"/>
          <w:numId w:val="0"/>
        </w:numPr>
        <w:tabs>
          <w:tab w:val="left" w:pos="840"/>
        </w:tabs>
        <w:kinsoku/>
        <w:wordWrap/>
        <w:overflowPunct/>
        <w:bidi w:val="0"/>
        <w:snapToGrid w:val="0"/>
        <w:spacing w:line="40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本合同一式</w:t>
      </w:r>
      <w:r>
        <w:rPr>
          <w:rFonts w:hint="eastAsia" w:ascii="宋体" w:hAnsi="宋体" w:eastAsia="宋体" w:cs="宋体"/>
          <w:color w:val="auto"/>
          <w:sz w:val="22"/>
          <w:szCs w:val="22"/>
          <w:highlight w:val="none"/>
          <w:u w:val="single"/>
          <w:lang w:val="en"/>
        </w:rPr>
        <w:t xml:space="preserve">   </w:t>
      </w:r>
      <w:r>
        <w:rPr>
          <w:rFonts w:hint="eastAsia" w:ascii="宋体" w:hAnsi="宋体" w:eastAsia="宋体" w:cs="宋体"/>
          <w:color w:val="auto"/>
          <w:sz w:val="22"/>
          <w:szCs w:val="22"/>
          <w:highlight w:val="none"/>
        </w:rPr>
        <w:t>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由甲乙双方</w:t>
      </w:r>
      <w:r>
        <w:rPr>
          <w:rFonts w:hint="eastAsia" w:ascii="宋体" w:hAnsi="宋体" w:eastAsia="宋体" w:cs="宋体"/>
          <w:color w:val="auto"/>
          <w:sz w:val="22"/>
          <w:szCs w:val="22"/>
          <w:highlight w:val="none"/>
          <w:lang w:eastAsia="zh-CN"/>
        </w:rPr>
        <w:t>法定代表人或被</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签字</w:t>
      </w:r>
      <w:r>
        <w:rPr>
          <w:rFonts w:hint="eastAsia" w:ascii="宋体" w:hAnsi="宋体" w:eastAsia="宋体" w:cs="宋体"/>
          <w:color w:val="auto"/>
          <w:sz w:val="22"/>
          <w:szCs w:val="22"/>
          <w:highlight w:val="none"/>
          <w:lang w:eastAsia="zh-CN"/>
        </w:rPr>
        <w:t>并</w:t>
      </w:r>
      <w:r>
        <w:rPr>
          <w:rFonts w:hint="eastAsia" w:ascii="宋体" w:hAnsi="宋体" w:eastAsia="宋体" w:cs="宋体"/>
          <w:color w:val="auto"/>
          <w:sz w:val="22"/>
          <w:szCs w:val="22"/>
          <w:highlight w:val="none"/>
        </w:rPr>
        <w:t>盖章</w:t>
      </w:r>
      <w:r>
        <w:rPr>
          <w:rFonts w:hint="eastAsia" w:ascii="宋体" w:hAnsi="宋体" w:eastAsia="宋体" w:cs="宋体"/>
          <w:color w:val="auto"/>
          <w:sz w:val="22"/>
          <w:szCs w:val="22"/>
          <w:highlight w:val="none"/>
          <w:lang w:eastAsia="zh-CN"/>
        </w:rPr>
        <w:t>后生效。</w:t>
      </w:r>
    </w:p>
    <w:p>
      <w:pPr>
        <w:pStyle w:val="39"/>
        <w:keepNext w:val="0"/>
        <w:keepLines w:val="0"/>
        <w:pageBreakBefore w:val="0"/>
        <w:widowControl w:val="0"/>
        <w:numPr>
          <w:ilvl w:val="0"/>
          <w:numId w:val="0"/>
        </w:numPr>
        <w:tabs>
          <w:tab w:val="left" w:pos="840"/>
        </w:tabs>
        <w:kinsoku/>
        <w:wordWrap/>
        <w:overflowPunct/>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乙方由</w:t>
      </w:r>
      <w:r>
        <w:rPr>
          <w:rFonts w:hint="eastAsia" w:ascii="宋体" w:hAnsi="宋体" w:eastAsia="宋体" w:cs="宋体"/>
          <w:color w:val="auto"/>
          <w:sz w:val="22"/>
          <w:szCs w:val="22"/>
          <w:highlight w:val="none"/>
          <w:lang w:eastAsia="zh-CN"/>
        </w:rPr>
        <w:t>法定代表人</w:t>
      </w:r>
      <w:r>
        <w:rPr>
          <w:rFonts w:hint="eastAsia" w:ascii="宋体" w:hAnsi="宋体" w:eastAsia="宋体" w:cs="宋体"/>
          <w:color w:val="auto"/>
          <w:sz w:val="22"/>
          <w:szCs w:val="22"/>
          <w:highlight w:val="none"/>
        </w:rPr>
        <w:t>签订合同的，应提供</w:t>
      </w:r>
      <w:r>
        <w:rPr>
          <w:rFonts w:hint="eastAsia" w:ascii="宋体" w:hAnsi="宋体" w:eastAsia="宋体" w:cs="宋体"/>
          <w:color w:val="auto"/>
          <w:sz w:val="22"/>
          <w:szCs w:val="22"/>
          <w:highlight w:val="none"/>
          <w:lang w:eastAsia="zh-CN"/>
        </w:rPr>
        <w:t>法定代表人</w:t>
      </w:r>
      <w:r>
        <w:rPr>
          <w:rFonts w:hint="eastAsia" w:ascii="宋体" w:hAnsi="宋体" w:eastAsia="宋体" w:cs="宋体"/>
          <w:color w:val="auto"/>
          <w:sz w:val="22"/>
          <w:szCs w:val="22"/>
          <w:highlight w:val="none"/>
        </w:rPr>
        <w:t>身份证复印件；乙方由</w:t>
      </w:r>
      <w:r>
        <w:rPr>
          <w:rFonts w:hint="eastAsia" w:ascii="宋体" w:hAnsi="宋体" w:eastAsia="宋体" w:cs="宋体"/>
          <w:color w:val="auto"/>
          <w:sz w:val="22"/>
          <w:szCs w:val="22"/>
          <w:highlight w:val="none"/>
          <w:lang w:eastAsia="zh-CN"/>
        </w:rPr>
        <w:t>被</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签订合同的，</w:t>
      </w:r>
      <w:r>
        <w:rPr>
          <w:rFonts w:hint="eastAsia" w:ascii="宋体" w:hAnsi="宋体" w:eastAsia="宋体" w:cs="宋体"/>
          <w:color w:val="auto"/>
          <w:sz w:val="22"/>
          <w:szCs w:val="22"/>
          <w:highlight w:val="none"/>
          <w:lang w:eastAsia="zh-CN"/>
        </w:rPr>
        <w:t>应</w:t>
      </w:r>
      <w:r>
        <w:rPr>
          <w:rFonts w:hint="eastAsia" w:ascii="宋体" w:hAnsi="宋体" w:eastAsia="宋体" w:cs="宋体"/>
          <w:color w:val="auto"/>
          <w:sz w:val="22"/>
          <w:szCs w:val="22"/>
          <w:highlight w:val="none"/>
        </w:rPr>
        <w:t>提供授权</w:t>
      </w:r>
      <w:r>
        <w:rPr>
          <w:rFonts w:hint="eastAsia" w:ascii="宋体" w:hAnsi="宋体" w:eastAsia="宋体" w:cs="宋体"/>
          <w:color w:val="auto"/>
          <w:sz w:val="22"/>
          <w:szCs w:val="22"/>
          <w:highlight w:val="none"/>
          <w:lang w:eastAsia="zh-CN"/>
        </w:rPr>
        <w:t>委托</w:t>
      </w:r>
      <w:r>
        <w:rPr>
          <w:rFonts w:hint="eastAsia" w:ascii="宋体" w:hAnsi="宋体" w:eastAsia="宋体" w:cs="宋体"/>
          <w:color w:val="auto"/>
          <w:sz w:val="22"/>
          <w:szCs w:val="22"/>
          <w:highlight w:val="none"/>
        </w:rPr>
        <w:t>书和</w:t>
      </w:r>
      <w:r>
        <w:rPr>
          <w:rFonts w:hint="eastAsia" w:ascii="宋体" w:hAnsi="宋体" w:eastAsia="宋体" w:cs="宋体"/>
          <w:color w:val="auto"/>
          <w:sz w:val="22"/>
          <w:szCs w:val="22"/>
          <w:highlight w:val="none"/>
          <w:lang w:eastAsia="zh-CN"/>
        </w:rPr>
        <w:t>法定代表人及被</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身份证复印件。</w:t>
      </w:r>
    </w:p>
    <w:p>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w:t>
      </w:r>
      <w:r>
        <w:rPr>
          <w:rFonts w:hint="eastAsia" w:ascii="宋体" w:hAnsi="宋体" w:cs="宋体"/>
          <w:color w:val="auto"/>
          <w:sz w:val="22"/>
          <w:szCs w:val="22"/>
          <w:highlight w:val="none"/>
          <w:lang w:eastAsia="zh-CN"/>
        </w:rPr>
        <w:t>国家税务总局福州市仓山区税务局</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 xml:space="preserve"> 乙方：</w:t>
      </w:r>
    </w:p>
    <w:p>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签字：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签字：</w:t>
      </w:r>
    </w:p>
    <w:p>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盖章：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盖章： </w:t>
      </w:r>
    </w:p>
    <w:p>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日期：    年    月    日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日期：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年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月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日</w:t>
      </w:r>
    </w:p>
    <w:p>
      <w:pPr>
        <w:topLinePunct/>
        <w:autoSpaceDE w:val="0"/>
        <w:autoSpaceDN w:val="0"/>
        <w:spacing w:line="460" w:lineRule="exact"/>
        <w:rPr>
          <w:rFonts w:hint="eastAsia" w:ascii="宋体" w:hAnsi="宋体" w:cs="宋体"/>
          <w:b/>
          <w:color w:val="auto"/>
          <w:sz w:val="24"/>
          <w:highlight w:val="none"/>
        </w:rPr>
      </w:pPr>
    </w:p>
    <w:p>
      <w:pPr>
        <w:topLinePunct/>
        <w:autoSpaceDE w:val="0"/>
        <w:autoSpaceDN w:val="0"/>
        <w:spacing w:line="460" w:lineRule="exact"/>
        <w:jc w:val="center"/>
        <w:rPr>
          <w:rFonts w:hint="eastAsia" w:ascii="宋体" w:hAnsi="宋体" w:eastAsia="宋体" w:cs="宋体"/>
          <w:b/>
          <w:color w:val="auto"/>
          <w:sz w:val="24"/>
          <w:highlight w:val="none"/>
          <w:lang w:eastAsia="zh-CN"/>
        </w:rPr>
      </w:pPr>
    </w:p>
    <w:p>
      <w:pPr>
        <w:topLinePunct/>
        <w:autoSpaceDE w:val="0"/>
        <w:autoSpaceDN w:val="0"/>
        <w:spacing w:line="460" w:lineRule="exact"/>
        <w:jc w:val="center"/>
        <w:rPr>
          <w:rFonts w:hint="eastAsia" w:ascii="宋体" w:hAnsi="宋体" w:eastAsia="宋体" w:cs="宋体"/>
          <w:b/>
          <w:color w:val="auto"/>
          <w:sz w:val="24"/>
          <w:highlight w:val="none"/>
          <w:lang w:eastAsia="zh-CN"/>
        </w:rPr>
      </w:pPr>
    </w:p>
    <w:p>
      <w:pPr>
        <w:keepNext w:val="0"/>
        <w:keepLines w:val="0"/>
        <w:pageBreakBefore w:val="0"/>
        <w:widowControl w:val="0"/>
        <w:kinsoku/>
        <w:wordWrap/>
        <w:overflowPunct/>
        <w:topLinePunct/>
        <w:autoSpaceDE w:val="0"/>
        <w:autoSpaceDN w:val="0"/>
        <w:bidi w:val="0"/>
        <w:adjustRightInd/>
        <w:snapToGrid/>
        <w:spacing w:line="360" w:lineRule="auto"/>
        <w:jc w:val="center"/>
        <w:textAlignment w:val="auto"/>
        <w:rPr>
          <w:rFonts w:hint="eastAsia" w:ascii="宋体" w:hAnsi="宋体" w:cs="宋体"/>
          <w:b/>
          <w:color w:val="auto"/>
          <w:sz w:val="24"/>
          <w:highlight w:val="none"/>
        </w:rPr>
      </w:pPr>
      <w:r>
        <w:rPr>
          <w:rFonts w:ascii="宋体" w:hAnsi="宋体" w:cs="宋体"/>
          <w:b/>
          <w:color w:val="auto"/>
          <w:sz w:val="24"/>
          <w:highlight w:val="none"/>
        </w:rPr>
        <w:br w:type="page"/>
      </w:r>
      <w:r>
        <w:rPr>
          <w:rFonts w:hint="eastAsia" w:ascii="宋体" w:hAnsi="宋体" w:cs="宋体"/>
          <w:b/>
          <w:color w:val="auto"/>
          <w:sz w:val="24"/>
          <w:highlight w:val="none"/>
        </w:rPr>
        <w:t>二   合 同 通 用 条 款</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52" w:name="_Toc19962"/>
      <w:bookmarkStart w:id="53" w:name="_Toc30156"/>
      <w:r>
        <w:rPr>
          <w:rFonts w:hint="eastAsia" w:ascii="宋体" w:hAnsi="宋体" w:eastAsia="宋体" w:cs="宋体"/>
          <w:b/>
          <w:color w:val="auto"/>
          <w:sz w:val="22"/>
          <w:szCs w:val="22"/>
          <w:highlight w:val="none"/>
        </w:rPr>
        <w:t>1. 定义</w:t>
      </w:r>
      <w:bookmarkEnd w:id="52"/>
      <w:bookmarkEnd w:id="53"/>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本合同下列术语应解释为：</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1.1“甲方”是指</w:t>
      </w:r>
      <w:r>
        <w:rPr>
          <w:rFonts w:hint="eastAsia" w:ascii="宋体" w:hAnsi="宋体" w:cs="宋体"/>
          <w:color w:val="auto"/>
          <w:sz w:val="22"/>
          <w:szCs w:val="22"/>
          <w:highlight w:val="none"/>
          <w:u w:val="single"/>
          <w:lang w:eastAsia="zh-CN"/>
        </w:rPr>
        <w:t>国家税务总局福州市仓山区税务局</w:t>
      </w:r>
      <w:r>
        <w:rPr>
          <w:rFonts w:hint="eastAsia" w:ascii="宋体" w:hAnsi="宋体" w:eastAsia="宋体" w:cs="宋体"/>
          <w:color w:val="auto"/>
          <w:sz w:val="22"/>
          <w:szCs w:val="22"/>
          <w:highlight w:val="none"/>
        </w:rPr>
        <w:t>。</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1.1.1“甲方采购部门”见“合同条款前附表”第</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项“甲方采购部门”。</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1.1.2“甲方</w:t>
      </w:r>
      <w:r>
        <w:rPr>
          <w:rFonts w:hint="eastAsia" w:ascii="宋体" w:hAnsi="宋体" w:eastAsia="宋体" w:cs="宋体"/>
          <w:color w:val="auto"/>
          <w:sz w:val="22"/>
          <w:szCs w:val="22"/>
          <w:highlight w:val="none"/>
          <w:lang w:eastAsia="zh-CN"/>
        </w:rPr>
        <w:t>需求部门</w:t>
      </w:r>
      <w:r>
        <w:rPr>
          <w:rFonts w:hint="eastAsia" w:ascii="宋体" w:hAnsi="宋体" w:eastAsia="宋体" w:cs="宋体"/>
          <w:color w:val="auto"/>
          <w:sz w:val="22"/>
          <w:szCs w:val="22"/>
          <w:highlight w:val="none"/>
        </w:rPr>
        <w:t>”见“合同条款前附表”第</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项“甲方</w:t>
      </w:r>
      <w:r>
        <w:rPr>
          <w:rFonts w:hint="eastAsia" w:ascii="宋体" w:hAnsi="宋体" w:eastAsia="宋体" w:cs="宋体"/>
          <w:color w:val="auto"/>
          <w:sz w:val="22"/>
          <w:szCs w:val="22"/>
          <w:highlight w:val="none"/>
          <w:lang w:eastAsia="zh-CN"/>
        </w:rPr>
        <w:t>需求部门</w:t>
      </w:r>
      <w:r>
        <w:rPr>
          <w:rFonts w:hint="eastAsia" w:ascii="宋体" w:hAnsi="宋体" w:eastAsia="宋体" w:cs="宋体"/>
          <w:color w:val="auto"/>
          <w:sz w:val="22"/>
          <w:szCs w:val="22"/>
          <w:highlight w:val="none"/>
        </w:rPr>
        <w:t>”。</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1.2“乙方”见“合同条款前附表”第</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项“乙方名称”。</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 “合同”系指甲乙双方签订的、合同格式中载明的甲乙双方所达成的协议，包括所有的附件、附录和上述文件所提到的构成合同的所有文件。</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 “天”除非特别指出，“天”均为自然天。</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54" w:name="_Toc13700"/>
      <w:bookmarkStart w:id="55" w:name="_Toc24368"/>
      <w:r>
        <w:rPr>
          <w:rFonts w:hint="eastAsia" w:ascii="宋体" w:hAnsi="宋体" w:eastAsia="宋体" w:cs="宋体"/>
          <w:b/>
          <w:color w:val="auto"/>
          <w:sz w:val="22"/>
          <w:szCs w:val="22"/>
          <w:highlight w:val="none"/>
        </w:rPr>
        <w:t>2. 标准</w:t>
      </w:r>
      <w:bookmarkEnd w:id="54"/>
      <w:bookmarkEnd w:id="55"/>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 乙方为甲方</w:t>
      </w:r>
      <w:r>
        <w:rPr>
          <w:rFonts w:hint="eastAsia" w:ascii="宋体" w:hAnsi="宋体" w:eastAsia="宋体" w:cs="宋体"/>
          <w:color w:val="auto"/>
          <w:sz w:val="22"/>
          <w:szCs w:val="22"/>
          <w:highlight w:val="none"/>
          <w:lang w:eastAsia="zh-CN"/>
        </w:rPr>
        <w:t>交付或</w:t>
      </w:r>
      <w:r>
        <w:rPr>
          <w:rFonts w:hint="eastAsia" w:ascii="宋体" w:hAnsi="宋体" w:eastAsia="宋体" w:cs="宋体"/>
          <w:color w:val="auto"/>
          <w:sz w:val="22"/>
          <w:szCs w:val="22"/>
          <w:highlight w:val="none"/>
        </w:rPr>
        <w:t>提供的服务应符合</w:t>
      </w:r>
      <w:r>
        <w:rPr>
          <w:rFonts w:hint="eastAsia" w:ascii="宋体" w:hAnsi="宋体" w:eastAsia="宋体" w:cs="宋体"/>
          <w:color w:val="auto"/>
          <w:sz w:val="22"/>
          <w:szCs w:val="22"/>
          <w:highlight w:val="none"/>
          <w:lang w:eastAsia="zh-CN"/>
        </w:rPr>
        <w:t>招标（采购）文件</w:t>
      </w:r>
      <w:r>
        <w:rPr>
          <w:rFonts w:hint="eastAsia" w:ascii="宋体" w:hAnsi="宋体" w:eastAsia="宋体" w:cs="宋体"/>
          <w:color w:val="auto"/>
          <w:sz w:val="22"/>
          <w:szCs w:val="22"/>
          <w:highlight w:val="none"/>
        </w:rPr>
        <w:t>所述的</w:t>
      </w:r>
      <w:r>
        <w:rPr>
          <w:rFonts w:hint="eastAsia" w:ascii="宋体" w:hAnsi="宋体" w:eastAsia="宋体" w:cs="宋体"/>
          <w:color w:val="auto"/>
          <w:sz w:val="22"/>
          <w:szCs w:val="22"/>
          <w:highlight w:val="none"/>
          <w:lang w:eastAsia="zh-CN"/>
        </w:rPr>
        <w:t>标准</w:t>
      </w:r>
      <w:r>
        <w:rPr>
          <w:rFonts w:hint="eastAsia" w:ascii="宋体" w:hAnsi="宋体" w:eastAsia="宋体" w:cs="宋体"/>
          <w:color w:val="auto"/>
          <w:sz w:val="22"/>
          <w:szCs w:val="22"/>
          <w:highlight w:val="none"/>
        </w:rPr>
        <w:t>，如果没有提及适用标准，则应符合相应的国家标准。这些标准必须是有关机构发布的最新版本的标准。</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 除非技术要求中另有规定，计量单位均采用中华人民共和国法定计量单位。</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56" w:name="_Toc25879"/>
      <w:bookmarkStart w:id="57" w:name="_Toc24638"/>
      <w:r>
        <w:rPr>
          <w:rFonts w:hint="eastAsia" w:ascii="宋体" w:hAnsi="宋体" w:eastAsia="宋体" w:cs="宋体"/>
          <w:b/>
          <w:color w:val="auto"/>
          <w:sz w:val="22"/>
          <w:szCs w:val="22"/>
          <w:highlight w:val="none"/>
        </w:rPr>
        <w:t>3. 服务</w:t>
      </w:r>
      <w:bookmarkEnd w:id="56"/>
      <w:bookmarkEnd w:id="57"/>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3.1 本项目的“服务”见“合同条款前附表”第</w:t>
      </w:r>
      <w:r>
        <w:rPr>
          <w:rFonts w:hint="eastAsia" w:ascii="宋体" w:hAnsi="宋体" w:eastAsia="宋体" w:cs="宋体"/>
          <w:bCs/>
          <w:color w:val="auto"/>
          <w:sz w:val="22"/>
          <w:szCs w:val="22"/>
          <w:highlight w:val="none"/>
          <w:lang w:val="en-US" w:eastAsia="zh-CN"/>
        </w:rPr>
        <w:t>8</w:t>
      </w:r>
      <w:r>
        <w:rPr>
          <w:rFonts w:hint="eastAsia" w:ascii="宋体" w:hAnsi="宋体" w:eastAsia="宋体" w:cs="宋体"/>
          <w:bCs/>
          <w:color w:val="auto"/>
          <w:sz w:val="22"/>
          <w:szCs w:val="22"/>
          <w:highlight w:val="none"/>
        </w:rPr>
        <w:t>项“服务内容”。</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乙方应保证所提供的服务符合合同规定的技术要求。如不符时，乙方应负全责并尽快处理解决，由此造成的损失和相关费用由乙方负责，甲方保留终止合同及索赔的权利。</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 乙方应保证通过执行合同中全部方案后，可以取得本合同</w:t>
      </w:r>
      <w:r>
        <w:rPr>
          <w:rFonts w:hint="eastAsia" w:ascii="宋体" w:hAnsi="宋体" w:eastAsia="宋体" w:cs="宋体"/>
          <w:color w:val="auto"/>
          <w:sz w:val="22"/>
          <w:szCs w:val="22"/>
          <w:highlight w:val="none"/>
          <w:lang w:eastAsia="zh-CN"/>
        </w:rPr>
        <w:t>约定</w:t>
      </w:r>
      <w:r>
        <w:rPr>
          <w:rFonts w:hint="eastAsia" w:ascii="宋体" w:hAnsi="宋体" w:eastAsia="宋体" w:cs="宋体"/>
          <w:color w:val="auto"/>
          <w:sz w:val="22"/>
          <w:szCs w:val="22"/>
          <w:highlight w:val="none"/>
        </w:rPr>
        <w:t>的结果，达到本合同</w:t>
      </w:r>
      <w:r>
        <w:rPr>
          <w:rFonts w:hint="eastAsia" w:ascii="宋体" w:hAnsi="宋体" w:eastAsia="宋体" w:cs="宋体"/>
          <w:color w:val="auto"/>
          <w:sz w:val="22"/>
          <w:szCs w:val="22"/>
          <w:highlight w:val="none"/>
          <w:lang w:eastAsia="zh-CN"/>
        </w:rPr>
        <w:t>约定</w:t>
      </w:r>
      <w:r>
        <w:rPr>
          <w:rFonts w:hint="eastAsia" w:ascii="宋体" w:hAnsi="宋体" w:eastAsia="宋体" w:cs="宋体"/>
          <w:color w:val="auto"/>
          <w:sz w:val="22"/>
          <w:szCs w:val="22"/>
          <w:highlight w:val="none"/>
        </w:rPr>
        <w:t>的预期目标。对任何情况下出现的问题，应尽快提出解决方案。</w:t>
      </w:r>
    </w:p>
    <w:p>
      <w:pPr>
        <w:keepNext w:val="0"/>
        <w:keepLines w:val="0"/>
        <w:pageBreakBefore w:val="0"/>
        <w:widowControl w:val="0"/>
        <w:tabs>
          <w:tab w:val="left" w:pos="0"/>
          <w:tab w:val="left" w:pos="54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 如果乙方提供的服务和解决方案不符合甲方要求，或在规定的时间内没有弥补缺陷，甲方有权采取一切必要的补救措施，由此产生的费用全部由乙方负责。</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 除合同条款另行规定外，伴随服务的费用应含在合同价中，不单独进行支付。</w:t>
      </w:r>
    </w:p>
    <w:p>
      <w:pPr>
        <w:keepNext w:val="0"/>
        <w:keepLines w:val="0"/>
        <w:pageBreakBefore w:val="0"/>
        <w:widowControl w:val="0"/>
        <w:tabs>
          <w:tab w:val="left" w:pos="0"/>
          <w:tab w:val="left" w:pos="54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58" w:name="_Toc14903"/>
      <w:bookmarkStart w:id="59" w:name="_Toc3471"/>
      <w:r>
        <w:rPr>
          <w:rFonts w:hint="eastAsia" w:ascii="宋体" w:hAnsi="宋体" w:eastAsia="宋体" w:cs="宋体"/>
          <w:b/>
          <w:color w:val="auto"/>
          <w:sz w:val="22"/>
          <w:szCs w:val="22"/>
          <w:highlight w:val="none"/>
        </w:rPr>
        <w:t>4. 知识产权</w:t>
      </w:r>
      <w:bookmarkEnd w:id="58"/>
      <w:bookmarkEnd w:id="59"/>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 乙方应保证所提供</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rPr>
        <w:t>服务免受第三方提出侵犯其知识产权（专利权、商标权、</w:t>
      </w:r>
      <w:r>
        <w:rPr>
          <w:rFonts w:hint="eastAsia" w:ascii="宋体" w:hAnsi="宋体" w:eastAsia="宋体" w:cs="宋体"/>
          <w:color w:val="auto"/>
          <w:sz w:val="22"/>
          <w:szCs w:val="22"/>
          <w:highlight w:val="none"/>
          <w:lang w:eastAsia="zh-CN"/>
        </w:rPr>
        <w:t>软件著作权、</w:t>
      </w:r>
      <w:r>
        <w:rPr>
          <w:rFonts w:hint="eastAsia" w:ascii="宋体" w:hAnsi="宋体" w:eastAsia="宋体" w:cs="宋体"/>
          <w:color w:val="auto"/>
          <w:sz w:val="22"/>
          <w:szCs w:val="22"/>
          <w:highlight w:val="none"/>
        </w:rPr>
        <w:t>版权等）的起诉。</w:t>
      </w:r>
    </w:p>
    <w:p>
      <w:pPr>
        <w:keepNext w:val="0"/>
        <w:keepLines w:val="0"/>
        <w:pageBreakBefore w:val="0"/>
        <w:widowControl w:val="0"/>
        <w:tabs>
          <w:tab w:val="left" w:pos="0"/>
          <w:tab w:val="left" w:pos="540"/>
        </w:tabs>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 甲方对项目实施过程中所产生的所有成果（包括发明、发现、可运行系统、源代码及相关技术资料、文档等）享有永久使用权、复制权和修改权，其专利申请权、专利权、软件著作权、技术秘密的所有权、使用权、转让权等知识产权归甲方所有。</w:t>
      </w:r>
    </w:p>
    <w:p>
      <w:pPr>
        <w:keepNext w:val="0"/>
        <w:keepLines w:val="0"/>
        <w:pageBreakBefore w:val="0"/>
        <w:widowControl w:val="0"/>
        <w:tabs>
          <w:tab w:val="left" w:pos="0"/>
          <w:tab w:val="left" w:pos="540"/>
        </w:tabs>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乙方不得利用本项目实施过程中所产生的成果（包括发明、发现、可运行系统、源代码及相关技术资料、文档等），另行自行开发本合同业务范围内供纳税人</w:t>
      </w:r>
      <w:r>
        <w:rPr>
          <w:rFonts w:hint="eastAsia" w:ascii="宋体" w:hAnsi="宋体" w:eastAsia="宋体" w:cs="宋体"/>
          <w:color w:val="auto"/>
          <w:sz w:val="22"/>
          <w:szCs w:val="22"/>
          <w:highlight w:val="none"/>
          <w:lang w:eastAsia="zh-CN"/>
        </w:rPr>
        <w:t>缴费人</w:t>
      </w:r>
      <w:r>
        <w:rPr>
          <w:rFonts w:hint="eastAsia" w:ascii="宋体" w:hAnsi="宋体" w:eastAsia="宋体" w:cs="宋体"/>
          <w:color w:val="auto"/>
          <w:sz w:val="22"/>
          <w:szCs w:val="22"/>
          <w:highlight w:val="none"/>
        </w:rPr>
        <w:t>使用的软件或产品，不得利用开发便利变相收费或搭车收费。</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60" w:name="_Toc3072"/>
      <w:bookmarkStart w:id="61" w:name="_Toc31645"/>
      <w:r>
        <w:rPr>
          <w:rFonts w:hint="eastAsia" w:ascii="宋体" w:hAnsi="宋体" w:eastAsia="宋体" w:cs="宋体"/>
          <w:b/>
          <w:color w:val="auto"/>
          <w:sz w:val="22"/>
          <w:szCs w:val="22"/>
          <w:highlight w:val="none"/>
        </w:rPr>
        <w:t>5. 保密条款</w:t>
      </w:r>
      <w:bookmarkEnd w:id="60"/>
      <w:bookmarkEnd w:id="61"/>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 甲乙双方应对在本合同签订或履行过程中所接触的对方信息，包括但不限于知识产权、技术资料、技术诀窍、内部管理及其他相关信息，负有保密义务。</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 乙方在使用甲方为乙方及其工作人员提供的数据、程序、用户名、口令、资料及甲方相关的业务和技术文档，包括税收政策、方案设计细节、程序文件、数据结构，以及相关业务系统的软硬件、文档、测试和测试产生的数据时，应遵循以下规定：</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应以审慎态度避免泄漏、公开或传播甲方的信息；</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在开发过程中对数据的处理方式应事先得到甲方的许可；</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未经甲方书面许可，不得对有关信息进行修改、补充、复制；</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 未经甲方书面许可，不得将信息以任何方式（如E-mail）携带出甲方场所；</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（5） 未经甲方书面许可，不得将信息透露给任何其他人； </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 严禁在提交的软件</w:t>
      </w:r>
      <w:r>
        <w:rPr>
          <w:rFonts w:hint="eastAsia" w:ascii="宋体" w:hAnsi="宋体" w:eastAsia="宋体" w:cs="宋体"/>
          <w:color w:val="auto"/>
          <w:sz w:val="22"/>
          <w:szCs w:val="22"/>
          <w:highlight w:val="none"/>
          <w:lang w:eastAsia="zh-CN"/>
        </w:rPr>
        <w:t>产品</w:t>
      </w:r>
      <w:r>
        <w:rPr>
          <w:rFonts w:hint="eastAsia" w:ascii="宋体" w:hAnsi="宋体" w:eastAsia="宋体" w:cs="宋体"/>
          <w:color w:val="auto"/>
          <w:sz w:val="22"/>
          <w:szCs w:val="22"/>
          <w:highlight w:val="none"/>
        </w:rPr>
        <w:t>中设置远程维护接口和后门程序；</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 不得进行系统软硬件设备的远程维护；</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 甲方以书面形式提出的其他保密措施。</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 保密期限不受合同有效期的限制，在合同有效期结束后，信息接受方仍应承担保密义务，直至该等信息成为公开信息。</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5.4 甲乙双方如出现泄密行为，泄密方应承担相关的法律责任，包括但是不限于对由此给对方造成的经济损失进行赔偿。</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62" w:name="_Toc27929"/>
      <w:bookmarkStart w:id="63" w:name="_Toc31015"/>
      <w:r>
        <w:rPr>
          <w:rFonts w:hint="eastAsia" w:ascii="宋体" w:hAnsi="宋体" w:eastAsia="宋体" w:cs="宋体"/>
          <w:b/>
          <w:color w:val="auto"/>
          <w:sz w:val="22"/>
          <w:szCs w:val="22"/>
          <w:highlight w:val="none"/>
          <w:lang w:val="en-US" w:eastAsia="zh-CN"/>
        </w:rPr>
        <w:t>6</w:t>
      </w:r>
      <w:r>
        <w:rPr>
          <w:rFonts w:hint="eastAsia" w:ascii="宋体" w:hAnsi="宋体" w:eastAsia="宋体" w:cs="宋体"/>
          <w:b/>
          <w:color w:val="auto"/>
          <w:sz w:val="22"/>
          <w:szCs w:val="22"/>
          <w:highlight w:val="none"/>
        </w:rPr>
        <w:t xml:space="preserve">. </w:t>
      </w:r>
      <w:r>
        <w:rPr>
          <w:rFonts w:hint="eastAsia" w:ascii="宋体" w:hAnsi="宋体" w:eastAsia="宋体" w:cs="宋体"/>
          <w:b/>
          <w:color w:val="auto"/>
          <w:sz w:val="22"/>
          <w:szCs w:val="22"/>
          <w:highlight w:val="none"/>
          <w:lang w:eastAsia="zh-CN"/>
        </w:rPr>
        <w:t>履约</w:t>
      </w:r>
      <w:r>
        <w:rPr>
          <w:rFonts w:hint="eastAsia" w:ascii="宋体" w:hAnsi="宋体" w:eastAsia="宋体" w:cs="宋体"/>
          <w:b/>
          <w:color w:val="auto"/>
          <w:sz w:val="22"/>
          <w:szCs w:val="22"/>
          <w:highlight w:val="none"/>
        </w:rPr>
        <w:t>验收要求</w:t>
      </w:r>
      <w:bookmarkEnd w:id="62"/>
      <w:bookmarkEnd w:id="63"/>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.1 甲方</w:t>
      </w:r>
      <w:r>
        <w:rPr>
          <w:rFonts w:hint="eastAsia" w:ascii="宋体" w:hAnsi="宋体" w:eastAsia="宋体" w:cs="宋体"/>
          <w:color w:val="auto"/>
          <w:sz w:val="22"/>
          <w:szCs w:val="22"/>
          <w:highlight w:val="none"/>
          <w:lang w:eastAsia="zh-CN"/>
        </w:rPr>
        <w:t>需求部门</w:t>
      </w:r>
      <w:r>
        <w:rPr>
          <w:rFonts w:hint="eastAsia" w:ascii="宋体" w:hAnsi="宋体" w:eastAsia="宋体" w:cs="宋体"/>
          <w:color w:val="auto"/>
          <w:sz w:val="22"/>
          <w:szCs w:val="22"/>
          <w:highlight w:val="none"/>
        </w:rPr>
        <w:t>严格按照采购合同开展履约验收。验收时,</w:t>
      </w:r>
      <w:r>
        <w:rPr>
          <w:rFonts w:hint="eastAsia" w:ascii="宋体" w:hAnsi="宋体" w:eastAsia="宋体" w:cs="宋体"/>
          <w:color w:val="auto"/>
          <w:sz w:val="22"/>
          <w:szCs w:val="22"/>
          <w:highlight w:val="none"/>
          <w:lang w:eastAsia="zh-CN"/>
        </w:rPr>
        <w:t>应当按照本合同约定的技术、服务和安全标准，对供应商各项义务履行情况进行验收确认。未约定相关标准的，应当按照国家强制性规定、政策要求、安全标准和行业有关标准进行验收确认。</w:t>
      </w:r>
      <w:r>
        <w:rPr>
          <w:rFonts w:hint="eastAsia" w:ascii="宋体" w:hAnsi="宋体" w:eastAsia="宋体" w:cs="宋体"/>
          <w:color w:val="auto"/>
          <w:sz w:val="22"/>
          <w:szCs w:val="22"/>
          <w:highlight w:val="none"/>
        </w:rPr>
        <w:t>验收结束后</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应当出具验收意见，列明合同事项、验收标准及验收情况</w:t>
      </w:r>
      <w:r>
        <w:rPr>
          <w:rFonts w:hint="eastAsia" w:ascii="宋体" w:hAnsi="宋体" w:eastAsia="宋体" w:cs="宋体"/>
          <w:color w:val="auto"/>
          <w:sz w:val="22"/>
          <w:szCs w:val="22"/>
          <w:highlight w:val="none"/>
          <w:lang w:eastAsia="zh-CN"/>
        </w:rPr>
        <w:t>，由全体验收人员签字</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.2具体</w:t>
      </w:r>
      <w:r>
        <w:rPr>
          <w:rFonts w:hint="eastAsia" w:ascii="宋体" w:hAnsi="宋体" w:eastAsia="宋体" w:cs="宋体"/>
          <w:color w:val="auto"/>
          <w:sz w:val="22"/>
          <w:szCs w:val="22"/>
          <w:highlight w:val="none"/>
          <w:lang w:eastAsia="zh-CN"/>
        </w:rPr>
        <w:t>履约</w:t>
      </w:r>
      <w:r>
        <w:rPr>
          <w:rFonts w:hint="eastAsia" w:ascii="宋体" w:hAnsi="宋体" w:eastAsia="宋体" w:cs="宋体"/>
          <w:color w:val="auto"/>
          <w:sz w:val="22"/>
          <w:szCs w:val="22"/>
          <w:highlight w:val="none"/>
        </w:rPr>
        <w:t>验收要求详见</w:t>
      </w:r>
      <w:r>
        <w:rPr>
          <w:rFonts w:hint="eastAsia" w:ascii="宋体" w:hAnsi="宋体" w:eastAsia="宋体" w:cs="宋体"/>
          <w:color w:val="auto"/>
          <w:sz w:val="22"/>
          <w:szCs w:val="22"/>
          <w:highlight w:val="none"/>
          <w:lang w:eastAsia="zh-CN"/>
        </w:rPr>
        <w:t>招标（</w:t>
      </w:r>
      <w:r>
        <w:rPr>
          <w:rFonts w:hint="eastAsia" w:ascii="宋体" w:hAnsi="宋体" w:eastAsia="宋体" w:cs="宋体"/>
          <w:color w:val="auto"/>
          <w:sz w:val="22"/>
          <w:szCs w:val="22"/>
          <w:highlight w:val="none"/>
        </w:rPr>
        <w:t>采购</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文件。</w:t>
      </w:r>
    </w:p>
    <w:p>
      <w:pPr>
        <w:keepNext w:val="0"/>
        <w:keepLines w:val="0"/>
        <w:pageBreakBefore w:val="0"/>
        <w:widowControl w:val="0"/>
        <w:tabs>
          <w:tab w:val="left" w:pos="0"/>
          <w:tab w:val="left" w:pos="54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64" w:name="_Toc27741"/>
      <w:bookmarkStart w:id="65" w:name="_Toc10405"/>
      <w:r>
        <w:rPr>
          <w:rFonts w:hint="eastAsia" w:ascii="宋体" w:hAnsi="宋体" w:eastAsia="宋体" w:cs="宋体"/>
          <w:b/>
          <w:color w:val="auto"/>
          <w:sz w:val="22"/>
          <w:szCs w:val="22"/>
          <w:highlight w:val="none"/>
          <w:lang w:val="en-US" w:eastAsia="zh-CN"/>
        </w:rPr>
        <w:t>7</w:t>
      </w:r>
      <w:r>
        <w:rPr>
          <w:rFonts w:hint="eastAsia" w:ascii="宋体" w:hAnsi="宋体" w:eastAsia="宋体" w:cs="宋体"/>
          <w:b/>
          <w:color w:val="auto"/>
          <w:sz w:val="22"/>
          <w:szCs w:val="22"/>
          <w:highlight w:val="none"/>
        </w:rPr>
        <w:t>. 履约保证金</w:t>
      </w:r>
      <w:bookmarkEnd w:id="64"/>
      <w:bookmarkEnd w:id="65"/>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 需提交履约保证金的项目，乙方应按照“合同条款前附表”第 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 xml:space="preserve"> 项“履约保证金及返还”提交履约保证金。</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 履约保证金的金额</w:t>
      </w:r>
      <w:r>
        <w:rPr>
          <w:rFonts w:hint="eastAsia" w:ascii="宋体" w:hAnsi="宋体" w:eastAsia="宋体" w:cs="宋体"/>
          <w:color w:val="auto"/>
          <w:sz w:val="22"/>
          <w:szCs w:val="22"/>
          <w:highlight w:val="none"/>
          <w:lang w:eastAsia="zh-CN"/>
        </w:rPr>
        <w:t>可用于</w:t>
      </w:r>
      <w:r>
        <w:rPr>
          <w:rFonts w:hint="eastAsia" w:ascii="宋体" w:hAnsi="宋体" w:eastAsia="宋体" w:cs="宋体"/>
          <w:color w:val="auto"/>
          <w:sz w:val="22"/>
          <w:szCs w:val="22"/>
          <w:highlight w:val="none"/>
        </w:rPr>
        <w:t>补偿甲方因乙方不能完成其合同义务而蒙受的损失。</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7.3如乙方未能按时支付合同约定的违约金、赔偿金、其他应付款项等的，甲方有权按照本合同的约定从履约保证金中扣除上述款项。乙方应在甲方扣除履约保证金后 15 天内，及时补充扣除部分金额。若逾期补充的，每日应按应补充金额的万分之五（0.05%）支付甲方违约金。</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 乙方不履行合同、或者履行合同义务不符合约定使得合同目的不能实现，履约保证金不予退还，给甲方造成的损失超过履约保证金数额的，还应当对超过部分予以赔偿。</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.5 履约保证金在合同履行期满后，扣除相应款项（如有）且双方无争议后，凭返还申请等资料一次性无息返还，详见“合同条款前附表”第</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项“履约保证金及返还”。</w:t>
      </w:r>
    </w:p>
    <w:p>
      <w:pPr>
        <w:keepNext w:val="0"/>
        <w:keepLines w:val="0"/>
        <w:pageBreakBefore w:val="0"/>
        <w:widowControl w:val="0"/>
        <w:tabs>
          <w:tab w:val="left" w:pos="0"/>
          <w:tab w:val="left" w:pos="54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66" w:name="_Toc18030"/>
      <w:bookmarkStart w:id="67" w:name="_Toc29418"/>
      <w:r>
        <w:rPr>
          <w:rFonts w:hint="eastAsia" w:ascii="宋体" w:hAnsi="宋体" w:eastAsia="宋体" w:cs="宋体"/>
          <w:b/>
          <w:color w:val="auto"/>
          <w:sz w:val="22"/>
          <w:szCs w:val="22"/>
          <w:highlight w:val="none"/>
          <w:lang w:val="en-US" w:eastAsia="zh-CN"/>
        </w:rPr>
        <w:t>8</w:t>
      </w:r>
      <w:r>
        <w:rPr>
          <w:rFonts w:hint="eastAsia" w:ascii="宋体" w:hAnsi="宋体" w:eastAsia="宋体" w:cs="宋体"/>
          <w:b/>
          <w:color w:val="auto"/>
          <w:sz w:val="22"/>
          <w:szCs w:val="22"/>
          <w:highlight w:val="none"/>
        </w:rPr>
        <w:t>．履约延误</w:t>
      </w:r>
      <w:bookmarkEnd w:id="66"/>
      <w:bookmarkEnd w:id="67"/>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.1 乙方应按照本合同的规定提供服务。</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.2 如乙方迟延履行合同义务，甲方将从应付合同金额中扣除误期违约金，每延误一天误期违约金按合同总金额的万分之三（0.03%）计收。乙方支付的误期违约金不足以弥补甲方损失的，应继续承担赔偿责任。本合同约定的损失，包括但不限于：直接损失、调查取证费、诉讼费、律师费等。</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.3 在履行合同过程中，如果乙方可能遇到妨碍按时提供服务的情况时，应及时以书面形式将拖延的事实，可能拖延的期限和理由通知甲方。甲方在收到乙方通知后，应尽快对情况进行评估，并确定是否酌情延长工期以及是否收取误期赔偿费。</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.4 除不可抗力和根据合同规定延期取得甲方同意而不收取误期赔偿费之外，乙方延误工期，将按合同规定被收取误期赔偿费。</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.5 逾期退还履约保证金的违约责任。满足履约保证金返还条件的，甲方在收到返还相关信息等合同约定资料后，进行核实。对核实结果无异议的，应当自完成核实之日起30日内返还履约保证金。无特殊原因逾期退还履约保证金</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rPr>
        <w:t>，乙方可要求</w:t>
      </w:r>
      <w:r>
        <w:rPr>
          <w:rFonts w:hint="eastAsia" w:ascii="宋体" w:hAnsi="宋体" w:eastAsia="宋体" w:cs="宋体"/>
          <w:color w:val="auto"/>
          <w:sz w:val="22"/>
          <w:szCs w:val="22"/>
          <w:highlight w:val="none"/>
          <w:lang w:eastAsia="zh-CN"/>
        </w:rPr>
        <w:t>甲方按</w:t>
      </w:r>
      <w:r>
        <w:rPr>
          <w:rFonts w:hint="eastAsia" w:ascii="宋体" w:hAnsi="宋体" w:eastAsia="宋体" w:cs="宋体"/>
          <w:color w:val="auto"/>
          <w:sz w:val="22"/>
          <w:szCs w:val="22"/>
          <w:highlight w:val="none"/>
        </w:rPr>
        <w:t>银行</w:t>
      </w:r>
      <w:r>
        <w:rPr>
          <w:rFonts w:hint="eastAsia" w:ascii="宋体" w:hAnsi="宋体" w:eastAsia="宋体" w:cs="宋体"/>
          <w:color w:val="auto"/>
          <w:sz w:val="22"/>
          <w:szCs w:val="22"/>
          <w:highlight w:val="none"/>
          <w:lang w:eastAsia="zh-CN"/>
        </w:rPr>
        <w:t>同期</w:t>
      </w:r>
      <w:r>
        <w:rPr>
          <w:rFonts w:hint="eastAsia" w:ascii="宋体" w:hAnsi="宋体" w:eastAsia="宋体" w:cs="宋体"/>
          <w:color w:val="auto"/>
          <w:sz w:val="22"/>
          <w:szCs w:val="22"/>
          <w:highlight w:val="none"/>
        </w:rPr>
        <w:t>活期存款</w:t>
      </w:r>
      <w:r>
        <w:rPr>
          <w:rFonts w:hint="eastAsia" w:ascii="宋体" w:hAnsi="宋体" w:eastAsia="宋体" w:cs="宋体"/>
          <w:color w:val="auto"/>
          <w:sz w:val="22"/>
          <w:szCs w:val="22"/>
          <w:highlight w:val="none"/>
          <w:lang w:eastAsia="zh-CN"/>
        </w:rPr>
        <w:t>利率支付逾期利息</w:t>
      </w:r>
      <w:r>
        <w:rPr>
          <w:rFonts w:hint="eastAsia" w:ascii="宋体" w:hAnsi="宋体" w:eastAsia="宋体" w:cs="宋体"/>
          <w:color w:val="auto"/>
          <w:sz w:val="22"/>
          <w:szCs w:val="22"/>
          <w:highlight w:val="none"/>
        </w:rPr>
        <w:t>。特殊原因逾期返还的，双方协商解决。</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68" w:name="_Toc30607"/>
      <w:bookmarkStart w:id="69" w:name="_Toc4367"/>
      <w:r>
        <w:rPr>
          <w:rFonts w:hint="eastAsia" w:ascii="宋体" w:hAnsi="宋体" w:eastAsia="宋体" w:cs="宋体"/>
          <w:b/>
          <w:color w:val="auto"/>
          <w:sz w:val="22"/>
          <w:szCs w:val="22"/>
          <w:highlight w:val="none"/>
          <w:lang w:val="en-US" w:eastAsia="zh-CN"/>
        </w:rPr>
        <w:t>9</w:t>
      </w:r>
      <w:r>
        <w:rPr>
          <w:rFonts w:hint="eastAsia" w:ascii="宋体" w:hAnsi="宋体" w:eastAsia="宋体" w:cs="宋体"/>
          <w:b/>
          <w:color w:val="auto"/>
          <w:sz w:val="22"/>
          <w:szCs w:val="22"/>
          <w:highlight w:val="none"/>
        </w:rPr>
        <w:t>. 违约责任</w:t>
      </w:r>
      <w:bookmarkEnd w:id="68"/>
      <w:bookmarkEnd w:id="69"/>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.1 除本合同另有约定外，乙方不履行合同义务或者履行合同义务不符合合同约定的，按每违反一次从应付款项中扣除合同总金额的百分之一（1%）作为违约金；此外，应当承担继续履行、采取补救措施或者赔偿损失等违约责任。乙方支付的上述违约金、赔偿金等不足以弥补甲方损失的，应继续承担赔偿责任。本合同约定的损失，包括但不限于：直接损失、调查取证费、诉讼费、律师费等。</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.2 乙方没有按照时限要求提供服务，且在甲方指定的延长期限内没有采取补救措施，甲方有权自行采取其他方式进行补救，乙方除按合同第</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条约定向甲方支付误期违约金外，另外甲方所发生的一切费用和甲方损失，甲方有权从应付的乙方的合同款项中扣除，不足扣除的乙方应另行支付。</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.3 除应支付甲方违约金等外，甲方有权根据合同或有关部门出具的检验证书向乙方提出索赔。</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.4 如果乙方对差异负有责任而甲方提出索赔，乙方同意按照下列方式解决索赔事宜：</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果在甲方发出索赔通知后5个工作日内，乙方未作书面答复，上述索赔应视为已被乙方接受。如乙方未能在甲方发出索赔通知后5个工作日内或甲方同意的延长期限内着手解决索赔事宜，甲方有权从乙方的合同款项中扣除索赔金额。</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.5 乙方利用本项目实施过程中所产生的成果（包括发明、发现、可运行系统、源代码及相关技术资料、文档等），另行自行开发本合同业务范围内供纳税人</w:t>
      </w:r>
      <w:r>
        <w:rPr>
          <w:rFonts w:hint="eastAsia" w:ascii="宋体" w:hAnsi="宋体" w:eastAsia="宋体" w:cs="宋体"/>
          <w:color w:val="auto"/>
          <w:sz w:val="22"/>
          <w:szCs w:val="22"/>
          <w:highlight w:val="none"/>
          <w:lang w:eastAsia="zh-CN"/>
        </w:rPr>
        <w:t>缴费人</w:t>
      </w:r>
      <w:r>
        <w:rPr>
          <w:rFonts w:hint="eastAsia" w:ascii="宋体" w:hAnsi="宋体" w:eastAsia="宋体" w:cs="宋体"/>
          <w:color w:val="auto"/>
          <w:sz w:val="22"/>
          <w:szCs w:val="22"/>
          <w:highlight w:val="none"/>
        </w:rPr>
        <w:t>使用的软件或产品，或利用</w:t>
      </w:r>
      <w:r>
        <w:rPr>
          <w:rFonts w:hint="eastAsia" w:ascii="宋体" w:hAnsi="宋体" w:eastAsia="宋体" w:cs="宋体"/>
          <w:color w:val="auto"/>
          <w:sz w:val="22"/>
          <w:szCs w:val="22"/>
          <w:highlight w:val="none"/>
          <w:lang w:eastAsia="zh-CN"/>
        </w:rPr>
        <w:t>为税务机关提供信息化服务的</w:t>
      </w:r>
      <w:r>
        <w:rPr>
          <w:rFonts w:hint="eastAsia" w:ascii="宋体" w:hAnsi="宋体" w:eastAsia="宋体" w:cs="宋体"/>
          <w:color w:val="auto"/>
          <w:sz w:val="22"/>
          <w:szCs w:val="22"/>
          <w:highlight w:val="none"/>
        </w:rPr>
        <w:t>便利</w:t>
      </w:r>
      <w:r>
        <w:rPr>
          <w:rFonts w:hint="eastAsia" w:ascii="宋体" w:hAnsi="宋体" w:eastAsia="宋体" w:cs="宋体"/>
          <w:color w:val="auto"/>
          <w:sz w:val="22"/>
          <w:szCs w:val="22"/>
          <w:highlight w:val="none"/>
          <w:lang w:eastAsia="zh-CN"/>
        </w:rPr>
        <w:t>，向纳税人缴费人</w:t>
      </w:r>
      <w:r>
        <w:rPr>
          <w:rFonts w:hint="eastAsia" w:ascii="宋体" w:hAnsi="宋体" w:eastAsia="宋体" w:cs="宋体"/>
          <w:color w:val="auto"/>
          <w:sz w:val="22"/>
          <w:szCs w:val="22"/>
          <w:highlight w:val="none"/>
        </w:rPr>
        <w:t>搭车收费或变相收费的，</w:t>
      </w:r>
      <w:r>
        <w:rPr>
          <w:rFonts w:hint="eastAsia" w:ascii="宋体" w:hAnsi="宋体" w:eastAsia="宋体" w:cs="宋体"/>
          <w:color w:val="auto"/>
          <w:sz w:val="22"/>
          <w:szCs w:val="22"/>
          <w:highlight w:val="none"/>
          <w:lang w:eastAsia="zh-CN"/>
        </w:rPr>
        <w:t>或有其他失信行为的，</w:t>
      </w:r>
      <w:r>
        <w:rPr>
          <w:rFonts w:hint="eastAsia" w:ascii="宋体" w:hAnsi="宋体" w:eastAsia="宋体" w:cs="宋体"/>
          <w:color w:val="auto"/>
          <w:sz w:val="22"/>
          <w:szCs w:val="22"/>
          <w:highlight w:val="none"/>
        </w:rPr>
        <w:t>纳入国家税务总局失信名单。</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对于影响恶劣的严重违法失信行为，推送财政部纳入政府采购严重违法失信行为记录名单。</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9.6 如果乙方在本项目实施过程中发生违反网络安全规定行为造成不良后果的，自甲方做出认定之日起三年内，税务系统各单位可以拒绝乙方参与税务系统政府采购活动。</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不良后果指造成数据失窃或丢失、敏感信息泄露、主要业务系统瘫痪等网络安全事件。</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 xml:space="preserve"> 对于本协议未约定的、招标（采购）文件（技术部分）中约定的违约处理条款，按招标（采购）文件（技术部分）相关约定执行；对本协议与招标（采购）文件（技术部分）约定不同的违约处理条款，以本协议约定为准。</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0" w:name="_Toc9396"/>
      <w:bookmarkStart w:id="71" w:name="_Toc22238"/>
      <w:r>
        <w:rPr>
          <w:rFonts w:hint="eastAsia" w:ascii="宋体" w:hAnsi="宋体" w:eastAsia="宋体" w:cs="宋体"/>
          <w:b/>
          <w:color w:val="auto"/>
          <w:sz w:val="22"/>
          <w:szCs w:val="22"/>
          <w:highlight w:val="none"/>
          <w:lang w:val="en-US" w:eastAsia="zh-CN"/>
        </w:rPr>
        <w:t>10</w:t>
      </w:r>
      <w:r>
        <w:rPr>
          <w:rFonts w:hint="eastAsia" w:ascii="宋体" w:hAnsi="宋体" w:eastAsia="宋体" w:cs="宋体"/>
          <w:b/>
          <w:color w:val="auto"/>
          <w:sz w:val="22"/>
          <w:szCs w:val="22"/>
          <w:highlight w:val="none"/>
        </w:rPr>
        <w:t>. 不可抗力</w:t>
      </w:r>
      <w:bookmarkEnd w:id="70"/>
      <w:bookmarkEnd w:id="71"/>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 xml:space="preserve"> 本条所述的“不可抗力”系指双方不可预见、不可避免、不可克服的客观情况，但不包括双方的违约或疏忽。这些事件包括但不限于：战争、严重火灾、洪水、台风、地震等。</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如果乙方因不可抗力而导致合同实施延误或不能履行合同义务，不应承担误期赔偿或终止合同的责任。</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.4 如因国家政策变化、技术实施所需的客观环境发生变化、重大技术变化、国家调减预算、乙方在执行合同的过程中发生对履行合同有直接影响的重大事故或变故、甲方工作计划调整及推广使用新应用系统导致本项目相关服务停止等原因，本合同不能继续全部或部分履行，甲方有权通知乙方解除本合同的全部或部分，双方将按已经实际履行并验收合格的合同内容进行结算。</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2" w:name="_Toc12476"/>
      <w:bookmarkStart w:id="73" w:name="_Toc3785"/>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1</w:t>
      </w:r>
      <w:r>
        <w:rPr>
          <w:rFonts w:hint="eastAsia" w:ascii="宋体" w:hAnsi="宋体" w:eastAsia="宋体" w:cs="宋体"/>
          <w:b/>
          <w:color w:val="auto"/>
          <w:sz w:val="22"/>
          <w:szCs w:val="22"/>
          <w:highlight w:val="none"/>
        </w:rPr>
        <w:t>. 争端的解决</w:t>
      </w:r>
      <w:bookmarkEnd w:id="72"/>
      <w:bookmarkEnd w:id="73"/>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.1 甲乙双方应</w:t>
      </w:r>
      <w:r>
        <w:rPr>
          <w:rFonts w:hint="eastAsia" w:ascii="宋体" w:hAnsi="宋体" w:eastAsia="宋体" w:cs="宋体"/>
          <w:color w:val="auto"/>
          <w:sz w:val="22"/>
          <w:szCs w:val="22"/>
          <w:highlight w:val="none"/>
          <w:lang w:eastAsia="zh-CN"/>
        </w:rPr>
        <w:t>首先</w:t>
      </w:r>
      <w:r>
        <w:rPr>
          <w:rFonts w:hint="eastAsia" w:ascii="宋体" w:hAnsi="宋体" w:eastAsia="宋体" w:cs="宋体"/>
          <w:color w:val="auto"/>
          <w:sz w:val="22"/>
          <w:szCs w:val="22"/>
          <w:highlight w:val="none"/>
        </w:rPr>
        <w:t>通过友好协商解决在执行本合同中所发生的或与本合同有关的一切争端。如从协商开始</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天内仍不能解决，</w:t>
      </w:r>
      <w:r>
        <w:rPr>
          <w:rFonts w:hint="eastAsia" w:ascii="宋体" w:hAnsi="宋体" w:eastAsia="宋体" w:cs="宋体"/>
          <w:color w:val="auto"/>
          <w:sz w:val="22"/>
          <w:szCs w:val="22"/>
          <w:highlight w:val="none"/>
          <w:lang w:eastAsia="zh-CN"/>
        </w:rPr>
        <w:t>可以按合同约定的方式提起诉讼</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.1诉讼应向甲方所在地提起诉讼。</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.2诉讼费除人民法院另有判决外，应由败诉方负担。</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.3在诉讼期间，除正在进行诉讼部分外，本</w:t>
      </w:r>
      <w:r>
        <w:rPr>
          <w:rFonts w:hint="eastAsia" w:ascii="宋体" w:hAnsi="宋体" w:eastAsia="宋体" w:cs="宋体"/>
          <w:color w:val="auto"/>
          <w:sz w:val="22"/>
          <w:szCs w:val="22"/>
          <w:highlight w:val="none"/>
        </w:rPr>
        <w:t>合同的其它部分应继续执行。</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4" w:name="_Toc7090"/>
      <w:bookmarkStart w:id="75" w:name="_Toc17450"/>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2</w:t>
      </w:r>
      <w:r>
        <w:rPr>
          <w:rFonts w:hint="eastAsia" w:ascii="宋体" w:hAnsi="宋体" w:eastAsia="宋体" w:cs="宋体"/>
          <w:b/>
          <w:color w:val="auto"/>
          <w:sz w:val="22"/>
          <w:szCs w:val="22"/>
          <w:highlight w:val="none"/>
        </w:rPr>
        <w:t>. 违约终止合同</w:t>
      </w:r>
      <w:bookmarkEnd w:id="74"/>
      <w:bookmarkEnd w:id="75"/>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 若出现如下情况，在甲方对乙方违约行为而采取的任何补救措施不受影响的情况下，甲方可向乙方发出书面通知书，提出解除部分或全部合同。自甲方发出书面通知书之日起30日内，乙方应支付甲方合同总金额20%的违约金，并根据合同执行情况返还部分或全部已收取款项。乙方支付的违约金不足以弥补甲方损失的，应继续承担赔偿责任。本合同约定的损失，包括但不限于：直接损失、调查取证费、诉讼费、律师费等。</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12.1.1 </w:t>
      </w:r>
      <w:r>
        <w:rPr>
          <w:rFonts w:hint="eastAsia" w:ascii="宋体" w:hAnsi="宋体" w:eastAsia="宋体" w:cs="宋体"/>
          <w:color w:val="auto"/>
          <w:sz w:val="22"/>
          <w:szCs w:val="22"/>
          <w:highlight w:val="none"/>
          <w:lang w:eastAsia="zh-CN"/>
        </w:rPr>
        <w:t>乙方不履行合同业务或者履行合同义务不符合合同约定；</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如果乙方未能在合同规定的期限或甲方同意延长的期限内提供服务；</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 xml:space="preserve"> 因乙方人员自身技术能力、经验不足等问题造成甲方发生重大紧急故障，带来重大影响和损失的；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 xml:space="preserve"> 乙方对重大紧急故障没有及时响应，或不能在规定时间内解决处理故障、恢复正常运行的；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 不能满足本项目技术需求的管理要求和规范，且经多次整改无明显改进的</w:t>
      </w:r>
      <w:r>
        <w:rPr>
          <w:rFonts w:hint="eastAsia" w:ascii="宋体" w:hAnsi="宋体" w:eastAsia="宋体" w:cs="宋体"/>
          <w:color w:val="auto"/>
          <w:sz w:val="22"/>
          <w:szCs w:val="22"/>
          <w:highlight w:val="none"/>
          <w:lang w:eastAsia="zh-CN"/>
        </w:rPr>
        <w:t>；</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 xml:space="preserve"> 在合同服务期内，同一个应用系统在升级完善、运行维护支持服务过程中，出现5次经甲乙双方确认的用户投诉的</w:t>
      </w:r>
      <w:r>
        <w:rPr>
          <w:rFonts w:hint="eastAsia" w:ascii="宋体" w:hAnsi="宋体" w:eastAsia="宋体" w:cs="宋体"/>
          <w:color w:val="auto"/>
          <w:sz w:val="22"/>
          <w:szCs w:val="22"/>
          <w:highlight w:val="none"/>
          <w:lang w:eastAsia="zh-CN"/>
        </w:rPr>
        <w:t>；</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12.1.7 </w:t>
      </w:r>
      <w:r>
        <w:rPr>
          <w:rFonts w:hint="eastAsia" w:ascii="宋体" w:hAnsi="宋体" w:eastAsia="宋体" w:cs="宋体"/>
          <w:color w:val="auto"/>
          <w:sz w:val="22"/>
          <w:szCs w:val="22"/>
          <w:highlight w:val="none"/>
        </w:rPr>
        <w:t>乙方利用本项目实施过程中所产生的成果（包括发明、发现、可运行系统、源代码及相关技术资料、文档等），另行自行开发本合同业务范围内供纳税人</w:t>
      </w:r>
      <w:r>
        <w:rPr>
          <w:rFonts w:hint="eastAsia" w:ascii="宋体" w:hAnsi="宋体" w:eastAsia="宋体" w:cs="宋体"/>
          <w:color w:val="auto"/>
          <w:sz w:val="22"/>
          <w:szCs w:val="22"/>
          <w:highlight w:val="none"/>
          <w:lang w:eastAsia="zh-CN"/>
        </w:rPr>
        <w:t>缴费人</w:t>
      </w:r>
      <w:r>
        <w:rPr>
          <w:rFonts w:hint="eastAsia" w:ascii="宋体" w:hAnsi="宋体" w:eastAsia="宋体" w:cs="宋体"/>
          <w:color w:val="auto"/>
          <w:sz w:val="22"/>
          <w:szCs w:val="22"/>
          <w:highlight w:val="none"/>
        </w:rPr>
        <w:t>使用的软件或产品的，或利用</w:t>
      </w:r>
      <w:r>
        <w:rPr>
          <w:rFonts w:hint="eastAsia" w:ascii="宋体" w:hAnsi="宋体" w:eastAsia="宋体" w:cs="宋体"/>
          <w:color w:val="auto"/>
          <w:sz w:val="22"/>
          <w:szCs w:val="22"/>
          <w:highlight w:val="none"/>
          <w:lang w:eastAsia="zh-CN"/>
        </w:rPr>
        <w:t>为税务机关提供信息化服务的</w:t>
      </w:r>
      <w:r>
        <w:rPr>
          <w:rFonts w:hint="eastAsia" w:ascii="宋体" w:hAnsi="宋体" w:eastAsia="宋体" w:cs="宋体"/>
          <w:color w:val="auto"/>
          <w:sz w:val="22"/>
          <w:szCs w:val="22"/>
          <w:highlight w:val="none"/>
        </w:rPr>
        <w:t>便利</w:t>
      </w:r>
      <w:r>
        <w:rPr>
          <w:rFonts w:hint="eastAsia" w:ascii="宋体" w:hAnsi="宋体" w:eastAsia="宋体" w:cs="宋体"/>
          <w:color w:val="auto"/>
          <w:sz w:val="22"/>
          <w:szCs w:val="22"/>
          <w:highlight w:val="none"/>
          <w:lang w:eastAsia="zh-CN"/>
        </w:rPr>
        <w:t>，向纳税人缴费人</w:t>
      </w:r>
      <w:r>
        <w:rPr>
          <w:rFonts w:hint="eastAsia" w:ascii="宋体" w:hAnsi="宋体" w:eastAsia="宋体" w:cs="宋体"/>
          <w:color w:val="auto"/>
          <w:sz w:val="22"/>
          <w:szCs w:val="22"/>
          <w:highlight w:val="none"/>
        </w:rPr>
        <w:t>搭车收费或变相收费的，</w:t>
      </w:r>
      <w:r>
        <w:rPr>
          <w:rFonts w:hint="eastAsia" w:ascii="宋体" w:hAnsi="宋体" w:eastAsia="宋体" w:cs="宋体"/>
          <w:color w:val="auto"/>
          <w:sz w:val="22"/>
          <w:szCs w:val="22"/>
          <w:highlight w:val="none"/>
          <w:lang w:eastAsia="zh-CN"/>
        </w:rPr>
        <w:t>或有其他失信行为的；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12.1.8 乙方在本项目实施过程中发生违反网络安全规定行为造成不良后果的。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 xml:space="preserve"> 乙方提供的服务侵犯甲方、第三方知识产权等合法权益的；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 xml:space="preserve"> 乙方或乙方人员造成甲方或第三方经济损失而拒不赔偿的；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 xml:space="preserve"> 乙方转让其应履行的合同义务，或未经甲方同意采取分包方式履行合同</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乙方有其他严重违约行为的。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.2 如果甲方根据上述第1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.1条的规定，终止了全部或部分合同，甲方可以适当的条件和方法</w:t>
      </w:r>
      <w:r>
        <w:rPr>
          <w:rFonts w:hint="eastAsia" w:ascii="宋体" w:hAnsi="宋体" w:cs="宋体"/>
          <w:color w:val="auto"/>
          <w:sz w:val="22"/>
          <w:szCs w:val="22"/>
          <w:highlight w:val="none"/>
          <w:lang w:val="en-US" w:eastAsia="zh-CN"/>
        </w:rPr>
        <w:t>向第三方</w:t>
      </w:r>
      <w:r>
        <w:rPr>
          <w:rFonts w:hint="eastAsia" w:ascii="宋体" w:hAnsi="宋体" w:eastAsia="宋体" w:cs="宋体"/>
          <w:color w:val="auto"/>
          <w:sz w:val="22"/>
          <w:szCs w:val="22"/>
          <w:highlight w:val="none"/>
        </w:rPr>
        <w:t>购买乙方未能提供的服务，乙方应对甲方购买类似服务所超出的费用负责。同时，乙方应继续执行合同中未终止的部分。</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6" w:name="_Toc29805"/>
      <w:bookmarkStart w:id="77" w:name="_Toc32253"/>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3</w:t>
      </w:r>
      <w:r>
        <w:rPr>
          <w:rFonts w:hint="eastAsia" w:ascii="宋体" w:hAnsi="宋体" w:eastAsia="宋体" w:cs="宋体"/>
          <w:b/>
          <w:color w:val="auto"/>
          <w:sz w:val="22"/>
          <w:szCs w:val="22"/>
          <w:highlight w:val="none"/>
        </w:rPr>
        <w:t>. 破产终止合同</w:t>
      </w:r>
      <w:bookmarkEnd w:id="76"/>
      <w:bookmarkEnd w:id="77"/>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.1 如果乙方破产或无清偿能力，甲方可在任何时候以书面形式通知乙方终止合同而不给乙方补偿。</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.2该终止合同将不损害或影响甲方已经采取或将要采取的任何行动或补救措施的权力。</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8" w:name="_Toc21386"/>
      <w:bookmarkStart w:id="79" w:name="_Toc25634"/>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4</w:t>
      </w:r>
      <w:r>
        <w:rPr>
          <w:rFonts w:hint="eastAsia" w:ascii="宋体" w:hAnsi="宋体" w:eastAsia="宋体" w:cs="宋体"/>
          <w:b/>
          <w:color w:val="auto"/>
          <w:sz w:val="22"/>
          <w:szCs w:val="22"/>
          <w:highlight w:val="none"/>
        </w:rPr>
        <w:t>. 其他情况的终止合同</w:t>
      </w:r>
      <w:bookmarkEnd w:id="78"/>
      <w:bookmarkEnd w:id="79"/>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.1 乙方在执行合同的过程中发生重大事故或变故，对履行合同有直接影响的，甲方可以提出终止合同而不给予乙方任何补偿。</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.2 在服务期内，由于甲方工作计划调整，推广使用新应用系统导致本项目相关服务停止的，甲方可以提出终止合同而不给予乙方任何补偿。</w:t>
      </w:r>
    </w:p>
    <w:p>
      <w:pPr>
        <w:keepNext w:val="0"/>
        <w:keepLines w:val="0"/>
        <w:pageBreakBefore w:val="0"/>
        <w:widowControl w:val="0"/>
        <w:tabs>
          <w:tab w:val="left" w:pos="70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0" w:name="_Toc26374"/>
      <w:bookmarkStart w:id="81" w:name="_Toc825"/>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5</w:t>
      </w:r>
      <w:r>
        <w:rPr>
          <w:rFonts w:hint="eastAsia" w:ascii="宋体" w:hAnsi="宋体" w:eastAsia="宋体" w:cs="宋体"/>
          <w:b/>
          <w:color w:val="auto"/>
          <w:sz w:val="22"/>
          <w:szCs w:val="22"/>
          <w:highlight w:val="none"/>
        </w:rPr>
        <w:t>. 合同修改或变更</w:t>
      </w:r>
      <w:bookmarkEnd w:id="80"/>
      <w:bookmarkEnd w:id="81"/>
    </w:p>
    <w:p>
      <w:pPr>
        <w:keepNext w:val="0"/>
        <w:keepLines w:val="0"/>
        <w:pageBreakBefore w:val="0"/>
        <w:widowControl w:val="0"/>
        <w:kinsoku/>
        <w:wordWrap/>
        <w:overflowPunct/>
        <w:bidi w:val="0"/>
        <w:adjustRightInd/>
        <w:snapToGrid/>
        <w:spacing w:line="400" w:lineRule="exact"/>
        <w:ind w:firstLine="482"/>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.1 合同如有未尽事宜，须经甲乙双方共同协商，做出补充约定，并签订书面补充合同或变更协议。补充合同或变更协议作为本合同的一部分，与本合同具有同等效力。</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.2 除了双方签署书面修改或变更协议，并成为本合同不可分割的一部分的情况之外，本合同的条款不得有任何变化或修改。</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.3 由于采购人项目统一规划等原因导致本项目停止部分服务的，甲方将启动合同变更程序，与乙方协商变更相关合同条款。</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2" w:name="_Toc11723"/>
      <w:bookmarkStart w:id="83" w:name="_Toc12870"/>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6</w:t>
      </w:r>
      <w:r>
        <w:rPr>
          <w:rFonts w:hint="eastAsia" w:ascii="宋体" w:hAnsi="宋体" w:eastAsia="宋体" w:cs="宋体"/>
          <w:b/>
          <w:color w:val="auto"/>
          <w:sz w:val="22"/>
          <w:szCs w:val="22"/>
          <w:highlight w:val="none"/>
        </w:rPr>
        <w:t>. 转让和分包</w:t>
      </w:r>
      <w:bookmarkEnd w:id="82"/>
      <w:bookmarkEnd w:id="83"/>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.1 除甲方事先书面同意外，乙方不得部分转让或全部转让其应履行的合同义务。</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16.2 未经甲方同意，乙方不得采取分包方式履行合同。经甲方同意分包履行合同的，乙方就采购项目及分包项目向甲方负责，分包供应商就分包项目承担责任。</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4" w:name="_Toc15170"/>
      <w:bookmarkStart w:id="85" w:name="_Toc23771"/>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7</w:t>
      </w:r>
      <w:r>
        <w:rPr>
          <w:rFonts w:hint="eastAsia" w:ascii="宋体" w:hAnsi="宋体" w:eastAsia="宋体" w:cs="宋体"/>
          <w:b/>
          <w:color w:val="auto"/>
          <w:sz w:val="22"/>
          <w:szCs w:val="22"/>
          <w:highlight w:val="none"/>
        </w:rPr>
        <w:t>. 合同语言</w:t>
      </w:r>
      <w:bookmarkEnd w:id="84"/>
      <w:bookmarkEnd w:id="85"/>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 本合同语言为中文。</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 双方交换的与合同有关的信件和其他文件应用合同语言书写。</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6" w:name="_Toc12419"/>
      <w:bookmarkStart w:id="87" w:name="_Toc11412"/>
      <w:r>
        <w:rPr>
          <w:rFonts w:hint="eastAsia" w:ascii="宋体" w:hAnsi="宋体" w:eastAsia="宋体" w:cs="宋体"/>
          <w:b/>
          <w:color w:val="auto"/>
          <w:sz w:val="22"/>
          <w:szCs w:val="22"/>
          <w:highlight w:val="none"/>
          <w:lang w:val="en-US" w:eastAsia="zh-CN"/>
        </w:rPr>
        <w:t>18</w:t>
      </w:r>
      <w:r>
        <w:rPr>
          <w:rFonts w:hint="eastAsia" w:ascii="宋体" w:hAnsi="宋体" w:eastAsia="宋体" w:cs="宋体"/>
          <w:b/>
          <w:color w:val="auto"/>
          <w:sz w:val="22"/>
          <w:szCs w:val="22"/>
          <w:highlight w:val="none"/>
        </w:rPr>
        <w:t>. 适用法律</w:t>
      </w:r>
      <w:bookmarkEnd w:id="86"/>
      <w:bookmarkEnd w:id="87"/>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.1 本合同按照中华人民共和国现行法律进行解释。</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.2 本合同的履行、违约责任和解决争议的方法等适用《中华人民共和国</w:t>
      </w:r>
      <w:r>
        <w:rPr>
          <w:rFonts w:hint="eastAsia" w:ascii="宋体" w:hAnsi="宋体" w:eastAsia="宋体" w:cs="宋体"/>
          <w:color w:val="auto"/>
          <w:sz w:val="22"/>
          <w:szCs w:val="22"/>
          <w:highlight w:val="none"/>
          <w:lang w:eastAsia="zh-CN"/>
        </w:rPr>
        <w:t>民法典（合同编）</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8" w:name="_Toc1985"/>
      <w:bookmarkStart w:id="89" w:name="_Toc4664"/>
      <w:r>
        <w:rPr>
          <w:rFonts w:hint="eastAsia" w:ascii="宋体" w:hAnsi="宋体" w:eastAsia="宋体" w:cs="宋体"/>
          <w:b/>
          <w:color w:val="auto"/>
          <w:sz w:val="22"/>
          <w:szCs w:val="22"/>
          <w:highlight w:val="none"/>
          <w:lang w:val="en-US" w:eastAsia="zh-CN"/>
        </w:rPr>
        <w:t>19</w:t>
      </w:r>
      <w:r>
        <w:rPr>
          <w:rFonts w:hint="eastAsia" w:ascii="宋体" w:hAnsi="宋体" w:eastAsia="宋体" w:cs="宋体"/>
          <w:b/>
          <w:color w:val="auto"/>
          <w:sz w:val="22"/>
          <w:szCs w:val="22"/>
          <w:highlight w:val="none"/>
        </w:rPr>
        <w:t>. 税费</w:t>
      </w:r>
      <w:bookmarkEnd w:id="88"/>
      <w:bookmarkEnd w:id="89"/>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19</w:t>
      </w:r>
      <w:r>
        <w:rPr>
          <w:rFonts w:hint="eastAsia" w:ascii="宋体" w:hAnsi="宋体" w:eastAsia="宋体" w:cs="宋体"/>
          <w:color w:val="auto"/>
          <w:sz w:val="22"/>
          <w:szCs w:val="22"/>
          <w:highlight w:val="none"/>
        </w:rPr>
        <w:t>.1 合同服务的所有税费均已包含于合同价中，甲方不再另行支付。</w:t>
      </w:r>
    </w:p>
    <w:p>
      <w:pPr>
        <w:keepNext w:val="0"/>
        <w:keepLines w:val="0"/>
        <w:pageBreakBefore w:val="0"/>
        <w:widowControl w:val="0"/>
        <w:tabs>
          <w:tab w:val="left" w:pos="70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90" w:name="_Toc6527"/>
      <w:bookmarkStart w:id="91" w:name="_Toc11519"/>
      <w:r>
        <w:rPr>
          <w:rFonts w:hint="eastAsia" w:ascii="宋体" w:hAnsi="宋体" w:eastAsia="宋体" w:cs="宋体"/>
          <w:b/>
          <w:color w:val="auto"/>
          <w:sz w:val="22"/>
          <w:szCs w:val="22"/>
          <w:highlight w:val="none"/>
          <w:lang w:val="en-US" w:eastAsia="zh-CN"/>
        </w:rPr>
        <w:t>20</w:t>
      </w:r>
      <w:r>
        <w:rPr>
          <w:rFonts w:hint="eastAsia" w:ascii="宋体" w:hAnsi="宋体" w:eastAsia="宋体" w:cs="宋体"/>
          <w:b/>
          <w:color w:val="auto"/>
          <w:sz w:val="22"/>
          <w:szCs w:val="22"/>
          <w:highlight w:val="none"/>
        </w:rPr>
        <w:t>. 合同生效</w:t>
      </w:r>
      <w:bookmarkEnd w:id="90"/>
      <w:bookmarkEnd w:id="91"/>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.1 本合同一式</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份，由甲乙双方法定代表人或被授权人签字并盖章后生效。</w:t>
      </w:r>
    </w:p>
    <w:p>
      <w:pPr>
        <w:keepNext w:val="0"/>
        <w:keepLines w:val="0"/>
        <w:pageBreakBefore w:val="0"/>
        <w:widowControl w:val="0"/>
        <w:kinsoku/>
        <w:wordWrap/>
        <w:overflowPunct/>
        <w:bidi w:val="0"/>
        <w:adjustRightInd/>
        <w:snapToGrid/>
        <w:spacing w:line="360" w:lineRule="auto"/>
        <w:textAlignment w:val="auto"/>
        <w:rPr>
          <w:rFonts w:hint="default" w:ascii="Times New Roman" w:hAnsi="Times New Roman" w:cs="Times New Roman"/>
          <w:color w:val="auto"/>
          <w:sz w:val="21"/>
          <w:szCs w:val="21"/>
          <w:highlight w:val="none"/>
        </w:rPr>
        <w:sectPr>
          <w:pgSz w:w="11907" w:h="16839"/>
          <w:pgMar w:top="1440" w:right="1746" w:bottom="1440" w:left="1746" w:header="1148" w:footer="709" w:gutter="0"/>
          <w:pgNumType w:fmt="decimal"/>
          <w:cols w:space="720" w:num="1"/>
          <w:docGrid w:linePitch="360" w:charSpace="0"/>
        </w:sectPr>
      </w:pPr>
    </w:p>
    <w:p>
      <w:pPr>
        <w:keepNext w:val="0"/>
        <w:keepLines w:val="0"/>
        <w:pageBreakBefore w:val="0"/>
        <w:widowControl w:val="0"/>
        <w:kinsoku/>
        <w:wordWrap/>
        <w:overflowPunct/>
        <w:topLinePunct/>
        <w:autoSpaceDE w:val="0"/>
        <w:autoSpaceDN w:val="0"/>
        <w:bidi w:val="0"/>
        <w:adjustRightInd/>
        <w:snapToGrid/>
        <w:spacing w:line="360" w:lineRule="auto"/>
        <w:jc w:val="center"/>
        <w:textAlignment w:val="auto"/>
        <w:outlineLvl w:val="0"/>
        <w:rPr>
          <w:rFonts w:hint="eastAsia" w:ascii="宋体" w:hAnsi="宋体" w:cs="宋体"/>
          <w:b/>
          <w:color w:val="auto"/>
          <w:sz w:val="24"/>
          <w:szCs w:val="24"/>
          <w:highlight w:val="none"/>
          <w:lang w:eastAsia="zh-CN"/>
        </w:rPr>
      </w:pPr>
      <w:bookmarkStart w:id="92" w:name="_Toc3171"/>
      <w:bookmarkStart w:id="93" w:name="_Toc30503"/>
      <w:r>
        <w:rPr>
          <w:rFonts w:hint="eastAsia" w:ascii="宋体" w:hAnsi="宋体" w:cs="宋体"/>
          <w:b/>
          <w:color w:val="auto"/>
          <w:sz w:val="24"/>
          <w:szCs w:val="24"/>
          <w:highlight w:val="none"/>
          <w:lang w:eastAsia="zh-CN"/>
        </w:rPr>
        <w:t>三</w:t>
      </w:r>
      <w:r>
        <w:rPr>
          <w:rFonts w:hint="eastAsia" w:ascii="宋体" w:hAnsi="宋体" w:cs="宋体"/>
          <w:b/>
          <w:color w:val="auto"/>
          <w:sz w:val="24"/>
          <w:szCs w:val="24"/>
          <w:highlight w:val="none"/>
          <w:lang w:val="en-US" w:eastAsia="zh-CN"/>
        </w:rPr>
        <w:t xml:space="preserve">   招标（采购）文件及投标（响应）文件</w:t>
      </w:r>
      <w:r>
        <w:rPr>
          <w:rFonts w:hint="eastAsia" w:ascii="宋体" w:hAnsi="宋体" w:cs="宋体"/>
          <w:b/>
          <w:color w:val="auto"/>
          <w:sz w:val="24"/>
          <w:szCs w:val="24"/>
          <w:highlight w:val="none"/>
          <w:lang w:eastAsia="zh-CN"/>
        </w:rPr>
        <w:t>（如有必要，可另附）</w:t>
      </w:r>
      <w:bookmarkEnd w:id="92"/>
      <w:bookmarkEnd w:id="93"/>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szCs w:val="24"/>
          <w:highlight w:val="none"/>
        </w:rPr>
      </w:pPr>
      <w:r>
        <w:rPr>
          <w:rFonts w:hint="eastAsia" w:ascii="宋体" w:hAnsi="宋体" w:cs="宋体"/>
          <w:color w:val="auto"/>
          <w:sz w:val="24"/>
          <w:highlight w:val="none"/>
        </w:rPr>
        <w:br w:type="page"/>
      </w:r>
      <w:r>
        <w:rPr>
          <w:rFonts w:hint="eastAsia" w:ascii="宋体" w:hAnsi="宋体" w:cs="宋体"/>
          <w:b/>
          <w:color w:val="auto"/>
          <w:sz w:val="24"/>
          <w:szCs w:val="24"/>
          <w:highlight w:val="none"/>
          <w:lang w:eastAsia="zh-CN"/>
        </w:rPr>
        <w:t>四</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lang w:eastAsia="zh-CN"/>
        </w:rPr>
        <w:t>报价表（总报价表和分项报价表，如有需要可另附）</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94" w:name="_Toc22952"/>
      <w:bookmarkStart w:id="95" w:name="_Toc132880668"/>
      <w:r>
        <w:rPr>
          <w:rFonts w:hint="eastAsia" w:ascii="宋体" w:hAnsi="宋体" w:eastAsia="宋体" w:cs="宋体"/>
          <w:b/>
          <w:bCs/>
          <w:color w:val="auto"/>
          <w:sz w:val="28"/>
          <w:szCs w:val="28"/>
          <w:highlight w:val="none"/>
        </w:rPr>
        <w:t>第五章　响应文件格式</w:t>
      </w:r>
      <w:bookmarkEnd w:id="94"/>
      <w:bookmarkEnd w:id="95"/>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供应商必须按下列文本格式，如实提供具有法律效力的资格证明文件和真实有效的其他文件资料，任何不按下列文本格式提供或有实质性变更将由供应商承担风险。</w:t>
      </w:r>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1.供应商应按照本章规定填写和提交全部格式文件以及其他有关资料，混乱的编排导致响应文件被误读或查找不到，后果由供应商承担。</w:t>
      </w:r>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outlineLvl w:val="1"/>
        <w:rPr>
          <w:rFonts w:hint="eastAsia" w:ascii="宋体" w:hAnsi="宋体" w:eastAsia="宋体" w:cs="宋体"/>
          <w:color w:val="auto"/>
          <w:sz w:val="24"/>
          <w:szCs w:val="24"/>
          <w:highlight w:val="none"/>
        </w:rPr>
      </w:pPr>
      <w:bookmarkStart w:id="96" w:name="_Toc32247"/>
      <w:bookmarkStart w:id="97" w:name="_Toc32231"/>
      <w:r>
        <w:rPr>
          <w:rFonts w:hint="eastAsia" w:ascii="宋体" w:hAnsi="宋体" w:eastAsia="宋体" w:cs="宋体"/>
          <w:color w:val="auto"/>
          <w:sz w:val="24"/>
          <w:szCs w:val="24"/>
          <w:highlight w:val="none"/>
        </w:rPr>
        <w:t>2.所附表格中要求回答的全部问题和信息都必须正面回答。</w:t>
      </w:r>
      <w:bookmarkEnd w:id="96"/>
      <w:bookmarkEnd w:id="97"/>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3.资格声明文件的签字人应保证全部声明和问题的回答是真实的和准确的。</w:t>
      </w:r>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4.磋商小组将应用供应商提交的资料并根据自己的判断，决定供应商履行合同的合格性及能力。</w:t>
      </w:r>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outlineLvl w:val="1"/>
        <w:rPr>
          <w:rFonts w:hint="eastAsia" w:ascii="宋体" w:hAnsi="宋体" w:eastAsia="宋体" w:cs="宋体"/>
          <w:color w:val="auto"/>
          <w:sz w:val="24"/>
          <w:szCs w:val="24"/>
          <w:highlight w:val="none"/>
        </w:rPr>
      </w:pPr>
      <w:bookmarkStart w:id="98" w:name="_Toc13140"/>
      <w:bookmarkStart w:id="99" w:name="_Toc22828"/>
      <w:r>
        <w:rPr>
          <w:rFonts w:hint="eastAsia" w:ascii="宋体" w:hAnsi="宋体" w:eastAsia="宋体" w:cs="宋体"/>
          <w:color w:val="auto"/>
          <w:sz w:val="24"/>
          <w:szCs w:val="24"/>
          <w:highlight w:val="none"/>
        </w:rPr>
        <w:t>5.全部文件应按供应商须知中规定的语言提交。</w:t>
      </w:r>
      <w:bookmarkEnd w:id="98"/>
      <w:bookmarkEnd w:id="99"/>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6.以下格式文件为要求填写内容的固定格式，供应商不得擅自修改格式，其他未提供格式的文件和资料由供应商自行设计编制格式填写。</w:t>
      </w:r>
    </w:p>
    <w:p>
      <w:pPr>
        <w:adjustRightInd w:val="0"/>
        <w:snapToGrid w:val="0"/>
        <w:spacing w:beforeLines="20" w:after="4" w:line="360" w:lineRule="auto"/>
        <w:ind w:firstLine="482" w:firstLineChars="200"/>
        <w:jc w:val="center"/>
        <w:rPr>
          <w:rFonts w:hint="eastAsia" w:ascii="宋体" w:hAnsi="宋体" w:eastAsia="宋体" w:cs="宋体"/>
          <w:b/>
          <w:bCs/>
          <w:color w:val="auto"/>
          <w:sz w:val="24"/>
          <w:szCs w:val="24"/>
          <w:highlight w:val="none"/>
        </w:rPr>
      </w:pPr>
    </w:p>
    <w:p>
      <w:pPr>
        <w:ind w:firstLine="482" w:firstLineChars="200"/>
        <w:jc w:val="center"/>
        <w:rPr>
          <w:rFonts w:hint="eastAsia" w:ascii="宋体" w:hAnsi="宋体" w:eastAsia="宋体" w:cs="宋体"/>
          <w:b/>
          <w:bCs/>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b/>
          <w:bCs/>
          <w:color w:val="auto"/>
          <w:sz w:val="24"/>
          <w:szCs w:val="24"/>
          <w:highlight w:val="none"/>
        </w:rPr>
      </w:pPr>
    </w:p>
    <w:p>
      <w:pPr>
        <w:adjustRightInd w:val="0"/>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spacing w:line="600" w:lineRule="auto"/>
        <w:jc w:val="center"/>
        <w:rPr>
          <w:rFonts w:hint="eastAsia" w:ascii="宋体" w:hAnsi="宋体" w:eastAsia="宋体" w:cs="宋体"/>
          <w:b/>
          <w:color w:val="auto"/>
          <w:kern w:val="0"/>
          <w:sz w:val="24"/>
          <w:szCs w:val="24"/>
          <w:highlight w:val="none"/>
        </w:rPr>
      </w:pPr>
    </w:p>
    <w:p>
      <w:pPr>
        <w:pStyle w:val="13"/>
        <w:rPr>
          <w:rFonts w:hint="eastAsia" w:ascii="宋体" w:hAnsi="宋体" w:eastAsia="宋体" w:cs="宋体"/>
          <w:b/>
          <w:color w:val="auto"/>
          <w:kern w:val="0"/>
          <w:sz w:val="24"/>
          <w:szCs w:val="24"/>
          <w:highlight w:val="none"/>
        </w:rPr>
      </w:pPr>
    </w:p>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响  应  文  件</w:t>
      </w: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商务部分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（填写正本或副本）</w:t>
      </w:r>
    </w:p>
    <w:p>
      <w:pPr>
        <w:spacing w:line="360" w:lineRule="auto"/>
        <w:ind w:firstLine="640" w:firstLineChars="200"/>
        <w:jc w:val="center"/>
        <w:rPr>
          <w:rFonts w:hint="eastAsia" w:ascii="宋体" w:hAnsi="宋体" w:eastAsia="宋体" w:cs="宋体"/>
          <w:b w:val="0"/>
          <w:bCs/>
          <w:color w:val="auto"/>
          <w:kern w:val="0"/>
          <w:sz w:val="32"/>
          <w:szCs w:val="32"/>
          <w:highlight w:val="none"/>
        </w:rPr>
      </w:pPr>
    </w:p>
    <w:p>
      <w:pPr>
        <w:pStyle w:val="13"/>
        <w:rPr>
          <w:rFonts w:hint="eastAsia" w:ascii="宋体" w:hAnsi="宋体" w:eastAsia="宋体" w:cs="宋体"/>
          <w:b w:val="0"/>
          <w:bCs/>
          <w:color w:val="auto"/>
          <w:kern w:val="0"/>
          <w:sz w:val="32"/>
          <w:szCs w:val="32"/>
          <w:highlight w:val="none"/>
        </w:rPr>
      </w:pPr>
    </w:p>
    <w:p>
      <w:pPr>
        <w:rPr>
          <w:rFonts w:hint="eastAsia" w:ascii="宋体" w:hAnsi="宋体" w:eastAsia="宋体" w:cs="宋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项目名称：</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项目编号：</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所投采购包：</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640" w:firstLineChars="200"/>
        <w:jc w:val="center"/>
        <w:textAlignment w:val="auto"/>
        <w:rPr>
          <w:rFonts w:hint="eastAsia" w:ascii="宋体" w:hAnsi="宋体" w:eastAsia="宋体" w:cs="宋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供应商：</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日  期：</w:t>
      </w:r>
      <w:r>
        <w:rPr>
          <w:rFonts w:hint="eastAsia" w:ascii="宋体" w:hAnsi="宋体" w:eastAsia="宋体" w:cs="宋体"/>
          <w:b w:val="0"/>
          <w:bCs/>
          <w:color w:val="auto"/>
          <w:kern w:val="0"/>
          <w:sz w:val="32"/>
          <w:szCs w:val="32"/>
          <w:highlight w:val="none"/>
          <w:u w:val="single"/>
        </w:rPr>
        <w:t xml:space="preserve">                 </w:t>
      </w:r>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格式1  授权委托书</w:t>
      </w:r>
    </w:p>
    <w:p>
      <w:pPr>
        <w:adjustRightInd w:val="0"/>
        <w:snapToGrid w:val="0"/>
        <w:spacing w:after="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28"/>
          <w:szCs w:val="28"/>
          <w:highlight w:val="none"/>
        </w:rPr>
        <w:t>1-1法定代表人授权委托书</w:t>
      </w:r>
    </w:p>
    <w:p>
      <w:pPr>
        <w:adjustRightInd w:val="0"/>
        <w:snapToGrid w:val="0"/>
        <w:spacing w:after="0"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(适用于授权代表参加磋商)</w:t>
      </w:r>
    </w:p>
    <w:p>
      <w:pPr>
        <w:pStyle w:val="15"/>
        <w:keepNext w:val="0"/>
        <w:keepLines w:val="0"/>
        <w:pageBreakBefore w:val="0"/>
        <w:widowControl w:val="0"/>
        <w:kinsoku/>
        <w:wordWrap/>
        <w:overflowPunct/>
        <w:bidi w:val="0"/>
        <w:spacing w:line="400" w:lineRule="exact"/>
        <w:textAlignment w:val="auto"/>
        <w:rPr>
          <w:rFonts w:hint="eastAsia" w:ascii="宋体" w:hAnsi="宋体" w:eastAsia="宋体" w:cs="宋体"/>
          <w:color w:val="auto"/>
          <w:sz w:val="24"/>
          <w:szCs w:val="24"/>
          <w:highlight w:val="none"/>
        </w:rPr>
      </w:pPr>
    </w:p>
    <w:p>
      <w:pPr>
        <w:pStyle w:val="15"/>
        <w:keepNext w:val="0"/>
        <w:keepLines w:val="0"/>
        <w:pageBreakBefore w:val="0"/>
        <w:widowControl w:val="0"/>
        <w:kinsoku/>
        <w:wordWrap/>
        <w:overflowPunct/>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keepNext w:val="0"/>
        <w:keepLines w:val="0"/>
        <w:pageBreakBefore w:val="0"/>
        <w:widowControl w:val="0"/>
        <w:kinsoku/>
        <w:wordWrap/>
        <w:overflowPunct/>
        <w:topLinePunct/>
        <w:autoSpaceDE w:val="0"/>
        <w:autoSpaceDN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本授权书声明：注册于___________ （供应商住址）的___________（供应商名称）法定代表人_______（姓名、职务）代表本公司授权_______（授权代表姓名、职务）为本公司的合法磋商代表，就贵方组织的《</w:t>
      </w:r>
      <w:r>
        <w:rPr>
          <w:rFonts w:hint="eastAsia" w:ascii="宋体" w:hAnsi="宋体" w:eastAsia="宋体" w:cs="宋体"/>
          <w:color w:val="auto"/>
          <w:sz w:val="24"/>
          <w:szCs w:val="24"/>
          <w:highlight w:val="none"/>
          <w:u w:val="single"/>
        </w:rPr>
        <w:t xml:space="preserve">          项目</w:t>
      </w:r>
      <w:r>
        <w:rPr>
          <w:rFonts w:hint="eastAsia" w:ascii="宋体" w:hAnsi="宋体" w:eastAsia="宋体" w:cs="宋体"/>
          <w:color w:val="auto"/>
          <w:sz w:val="24"/>
          <w:szCs w:val="24"/>
          <w:highlight w:val="none"/>
        </w:rPr>
        <w:t>》（项目编号：_______）</w:t>
      </w:r>
      <w:r>
        <w:rPr>
          <w:rFonts w:hint="eastAsia" w:ascii="宋体" w:hAnsi="宋体" w:eastAsia="宋体" w:cs="宋体"/>
          <w:color w:val="auto"/>
          <w:kern w:val="0"/>
          <w:sz w:val="24"/>
          <w:szCs w:val="24"/>
          <w:highlight w:val="none"/>
        </w:rPr>
        <w:t>磋商、澄清、</w:t>
      </w:r>
      <w:r>
        <w:rPr>
          <w:rFonts w:hint="eastAsia" w:ascii="宋体" w:hAnsi="宋体" w:eastAsia="宋体" w:cs="宋体"/>
          <w:color w:val="auto"/>
          <w:sz w:val="24"/>
          <w:szCs w:val="24"/>
          <w:highlight w:val="none"/>
        </w:rPr>
        <w:t>合同的执行，以本公司名义处理一切与之有关的事务。</w:t>
      </w:r>
    </w:p>
    <w:p>
      <w:pPr>
        <w:keepNext w:val="0"/>
        <w:keepLines w:val="0"/>
        <w:pageBreakBefore w:val="0"/>
        <w:widowControl w:val="0"/>
        <w:kinsoku/>
        <w:wordWrap/>
        <w:overflowPunct/>
        <w:topLinePunct/>
        <w:autoSpaceDE w:val="0"/>
        <w:autoSpaceDN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本授权书于______年______月_____日生效，特此声明。</w:t>
      </w:r>
    </w:p>
    <w:p>
      <w:pPr>
        <w:pStyle w:val="15"/>
        <w:keepNext w:val="0"/>
        <w:keepLines w:val="0"/>
        <w:pageBreakBefore w:val="0"/>
        <w:widowControl w:val="0"/>
        <w:kinsoku/>
        <w:wordWrap/>
        <w:overflowPunct/>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授权代表无转委托权。</w:t>
      </w:r>
    </w:p>
    <w:p>
      <w:pPr>
        <w:pStyle w:val="15"/>
        <w:adjustRightInd w:val="0"/>
        <w:snapToGrid w:val="0"/>
        <w:spacing w:line="360" w:lineRule="auto"/>
        <w:rPr>
          <w:rFonts w:hint="eastAsia" w:ascii="宋体" w:hAnsi="宋体" w:eastAsia="宋体" w:cs="宋体"/>
          <w:color w:val="auto"/>
          <w:sz w:val="24"/>
          <w:szCs w:val="24"/>
          <w:highlight w:val="none"/>
        </w:rPr>
      </w:pPr>
    </w:p>
    <w:tbl>
      <w:tblPr>
        <w:tblStyle w:val="29"/>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pPr>
              <w:pStyle w:val="15"/>
              <w:adjustRightInd w:val="0"/>
              <w:snapToGrid w:val="0"/>
              <w:spacing w:line="360" w:lineRule="auto"/>
              <w:jc w:val="center"/>
              <w:rPr>
                <w:rFonts w:hint="eastAsia" w:ascii="宋体" w:hAnsi="宋体" w:eastAsia="宋体" w:cs="宋体"/>
                <w:color w:val="auto"/>
                <w:sz w:val="24"/>
                <w:szCs w:val="24"/>
                <w:highlight w:val="none"/>
              </w:rPr>
            </w:pPr>
          </w:p>
          <w:p>
            <w:pPr>
              <w:pStyle w:val="15"/>
              <w:adjustRightInd w:val="0"/>
              <w:snapToGrid w:val="0"/>
              <w:spacing w:line="360" w:lineRule="auto"/>
              <w:jc w:val="center"/>
              <w:rPr>
                <w:rFonts w:hint="eastAsia" w:ascii="宋体" w:hAnsi="宋体" w:eastAsia="宋体" w:cs="宋体"/>
                <w:color w:val="auto"/>
                <w:sz w:val="24"/>
                <w:szCs w:val="24"/>
                <w:highlight w:val="none"/>
              </w:rPr>
            </w:pPr>
          </w:p>
          <w:p>
            <w:pPr>
              <w:pStyle w:val="15"/>
              <w:adjustRightInd w:val="0"/>
              <w:snapToGrid w:val="0"/>
              <w:spacing w:line="360" w:lineRule="auto"/>
              <w:jc w:val="center"/>
              <w:rPr>
                <w:rFonts w:hint="eastAsia" w:ascii="宋体" w:hAnsi="宋体" w:eastAsia="宋体" w:cs="宋体"/>
                <w:b/>
                <w:color w:val="auto"/>
                <w:sz w:val="24"/>
                <w:szCs w:val="24"/>
                <w:highlight w:val="none"/>
              </w:rPr>
            </w:pPr>
          </w:p>
          <w:p>
            <w:pPr>
              <w:pStyle w:val="15"/>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法定代表人</w:t>
            </w:r>
            <w:r>
              <w:rPr>
                <w:rFonts w:hint="eastAsia" w:ascii="宋体" w:hAnsi="宋体" w:eastAsia="宋体" w:cs="宋体"/>
                <w:b/>
                <w:color w:val="auto"/>
                <w:sz w:val="24"/>
                <w:szCs w:val="24"/>
                <w:highlight w:val="none"/>
                <w:lang w:val="en-US" w:eastAsia="zh-CN"/>
              </w:rPr>
              <w:t>与</w:t>
            </w:r>
            <w:r>
              <w:rPr>
                <w:rFonts w:hint="eastAsia" w:ascii="宋体" w:hAnsi="宋体" w:eastAsia="宋体" w:cs="宋体"/>
                <w:b/>
                <w:color w:val="auto"/>
                <w:sz w:val="24"/>
                <w:szCs w:val="24"/>
                <w:highlight w:val="none"/>
              </w:rPr>
              <w:t>授权代表</w:t>
            </w:r>
            <w:r>
              <w:rPr>
                <w:rFonts w:hint="eastAsia" w:ascii="宋体" w:hAnsi="宋体" w:eastAsia="宋体" w:cs="宋体"/>
                <w:color w:val="auto"/>
                <w:sz w:val="24"/>
                <w:szCs w:val="24"/>
                <w:highlight w:val="none"/>
              </w:rPr>
              <w:t>身份证复印件</w:t>
            </w:r>
          </w:p>
          <w:p>
            <w:pPr>
              <w:pStyle w:val="15"/>
              <w:adjustRightInd w:val="0"/>
              <w:snapToGrid w:val="0"/>
              <w:spacing w:line="360" w:lineRule="auto"/>
              <w:jc w:val="center"/>
              <w:rPr>
                <w:rFonts w:hint="eastAsia" w:ascii="宋体" w:hAnsi="宋体" w:eastAsia="宋体" w:cs="宋体"/>
                <w:color w:val="auto"/>
                <w:sz w:val="24"/>
                <w:szCs w:val="24"/>
                <w:highlight w:val="none"/>
              </w:rPr>
            </w:pPr>
          </w:p>
          <w:p>
            <w:pPr>
              <w:pStyle w:val="15"/>
              <w:adjustRightInd w:val="0"/>
              <w:snapToGrid w:val="0"/>
              <w:spacing w:line="360" w:lineRule="auto"/>
              <w:jc w:val="center"/>
              <w:rPr>
                <w:rFonts w:hint="eastAsia" w:ascii="宋体" w:hAnsi="宋体" w:eastAsia="宋体" w:cs="宋体"/>
                <w:color w:val="auto"/>
                <w:sz w:val="24"/>
                <w:szCs w:val="24"/>
                <w:highlight w:val="none"/>
              </w:rPr>
            </w:pPr>
          </w:p>
          <w:p>
            <w:pPr>
              <w:pStyle w:val="15"/>
              <w:adjustRightInd w:val="0"/>
              <w:snapToGrid w:val="0"/>
              <w:spacing w:line="360" w:lineRule="auto"/>
              <w:jc w:val="center"/>
              <w:rPr>
                <w:rFonts w:hint="eastAsia" w:ascii="宋体" w:hAnsi="宋体" w:eastAsia="宋体" w:cs="宋体"/>
                <w:color w:val="auto"/>
                <w:sz w:val="24"/>
                <w:szCs w:val="24"/>
                <w:highlight w:val="none"/>
              </w:rPr>
            </w:pPr>
          </w:p>
        </w:tc>
      </w:tr>
    </w:tbl>
    <w:p>
      <w:pPr>
        <w:pStyle w:val="15"/>
        <w:keepNext w:val="0"/>
        <w:keepLines w:val="0"/>
        <w:pageBreakBefore w:val="0"/>
        <w:widowControl w:val="0"/>
        <w:kinsoku/>
        <w:wordWrap/>
        <w:overflowPunct/>
        <w:bidi w:val="0"/>
        <w:adjustRightInd w:val="0"/>
        <w:snapToGrid w:val="0"/>
        <w:spacing w:line="400" w:lineRule="exact"/>
        <w:jc w:val="left"/>
        <w:textAlignment w:val="auto"/>
        <w:rPr>
          <w:rFonts w:hint="eastAsia" w:ascii="宋体" w:hAnsi="宋体" w:eastAsia="宋体" w:cs="宋体"/>
          <w:color w:val="auto"/>
          <w:sz w:val="24"/>
          <w:szCs w:val="24"/>
          <w:highlight w:val="none"/>
        </w:rPr>
      </w:pP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供应商名称（公章）：________________</w:t>
      </w: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法定代表人（签字或签章）：________________</w:t>
      </w: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授权代表（签字）：________________</w:t>
      </w: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授权代表联系电话：____________</w:t>
      </w: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日期：____________</w:t>
      </w:r>
    </w:p>
    <w:p>
      <w:pPr>
        <w:keepNext w:val="0"/>
        <w:keepLines w:val="0"/>
        <w:pageBreakBefore w:val="0"/>
        <w:widowControl w:val="0"/>
        <w:kinsoku/>
        <w:wordWrap/>
        <w:overflowPunct/>
        <w:topLinePunct/>
        <w:autoSpaceDE w:val="0"/>
        <w:autoSpaceDN w:val="0"/>
        <w:bidi w:val="0"/>
        <w:adjustRightInd w:val="0"/>
        <w:snapToGrid w:val="0"/>
        <w:spacing w:after="0" w:line="400" w:lineRule="exact"/>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autoSpaceDE w:val="0"/>
        <w:autoSpaceDN w:val="0"/>
        <w:bidi w:val="0"/>
        <w:adjustRightInd w:val="0"/>
        <w:snapToGrid w:val="0"/>
        <w:spacing w:after="0" w:line="400" w:lineRule="exact"/>
        <w:jc w:val="left"/>
        <w:textAlignment w:val="auto"/>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特别说明：</w:t>
      </w:r>
    </w:p>
    <w:p>
      <w:pPr>
        <w:keepNext w:val="0"/>
        <w:keepLines w:val="0"/>
        <w:pageBreakBefore w:val="0"/>
        <w:widowControl w:val="0"/>
        <w:tabs>
          <w:tab w:val="left" w:pos="312"/>
        </w:tabs>
        <w:kinsoku/>
        <w:wordWrap/>
        <w:overflowPunct/>
        <w:topLinePunct/>
        <w:autoSpaceDE w:val="0"/>
        <w:autoSpaceDN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由授权代表参与磋商活动的，须同时提供《法定代表人授权委托书》和授权代表身份证复印件。《法定代表人授权委托书》应当按本格式要求加盖与供应商名称全称一致的标准公章，并签署法定代表人或授权代表的全名或加盖名章。</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1-2法定代表人身份证明复印件</w:t>
      </w:r>
    </w:p>
    <w:p>
      <w:pPr>
        <w:adjustRightInd w:val="0"/>
        <w:snapToGrid w:val="0"/>
        <w:spacing w:after="0"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(适用于法定代表人参加磋商)</w:t>
      </w:r>
    </w:p>
    <w:p>
      <w:pPr>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p>
    <w:tbl>
      <w:tblPr>
        <w:tblStyle w:val="29"/>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pPr>
              <w:pStyle w:val="15"/>
              <w:adjustRightInd w:val="0"/>
              <w:snapToGrid w:val="0"/>
              <w:spacing w:line="360" w:lineRule="auto"/>
              <w:jc w:val="center"/>
              <w:rPr>
                <w:rFonts w:hint="eastAsia" w:ascii="宋体" w:hAnsi="宋体" w:eastAsia="宋体" w:cs="宋体"/>
                <w:color w:val="auto"/>
                <w:sz w:val="24"/>
                <w:szCs w:val="24"/>
                <w:highlight w:val="none"/>
              </w:rPr>
            </w:pPr>
          </w:p>
          <w:p>
            <w:pPr>
              <w:pStyle w:val="15"/>
              <w:adjustRightInd w:val="0"/>
              <w:snapToGrid w:val="0"/>
              <w:spacing w:line="360" w:lineRule="auto"/>
              <w:jc w:val="center"/>
              <w:rPr>
                <w:rFonts w:hint="eastAsia" w:ascii="宋体" w:hAnsi="宋体" w:eastAsia="宋体" w:cs="宋体"/>
                <w:color w:val="auto"/>
                <w:sz w:val="24"/>
                <w:szCs w:val="24"/>
                <w:highlight w:val="none"/>
              </w:rPr>
            </w:pPr>
          </w:p>
          <w:p>
            <w:pPr>
              <w:pStyle w:val="15"/>
              <w:adjustRightInd w:val="0"/>
              <w:snapToGrid w:val="0"/>
              <w:spacing w:line="360" w:lineRule="auto"/>
              <w:jc w:val="center"/>
              <w:rPr>
                <w:rFonts w:hint="eastAsia" w:ascii="宋体" w:hAnsi="宋体" w:eastAsia="宋体" w:cs="宋体"/>
                <w:color w:val="auto"/>
                <w:sz w:val="24"/>
                <w:szCs w:val="24"/>
                <w:highlight w:val="none"/>
              </w:rPr>
            </w:pPr>
          </w:p>
          <w:p>
            <w:pPr>
              <w:pStyle w:val="15"/>
              <w:adjustRightInd w:val="0"/>
              <w:snapToGrid w:val="0"/>
              <w:spacing w:line="360" w:lineRule="auto"/>
              <w:jc w:val="center"/>
              <w:rPr>
                <w:rFonts w:hint="eastAsia" w:ascii="宋体" w:hAnsi="宋体" w:eastAsia="宋体" w:cs="宋体"/>
                <w:color w:val="auto"/>
                <w:sz w:val="24"/>
                <w:szCs w:val="24"/>
                <w:highlight w:val="none"/>
              </w:rPr>
            </w:pPr>
          </w:p>
          <w:p>
            <w:pPr>
              <w:pStyle w:val="15"/>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法定代表人身份证明复印件</w:t>
            </w:r>
          </w:p>
          <w:p>
            <w:pPr>
              <w:pStyle w:val="15"/>
              <w:adjustRightInd w:val="0"/>
              <w:snapToGrid w:val="0"/>
              <w:spacing w:line="360" w:lineRule="auto"/>
              <w:jc w:val="center"/>
              <w:rPr>
                <w:rFonts w:hint="eastAsia" w:ascii="宋体" w:hAnsi="宋体" w:eastAsia="宋体" w:cs="宋体"/>
                <w:color w:val="auto"/>
                <w:sz w:val="24"/>
                <w:szCs w:val="24"/>
                <w:highlight w:val="none"/>
              </w:rPr>
            </w:pPr>
          </w:p>
          <w:p>
            <w:pPr>
              <w:pStyle w:val="15"/>
              <w:adjustRightInd w:val="0"/>
              <w:snapToGrid w:val="0"/>
              <w:spacing w:line="360" w:lineRule="auto"/>
              <w:jc w:val="center"/>
              <w:rPr>
                <w:rFonts w:hint="eastAsia" w:ascii="宋体" w:hAnsi="宋体" w:eastAsia="宋体" w:cs="宋体"/>
                <w:color w:val="auto"/>
                <w:sz w:val="24"/>
                <w:szCs w:val="24"/>
                <w:highlight w:val="none"/>
              </w:rPr>
            </w:pPr>
          </w:p>
          <w:p>
            <w:pPr>
              <w:pStyle w:val="15"/>
              <w:adjustRightInd w:val="0"/>
              <w:snapToGrid w:val="0"/>
              <w:spacing w:line="360" w:lineRule="auto"/>
              <w:jc w:val="center"/>
              <w:rPr>
                <w:rFonts w:hint="eastAsia" w:ascii="宋体" w:hAnsi="宋体" w:eastAsia="宋体" w:cs="宋体"/>
                <w:color w:val="auto"/>
                <w:sz w:val="24"/>
                <w:szCs w:val="24"/>
                <w:highlight w:val="none"/>
              </w:rPr>
            </w:pPr>
          </w:p>
          <w:p>
            <w:pPr>
              <w:pStyle w:val="15"/>
              <w:adjustRightInd w:val="0"/>
              <w:snapToGrid w:val="0"/>
              <w:spacing w:line="360" w:lineRule="auto"/>
              <w:jc w:val="center"/>
              <w:rPr>
                <w:rFonts w:hint="eastAsia" w:ascii="宋体" w:hAnsi="宋体" w:eastAsia="宋体" w:cs="宋体"/>
                <w:color w:val="auto"/>
                <w:sz w:val="24"/>
                <w:szCs w:val="24"/>
                <w:highlight w:val="none"/>
              </w:rPr>
            </w:pPr>
          </w:p>
        </w:tc>
      </w:tr>
    </w:tbl>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p>
    <w:p>
      <w:pPr>
        <w:topLinePunct/>
        <w:autoSpaceDE w:val="0"/>
        <w:autoSpaceDN w:val="0"/>
        <w:adjustRightInd w:val="0"/>
        <w:snapToGrid w:val="0"/>
        <w:spacing w:after="0" w:line="360" w:lineRule="auto"/>
        <w:jc w:val="left"/>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特别说明：</w:t>
      </w:r>
    </w:p>
    <w:p>
      <w:pPr>
        <w:tabs>
          <w:tab w:val="left" w:pos="312"/>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供应商如由</w:t>
      </w:r>
      <w:r>
        <w:rPr>
          <w:rFonts w:hint="eastAsia" w:ascii="宋体" w:hAnsi="宋体" w:eastAsia="宋体" w:cs="宋体"/>
          <w:b/>
          <w:bCs/>
          <w:color w:val="auto"/>
          <w:sz w:val="24"/>
          <w:szCs w:val="24"/>
          <w:highlight w:val="none"/>
        </w:rPr>
        <w:t>法定代表人作为磋商代表参与磋商活动的，仅须提供法定代表人身份证复印件</w:t>
      </w:r>
      <w:r>
        <w:rPr>
          <w:rFonts w:hint="eastAsia" w:ascii="宋体" w:hAnsi="宋体" w:eastAsia="宋体" w:cs="宋体"/>
          <w:color w:val="auto"/>
          <w:sz w:val="24"/>
          <w:szCs w:val="24"/>
          <w:highlight w:val="none"/>
        </w:rPr>
        <w:t>。</w:t>
      </w:r>
    </w:p>
    <w:p>
      <w:pPr>
        <w:pStyle w:val="15"/>
        <w:ind w:firstLine="480" w:firstLineChars="200"/>
        <w:rPr>
          <w:rFonts w:hint="eastAsia" w:ascii="宋体" w:hAnsi="宋体" w:eastAsia="宋体" w:cs="宋体"/>
          <w:color w:val="auto"/>
          <w:sz w:val="24"/>
          <w:szCs w:val="24"/>
          <w:highlight w:val="none"/>
        </w:rPr>
      </w:pPr>
    </w:p>
    <w:p>
      <w:pPr>
        <w:widowControl/>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1-3自然人授权委托书</w:t>
      </w:r>
    </w:p>
    <w:p>
      <w:pPr>
        <w:adjustRightInd w:val="0"/>
        <w:snapToGrid w:val="0"/>
        <w:spacing w:after="0"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(适用于自然人参加磋商)</w:t>
      </w:r>
    </w:p>
    <w:p>
      <w:pPr>
        <w:pStyle w:val="15"/>
        <w:rPr>
          <w:rFonts w:hint="eastAsia" w:ascii="宋体" w:hAnsi="宋体" w:eastAsia="宋体" w:cs="宋体"/>
          <w:b w:val="0"/>
          <w:bCs w:val="0"/>
          <w:color w:val="auto"/>
          <w:sz w:val="24"/>
          <w:szCs w:val="24"/>
          <w:highlight w:val="none"/>
        </w:rPr>
      </w:pPr>
    </w:p>
    <w:p>
      <w:pPr>
        <w:pStyle w:val="15"/>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本授权书声明：我________(姓名、身份证号码)系自然人，现授权委托____________(姓名、身份证号码)以本人名义参加《</w:t>
      </w:r>
      <w:r>
        <w:rPr>
          <w:rFonts w:hint="eastAsia" w:ascii="宋体" w:hAnsi="宋体" w:eastAsia="宋体" w:cs="宋体"/>
          <w:color w:val="auto"/>
          <w:sz w:val="24"/>
          <w:szCs w:val="24"/>
          <w:highlight w:val="none"/>
          <w:u w:val="single"/>
        </w:rPr>
        <w:t xml:space="preserve">          项目</w:t>
      </w:r>
      <w:r>
        <w:rPr>
          <w:rFonts w:hint="eastAsia" w:ascii="宋体" w:hAnsi="宋体" w:eastAsia="宋体" w:cs="宋体"/>
          <w:color w:val="auto"/>
          <w:sz w:val="24"/>
          <w:szCs w:val="24"/>
          <w:highlight w:val="none"/>
        </w:rPr>
        <w:t>》（项目编号：    ）的磋商活动，并代表本人全权办理针对上述项目的磋商、签约等具体事务和签署相关文件。</w:t>
      </w: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本人对被授权人的签字事项负全部责任。</w:t>
      </w: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授权委托代理期限：从　　年　　月　　日起至　　年　　月　　日止。</w:t>
      </w:r>
    </w:p>
    <w:p>
      <w:pPr>
        <w:pStyle w:val="15"/>
        <w:spacing w:line="360" w:lineRule="auto"/>
        <w:ind w:firstLine="480" w:firstLineChars="200"/>
        <w:rPr>
          <w:rFonts w:hint="eastAsia" w:ascii="宋体" w:hAnsi="宋体" w:eastAsia="宋体" w:cs="宋体"/>
          <w:color w:val="auto"/>
          <w:sz w:val="24"/>
          <w:szCs w:val="24"/>
          <w:highlight w:val="none"/>
        </w:rPr>
      </w:pP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pPr>
        <w:pStyle w:val="15"/>
        <w:spacing w:line="360" w:lineRule="auto"/>
        <w:ind w:firstLine="480" w:firstLineChars="200"/>
        <w:rPr>
          <w:rFonts w:hint="eastAsia" w:ascii="宋体" w:hAnsi="宋体" w:eastAsia="宋体" w:cs="宋体"/>
          <w:color w:val="auto"/>
          <w:sz w:val="24"/>
          <w:szCs w:val="24"/>
          <w:highlight w:val="none"/>
        </w:rPr>
      </w:pP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我已在下面签字，以资证明。</w:t>
      </w:r>
    </w:p>
    <w:p>
      <w:pPr>
        <w:pStyle w:val="15"/>
        <w:spacing w:line="360" w:lineRule="auto"/>
        <w:ind w:firstLine="480" w:firstLineChars="200"/>
        <w:rPr>
          <w:rFonts w:hint="eastAsia" w:ascii="宋体" w:hAnsi="宋体" w:eastAsia="宋体" w:cs="宋体"/>
          <w:color w:val="auto"/>
          <w:sz w:val="24"/>
          <w:szCs w:val="24"/>
          <w:highlight w:val="none"/>
        </w:rPr>
      </w:pPr>
    </w:p>
    <w:p>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自然人签字并在签名处加盖食指指印：　　　　年　　月　　日</w:t>
      </w:r>
    </w:p>
    <w:p>
      <w:pPr>
        <w:pStyle w:val="15"/>
        <w:spacing w:line="360" w:lineRule="auto"/>
        <w:ind w:firstLine="480" w:firstLineChars="200"/>
        <w:rPr>
          <w:rFonts w:hint="eastAsia" w:ascii="宋体" w:hAnsi="宋体" w:eastAsia="宋体" w:cs="宋体"/>
          <w:color w:val="auto"/>
          <w:sz w:val="24"/>
          <w:szCs w:val="24"/>
          <w:highlight w:val="none"/>
        </w:rPr>
      </w:pPr>
    </w:p>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p>
    <w:p>
      <w:pPr>
        <w:topLinePunct/>
        <w:autoSpaceDE w:val="0"/>
        <w:autoSpaceDN w:val="0"/>
        <w:adjustRightInd w:val="0"/>
        <w:snapToGrid w:val="0"/>
        <w:spacing w:after="0" w:line="360" w:lineRule="auto"/>
        <w:jc w:val="left"/>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特别说明：</w:t>
      </w:r>
    </w:p>
    <w:p>
      <w:pPr>
        <w:tabs>
          <w:tab w:val="left" w:pos="312"/>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供应商如由</w:t>
      </w:r>
      <w:r>
        <w:rPr>
          <w:rFonts w:hint="eastAsia" w:ascii="宋体" w:hAnsi="宋体" w:eastAsia="宋体" w:cs="宋体"/>
          <w:b/>
          <w:bCs/>
          <w:color w:val="auto"/>
          <w:sz w:val="24"/>
          <w:szCs w:val="24"/>
          <w:highlight w:val="none"/>
        </w:rPr>
        <w:t>被授权人参与磋商活动的，</w:t>
      </w:r>
      <w:r>
        <w:rPr>
          <w:rFonts w:hint="eastAsia" w:ascii="宋体" w:hAnsi="宋体" w:eastAsia="宋体" w:cs="宋体"/>
          <w:color w:val="auto"/>
          <w:sz w:val="24"/>
          <w:szCs w:val="24"/>
          <w:highlight w:val="none"/>
        </w:rPr>
        <w:t>须提供《自然人授权委托书》，《自然人授权委托书》应当按本格式要求签字并由自然人在签名处加盖食指指印。</w:t>
      </w:r>
    </w:p>
    <w:p>
      <w:pPr>
        <w:pStyle w:val="15"/>
        <w:spacing w:line="360" w:lineRule="auto"/>
        <w:ind w:firstLine="480" w:firstLineChars="200"/>
        <w:rPr>
          <w:rFonts w:hint="eastAsia" w:ascii="宋体" w:hAnsi="宋体" w:eastAsia="宋体" w:cs="宋体"/>
          <w:color w:val="auto"/>
          <w:sz w:val="24"/>
          <w:szCs w:val="24"/>
          <w:highlight w:val="none"/>
        </w:rPr>
      </w:pPr>
    </w:p>
    <w:p>
      <w:pPr>
        <w:pStyle w:val="15"/>
        <w:ind w:firstLine="480" w:firstLineChars="200"/>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kern w:val="2"/>
          <w:sz w:val="32"/>
          <w:szCs w:val="32"/>
          <w:highlight w:val="none"/>
          <w:lang w:val="en-US" w:eastAsia="zh-CN" w:bidi="ar-SA"/>
        </w:rPr>
        <w:t>格式2  磋商响应函</w:t>
      </w:r>
    </w:p>
    <w:p>
      <w:pPr>
        <w:pStyle w:val="15"/>
        <w:topLinePunct/>
        <w:autoSpaceDE w:val="0"/>
        <w:autoSpaceDN w:val="0"/>
        <w:adjustRightInd w:val="0"/>
        <w:snapToGrid w:val="0"/>
        <w:spacing w:line="360" w:lineRule="auto"/>
        <w:rPr>
          <w:rFonts w:hint="eastAsia" w:ascii="宋体" w:hAnsi="宋体" w:eastAsia="宋体" w:cs="宋体"/>
          <w:color w:val="auto"/>
          <w:sz w:val="24"/>
          <w:szCs w:val="24"/>
          <w:highlight w:val="none"/>
        </w:rPr>
      </w:pPr>
    </w:p>
    <w:p>
      <w:pPr>
        <w:pStyle w:val="15"/>
        <w:keepNext w:val="0"/>
        <w:keepLines w:val="0"/>
        <w:pageBreakBefore w:val="0"/>
        <w:widowControl w:val="0"/>
        <w:kinsoku/>
        <w:wordWrap/>
        <w:overflowPunct/>
        <w:topLinePunct/>
        <w:autoSpaceDE w:val="0"/>
        <w:autoSpaceDN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pPr>
        <w:pStyle w:val="15"/>
        <w:keepNext w:val="0"/>
        <w:keepLines w:val="0"/>
        <w:pageBreakBefore w:val="0"/>
        <w:widowControl w:val="0"/>
        <w:kinsoku/>
        <w:wordWrap/>
        <w:overflowPunct/>
        <w:topLinePunct/>
        <w:autoSpaceDE w:val="0"/>
        <w:autoSpaceDN w:val="0"/>
        <w:bidi w:val="0"/>
        <w:adjustRightInd w:val="0"/>
        <w:snapToGrid w:val="0"/>
        <w:spacing w:line="40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根据______（项目名称）（项目编号：______）的磋商邀请，______（姓名、职务）代表供应商______（供应商名称、地址）参加项目磋商的有关活动。据此函，作如下承诺：</w:t>
      </w:r>
    </w:p>
    <w:p>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1.同意在本项目采购文件中规定的开标日起</w:t>
      </w:r>
      <w:r>
        <w:rPr>
          <w:rFonts w:hint="eastAsia" w:ascii="宋体" w:hAnsi="宋体" w:eastAsia="宋体" w:cs="宋体"/>
          <w:color w:val="auto"/>
          <w:sz w:val="24"/>
          <w:szCs w:val="24"/>
          <w:highlight w:val="none"/>
          <w:u w:val="single"/>
          <w:lang w:val="en-US" w:eastAsia="zh-CN"/>
        </w:rPr>
        <w:t xml:space="preserve"> 90 </w:t>
      </w:r>
      <w:r>
        <w:rPr>
          <w:rFonts w:hint="eastAsia" w:ascii="宋体" w:hAnsi="宋体" w:eastAsia="宋体" w:cs="宋体"/>
          <w:color w:val="auto"/>
          <w:sz w:val="24"/>
          <w:szCs w:val="24"/>
          <w:highlight w:val="none"/>
          <w:u w:val="none"/>
        </w:rPr>
        <w:t>天</w:t>
      </w:r>
      <w:r>
        <w:rPr>
          <w:rFonts w:hint="eastAsia" w:ascii="宋体" w:hAnsi="宋体" w:eastAsia="宋体" w:cs="宋体"/>
          <w:color w:val="auto"/>
          <w:sz w:val="24"/>
          <w:szCs w:val="24"/>
          <w:highlight w:val="none"/>
        </w:rPr>
        <w:t>遵守本响应文件中的承诺，且在期满之前均具有约束力。</w:t>
      </w:r>
    </w:p>
    <w:p>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2.具备政府采购相关法律法规规定的参加政府采购活动的供应商应当具备的条件：</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（5）参加此项采购活动前三年内，在经营活动中没有重大违法记录。</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（6）法律、行政法规规定的其他条件。 </w:t>
      </w:r>
    </w:p>
    <w:p>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3.具备本项目采购文件中规定的其他要求和资质条件。</w:t>
      </w:r>
    </w:p>
    <w:p>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4.提供供应商须知规定的全部响应文件。</w:t>
      </w:r>
    </w:p>
    <w:p>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5.已详细审阅全部采购文件（包括</w:t>
      </w:r>
      <w:r>
        <w:rPr>
          <w:rFonts w:hint="eastAsia" w:ascii="宋体" w:hAnsi="宋体" w:eastAsia="宋体" w:cs="宋体"/>
          <w:color w:val="auto"/>
          <w:sz w:val="24"/>
          <w:szCs w:val="24"/>
          <w:highlight w:val="none"/>
          <w:lang w:val="en-US" w:eastAsia="zh-CN"/>
        </w:rPr>
        <w:t>项目采购需求和</w:t>
      </w:r>
      <w:r>
        <w:rPr>
          <w:rFonts w:hint="eastAsia" w:ascii="宋体" w:hAnsi="宋体" w:eastAsia="宋体" w:cs="宋体"/>
          <w:color w:val="auto"/>
          <w:sz w:val="24"/>
          <w:szCs w:val="24"/>
          <w:highlight w:val="none"/>
        </w:rPr>
        <w:t>采购文件澄清函），理解供应商须知的所有条款。</w:t>
      </w:r>
    </w:p>
    <w:p>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outlineLvl w:val="1"/>
        <w:rPr>
          <w:rFonts w:hint="eastAsia" w:ascii="宋体" w:hAnsi="宋体" w:eastAsia="宋体" w:cs="宋体"/>
          <w:color w:val="auto"/>
          <w:sz w:val="24"/>
          <w:szCs w:val="24"/>
          <w:highlight w:val="none"/>
        </w:rPr>
      </w:pPr>
      <w:bookmarkStart w:id="100" w:name="_Toc23619"/>
      <w:bookmarkStart w:id="101" w:name="_Toc27055"/>
      <w:r>
        <w:rPr>
          <w:rFonts w:hint="eastAsia" w:ascii="宋体" w:hAnsi="宋体" w:eastAsia="宋体" w:cs="宋体"/>
          <w:color w:val="auto"/>
          <w:sz w:val="24"/>
          <w:szCs w:val="24"/>
          <w:highlight w:val="none"/>
        </w:rPr>
        <w:t>6.完全理解贵方“最低报价不能作为成交的保证”的规定。</w:t>
      </w:r>
      <w:bookmarkEnd w:id="100"/>
      <w:bookmarkEnd w:id="101"/>
    </w:p>
    <w:p>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7.接受采购文件中全部合同条款，且无任何异议；保证忠实地执行双方所签订的合同，并承担合同规定的责任和义务。</w:t>
      </w:r>
    </w:p>
    <w:p>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8.完全满足和响应采购文件中的各项商务和技术要求，若有偏差，已在响应文件中明确说明。</w:t>
      </w:r>
    </w:p>
    <w:p>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9.愿意提供任何与磋商有关的数据、情况和技术资料等。若贵方需要，愿意提供一切证明材料。</w:t>
      </w:r>
    </w:p>
    <w:p>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10.我方已详细审核全部响应文件、参考资料及有关附件，确认无误。</w:t>
      </w:r>
    </w:p>
    <w:p>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11.对本次采购内容及与本项目有关的知识产权、技术资料、商业秘密及相关信息保密。</w:t>
      </w:r>
    </w:p>
    <w:p>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12.已知悉并承诺遵守《税务系统信息化服务商失信行为记录名单制度(试行) 》关于失信行为进行记录和结果应用的相关规定，及对于违反网络安全规定行为造成不良后果、“围猎”税务人员、违法违规聘用离职税务人员、国家税务总局发票电子化改革领导小组办公室认定的失信行为，3年内限制参加税务系统政府采购活动的相关规定。</w:t>
      </w:r>
    </w:p>
    <w:p>
      <w:pPr>
        <w:pStyle w:val="39"/>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13.已知悉并承诺遵守采购文件中关于供应链安全管理的全部要求。</w:t>
      </w:r>
    </w:p>
    <w:p>
      <w:pPr>
        <w:pStyle w:val="39"/>
        <w:numPr>
          <w:ilvl w:val="0"/>
          <w:numId w:val="0"/>
        </w:numPr>
        <w:tabs>
          <w:tab w:val="left" w:pos="420"/>
        </w:tabs>
        <w:topLinePunct/>
        <w:autoSpaceDE w:val="0"/>
        <w:autoSpaceDN w:val="0"/>
        <w:snapToGrid w:val="0"/>
        <w:spacing w:after="0" w:line="360" w:lineRule="auto"/>
        <w:ind w:firstLine="489" w:firstLineChars="204"/>
        <w:rPr>
          <w:rFonts w:hint="eastAsia" w:ascii="宋体" w:hAnsi="宋体" w:eastAsia="宋体" w:cs="宋体"/>
          <w:color w:val="auto"/>
          <w:sz w:val="24"/>
          <w:szCs w:val="24"/>
          <w:highlight w:val="none"/>
        </w:rPr>
      </w:pPr>
    </w:p>
    <w:p>
      <w:pPr>
        <w:pStyle w:val="39"/>
        <w:numPr>
          <w:ilvl w:val="0"/>
          <w:numId w:val="0"/>
        </w:numPr>
        <w:tabs>
          <w:tab w:val="left" w:pos="420"/>
        </w:tabs>
        <w:topLinePunct/>
        <w:autoSpaceDE w:val="0"/>
        <w:autoSpaceDN w:val="0"/>
        <w:snapToGrid w:val="0"/>
        <w:spacing w:after="0" w:line="360" w:lineRule="auto"/>
        <w:jc w:val="left"/>
        <w:rPr>
          <w:rFonts w:hint="eastAsia" w:ascii="宋体" w:hAnsi="宋体" w:eastAsia="宋体" w:cs="宋体"/>
          <w:color w:val="auto"/>
          <w:sz w:val="24"/>
          <w:szCs w:val="24"/>
          <w:highlight w:val="none"/>
        </w:rPr>
      </w:pPr>
    </w:p>
    <w:p>
      <w:pPr>
        <w:pStyle w:val="39"/>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w:t>
      </w:r>
    </w:p>
    <w:p>
      <w:pPr>
        <w:pStyle w:val="39"/>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法定代表人（签字或签章）/授权代表（签字）：____________</w:t>
      </w:r>
    </w:p>
    <w:p>
      <w:pPr>
        <w:pStyle w:val="39"/>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供应商地址：____________</w:t>
      </w:r>
    </w:p>
    <w:p>
      <w:pPr>
        <w:pStyle w:val="39"/>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邮编：____________</w:t>
      </w:r>
    </w:p>
    <w:p>
      <w:pPr>
        <w:pStyle w:val="39"/>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电话：____________</w:t>
      </w:r>
    </w:p>
    <w:p>
      <w:pPr>
        <w:pStyle w:val="39"/>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w:t>
      </w:r>
    </w:p>
    <w:p>
      <w:pPr>
        <w:pStyle w:val="39"/>
        <w:numPr>
          <w:ilvl w:val="0"/>
          <w:numId w:val="0"/>
        </w:numPr>
        <w:tabs>
          <w:tab w:val="left" w:pos="420"/>
        </w:tabs>
        <w:topLinePunct/>
        <w:autoSpaceDE w:val="0"/>
        <w:autoSpaceDN w:val="0"/>
        <w:snapToGrid w:val="0"/>
        <w:spacing w:after="0"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期：____________          </w:t>
      </w:r>
    </w:p>
    <w:p>
      <w:pPr>
        <w:tabs>
          <w:tab w:val="left" w:pos="1230"/>
        </w:tabs>
        <w:topLinePunct/>
        <w:autoSpaceDE w:val="0"/>
        <w:autoSpaceDN w:val="0"/>
        <w:snapToGrid w:val="0"/>
        <w:spacing w:line="400" w:lineRule="exact"/>
        <w:ind w:left="360"/>
        <w:rPr>
          <w:rFonts w:hint="eastAsia" w:ascii="宋体" w:hAnsi="宋体" w:eastAsia="宋体" w:cs="宋体"/>
          <w:color w:val="auto"/>
          <w:sz w:val="24"/>
          <w:szCs w:val="24"/>
          <w:highlight w:val="none"/>
        </w:rPr>
      </w:pPr>
    </w:p>
    <w:p>
      <w:pPr>
        <w:ind w:firstLine="480" w:firstLineChars="200"/>
        <w:rPr>
          <w:rFonts w:hint="eastAsia" w:ascii="宋体" w:hAnsi="宋体" w:eastAsia="宋体" w:cs="宋体"/>
          <w:color w:val="auto"/>
          <w:sz w:val="24"/>
          <w:szCs w:val="24"/>
          <w:highlight w:val="none"/>
        </w:rPr>
      </w:pPr>
    </w:p>
    <w:p>
      <w:pPr>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adjustRightInd w:val="0"/>
        <w:snapToGrid w:val="0"/>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供应商应当按上述格式要求加盖与供应商名称全称一致的标准公章，并签署法定代表人或</w:t>
      </w:r>
      <w:r>
        <w:rPr>
          <w:rFonts w:hint="eastAsia" w:ascii="宋体" w:hAnsi="宋体" w:eastAsia="宋体" w:cs="宋体"/>
          <w:bCs/>
          <w:color w:val="auto"/>
          <w:sz w:val="24"/>
          <w:szCs w:val="24"/>
          <w:highlight w:val="none"/>
        </w:rPr>
        <w:t>授权代表</w:t>
      </w:r>
      <w:r>
        <w:rPr>
          <w:rFonts w:hint="eastAsia" w:ascii="宋体" w:hAnsi="宋体" w:eastAsia="宋体" w:cs="宋体"/>
          <w:color w:val="auto"/>
          <w:sz w:val="24"/>
          <w:szCs w:val="24"/>
          <w:highlight w:val="none"/>
        </w:rPr>
        <w:t>的全名或加盖名章。</w:t>
      </w:r>
    </w:p>
    <w:p>
      <w:pPr>
        <w:adjustRightInd w:val="0"/>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格式3  磋商报价表</w:t>
      </w:r>
    </w:p>
    <w:p>
      <w:pPr>
        <w:widowControl/>
        <w:spacing w:after="0" w:line="240" w:lineRule="auto"/>
        <w:jc w:val="center"/>
        <w:outlineLvl w:val="1"/>
        <w:rPr>
          <w:rFonts w:hint="eastAsia" w:ascii="宋体" w:hAnsi="宋体" w:eastAsia="宋体" w:cs="宋体"/>
          <w:b/>
          <w:bCs/>
          <w:color w:val="auto"/>
          <w:kern w:val="2"/>
          <w:sz w:val="24"/>
          <w:szCs w:val="24"/>
          <w:highlight w:val="none"/>
        </w:rPr>
      </w:pPr>
      <w:bookmarkStart w:id="102" w:name="_Toc14016"/>
      <w:bookmarkStart w:id="103" w:name="_Toc32364"/>
      <w:r>
        <w:rPr>
          <w:rFonts w:hint="eastAsia" w:ascii="宋体" w:hAnsi="宋体" w:eastAsia="宋体" w:cs="宋体"/>
          <w:b/>
          <w:bCs/>
          <w:color w:val="auto"/>
          <w:sz w:val="28"/>
          <w:szCs w:val="28"/>
          <w:highlight w:val="none"/>
        </w:rPr>
        <w:t>1.报价一览表（总报价表）</w:t>
      </w:r>
      <w:bookmarkEnd w:id="102"/>
      <w:bookmarkEnd w:id="103"/>
    </w:p>
    <w:p>
      <w:pPr>
        <w:pStyle w:val="15"/>
        <w:topLinePunct/>
        <w:autoSpaceDE w:val="0"/>
        <w:autoSpaceDN w:val="0"/>
        <w:adjustRightInd w:val="0"/>
        <w:snapToGrid w:val="0"/>
        <w:spacing w:line="360" w:lineRule="auto"/>
        <w:ind w:left="2"/>
        <w:jc w:val="center"/>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(服务类项目适用)</w:t>
      </w:r>
    </w:p>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djustRightInd w:val="0"/>
        <w:snapToGrid w:val="0"/>
        <w:spacing w:after="0" w:line="360" w:lineRule="auto"/>
        <w:ind w:right="840"/>
        <w:rPr>
          <w:rFonts w:hint="eastAsia" w:ascii="宋体" w:hAnsi="宋体" w:eastAsia="宋体" w:cs="宋体"/>
          <w:bCs/>
          <w:color w:val="auto"/>
          <w:w w:val="150"/>
          <w:sz w:val="24"/>
          <w:szCs w:val="24"/>
          <w:highlight w:val="none"/>
        </w:rPr>
      </w:pPr>
      <w:r>
        <w:rPr>
          <w:rFonts w:hint="eastAsia" w:ascii="宋体" w:hAnsi="宋体" w:eastAsia="宋体" w:cs="宋体"/>
          <w:color w:val="auto"/>
          <w:sz w:val="24"/>
          <w:szCs w:val="24"/>
          <w:highlight w:val="none"/>
        </w:rPr>
        <w:t>采购包号：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价格单位：人民币   元</w:t>
      </w:r>
    </w:p>
    <w:tbl>
      <w:tblPr>
        <w:tblStyle w:val="29"/>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3650"/>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59"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650"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价格小计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59"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w:t>
            </w:r>
          </w:p>
        </w:tc>
        <w:tc>
          <w:tcPr>
            <w:tcW w:w="3650" w:type="dxa"/>
            <w:noWrap/>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国家税务总局福州市仓山区税务局涉税（费）服务采购项目</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报价合计（小写）</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Lines="20" w:afterLines="2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报价合计（大写）</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1年（12</w:t>
            </w:r>
            <w:r>
              <w:rPr>
                <w:rFonts w:hint="eastAsia" w:ascii="宋体" w:hAnsi="宋体" w:eastAsia="宋体" w:cs="宋体"/>
                <w:color w:val="auto"/>
                <w:sz w:val="24"/>
                <w:szCs w:val="24"/>
                <w:highlight w:val="none"/>
              </w:rPr>
              <w:t>个月</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p>
        </w:tc>
      </w:tr>
    </w:tbl>
    <w:p>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1.本项目总价及分项报价均不接受任何形式的赠送、“零”报价和折扣报价。</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2.本项目执行中所发生的所有费用均计入总报价中，采购人不再另行支付其他任何费用。</w:t>
      </w:r>
    </w:p>
    <w:p>
      <w:pPr>
        <w:topLinePunct/>
        <w:autoSpaceDE w:val="0"/>
        <w:autoSpaceDN w:val="0"/>
        <w:spacing w:after="0" w:line="360" w:lineRule="auto"/>
        <w:ind w:firstLine="480" w:firstLineChars="200"/>
        <w:outlineLvl w:val="1"/>
        <w:rPr>
          <w:rFonts w:hint="eastAsia" w:ascii="宋体" w:hAnsi="宋体" w:eastAsia="宋体" w:cs="宋体"/>
          <w:color w:val="auto"/>
          <w:sz w:val="24"/>
          <w:szCs w:val="24"/>
          <w:highlight w:val="none"/>
        </w:rPr>
      </w:pPr>
      <w:bookmarkStart w:id="104" w:name="_Toc21660"/>
      <w:bookmarkStart w:id="105" w:name="_Toc10069"/>
      <w:r>
        <w:rPr>
          <w:rFonts w:hint="eastAsia" w:ascii="宋体" w:hAnsi="宋体" w:eastAsia="宋体" w:cs="宋体"/>
          <w:color w:val="auto"/>
          <w:sz w:val="24"/>
          <w:szCs w:val="24"/>
          <w:highlight w:val="none"/>
        </w:rPr>
        <w:t>3.供应商应根据《采购文件-技术部分》相关要求填报。</w:t>
      </w:r>
      <w:bookmarkEnd w:id="104"/>
      <w:bookmarkEnd w:id="105"/>
    </w:p>
    <w:p>
      <w:pPr>
        <w:topLinePunct/>
        <w:autoSpaceDE w:val="0"/>
        <w:autoSpaceDN w:val="0"/>
        <w:adjustRightInd w:val="0"/>
        <w:snapToGrid w:val="0"/>
        <w:spacing w:after="0" w:line="360" w:lineRule="auto"/>
        <w:ind w:firstLine="600" w:firstLineChars="250"/>
        <w:jc w:val="left"/>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p>
    <w:p>
      <w:pPr>
        <w:adjustRightInd w:val="0"/>
        <w:snapToGrid w:val="0"/>
        <w:spacing w:after="0"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color w:val="auto"/>
          <w:sz w:val="24"/>
          <w:szCs w:val="24"/>
          <w:highlight w:val="none"/>
        </w:rPr>
        <w:br w:type="page"/>
      </w:r>
      <w:bookmarkStart w:id="106" w:name="_Toc11134"/>
      <w:bookmarkStart w:id="107" w:name="_Toc2415"/>
      <w:r>
        <w:rPr>
          <w:rFonts w:hint="eastAsia" w:ascii="宋体" w:hAnsi="宋体" w:eastAsia="宋体" w:cs="宋体"/>
          <w:b/>
          <w:bCs/>
          <w:color w:val="auto"/>
          <w:sz w:val="28"/>
          <w:szCs w:val="28"/>
          <w:highlight w:val="none"/>
        </w:rPr>
        <w:t>2.分项报价表</w:t>
      </w:r>
      <w:bookmarkEnd w:id="106"/>
      <w:bookmarkEnd w:id="107"/>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2.1 分项报价表</w:t>
      </w:r>
    </w:p>
    <w:p>
      <w:pPr>
        <w:pStyle w:val="15"/>
        <w:topLinePunct/>
        <w:autoSpaceDE w:val="0"/>
        <w:autoSpaceDN w:val="0"/>
        <w:adjustRightInd w:val="0"/>
        <w:snapToGrid w:val="0"/>
        <w:spacing w:line="360" w:lineRule="auto"/>
        <w:ind w:left="2"/>
        <w:jc w:val="center"/>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（服务类项目适用)</w:t>
      </w:r>
    </w:p>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djustRightInd w:val="0"/>
        <w:snapToGrid w:val="0"/>
        <w:spacing w:after="0" w:line="360" w:lineRule="auto"/>
        <w:ind w:right="840"/>
        <w:rPr>
          <w:rFonts w:hint="eastAsia" w:ascii="宋体" w:hAnsi="宋体" w:eastAsia="宋体" w:cs="宋体"/>
          <w:bCs/>
          <w:color w:val="auto"/>
          <w:w w:val="150"/>
          <w:sz w:val="24"/>
          <w:szCs w:val="24"/>
          <w:highlight w:val="none"/>
        </w:rPr>
      </w:pPr>
      <w:r>
        <w:rPr>
          <w:rFonts w:hint="eastAsia" w:ascii="宋体" w:hAnsi="宋体" w:eastAsia="宋体" w:cs="宋体"/>
          <w:color w:val="auto"/>
          <w:sz w:val="24"/>
          <w:szCs w:val="24"/>
          <w:highlight w:val="none"/>
        </w:rPr>
        <w:t>采购包号：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价格单位：人民币   元</w:t>
      </w:r>
    </w:p>
    <w:tbl>
      <w:tblPr>
        <w:tblStyle w:val="29"/>
        <w:tblW w:w="9181" w:type="dxa"/>
        <w:jc w:val="center"/>
        <w:tblLayout w:type="fixed"/>
        <w:tblCellMar>
          <w:top w:w="0" w:type="dxa"/>
          <w:left w:w="108" w:type="dxa"/>
          <w:bottom w:w="0" w:type="dxa"/>
          <w:right w:w="108" w:type="dxa"/>
        </w:tblCellMar>
      </w:tblPr>
      <w:tblGrid>
        <w:gridCol w:w="644"/>
        <w:gridCol w:w="1483"/>
        <w:gridCol w:w="992"/>
        <w:gridCol w:w="1143"/>
        <w:gridCol w:w="1200"/>
        <w:gridCol w:w="1084"/>
        <w:gridCol w:w="1027"/>
        <w:gridCol w:w="965"/>
        <w:gridCol w:w="643"/>
      </w:tblGrid>
      <w:tr>
        <w:tblPrEx>
          <w:tblCellMar>
            <w:top w:w="0" w:type="dxa"/>
            <w:left w:w="108" w:type="dxa"/>
            <w:bottom w:w="0" w:type="dxa"/>
            <w:right w:w="108" w:type="dxa"/>
          </w:tblCellMar>
        </w:tblPrEx>
        <w:trPr>
          <w:trHeight w:val="409"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483" w:type="dxa"/>
            <w:tcBorders>
              <w:top w:val="single" w:color="auto" w:sz="4" w:space="0"/>
              <w:left w:val="nil"/>
              <w:bottom w:val="single" w:color="auto" w:sz="4" w:space="0"/>
              <w:right w:val="single" w:color="auto" w:sz="4" w:space="0"/>
            </w:tcBorders>
            <w:noWrap w:val="0"/>
            <w:vAlign w:val="center"/>
          </w:tcPr>
          <w:p>
            <w:pPr>
              <w:widowControl/>
              <w:spacing w:after="0" w:line="240" w:lineRule="auto"/>
              <w:ind w:left="-84" w:leftChars="-40" w:firstLine="94" w:firstLineChars="39"/>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岗位</w:t>
            </w:r>
          </w:p>
        </w:tc>
        <w:tc>
          <w:tcPr>
            <w:tcW w:w="992" w:type="dxa"/>
            <w:tcBorders>
              <w:top w:val="single" w:color="auto" w:sz="4" w:space="0"/>
              <w:left w:val="nil"/>
              <w:bottom w:val="single" w:color="auto" w:sz="4" w:space="0"/>
              <w:right w:val="single" w:color="auto" w:sz="4" w:space="0"/>
            </w:tcBorders>
            <w:noWrap w:val="0"/>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1143"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965"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小计</w:t>
            </w:r>
          </w:p>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（元）</w:t>
            </w:r>
          </w:p>
        </w:tc>
        <w:tc>
          <w:tcPr>
            <w:tcW w:w="643" w:type="dxa"/>
            <w:tcBorders>
              <w:top w:val="single" w:color="auto" w:sz="4" w:space="0"/>
              <w:left w:val="nil"/>
              <w:bottom w:val="single" w:color="auto" w:sz="4" w:space="0"/>
              <w:right w:val="single" w:color="auto" w:sz="4" w:space="0"/>
            </w:tcBorders>
            <w:noWrap w:val="0"/>
            <w:vAlign w:val="center"/>
          </w:tcPr>
          <w:p>
            <w:pPr>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83" w:type="dxa"/>
            <w:tcBorders>
              <w:top w:val="single" w:color="auto" w:sz="4" w:space="0"/>
              <w:left w:val="nil"/>
              <w:bottom w:val="single" w:color="auto" w:sz="4" w:space="0"/>
              <w:right w:val="single" w:color="auto" w:sz="4" w:space="0"/>
            </w:tcBorders>
            <w:noWrap w:val="0"/>
            <w:vAlign w:val="center"/>
          </w:tcPr>
          <w:p>
            <w:pPr>
              <w:pStyle w:val="49"/>
              <w:keepNext w:val="0"/>
              <w:pageBreakBefore w:val="0"/>
              <w:kinsoku/>
              <w:wordWrap/>
              <w:overflowPunct/>
              <w:topLinePunct w:val="0"/>
              <w:autoSpaceDE/>
              <w:autoSpaceDN/>
              <w:bidi w:val="0"/>
              <w:adjustRightInd/>
              <w:spacing w:line="400" w:lineRule="exact"/>
              <w:ind w:right="62" w:rightChars="0"/>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导税服务</w:t>
            </w:r>
          </w:p>
        </w:tc>
        <w:tc>
          <w:tcPr>
            <w:tcW w:w="992"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83" w:type="dxa"/>
            <w:tcBorders>
              <w:top w:val="single" w:color="auto" w:sz="4" w:space="0"/>
              <w:left w:val="nil"/>
              <w:bottom w:val="single" w:color="auto" w:sz="4" w:space="0"/>
              <w:right w:val="single" w:color="auto" w:sz="4" w:space="0"/>
            </w:tcBorders>
            <w:noWrap w:val="0"/>
            <w:vAlign w:val="center"/>
          </w:tcPr>
          <w:p>
            <w:pPr>
              <w:pStyle w:val="49"/>
              <w:keepNext w:val="0"/>
              <w:pageBreakBefore w:val="0"/>
              <w:kinsoku/>
              <w:wordWrap/>
              <w:overflowPunct/>
              <w:topLinePunct w:val="0"/>
              <w:autoSpaceDE/>
              <w:autoSpaceDN/>
              <w:bidi w:val="0"/>
              <w:adjustRightInd/>
              <w:spacing w:line="400" w:lineRule="exact"/>
              <w:ind w:right="62" w:rightChars="0"/>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自助办税（费）辅导服务</w:t>
            </w:r>
          </w:p>
        </w:tc>
        <w:tc>
          <w:tcPr>
            <w:tcW w:w="992"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83" w:type="dxa"/>
            <w:tcBorders>
              <w:top w:val="single" w:color="auto" w:sz="4" w:space="0"/>
              <w:left w:val="nil"/>
              <w:bottom w:val="single" w:color="auto" w:sz="4" w:space="0"/>
              <w:right w:val="single" w:color="auto" w:sz="4" w:space="0"/>
            </w:tcBorders>
            <w:noWrap w:val="0"/>
            <w:vAlign w:val="center"/>
          </w:tcPr>
          <w:p>
            <w:pPr>
              <w:pStyle w:val="49"/>
              <w:keepNext w:val="0"/>
              <w:pageBreakBefore w:val="0"/>
              <w:kinsoku/>
              <w:wordWrap/>
              <w:overflowPunct/>
              <w:topLinePunct w:val="0"/>
              <w:autoSpaceDE/>
              <w:autoSpaceDN/>
              <w:bidi w:val="0"/>
              <w:adjustRightInd/>
              <w:spacing w:line="400" w:lineRule="exact"/>
              <w:ind w:right="62" w:rightChars="0"/>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税费咨询服务</w:t>
            </w:r>
          </w:p>
        </w:tc>
        <w:tc>
          <w:tcPr>
            <w:tcW w:w="992"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08" w:hRule="atLeast"/>
          <w:tblHeader/>
          <w:jc w:val="center"/>
        </w:trPr>
        <w:tc>
          <w:tcPr>
            <w:tcW w:w="644" w:type="dxa"/>
            <w:tcBorders>
              <w:top w:val="nil"/>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83" w:type="dxa"/>
            <w:tcBorders>
              <w:top w:val="nil"/>
              <w:left w:val="nil"/>
              <w:bottom w:val="single" w:color="auto" w:sz="4" w:space="0"/>
              <w:right w:val="single" w:color="auto" w:sz="4" w:space="0"/>
            </w:tcBorders>
            <w:noWrap w:val="0"/>
            <w:vAlign w:val="center"/>
          </w:tcPr>
          <w:p>
            <w:pPr>
              <w:pStyle w:val="49"/>
              <w:keepNext w:val="0"/>
              <w:pageBreakBefore w:val="0"/>
              <w:kinsoku/>
              <w:wordWrap/>
              <w:overflowPunct/>
              <w:topLinePunct w:val="0"/>
              <w:autoSpaceDE/>
              <w:autoSpaceDN/>
              <w:bidi w:val="0"/>
              <w:adjustRightInd/>
              <w:spacing w:line="400" w:lineRule="exact"/>
              <w:ind w:right="62" w:rightChars="0"/>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涉税（费）</w:t>
            </w:r>
            <w:r>
              <w:rPr>
                <w:rFonts w:hint="eastAsia" w:ascii="宋体" w:hAnsi="宋体" w:eastAsia="宋体" w:cs="宋体"/>
                <w:color w:val="000000" w:themeColor="text1"/>
                <w:sz w:val="24"/>
                <w:szCs w:val="24"/>
                <w:lang w:val="en-US" w:eastAsia="zh-CN"/>
                <w14:textFill>
                  <w14:solidFill>
                    <w14:schemeClr w14:val="tx1"/>
                  </w14:solidFill>
                </w14:textFill>
              </w:rPr>
              <w:t>诉求</w:t>
            </w:r>
            <w:r>
              <w:rPr>
                <w:rFonts w:hint="eastAsia" w:ascii="宋体" w:hAnsi="宋体" w:eastAsia="宋体" w:cs="宋体"/>
                <w:color w:val="000000" w:themeColor="text1"/>
                <w:sz w:val="24"/>
                <w:szCs w:val="24"/>
                <w14:textFill>
                  <w14:solidFill>
                    <w14:schemeClr w14:val="tx1"/>
                  </w14:solidFill>
                </w14:textFill>
              </w:rPr>
              <w:t>服务</w:t>
            </w:r>
          </w:p>
        </w:tc>
        <w:tc>
          <w:tcPr>
            <w:tcW w:w="992" w:type="dxa"/>
            <w:tcBorders>
              <w:top w:val="nil"/>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143" w:type="dxa"/>
            <w:tcBorders>
              <w:top w:val="nil"/>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00" w:type="dxa"/>
            <w:tcBorders>
              <w:top w:val="nil"/>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84" w:type="dxa"/>
            <w:tcBorders>
              <w:top w:val="nil"/>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nil"/>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nil"/>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nil"/>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16"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483" w:type="dxa"/>
            <w:tcBorders>
              <w:top w:val="single" w:color="auto" w:sz="4" w:space="0"/>
              <w:left w:val="nil"/>
              <w:bottom w:val="single" w:color="auto" w:sz="4" w:space="0"/>
              <w:right w:val="single" w:color="auto" w:sz="4" w:space="0"/>
            </w:tcBorders>
            <w:noWrap w:val="0"/>
            <w:vAlign w:val="center"/>
          </w:tcPr>
          <w:p>
            <w:pPr>
              <w:pStyle w:val="49"/>
              <w:keepNext w:val="0"/>
              <w:pageBreakBefore w:val="0"/>
              <w:kinsoku/>
              <w:wordWrap/>
              <w:overflowPunct/>
              <w:topLinePunct w:val="0"/>
              <w:autoSpaceDE/>
              <w:autoSpaceDN/>
              <w:bidi w:val="0"/>
              <w:adjustRightInd/>
              <w:spacing w:line="400" w:lineRule="exact"/>
              <w:ind w:right="62" w:rightChars="0"/>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文书内勤服务</w:t>
            </w:r>
          </w:p>
        </w:tc>
        <w:tc>
          <w:tcPr>
            <w:tcW w:w="992"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10"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83"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92"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8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10" w:hRule="atLeast"/>
          <w:tblHeader/>
          <w:jc w:val="center"/>
        </w:trPr>
        <w:tc>
          <w:tcPr>
            <w:tcW w:w="5462" w:type="dxa"/>
            <w:gridSpan w:val="5"/>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   计</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027"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965"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bl>
    <w:p>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1.本项目总价及分项报价均不接受任何形式的赠送、“零”报价和折扣报价。</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2.本表中小计=数量×单价。</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3.本表仅供参考，可扩展。</w:t>
      </w:r>
    </w:p>
    <w:p>
      <w:pPr>
        <w:pStyle w:val="15"/>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15"/>
        <w:spacing w:line="400" w:lineRule="exact"/>
        <w:ind w:firstLine="482" w:firstLineChars="200"/>
        <w:jc w:val="center"/>
        <w:rPr>
          <w:rFonts w:hint="eastAsia" w:hAnsi="宋体" w:cs="宋体"/>
          <w:color w:val="auto"/>
          <w:sz w:val="24"/>
          <w:szCs w:val="24"/>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kern w:val="2"/>
          <w:sz w:val="28"/>
          <w:szCs w:val="28"/>
          <w:highlight w:val="none"/>
          <w:lang w:val="en-US" w:eastAsia="zh-CN" w:bidi="ar-SA"/>
        </w:rPr>
        <w:t>3.最后报价承诺书</w:t>
      </w:r>
    </w:p>
    <w:p>
      <w:pPr>
        <w:pStyle w:val="15"/>
        <w:spacing w:line="400" w:lineRule="exact"/>
        <w:ind w:firstLine="480" w:firstLineChars="200"/>
        <w:jc w:val="center"/>
        <w:rPr>
          <w:rFonts w:hint="eastAsia"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lang w:val="en-US" w:eastAsia="zh-CN"/>
        </w:rPr>
        <w:t xml:space="preserve">        </w:t>
      </w:r>
      <w:r>
        <w:rPr>
          <w:rFonts w:hint="eastAsia" w:hAnsi="宋体" w:cs="宋体"/>
          <w:color w:val="auto"/>
          <w:sz w:val="24"/>
          <w:szCs w:val="24"/>
        </w:rPr>
        <w:t>次报价书)</w:t>
      </w:r>
    </w:p>
    <w:p>
      <w:pPr>
        <w:pStyle w:val="15"/>
        <w:spacing w:line="400" w:lineRule="exact"/>
        <w:ind w:firstLine="480" w:firstLineChars="200"/>
        <w:jc w:val="center"/>
        <w:rPr>
          <w:rFonts w:hint="eastAsia" w:hAnsi="宋体" w:cs="宋体"/>
          <w:color w:val="auto"/>
          <w:sz w:val="24"/>
          <w:szCs w:val="24"/>
        </w:rPr>
      </w:pPr>
    </w:p>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djustRightInd w:val="0"/>
        <w:snapToGrid w:val="0"/>
        <w:spacing w:after="0" w:line="360" w:lineRule="auto"/>
        <w:ind w:right="840"/>
        <w:rPr>
          <w:rFonts w:hint="eastAsia" w:hAnsi="宋体" w:cs="宋体"/>
          <w:color w:val="auto"/>
          <w:sz w:val="24"/>
          <w:szCs w:val="24"/>
        </w:rPr>
      </w:pPr>
      <w:r>
        <w:rPr>
          <w:rFonts w:hint="eastAsia" w:ascii="宋体" w:hAnsi="宋体" w:eastAsia="宋体" w:cs="宋体"/>
          <w:color w:val="auto"/>
          <w:sz w:val="24"/>
          <w:szCs w:val="24"/>
          <w:highlight w:val="none"/>
        </w:rPr>
        <w:t>采购包号：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价格单位：人民币   元</w:t>
      </w:r>
    </w:p>
    <w:tbl>
      <w:tblPr>
        <w:tblStyle w:val="29"/>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6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665" w:type="dxa"/>
            <w:noWrap w:val="0"/>
            <w:vAlign w:val="center"/>
          </w:tcPr>
          <w:p>
            <w:pPr>
              <w:pStyle w:val="15"/>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供应商名称</w:t>
            </w:r>
          </w:p>
        </w:tc>
        <w:tc>
          <w:tcPr>
            <w:tcW w:w="6356" w:type="dxa"/>
            <w:noWrap w:val="0"/>
            <w:vAlign w:val="center"/>
          </w:tcPr>
          <w:p>
            <w:pPr>
              <w:pStyle w:val="15"/>
              <w:spacing w:line="400" w:lineRule="exact"/>
              <w:jc w:val="center"/>
              <w:rPr>
                <w:rFonts w:hint="eastAsia" w:hAnsi="宋体" w:cs="宋体"/>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665" w:type="dxa"/>
            <w:noWrap w:val="0"/>
            <w:vAlign w:val="center"/>
          </w:tcPr>
          <w:p>
            <w:pPr>
              <w:pStyle w:val="15"/>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磋商范围</w:t>
            </w:r>
          </w:p>
        </w:tc>
        <w:tc>
          <w:tcPr>
            <w:tcW w:w="6356" w:type="dxa"/>
            <w:noWrap w:val="0"/>
            <w:vAlign w:val="center"/>
          </w:tcPr>
          <w:p>
            <w:pPr>
              <w:pStyle w:val="15"/>
              <w:spacing w:line="400" w:lineRule="exact"/>
              <w:jc w:val="left"/>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第</w:t>
            </w:r>
            <w:r>
              <w:rPr>
                <w:rFonts w:hint="eastAsia" w:hAnsi="宋体" w:cs="宋体"/>
                <w:color w:val="auto"/>
                <w:kern w:val="2"/>
                <w:sz w:val="24"/>
                <w:szCs w:val="24"/>
                <w:u w:val="single"/>
                <w:lang w:val="en-US" w:eastAsia="zh-CN"/>
              </w:rPr>
              <w:t>1</w:t>
            </w:r>
            <w:r>
              <w:rPr>
                <w:rFonts w:hint="eastAsia" w:hAnsi="宋体" w:cs="宋体"/>
                <w:color w:val="auto"/>
                <w:kern w:val="2"/>
                <w:sz w:val="24"/>
                <w:szCs w:val="24"/>
                <w:lang w:val="en-US" w:eastAsia="zh-CN"/>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2665" w:type="dxa"/>
            <w:noWrap w:val="0"/>
            <w:vAlign w:val="center"/>
          </w:tcPr>
          <w:p>
            <w:pPr>
              <w:pStyle w:val="15"/>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最后报价</w:t>
            </w:r>
          </w:p>
          <w:p>
            <w:pPr>
              <w:pStyle w:val="15"/>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(详见备注说明)</w:t>
            </w:r>
          </w:p>
        </w:tc>
        <w:tc>
          <w:tcPr>
            <w:tcW w:w="6356" w:type="dxa"/>
            <w:noWrap w:val="0"/>
            <w:vAlign w:val="center"/>
          </w:tcPr>
          <w:p>
            <w:pPr>
              <w:pStyle w:val="15"/>
              <w:spacing w:line="400" w:lineRule="exact"/>
              <w:jc w:val="left"/>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第</w:t>
            </w:r>
            <w:r>
              <w:rPr>
                <w:rFonts w:hint="eastAsia" w:hAnsi="宋体" w:cs="宋体"/>
                <w:color w:val="auto"/>
                <w:kern w:val="2"/>
                <w:sz w:val="24"/>
                <w:szCs w:val="24"/>
                <w:u w:val="single"/>
                <w:lang w:val="en-US" w:eastAsia="zh-CN"/>
              </w:rPr>
              <w:t>1</w:t>
            </w:r>
            <w:r>
              <w:rPr>
                <w:rFonts w:hint="eastAsia" w:hAnsi="宋体" w:cs="宋体"/>
                <w:color w:val="auto"/>
                <w:kern w:val="2"/>
                <w:sz w:val="24"/>
                <w:szCs w:val="24"/>
                <w:lang w:val="en-US" w:eastAsia="zh-CN"/>
              </w:rPr>
              <w:t>包</w:t>
            </w:r>
          </w:p>
          <w:p>
            <w:pPr>
              <w:pStyle w:val="15"/>
              <w:spacing w:line="400" w:lineRule="exact"/>
              <w:jc w:val="left"/>
              <w:rPr>
                <w:rFonts w:hint="eastAsia" w:hAnsi="宋体" w:cs="宋体"/>
                <w:color w:val="auto"/>
                <w:kern w:val="2"/>
                <w:sz w:val="24"/>
                <w:szCs w:val="24"/>
                <w:lang w:val="en-US" w:eastAsia="zh-CN"/>
              </w:rPr>
            </w:pPr>
          </w:p>
          <w:p>
            <w:pPr>
              <w:pStyle w:val="15"/>
              <w:spacing w:line="400" w:lineRule="exact"/>
              <w:jc w:val="left"/>
              <w:rPr>
                <w:rFonts w:hint="eastAsia" w:hAnsi="宋体" w:cs="宋体"/>
                <w:color w:val="auto"/>
                <w:kern w:val="2"/>
                <w:sz w:val="24"/>
                <w:szCs w:val="24"/>
                <w:u w:val="single"/>
                <w:lang w:val="en-US" w:eastAsia="zh-CN"/>
              </w:rPr>
            </w:pPr>
            <w:r>
              <w:rPr>
                <w:rFonts w:hint="eastAsia" w:hAnsi="宋体" w:cs="宋体"/>
                <w:color w:val="auto"/>
                <w:kern w:val="2"/>
                <w:sz w:val="24"/>
                <w:szCs w:val="24"/>
                <w:lang w:val="en-US" w:eastAsia="zh-CN"/>
              </w:rPr>
              <w:t>人民币大写：</w:t>
            </w:r>
            <w:r>
              <w:rPr>
                <w:rFonts w:hint="eastAsia" w:hAnsi="宋体" w:cs="宋体"/>
                <w:color w:val="auto"/>
                <w:kern w:val="2"/>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665" w:type="dxa"/>
            <w:noWrap w:val="0"/>
            <w:vAlign w:val="center"/>
          </w:tcPr>
          <w:p>
            <w:pPr>
              <w:pStyle w:val="15"/>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服务期限</w:t>
            </w:r>
          </w:p>
        </w:tc>
        <w:tc>
          <w:tcPr>
            <w:tcW w:w="6356" w:type="dxa"/>
            <w:noWrap w:val="0"/>
            <w:vAlign w:val="center"/>
          </w:tcPr>
          <w:p>
            <w:pPr>
              <w:pStyle w:val="15"/>
              <w:spacing w:line="400" w:lineRule="exact"/>
              <w:jc w:val="center"/>
              <w:rPr>
                <w:rFonts w:hint="eastAsia" w:hAnsi="宋体" w:cs="宋体"/>
                <w:color w:val="auto"/>
                <w:kern w:val="2"/>
                <w:sz w:val="24"/>
                <w:szCs w:val="24"/>
                <w:lang w:val="en-US" w:eastAsia="zh-CN"/>
              </w:rPr>
            </w:pPr>
            <w:r>
              <w:rPr>
                <w:rFonts w:hint="eastAsia" w:ascii="宋体" w:hAnsi="宋体" w:eastAsia="宋体" w:cs="宋体"/>
                <w:color w:val="auto"/>
                <w:sz w:val="24"/>
                <w:szCs w:val="24"/>
                <w:highlight w:val="none"/>
                <w:lang w:val="en-US" w:eastAsia="zh-CN"/>
              </w:rPr>
              <w:t>1年（12</w:t>
            </w:r>
            <w:r>
              <w:rPr>
                <w:rFonts w:hint="eastAsia" w:ascii="宋体" w:hAnsi="宋体" w:eastAsia="宋体" w:cs="宋体"/>
                <w:color w:val="auto"/>
                <w:sz w:val="24"/>
                <w:szCs w:val="24"/>
                <w:highlight w:val="none"/>
              </w:rPr>
              <w:t>个月</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665" w:type="dxa"/>
            <w:noWrap w:val="0"/>
            <w:vAlign w:val="center"/>
          </w:tcPr>
          <w:p>
            <w:pPr>
              <w:pStyle w:val="15"/>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备注说明</w:t>
            </w:r>
          </w:p>
        </w:tc>
        <w:tc>
          <w:tcPr>
            <w:tcW w:w="6356" w:type="dxa"/>
            <w:noWrap w:val="0"/>
            <w:vAlign w:val="center"/>
          </w:tcPr>
          <w:p>
            <w:pPr>
              <w:pStyle w:val="15"/>
              <w:spacing w:line="400" w:lineRule="exact"/>
              <w:jc w:val="center"/>
              <w:rPr>
                <w:rFonts w:hint="eastAsia" w:hAnsi="宋体" w:cs="宋体"/>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2665" w:type="dxa"/>
            <w:noWrap w:val="0"/>
            <w:vAlign w:val="center"/>
          </w:tcPr>
          <w:p>
            <w:pPr>
              <w:pStyle w:val="15"/>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磋商小组签字</w:t>
            </w:r>
          </w:p>
        </w:tc>
        <w:tc>
          <w:tcPr>
            <w:tcW w:w="6356" w:type="dxa"/>
            <w:noWrap w:val="0"/>
            <w:vAlign w:val="center"/>
          </w:tcPr>
          <w:p>
            <w:pPr>
              <w:pStyle w:val="15"/>
              <w:spacing w:line="400" w:lineRule="exact"/>
              <w:jc w:val="center"/>
              <w:rPr>
                <w:rFonts w:hint="eastAsia" w:hAnsi="宋体" w:cs="宋体"/>
                <w:color w:val="auto"/>
                <w:kern w:val="2"/>
                <w:sz w:val="24"/>
                <w:szCs w:val="24"/>
                <w:lang w:val="en-US" w:eastAsia="zh-CN"/>
              </w:rPr>
            </w:pPr>
          </w:p>
        </w:tc>
      </w:tr>
    </w:tbl>
    <w:p>
      <w:pPr>
        <w:pStyle w:val="15"/>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供应商公章或授权代表签字：</w:t>
      </w:r>
      <w:r>
        <w:rPr>
          <w:rFonts w:hint="eastAsia" w:hAnsi="宋体" w:cs="宋体"/>
          <w:color w:val="auto"/>
          <w:sz w:val="24"/>
          <w:szCs w:val="24"/>
        </w:rPr>
        <w:tab/>
      </w:r>
      <w:r>
        <w:rPr>
          <w:rFonts w:hint="eastAsia" w:hAnsi="宋体" w:cs="宋体"/>
          <w:color w:val="auto"/>
          <w:sz w:val="24"/>
          <w:szCs w:val="24"/>
        </w:rPr>
        <w:tab/>
      </w:r>
    </w:p>
    <w:p>
      <w:pPr>
        <w:pStyle w:val="15"/>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年　　月　　日</w:t>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ab/>
      </w:r>
    </w:p>
    <w:p>
      <w:pPr>
        <w:pStyle w:val="15"/>
        <w:spacing w:line="400" w:lineRule="exact"/>
        <w:ind w:firstLine="480" w:firstLineChars="200"/>
        <w:rPr>
          <w:rFonts w:hint="eastAsia" w:hAnsi="宋体" w:cs="宋体"/>
          <w:color w:val="auto"/>
          <w:sz w:val="24"/>
          <w:szCs w:val="24"/>
        </w:rPr>
      </w:pPr>
    </w:p>
    <w:p>
      <w:pPr>
        <w:pStyle w:val="15"/>
        <w:spacing w:line="400" w:lineRule="exact"/>
        <w:ind w:firstLine="480" w:firstLineChars="200"/>
        <w:rPr>
          <w:rFonts w:hint="eastAsia" w:hAnsi="宋体" w:cs="宋体"/>
          <w:color w:val="auto"/>
          <w:sz w:val="24"/>
          <w:szCs w:val="24"/>
        </w:rPr>
      </w:pPr>
      <w:r>
        <w:rPr>
          <w:rFonts w:hint="eastAsia" w:hAnsi="宋体" w:cs="宋体"/>
          <w:color w:val="auto"/>
          <w:sz w:val="24"/>
          <w:szCs w:val="24"/>
        </w:rPr>
        <w:t>注：本页《最</w:t>
      </w:r>
      <w:r>
        <w:rPr>
          <w:rFonts w:hint="eastAsia" w:hAnsi="宋体" w:cs="宋体"/>
          <w:color w:val="auto"/>
          <w:sz w:val="24"/>
          <w:szCs w:val="24"/>
          <w:lang w:val="en-US" w:eastAsia="zh-CN"/>
        </w:rPr>
        <w:t>后</w:t>
      </w:r>
      <w:r>
        <w:rPr>
          <w:rFonts w:hint="eastAsia" w:hAnsi="宋体" w:cs="宋体"/>
          <w:color w:val="auto"/>
          <w:sz w:val="24"/>
          <w:szCs w:val="24"/>
        </w:rPr>
        <w:t>报价承诺书》由供应商在磋商现场依磋商情况填写，请加盖公章后带至磋商现场备填(不需装订在响应文件内)。</w:t>
      </w:r>
    </w:p>
    <w:p>
      <w:pPr>
        <w:pStyle w:val="15"/>
        <w:spacing w:line="400" w:lineRule="exact"/>
        <w:ind w:firstLine="480" w:firstLineChars="200"/>
        <w:rPr>
          <w:rFonts w:hint="eastAsia" w:hAnsi="宋体" w:cs="宋体"/>
          <w:color w:val="auto"/>
          <w:sz w:val="24"/>
          <w:szCs w:val="24"/>
        </w:rPr>
      </w:pPr>
    </w:p>
    <w:p>
      <w:pPr>
        <w:pStyle w:val="15"/>
        <w:spacing w:line="400" w:lineRule="exact"/>
        <w:ind w:firstLine="480" w:firstLineChars="200"/>
        <w:rPr>
          <w:rFonts w:hint="eastAsia" w:hAnsi="宋体" w:cs="宋体"/>
          <w:color w:val="auto"/>
          <w:sz w:val="24"/>
          <w:szCs w:val="24"/>
        </w:rPr>
      </w:pPr>
      <w:r>
        <w:rPr>
          <w:rFonts w:hint="eastAsia" w:hAnsi="宋体" w:cs="宋体"/>
          <w:color w:val="auto"/>
          <w:sz w:val="24"/>
          <w:szCs w:val="24"/>
        </w:rPr>
        <w:t>　　</w:t>
      </w:r>
    </w:p>
    <w:p>
      <w:pPr>
        <w:widowControl/>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格式4  商务条款偏离表</w:t>
      </w:r>
    </w:p>
    <w:tbl>
      <w:tblPr>
        <w:tblStyle w:val="29"/>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999"/>
        <w:gridCol w:w="1575"/>
        <w:gridCol w:w="1575"/>
        <w:gridCol w:w="1749"/>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999"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采购文件条目号</w:t>
            </w:r>
          </w:p>
        </w:tc>
        <w:tc>
          <w:tcPr>
            <w:tcW w:w="15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w:t>
            </w:r>
          </w:p>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商务条款</w:t>
            </w:r>
          </w:p>
        </w:tc>
        <w:tc>
          <w:tcPr>
            <w:tcW w:w="15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w:t>
            </w:r>
          </w:p>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商务条款</w:t>
            </w:r>
          </w:p>
        </w:tc>
        <w:tc>
          <w:tcPr>
            <w:tcW w:w="1749"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w:t>
            </w:r>
          </w:p>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（无/正/负）</w:t>
            </w:r>
          </w:p>
        </w:tc>
        <w:tc>
          <w:tcPr>
            <w:tcW w:w="1250"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9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9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9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9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99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bl>
    <w:p>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1.商务条款无需条对条应答，如无偏离，请在此表中填写“无偏离”；如有偏离，请在此表中应答为“正/负偏离”并说明偏离情况。</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2.如《采购文件-商务部分》中有标注★号的，则为实质性要求，必须满足，如应答为“负偏离”，将导致响应无效。</w:t>
      </w:r>
    </w:p>
    <w:p>
      <w:pPr>
        <w:topLinePunct/>
        <w:autoSpaceDE w:val="0"/>
        <w:autoSpaceDN w:val="0"/>
        <w:spacing w:after="0" w:line="360" w:lineRule="auto"/>
        <w:ind w:firstLine="480" w:firstLineChars="200"/>
        <w:outlineLvl w:val="1"/>
        <w:rPr>
          <w:rFonts w:hint="eastAsia" w:ascii="宋体" w:hAnsi="宋体" w:eastAsia="宋体" w:cs="宋体"/>
          <w:color w:val="auto"/>
          <w:sz w:val="24"/>
          <w:szCs w:val="24"/>
          <w:highlight w:val="none"/>
        </w:rPr>
      </w:pPr>
      <w:bookmarkStart w:id="108" w:name="_Toc22038"/>
      <w:bookmarkStart w:id="109" w:name="_Toc11302"/>
      <w:r>
        <w:rPr>
          <w:rFonts w:hint="eastAsia" w:ascii="宋体" w:hAnsi="宋体" w:eastAsia="宋体" w:cs="宋体"/>
          <w:color w:val="auto"/>
          <w:sz w:val="24"/>
          <w:szCs w:val="24"/>
          <w:highlight w:val="none"/>
        </w:rPr>
        <w:t>3.本表可扩展。</w:t>
      </w:r>
      <w:bookmarkEnd w:id="108"/>
      <w:bookmarkEnd w:id="109"/>
    </w:p>
    <w:p>
      <w:pPr>
        <w:topLinePunct/>
        <w:autoSpaceDE w:val="0"/>
        <w:autoSpaceDN w:val="0"/>
        <w:spacing w:line="500" w:lineRule="exact"/>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rPr>
          <w:rFonts w:hint="eastAsia" w:ascii="宋体" w:hAnsi="宋体" w:eastAsia="宋体" w:cs="宋体"/>
          <w:b/>
          <w:bCs/>
          <w:color w:val="auto"/>
          <w:sz w:val="24"/>
          <w:szCs w:val="24"/>
          <w:highlight w:val="none"/>
        </w:rPr>
      </w:pPr>
    </w:p>
    <w:p>
      <w:pPr>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格式5  供应商具备资格证明文件</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5-1供应商基本情况</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1560"/>
        <w:gridCol w:w="1700"/>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905"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564"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905"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564"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905"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564"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905"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1564"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905"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1564"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3456" w:type="pct"/>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3456" w:type="pct"/>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905"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986"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1564"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05"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564"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05"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986"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564"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3456" w:type="pct"/>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pPr>
        <w:topLinePunct/>
        <w:autoSpaceDE w:val="0"/>
        <w:autoSpaceDN w:val="0"/>
        <w:spacing w:line="500" w:lineRule="exact"/>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15"/>
        <w:ind w:firstLine="480" w:firstLineChars="200"/>
        <w:rPr>
          <w:rFonts w:hint="eastAsia" w:ascii="宋体" w:hAnsi="宋体" w:eastAsia="宋体" w:cs="宋体"/>
          <w:color w:val="auto"/>
          <w:sz w:val="24"/>
          <w:szCs w:val="24"/>
          <w:highlight w:val="none"/>
        </w:rPr>
      </w:pPr>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 xml:space="preserve"> 财务状况报告</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pPr>
        <w:spacing w:line="360" w:lineRule="auto"/>
        <w:ind w:firstLine="480" w:firstLineChars="200"/>
        <w:jc w:val="left"/>
        <w:rPr>
          <w:rFonts w:hint="eastAsia" w:ascii="宋体" w:hAnsi="宋体" w:eastAsia="宋体" w:cs="宋体"/>
          <w:color w:val="auto"/>
          <w:kern w:val="0"/>
          <w:sz w:val="24"/>
          <w:szCs w:val="24"/>
          <w:highlight w:val="none"/>
        </w:rPr>
      </w:pPr>
    </w:p>
    <w:p>
      <w:pPr>
        <w:spacing w:line="360" w:lineRule="auto"/>
        <w:ind w:firstLine="480" w:firstLineChars="200"/>
        <w:jc w:val="left"/>
        <w:rPr>
          <w:rFonts w:hint="eastAsia" w:ascii="宋体" w:hAnsi="宋体" w:eastAsia="宋体" w:cs="宋体"/>
          <w:color w:val="auto"/>
          <w:kern w:val="0"/>
          <w:sz w:val="24"/>
          <w:szCs w:val="24"/>
          <w:highlight w:val="none"/>
        </w:rPr>
      </w:pP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依法缴纳税收的相关材料</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pPr>
        <w:spacing w:line="360" w:lineRule="auto"/>
        <w:ind w:firstLine="480" w:firstLineChars="200"/>
        <w:jc w:val="left"/>
        <w:rPr>
          <w:rFonts w:hint="eastAsia" w:ascii="宋体" w:hAnsi="宋体" w:eastAsia="宋体" w:cs="宋体"/>
          <w:color w:val="auto"/>
          <w:kern w:val="0"/>
          <w:sz w:val="24"/>
          <w:szCs w:val="24"/>
          <w:highlight w:val="none"/>
        </w:rPr>
      </w:pPr>
    </w:p>
    <w:p>
      <w:pPr>
        <w:spacing w:line="360" w:lineRule="auto"/>
        <w:ind w:firstLine="480" w:firstLineChars="200"/>
        <w:jc w:val="left"/>
        <w:rPr>
          <w:rFonts w:hint="eastAsia" w:ascii="宋体" w:hAnsi="宋体" w:eastAsia="宋体" w:cs="宋体"/>
          <w:color w:val="auto"/>
          <w:kern w:val="0"/>
          <w:sz w:val="24"/>
          <w:szCs w:val="24"/>
          <w:highlight w:val="none"/>
        </w:rPr>
      </w:pP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依法缴纳社会保障资金的相关材料</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pPr>
        <w:spacing w:line="360" w:lineRule="auto"/>
        <w:ind w:firstLine="480" w:firstLineChars="200"/>
        <w:jc w:val="left"/>
        <w:rPr>
          <w:rFonts w:hint="eastAsia" w:ascii="宋体" w:hAnsi="宋体" w:eastAsia="宋体" w:cs="宋体"/>
          <w:color w:val="auto"/>
          <w:kern w:val="0"/>
          <w:sz w:val="24"/>
          <w:szCs w:val="24"/>
          <w:highlight w:val="none"/>
        </w:rPr>
      </w:pPr>
    </w:p>
    <w:p>
      <w:pPr>
        <w:spacing w:line="360" w:lineRule="auto"/>
        <w:ind w:firstLine="480" w:firstLineChars="200"/>
        <w:jc w:val="left"/>
        <w:rPr>
          <w:rFonts w:hint="eastAsia" w:ascii="宋体" w:hAnsi="宋体" w:eastAsia="宋体" w:cs="宋体"/>
          <w:color w:val="auto"/>
          <w:kern w:val="0"/>
          <w:sz w:val="24"/>
          <w:szCs w:val="24"/>
          <w:highlight w:val="none"/>
        </w:rPr>
      </w:pP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具备履行合同所必需的设备和专业技术能力的声明函</w:t>
      </w:r>
    </w:p>
    <w:p>
      <w:pPr>
        <w:pStyle w:val="15"/>
        <w:snapToGrid w:val="0"/>
        <w:spacing w:line="360" w:lineRule="auto"/>
        <w:rPr>
          <w:rFonts w:hint="eastAsia" w:ascii="宋体" w:hAnsi="宋体" w:eastAsia="宋体" w:cs="宋体"/>
          <w:color w:val="auto"/>
          <w:sz w:val="24"/>
          <w:szCs w:val="24"/>
          <w:highlight w:val="none"/>
        </w:rPr>
      </w:pPr>
    </w:p>
    <w:p>
      <w:pPr>
        <w:pStyle w:val="15"/>
        <w:keepNext w:val="0"/>
        <w:keepLines w:val="0"/>
        <w:pageBreakBefore w:val="0"/>
        <w:kinsoku/>
        <w:wordWrap/>
        <w:overflowPunct/>
        <w:topLinePunct w:val="0"/>
        <w:autoSpaceDE/>
        <w:autoSpaceDN/>
        <w:bidi w:val="0"/>
        <w:adjustRightInd/>
        <w:snapToGrid w:val="0"/>
        <w:spacing w:beforeAutospacing="0" w:afterAutospacing="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420"/>
        <w:textAlignment w:val="auto"/>
        <w:rPr>
          <w:rFonts w:hint="eastAsia" w:ascii="宋体" w:hAnsi="宋体" w:cs="宋体"/>
          <w:color w:val="auto"/>
          <w:kern w:val="2"/>
        </w:rPr>
      </w:pPr>
      <w:r>
        <w:rPr>
          <w:rFonts w:hint="eastAsia" w:ascii="宋体" w:hAnsi="宋体" w:cs="宋体"/>
          <w:color w:val="auto"/>
          <w:kern w:val="2"/>
        </w:rPr>
        <w:t>我方具备履行合同所必需的设备和专业技术能力，否则产生不利后果由我方承担责任。</w:t>
      </w:r>
    </w:p>
    <w:p>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420"/>
        <w:textAlignment w:val="auto"/>
        <w:rPr>
          <w:rFonts w:hint="eastAsia" w:ascii="宋体" w:hAnsi="宋体" w:eastAsia="宋体" w:cs="宋体"/>
          <w:color w:val="auto"/>
          <w:kern w:val="2"/>
          <w:lang w:eastAsia="zh-CN"/>
        </w:rPr>
      </w:pPr>
      <w:r>
        <w:rPr>
          <w:rFonts w:hint="eastAsia" w:ascii="宋体" w:hAnsi="宋体" w:cs="宋体"/>
          <w:color w:val="auto"/>
          <w:kern w:val="2"/>
        </w:rPr>
        <w:t>特此声明</w:t>
      </w:r>
      <w:r>
        <w:rPr>
          <w:rFonts w:hint="eastAsia" w:ascii="宋体" w:hAnsi="宋体" w:cs="宋体"/>
          <w:color w:val="auto"/>
          <w:kern w:val="2"/>
          <w:lang w:eastAsia="zh-CN"/>
        </w:rPr>
        <w:t>！</w:t>
      </w:r>
    </w:p>
    <w:p>
      <w:pPr>
        <w:keepNext w:val="0"/>
        <w:keepLines w:val="0"/>
        <w:pageBreakBefore w:val="0"/>
        <w:kinsoku/>
        <w:wordWrap/>
        <w:overflowPunct/>
        <w:topLinePunct w:val="0"/>
        <w:autoSpaceDE/>
        <w:autoSpaceDN/>
        <w:bidi w:val="0"/>
        <w:adjustRightIn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p>
    <w:p>
      <w:pPr>
        <w:keepNext w:val="0"/>
        <w:keepLines w:val="0"/>
        <w:pageBreakBefore w:val="0"/>
        <w:kinsoku/>
        <w:wordWrap/>
        <w:overflowPunct/>
        <w:topLinePunct w:val="0"/>
        <w:autoSpaceDE/>
        <w:autoSpaceDN/>
        <w:bidi w:val="0"/>
        <w:adjustRightInd/>
        <w:snapToGrid w:val="0"/>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（请供应商根据实际情况如实声明，否则视为提供虚假材料。）</w:t>
      </w:r>
    </w:p>
    <w:p>
      <w:pPr>
        <w:snapToGrid w:val="0"/>
        <w:spacing w:after="0" w:line="360" w:lineRule="auto"/>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参加本次政府采购活动前三年内在经营活动中</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没有重大违法记录的书面声明</w:t>
      </w:r>
    </w:p>
    <w:p>
      <w:pPr>
        <w:pStyle w:val="15"/>
        <w:topLinePunct/>
        <w:autoSpaceDE w:val="0"/>
        <w:autoSpaceDN w:val="0"/>
        <w:snapToGrid w:val="0"/>
        <w:spacing w:line="360" w:lineRule="auto"/>
        <w:jc w:val="center"/>
        <w:rPr>
          <w:rFonts w:hint="eastAsia" w:ascii="宋体" w:hAnsi="宋体" w:eastAsia="宋体" w:cs="宋体"/>
          <w:b/>
          <w:color w:val="auto"/>
          <w:w w:val="150"/>
          <w:sz w:val="24"/>
          <w:szCs w:val="24"/>
          <w:highlight w:val="none"/>
        </w:rPr>
      </w:pPr>
    </w:p>
    <w:p>
      <w:pPr>
        <w:pStyle w:val="15"/>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pPr>
        <w:pStyle w:val="15"/>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我单位在参加本次采购活动前三年内在经营活动中没有《政府采购法》第二十二条第一款第（五）项所称重大违法记录，包括：</w:t>
      </w:r>
    </w:p>
    <w:p>
      <w:pPr>
        <w:pStyle w:val="15"/>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我单位未因经营活动中的违法行为受到刑事处罚或者责令停产停业、吊销许可证或者执照、较大数额罚款等行政处罚。</w:t>
      </w:r>
    </w:p>
    <w:p>
      <w:pPr>
        <w:pStyle w:val="15"/>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snapToGrid w:val="0"/>
        <w:spacing w:after="0" w:line="360" w:lineRule="auto"/>
        <w:ind w:firstLine="480" w:firstLineChars="200"/>
        <w:rPr>
          <w:rFonts w:hint="eastAsia" w:ascii="宋体" w:hAnsi="宋体" w:eastAsia="宋体" w:cs="宋体"/>
          <w:color w:val="auto"/>
          <w:sz w:val="24"/>
          <w:szCs w:val="24"/>
          <w:highlight w:val="none"/>
        </w:rPr>
      </w:pPr>
    </w:p>
    <w:p>
      <w:pPr>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（请供应商根据实际情况如实声明，否则视为提供虚假材料。）</w:t>
      </w:r>
    </w:p>
    <w:p>
      <w:pPr>
        <w:snapToGrid w:val="0"/>
        <w:spacing w:after="0" w:line="360" w:lineRule="auto"/>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参加政府采购活动前</w:t>
      </w: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年内无行贿犯罪记录的书面声明</w:t>
      </w:r>
    </w:p>
    <w:p>
      <w:pPr>
        <w:widowControl/>
        <w:spacing w:after="0" w:line="240" w:lineRule="auto"/>
        <w:jc w:val="center"/>
        <w:rPr>
          <w:rFonts w:hint="eastAsia" w:ascii="宋体" w:hAnsi="宋体" w:eastAsia="宋体" w:cs="宋体"/>
          <w:color w:val="auto"/>
          <w:sz w:val="24"/>
          <w:szCs w:val="24"/>
          <w:highlight w:val="none"/>
        </w:rPr>
      </w:pPr>
    </w:p>
    <w:p>
      <w:pPr>
        <w:pStyle w:val="15"/>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pPr>
        <w:pStyle w:val="15"/>
        <w:spacing w:line="400" w:lineRule="exact"/>
        <w:ind w:firstLine="480" w:firstLineChars="200"/>
        <w:rPr>
          <w:rFonts w:hint="eastAsia" w:hAnsi="宋体" w:cs="宋体"/>
          <w:color w:val="auto"/>
          <w:sz w:val="24"/>
          <w:szCs w:val="24"/>
        </w:rPr>
      </w:pPr>
      <w:r>
        <w:rPr>
          <w:rFonts w:hint="eastAsia" w:hAnsi="宋体" w:cs="宋体"/>
          <w:color w:val="auto"/>
          <w:sz w:val="24"/>
          <w:szCs w:val="24"/>
        </w:rPr>
        <w:t>我单位在参加采购活动前三年内无行贿犯罪记录。</w:t>
      </w:r>
    </w:p>
    <w:p>
      <w:pPr>
        <w:pStyle w:val="15"/>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snapToGrid w:val="0"/>
        <w:spacing w:after="0" w:line="360" w:lineRule="auto"/>
        <w:ind w:firstLine="480" w:firstLineChars="200"/>
        <w:rPr>
          <w:rFonts w:hint="eastAsia" w:ascii="宋体" w:hAnsi="宋体" w:eastAsia="宋体" w:cs="宋体"/>
          <w:color w:val="auto"/>
          <w:sz w:val="24"/>
          <w:szCs w:val="24"/>
          <w:highlight w:val="none"/>
        </w:rPr>
      </w:pPr>
    </w:p>
    <w:p>
      <w:pPr>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（请供应商根据实际情况如实声明，否则视为提供虚假材料。）</w:t>
      </w:r>
    </w:p>
    <w:p>
      <w:pPr>
        <w:snapToGrid w:val="0"/>
        <w:spacing w:after="0" w:line="360" w:lineRule="auto"/>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具备法律、行政法规规定的其他条件的证明材料</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pPr>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格式6  中小企业声明函</w:t>
      </w:r>
    </w:p>
    <w:p>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中小企业声明函（工程、服务）</w:t>
      </w:r>
    </w:p>
    <w:p>
      <w:pPr>
        <w:widowControl/>
        <w:spacing w:after="0" w:line="360" w:lineRule="auto"/>
        <w:ind w:firstLine="480" w:firstLineChars="200"/>
        <w:jc w:val="left"/>
        <w:rPr>
          <w:rFonts w:hint="eastAsia" w:ascii="宋体" w:hAnsi="宋体" w:eastAsia="宋体" w:cs="宋体"/>
          <w:color w:val="auto"/>
          <w:kern w:val="0"/>
          <w:sz w:val="24"/>
          <w:szCs w:val="24"/>
          <w:highlight w:val="none"/>
        </w:rPr>
      </w:pPr>
    </w:p>
    <w:p>
      <w:pPr>
        <w:pStyle w:val="15"/>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hAnsi="宋体" w:cs="宋体"/>
          <w:i w:val="0"/>
          <w:iCs w:val="0"/>
          <w:color w:val="auto"/>
          <w:sz w:val="24"/>
          <w:szCs w:val="24"/>
          <w:highlight w:val="none"/>
          <w:u w:val="single"/>
          <w:lang w:eastAsia="zh-CN"/>
        </w:rPr>
        <w:t>国家税务总局福州市仓山区税务局</w:t>
      </w:r>
      <w:r>
        <w:rPr>
          <w:rFonts w:hint="eastAsia" w:ascii="宋体" w:hAnsi="宋体" w:eastAsia="宋体" w:cs="宋体"/>
          <w:color w:val="auto"/>
          <w:sz w:val="24"/>
          <w:szCs w:val="24"/>
          <w:highlight w:val="none"/>
        </w:rPr>
        <w:t>的</w:t>
      </w:r>
      <w:r>
        <w:rPr>
          <w:rFonts w:hint="eastAsia" w:hAnsi="宋体" w:cs="宋体"/>
          <w:i w:val="0"/>
          <w:iCs w:val="0"/>
          <w:color w:val="auto"/>
          <w:sz w:val="24"/>
          <w:szCs w:val="24"/>
          <w:highlight w:val="none"/>
          <w:u w:val="single"/>
          <w:lang w:eastAsia="zh-CN"/>
        </w:rPr>
        <w:t>国家税务总局福州市仓山区税务局涉税（费）服务采购项目</w:t>
      </w:r>
      <w:r>
        <w:rPr>
          <w:rFonts w:hint="eastAsia" w:ascii="宋体" w:hAnsi="宋体" w:eastAsia="宋体" w:cs="宋体"/>
          <w:color w:val="auto"/>
          <w:sz w:val="24"/>
          <w:szCs w:val="24"/>
          <w:highlight w:val="none"/>
        </w:rPr>
        <w:t>采购活动，服务全部由符合政策要求的中小企业承接。相关企业（含联合体中的中小企业、签订分包意向协议的中小企业）的具体情况如下：</w:t>
      </w:r>
    </w:p>
    <w:p>
      <w:pPr>
        <w:pStyle w:val="15"/>
        <w:snapToGrid w:val="0"/>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i w:val="0"/>
          <w:iCs w:val="0"/>
          <w:color w:val="auto"/>
          <w:sz w:val="24"/>
          <w:szCs w:val="24"/>
          <w:highlight w:val="none"/>
        </w:rPr>
        <w:t>.</w:t>
      </w:r>
      <w:r>
        <w:rPr>
          <w:rFonts w:hint="eastAsia" w:hAnsi="宋体" w:cs="宋体"/>
          <w:i w:val="0"/>
          <w:iCs w:val="0"/>
          <w:color w:val="auto"/>
          <w:sz w:val="24"/>
          <w:szCs w:val="24"/>
          <w:highlight w:val="none"/>
          <w:u w:val="single"/>
          <w:lang w:eastAsia="zh-CN"/>
        </w:rPr>
        <w:t>国家税务总局福州市仓山区税务局涉税（费）服务采购项目</w:t>
      </w:r>
      <w:r>
        <w:rPr>
          <w:rFonts w:hint="eastAsia" w:ascii="宋体" w:hAnsi="宋体" w:eastAsia="宋体" w:cs="宋体"/>
          <w:i w:val="0"/>
          <w:iCs w:val="0"/>
          <w:color w:val="auto"/>
          <w:sz w:val="24"/>
          <w:szCs w:val="24"/>
          <w:highlight w:val="none"/>
        </w:rPr>
        <w:t>，</w:t>
      </w:r>
      <w:r>
        <w:rPr>
          <w:rFonts w:hint="eastAsia" w:ascii="宋体" w:hAnsi="宋体" w:eastAsia="宋体" w:cs="宋体"/>
          <w:color w:val="auto"/>
          <w:sz w:val="24"/>
          <w:szCs w:val="24"/>
          <w:highlight w:val="none"/>
        </w:rPr>
        <w:t>属于</w:t>
      </w:r>
      <w:r>
        <w:rPr>
          <w:rFonts w:hint="eastAsia" w:ascii="宋体" w:hAnsi="宋体" w:eastAsia="宋体" w:cs="宋体"/>
          <w:i w:val="0"/>
          <w:iCs w:val="0"/>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w:t>
      </w:r>
      <w:r>
        <w:rPr>
          <w:rFonts w:hint="eastAsia" w:ascii="宋体" w:hAnsi="宋体" w:eastAsia="宋体" w:cs="宋体"/>
          <w:i w:val="0"/>
          <w:iCs w:val="0"/>
          <w:color w:val="auto"/>
          <w:sz w:val="24"/>
          <w:szCs w:val="24"/>
          <w:highlight w:val="none"/>
        </w:rPr>
        <w:t>）企业为</w:t>
      </w:r>
      <w:r>
        <w:rPr>
          <w:rFonts w:hint="eastAsia" w:ascii="宋体" w:hAnsi="宋体" w:eastAsia="宋体" w:cs="宋体"/>
          <w:i w:val="0"/>
          <w:iCs w:val="0"/>
          <w:color w:val="auto"/>
          <w:sz w:val="24"/>
          <w:szCs w:val="24"/>
          <w:highlight w:val="none"/>
          <w:u w:val="single"/>
        </w:rPr>
        <w:t>（企业名称）</w:t>
      </w:r>
      <w:r>
        <w:rPr>
          <w:rFonts w:hint="eastAsia" w:ascii="宋体" w:hAnsi="宋体" w:eastAsia="宋体" w:cs="宋体"/>
          <w:i w:val="0"/>
          <w:iCs w:val="0"/>
          <w:color w:val="auto"/>
          <w:sz w:val="24"/>
          <w:szCs w:val="24"/>
          <w:highlight w:val="none"/>
        </w:rPr>
        <w:t>，从业人员</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人，营业收入为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万元，资产总额为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w:t>
      </w:r>
      <w:r>
        <w:rPr>
          <w:rFonts w:hint="eastAsia" w:ascii="宋体" w:hAnsi="宋体" w:eastAsia="宋体" w:cs="宋体"/>
          <w:i w:val="0"/>
          <w:iCs w:val="0"/>
          <w:color w:val="auto"/>
          <w:sz w:val="24"/>
          <w:szCs w:val="24"/>
          <w:highlight w:val="none"/>
          <w:vertAlign w:val="superscript"/>
        </w:rPr>
        <w:t>1</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rPr>
        <w:t>（中型企业、小型企业、微型企业）</w:t>
      </w:r>
      <w:r>
        <w:rPr>
          <w:rFonts w:hint="eastAsia" w:ascii="宋体" w:hAnsi="宋体" w:eastAsia="宋体" w:cs="宋体"/>
          <w:i w:val="0"/>
          <w:iCs w:val="0"/>
          <w:color w:val="auto"/>
          <w:sz w:val="24"/>
          <w:szCs w:val="24"/>
          <w:highlight w:val="none"/>
        </w:rPr>
        <w:t xml:space="preserve">； </w:t>
      </w:r>
    </w:p>
    <w:p>
      <w:pPr>
        <w:pStyle w:val="15"/>
        <w:snapToGrid w:val="0"/>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u w:val="single"/>
        </w:rPr>
        <w:t xml:space="preserve"> （标的名称） </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rPr>
        <w:t>（采购文件中明确的所属行业）</w:t>
      </w:r>
      <w:r>
        <w:rPr>
          <w:rFonts w:hint="eastAsia" w:ascii="宋体" w:hAnsi="宋体" w:eastAsia="宋体" w:cs="宋体"/>
          <w:i w:val="0"/>
          <w:iCs w:val="0"/>
          <w:color w:val="auto"/>
          <w:sz w:val="24"/>
          <w:szCs w:val="24"/>
          <w:highlight w:val="none"/>
        </w:rPr>
        <w:t>；承建（承接）企业为</w:t>
      </w:r>
      <w:r>
        <w:rPr>
          <w:rFonts w:hint="eastAsia" w:ascii="宋体" w:hAnsi="宋体" w:eastAsia="宋体" w:cs="宋体"/>
          <w:i w:val="0"/>
          <w:iCs w:val="0"/>
          <w:color w:val="auto"/>
          <w:sz w:val="24"/>
          <w:szCs w:val="24"/>
          <w:highlight w:val="none"/>
          <w:u w:val="single"/>
        </w:rPr>
        <w:t>（企业名称）</w:t>
      </w:r>
      <w:r>
        <w:rPr>
          <w:rFonts w:hint="eastAsia" w:ascii="宋体" w:hAnsi="宋体" w:eastAsia="宋体" w:cs="宋体"/>
          <w:i w:val="0"/>
          <w:iCs w:val="0"/>
          <w:color w:val="auto"/>
          <w:sz w:val="24"/>
          <w:szCs w:val="24"/>
          <w:highlight w:val="none"/>
        </w:rPr>
        <w:t>，从业人员</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人，营业收入为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万元，资产总额为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w:t>
      </w:r>
      <w:r>
        <w:rPr>
          <w:rFonts w:hint="eastAsia" w:ascii="宋体" w:hAnsi="宋体" w:eastAsia="宋体" w:cs="宋体"/>
          <w:i w:val="0"/>
          <w:iCs w:val="0"/>
          <w:color w:val="auto"/>
          <w:sz w:val="24"/>
          <w:szCs w:val="24"/>
          <w:highlight w:val="none"/>
          <w:vertAlign w:val="superscript"/>
        </w:rPr>
        <w:t>1</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rPr>
        <w:t>（中型企业、小型企业、微型企业）</w:t>
      </w:r>
      <w:r>
        <w:rPr>
          <w:rFonts w:hint="eastAsia" w:ascii="宋体" w:hAnsi="宋体" w:eastAsia="宋体" w:cs="宋体"/>
          <w:i w:val="0"/>
          <w:iCs w:val="0"/>
          <w:color w:val="auto"/>
          <w:sz w:val="24"/>
          <w:szCs w:val="24"/>
          <w:highlight w:val="none"/>
        </w:rPr>
        <w:t xml:space="preserve">； </w:t>
      </w:r>
    </w:p>
    <w:p>
      <w:pPr>
        <w:pStyle w:val="15"/>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Style w:val="15"/>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pStyle w:val="15"/>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本企业对上述声明内容的真实性负责。如有虚假，将依法承担相应责任。 </w:t>
      </w:r>
    </w:p>
    <w:p>
      <w:pPr>
        <w:pStyle w:val="15"/>
        <w:snapToGrid w:val="0"/>
        <w:spacing w:line="360" w:lineRule="auto"/>
        <w:ind w:firstLine="480" w:firstLineChars="200"/>
        <w:rPr>
          <w:rFonts w:hint="eastAsia" w:ascii="宋体" w:hAnsi="宋体" w:eastAsia="宋体" w:cs="宋体"/>
          <w:color w:val="auto"/>
          <w:sz w:val="24"/>
          <w:szCs w:val="24"/>
          <w:highlight w:val="none"/>
        </w:rPr>
      </w:pPr>
    </w:p>
    <w:p>
      <w:pPr>
        <w:pStyle w:val="15"/>
        <w:snapToGrid w:val="0"/>
        <w:spacing w:line="360" w:lineRule="auto"/>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15"/>
        <w:snapToGrid w:val="0"/>
        <w:spacing w:line="360" w:lineRule="auto"/>
        <w:ind w:firstLine="480" w:firstLineChars="200"/>
        <w:rPr>
          <w:rFonts w:hint="eastAsia" w:ascii="宋体" w:hAnsi="宋体" w:eastAsia="宋体" w:cs="宋体"/>
          <w:color w:val="auto"/>
          <w:sz w:val="24"/>
          <w:szCs w:val="24"/>
          <w:highlight w:val="none"/>
        </w:rPr>
      </w:pPr>
    </w:p>
    <w:p>
      <w:pPr>
        <w:pStyle w:val="15"/>
        <w:snapToGrid w:val="0"/>
        <w:spacing w:line="360" w:lineRule="auto"/>
        <w:ind w:firstLine="480" w:firstLineChars="200"/>
        <w:rPr>
          <w:rFonts w:hint="eastAsia" w:ascii="宋体" w:hAnsi="宋体" w:eastAsia="宋体" w:cs="宋体"/>
          <w:color w:val="auto"/>
          <w:sz w:val="24"/>
          <w:szCs w:val="24"/>
          <w:highlight w:val="none"/>
        </w:rPr>
      </w:pPr>
    </w:p>
    <w:p>
      <w:pPr>
        <w:widowControl/>
        <w:rPr>
          <w:rFonts w:hint="eastAsia" w:ascii="宋体" w:hAnsi="宋体" w:eastAsia="宋体" w:cs="宋体"/>
          <w:color w:val="auto"/>
          <w:sz w:val="24"/>
          <w:szCs w:val="24"/>
          <w:highlight w:val="none"/>
        </w:rPr>
      </w:pP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1从业人员、营业收入、资产总额填报上一年度数据，无上一年度数据的新成立企业可不填报。</w:t>
      </w:r>
    </w:p>
    <w:p>
      <w:pPr>
        <w:pStyle w:val="15"/>
        <w:snapToGrid w:val="0"/>
        <w:spacing w:line="360" w:lineRule="auto"/>
        <w:ind w:firstLine="480" w:firstLineChars="200"/>
        <w:rPr>
          <w:rFonts w:hint="eastAsia" w:ascii="宋体" w:hAnsi="宋体" w:eastAsia="宋体" w:cs="宋体"/>
          <w:color w:val="auto"/>
          <w:sz w:val="24"/>
          <w:szCs w:val="24"/>
          <w:highlight w:val="none"/>
        </w:rPr>
      </w:pPr>
    </w:p>
    <w:p>
      <w:pPr>
        <w:pStyle w:val="15"/>
        <w:topLinePunct/>
        <w:autoSpaceDE w:val="0"/>
        <w:autoSpaceDN w:val="0"/>
        <w:spacing w:line="460" w:lineRule="exact"/>
        <w:jc w:val="center"/>
        <w:outlineLvl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bookmarkStart w:id="110" w:name="_Toc15089"/>
      <w:bookmarkStart w:id="111" w:name="_Toc5684"/>
      <w:r>
        <w:rPr>
          <w:rFonts w:hint="eastAsia" w:ascii="宋体" w:hAnsi="宋体" w:eastAsia="宋体" w:cs="宋体"/>
          <w:b/>
          <w:bCs/>
          <w:color w:val="auto"/>
          <w:kern w:val="2"/>
          <w:sz w:val="32"/>
          <w:szCs w:val="32"/>
          <w:highlight w:val="none"/>
          <w:lang w:val="en-US" w:eastAsia="zh-CN" w:bidi="ar-SA"/>
        </w:rPr>
        <w:t>格式7  残疾人福利性单位声明函</w:t>
      </w:r>
      <w:bookmarkEnd w:id="110"/>
      <w:bookmarkEnd w:id="111"/>
    </w:p>
    <w:p>
      <w:pPr>
        <w:spacing w:line="588" w:lineRule="exact"/>
        <w:rPr>
          <w:rFonts w:hint="eastAsia" w:ascii="宋体" w:hAnsi="宋体" w:eastAsia="宋体" w:cs="宋体"/>
          <w:b/>
          <w:color w:val="auto"/>
          <w:spacing w:val="6"/>
          <w:sz w:val="24"/>
          <w:szCs w:val="24"/>
          <w:highlight w:val="none"/>
        </w:rPr>
      </w:pPr>
    </w:p>
    <w:p>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588" w:lineRule="exact"/>
        <w:ind w:firstLine="504" w:firstLineChars="200"/>
        <w:rPr>
          <w:rFonts w:hint="eastAsia" w:ascii="宋体" w:hAnsi="宋体" w:eastAsia="宋体" w:cs="宋体"/>
          <w:color w:val="auto"/>
          <w:spacing w:val="6"/>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topLinePunct/>
        <w:autoSpaceDE w:val="0"/>
        <w:autoSpaceDN w:val="0"/>
        <w:spacing w:line="460" w:lineRule="exact"/>
        <w:jc w:val="center"/>
        <w:rPr>
          <w:rFonts w:hint="eastAsia" w:ascii="宋体" w:hAnsi="宋体" w:eastAsia="宋体" w:cs="宋体"/>
          <w:color w:val="auto"/>
          <w:spacing w:val="6"/>
          <w:sz w:val="24"/>
          <w:szCs w:val="24"/>
          <w:highlight w:val="none"/>
        </w:rPr>
      </w:pPr>
    </w:p>
    <w:p>
      <w:pPr>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bookmarkStart w:id="112" w:name="_Toc1062827402"/>
      <w:bookmarkStart w:id="113" w:name="_Toc1093498656"/>
      <w:bookmarkStart w:id="114" w:name="_Toc579775874"/>
      <w:bookmarkStart w:id="115" w:name="_Toc18814"/>
      <w:bookmarkStart w:id="116" w:name="_Toc315564887"/>
      <w:bookmarkStart w:id="117" w:name="_Toc1229686241"/>
      <w:bookmarkStart w:id="118" w:name="_Toc989815653"/>
      <w:bookmarkStart w:id="119" w:name="_Toc665197788"/>
      <w:bookmarkStart w:id="120" w:name="_Toc2129800646"/>
      <w:bookmarkStart w:id="121" w:name="_Toc240142232"/>
      <w:r>
        <w:rPr>
          <w:rFonts w:hint="eastAsia" w:ascii="宋体" w:hAnsi="宋体" w:eastAsia="宋体" w:cs="宋体"/>
          <w:b/>
          <w:bCs/>
          <w:color w:val="auto"/>
          <w:sz w:val="24"/>
          <w:szCs w:val="24"/>
          <w:highlight w:val="none"/>
        </w:rPr>
        <w:br w:type="page"/>
      </w:r>
    </w:p>
    <w:p>
      <w:pPr>
        <w:adjustRightInd w:val="0"/>
        <w:snapToGrid w:val="0"/>
        <w:spacing w:after="0" w:line="360" w:lineRule="auto"/>
        <w:jc w:val="center"/>
        <w:rPr>
          <w:rFonts w:hint="eastAsia" w:ascii="宋体" w:hAnsi="宋体" w:eastAsia="宋体" w:cs="宋体"/>
          <w:b/>
          <w:bCs/>
          <w:color w:val="auto"/>
          <w:sz w:val="24"/>
          <w:szCs w:val="24"/>
          <w:highlight w:val="none"/>
        </w:rPr>
      </w:pPr>
    </w:p>
    <w:p>
      <w:pPr>
        <w:spacing w:line="600" w:lineRule="auto"/>
        <w:jc w:val="center"/>
        <w:rPr>
          <w:rFonts w:hint="eastAsia" w:ascii="宋体" w:hAnsi="宋体" w:eastAsia="宋体" w:cs="宋体"/>
          <w:b/>
          <w:color w:val="auto"/>
          <w:kern w:val="0"/>
          <w:sz w:val="24"/>
          <w:szCs w:val="24"/>
          <w:highlight w:val="none"/>
        </w:rPr>
      </w:pPr>
    </w:p>
    <w:p>
      <w:pPr>
        <w:pStyle w:val="13"/>
        <w:rPr>
          <w:rFonts w:hint="eastAsia" w:ascii="宋体" w:hAnsi="宋体" w:eastAsia="宋体" w:cs="宋体"/>
          <w:b/>
          <w:color w:val="auto"/>
          <w:kern w:val="0"/>
          <w:sz w:val="24"/>
          <w:szCs w:val="24"/>
          <w:highlight w:val="none"/>
        </w:rPr>
      </w:pPr>
    </w:p>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响  应  文  件</w:t>
      </w: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lang w:val="en-US" w:eastAsia="zh-CN"/>
        </w:rPr>
        <w:t>技术</w:t>
      </w:r>
      <w:r>
        <w:rPr>
          <w:rFonts w:hint="eastAsia" w:ascii="宋体" w:hAnsi="宋体" w:eastAsia="宋体" w:cs="宋体"/>
          <w:b/>
          <w:bCs w:val="0"/>
          <w:color w:val="auto"/>
          <w:kern w:val="0"/>
          <w:sz w:val="52"/>
          <w:szCs w:val="52"/>
          <w:highlight w:val="none"/>
        </w:rPr>
        <w:t>部分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（填写正本或副本）</w:t>
      </w:r>
    </w:p>
    <w:p>
      <w:pPr>
        <w:spacing w:line="360" w:lineRule="auto"/>
        <w:ind w:firstLine="640" w:firstLineChars="200"/>
        <w:jc w:val="center"/>
        <w:rPr>
          <w:rFonts w:hint="eastAsia" w:ascii="宋体" w:hAnsi="宋体" w:eastAsia="宋体" w:cs="宋体"/>
          <w:b w:val="0"/>
          <w:bCs/>
          <w:color w:val="auto"/>
          <w:kern w:val="0"/>
          <w:sz w:val="32"/>
          <w:szCs w:val="32"/>
          <w:highlight w:val="none"/>
        </w:rPr>
      </w:pPr>
    </w:p>
    <w:p>
      <w:pPr>
        <w:pStyle w:val="13"/>
        <w:rPr>
          <w:rFonts w:hint="eastAsia" w:ascii="宋体" w:hAnsi="宋体" w:eastAsia="宋体" w:cs="宋体"/>
          <w:b w:val="0"/>
          <w:bCs/>
          <w:color w:val="auto"/>
          <w:kern w:val="0"/>
          <w:sz w:val="32"/>
          <w:szCs w:val="32"/>
          <w:highlight w:val="none"/>
        </w:rPr>
      </w:pPr>
    </w:p>
    <w:p>
      <w:pPr>
        <w:rPr>
          <w:rFonts w:hint="eastAsia" w:ascii="宋体" w:hAnsi="宋体" w:eastAsia="宋体" w:cs="宋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项目名称：</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项目编号：</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所投采购包：</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640" w:firstLineChars="200"/>
        <w:jc w:val="center"/>
        <w:textAlignment w:val="auto"/>
        <w:rPr>
          <w:rFonts w:hint="eastAsia" w:ascii="宋体" w:hAnsi="宋体" w:eastAsia="宋体" w:cs="宋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供应商：</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日  期：</w:t>
      </w:r>
      <w:r>
        <w:rPr>
          <w:rFonts w:hint="eastAsia" w:ascii="宋体" w:hAnsi="宋体" w:eastAsia="宋体" w:cs="宋体"/>
          <w:b w:val="0"/>
          <w:bCs/>
          <w:color w:val="auto"/>
          <w:kern w:val="0"/>
          <w:sz w:val="32"/>
          <w:szCs w:val="32"/>
          <w:highlight w:val="none"/>
          <w:u w:val="single"/>
        </w:rPr>
        <w:t xml:space="preserve">                 </w:t>
      </w:r>
    </w:p>
    <w:p>
      <w:pPr>
        <w:spacing w:line="600" w:lineRule="auto"/>
        <w:jc w:val="center"/>
        <w:rPr>
          <w:rFonts w:hint="eastAsia" w:ascii="宋体" w:hAnsi="宋体" w:eastAsia="宋体" w:cs="宋体"/>
          <w:b/>
          <w:color w:val="auto"/>
          <w:kern w:val="0"/>
          <w:sz w:val="24"/>
          <w:szCs w:val="24"/>
          <w:highlight w:val="none"/>
        </w:rPr>
      </w:pPr>
    </w:p>
    <w:p>
      <w:pPr>
        <w:pStyle w:val="13"/>
        <w:rPr>
          <w:rFonts w:hint="eastAsia" w:ascii="宋体" w:hAnsi="宋体" w:eastAsia="宋体" w:cs="宋体"/>
          <w:b/>
          <w:color w:val="auto"/>
          <w:kern w:val="0"/>
          <w:sz w:val="24"/>
          <w:szCs w:val="24"/>
          <w:highlight w:val="none"/>
        </w:rPr>
      </w:pPr>
    </w:p>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rPr>
      </w:pPr>
    </w:p>
    <w:p>
      <w:pPr>
        <w:widowControl/>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b/>
          <w:bCs/>
          <w:color w:val="auto"/>
          <w:sz w:val="32"/>
          <w:szCs w:val="32"/>
          <w:highlight w:val="none"/>
        </w:rPr>
        <w:t>格式</w:t>
      </w:r>
      <w:r>
        <w:rPr>
          <w:rFonts w:hint="eastAsia" w:ascii="宋体" w:hAnsi="宋体" w:eastAsia="宋体" w:cs="宋体"/>
          <w:b/>
          <w:bCs/>
          <w:color w:val="auto"/>
          <w:sz w:val="32"/>
          <w:szCs w:val="32"/>
          <w:highlight w:val="none"/>
          <w:lang w:val="en-US" w:eastAsia="zh-CN"/>
        </w:rPr>
        <w:t>8</w:t>
      </w:r>
      <w:r>
        <w:rPr>
          <w:rFonts w:hint="eastAsia" w:ascii="宋体" w:hAnsi="宋体" w:eastAsia="宋体" w:cs="宋体"/>
          <w:b/>
          <w:bCs/>
          <w:color w:val="auto"/>
          <w:sz w:val="32"/>
          <w:szCs w:val="32"/>
          <w:highlight w:val="none"/>
        </w:rPr>
        <w:t xml:space="preserve"> 技术条款偏离表</w:t>
      </w:r>
    </w:p>
    <w:tbl>
      <w:tblPr>
        <w:tblStyle w:val="29"/>
        <w:tblW w:w="91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8"/>
        <w:gridCol w:w="1516"/>
        <w:gridCol w:w="2116"/>
        <w:gridCol w:w="1684"/>
        <w:gridCol w:w="2090"/>
        <w:gridCol w:w="8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16" w:type="dxa"/>
            <w:noWrap/>
            <w:vAlign w:val="top"/>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w:t>
            </w:r>
          </w:p>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技术部分序号</w:t>
            </w: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w:t>
            </w:r>
          </w:p>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技术部分内容要求</w:t>
            </w: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w:t>
            </w:r>
          </w:p>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应答情况</w:t>
            </w: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偏离（无/正/负）</w:t>
            </w: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bl>
    <w:p>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请按照</w:t>
      </w:r>
      <w:r>
        <w:rPr>
          <w:rFonts w:hint="eastAsia" w:ascii="宋体" w:hAnsi="宋体" w:eastAsia="宋体" w:cs="宋体"/>
          <w:color w:val="auto"/>
          <w:sz w:val="24"/>
          <w:szCs w:val="24"/>
          <w:highlight w:val="none"/>
        </w:rPr>
        <w:t>《采购文件-技术部分》内容</w:t>
      </w:r>
      <w:r>
        <w:rPr>
          <w:rFonts w:hint="eastAsia" w:ascii="宋体" w:hAnsi="宋体" w:cs="宋体"/>
          <w:color w:val="auto"/>
          <w:sz w:val="24"/>
          <w:szCs w:val="24"/>
          <w:highlight w:val="none"/>
          <w:lang w:val="en-US" w:eastAsia="zh-CN"/>
        </w:rPr>
        <w:t>要求，</w:t>
      </w:r>
      <w:r>
        <w:rPr>
          <w:rFonts w:hint="eastAsia" w:ascii="宋体" w:hAnsi="宋体" w:eastAsia="宋体" w:cs="宋体"/>
          <w:color w:val="auto"/>
          <w:sz w:val="24"/>
          <w:szCs w:val="24"/>
          <w:highlight w:val="none"/>
        </w:rPr>
        <w:t>条对条应答。如有偏离，请在此表中应答为“正/负偏离”并说明偏离情况；</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.如《采购文件-技术部分》中有标注★号的，则为实质性要求，必须满足，如应答为“负偏离”，将导致响应无效。</w:t>
      </w: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pStyle w:val="40"/>
        <w:spacing w:after="156"/>
        <w:ind w:firstLine="4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jc w:val="center"/>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pPr>
        <w:widowControl/>
        <w:spacing w:after="0" w:line="24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格式</w:t>
      </w:r>
      <w:r>
        <w:rPr>
          <w:rFonts w:hint="eastAsia" w:ascii="宋体" w:hAnsi="宋体" w:eastAsia="宋体" w:cs="宋体"/>
          <w:b/>
          <w:bCs/>
          <w:color w:val="auto"/>
          <w:sz w:val="32"/>
          <w:szCs w:val="32"/>
          <w:highlight w:val="none"/>
          <w:lang w:val="en-US" w:eastAsia="zh-CN"/>
        </w:rPr>
        <w:t>9</w:t>
      </w:r>
      <w:r>
        <w:rPr>
          <w:rFonts w:hint="eastAsia" w:ascii="宋体" w:hAnsi="宋体" w:eastAsia="宋体" w:cs="宋体"/>
          <w:b/>
          <w:bCs/>
          <w:color w:val="auto"/>
          <w:sz w:val="32"/>
          <w:szCs w:val="32"/>
          <w:highlight w:val="none"/>
        </w:rPr>
        <w:t>服务方案、实施方案及技术方案</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服务方案说明</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服务类项目供应商应根据第六章规定编写服务方案说明。服务方案说明包括但不限于：</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(1)服务目标、范围和任务；</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(2)服务方案；</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(3)服务团队组织安排计划；</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(4)工作流程；</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(5)进度计划及保证措施；</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(6)质量保证措施；</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(7)合理化建议；</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(8)其他。</w:t>
      </w:r>
    </w:p>
    <w:p>
      <w:pPr>
        <w:spacing w:after="0" w:line="240" w:lineRule="auto"/>
        <w:ind w:firstLine="480" w:firstLineChars="200"/>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实施方案</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(示例略)</w:t>
      </w:r>
    </w:p>
    <w:p>
      <w:pPr>
        <w:spacing w:after="0" w:line="240" w:lineRule="auto"/>
        <w:ind w:firstLine="480" w:firstLineChars="200"/>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技术方案</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(示例略)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rPr>
        <w:br w:type="page"/>
      </w:r>
      <w:r>
        <w:rPr>
          <w:rFonts w:hint="eastAsia" w:ascii="宋体" w:hAnsi="宋体" w:eastAsia="宋体" w:cs="宋体"/>
          <w:b/>
          <w:bCs/>
          <w:color w:val="auto"/>
          <w:sz w:val="32"/>
          <w:szCs w:val="32"/>
          <w:highlight w:val="none"/>
        </w:rPr>
        <w:t>格式1</w:t>
      </w:r>
      <w:r>
        <w:rPr>
          <w:rFonts w:hint="eastAsia" w:ascii="宋体" w:hAnsi="宋体" w:eastAsia="宋体" w:cs="宋体"/>
          <w:b/>
          <w:bCs/>
          <w:color w:val="auto"/>
          <w:sz w:val="32"/>
          <w:szCs w:val="32"/>
          <w:highlight w:val="none"/>
          <w:lang w:val="en-US" w:eastAsia="zh-CN"/>
        </w:rPr>
        <w:t>0</w:t>
      </w:r>
      <w:r>
        <w:rPr>
          <w:rFonts w:hint="eastAsia" w:ascii="宋体" w:hAnsi="宋体" w:eastAsia="宋体" w:cs="宋体"/>
          <w:b/>
          <w:bCs/>
          <w:color w:val="auto"/>
          <w:sz w:val="32"/>
          <w:szCs w:val="32"/>
          <w:highlight w:val="none"/>
        </w:rPr>
        <w:t xml:space="preserve"> 技术力量一览表</w:t>
      </w:r>
    </w:p>
    <w:tbl>
      <w:tblPr>
        <w:tblStyle w:val="29"/>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356"/>
        <w:gridCol w:w="1187"/>
        <w:gridCol w:w="1189"/>
        <w:gridCol w:w="1275"/>
        <w:gridCol w:w="1243"/>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姓 名</w:t>
            </w: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技术职称</w:t>
            </w: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人员级别</w:t>
            </w: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工作年限</w:t>
            </w: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本项目中担任职务</w:t>
            </w: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84"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spacing w:after="0" w:line="400" w:lineRule="exact"/>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一、</w:t>
            </w:r>
            <w:r>
              <w:rPr>
                <w:rFonts w:hint="eastAsia" w:ascii="宋体" w:hAnsi="宋体" w:eastAsia="宋体" w:cs="宋体"/>
                <w:b w:val="0"/>
                <w:bCs w:val="0"/>
                <w:color w:val="auto"/>
                <w:sz w:val="24"/>
                <w:szCs w:val="24"/>
                <w:highlight w:val="none"/>
              </w:rPr>
              <w:t>项目管理人员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left"/>
              <w:textAlignment w:val="auto"/>
              <w:rPr>
                <w:rFonts w:hint="eastAsia" w:ascii="宋体" w:hAnsi="宋体" w:eastAsia="宋体" w:cs="宋体"/>
                <w:b w:val="0"/>
                <w:bCs w:val="0"/>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w:t>
            </w:r>
            <w:r>
              <w:rPr>
                <w:rFonts w:hint="eastAsia" w:ascii="宋体" w:hAnsi="宋体" w:cs="宋体"/>
                <w:b w:val="0"/>
                <w:bCs w:val="0"/>
                <w:color w:val="auto"/>
                <w:sz w:val="24"/>
                <w:szCs w:val="24"/>
                <w:highlight w:val="none"/>
                <w:lang w:val="en-US" w:eastAsia="zh-CN"/>
              </w:rPr>
              <w:t>项目团队其他</w:t>
            </w:r>
            <w:r>
              <w:rPr>
                <w:rFonts w:hint="eastAsia" w:ascii="宋体" w:hAnsi="宋体" w:eastAsia="宋体" w:cs="宋体"/>
                <w:b w:val="0"/>
                <w:bCs w:val="0"/>
                <w:color w:val="auto"/>
                <w:sz w:val="24"/>
                <w:szCs w:val="24"/>
                <w:highlight w:val="none"/>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both"/>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7</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8</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三、XX人员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4"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56"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56"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bl>
    <w:p>
      <w:pPr>
        <w:topLinePunct/>
        <w:autoSpaceDE w:val="0"/>
        <w:autoSpaceDN w:val="0"/>
        <w:spacing w:line="460" w:lineRule="exact"/>
        <w:rPr>
          <w:rFonts w:hint="eastAsia" w:ascii="宋体" w:hAnsi="宋体" w:eastAsia="宋体" w:cs="宋体"/>
          <w:bCs/>
          <w:color w:val="auto"/>
          <w:w w:val="150"/>
          <w:sz w:val="24"/>
          <w:szCs w:val="24"/>
          <w:highlight w:val="green"/>
          <w:shd w:val="clear" w:color="auto" w:fill="FFFF00"/>
        </w:rPr>
      </w:pPr>
    </w:p>
    <w:p>
      <w:pPr>
        <w:topLinePunct/>
        <w:autoSpaceDE w:val="0"/>
        <w:autoSpaceDN w:val="0"/>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bCs/>
          <w:color w:val="auto"/>
          <w:sz w:val="32"/>
          <w:szCs w:val="32"/>
          <w:highlight w:val="none"/>
        </w:rPr>
        <w:t>格式1</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 xml:space="preserve"> 技术人员简历表</w:t>
      </w:r>
    </w:p>
    <w:tbl>
      <w:tblPr>
        <w:tblStyle w:val="29"/>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713"/>
        <w:gridCol w:w="1505"/>
        <w:gridCol w:w="1388"/>
        <w:gridCol w:w="1796"/>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    别</w:t>
            </w:r>
          </w:p>
        </w:tc>
        <w:tc>
          <w:tcPr>
            <w:tcW w:w="13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出生日期</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   历</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13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公司职务</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任职时间</w:t>
            </w:r>
          </w:p>
        </w:tc>
        <w:tc>
          <w:tcPr>
            <w:tcW w:w="13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本项目任职</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人员级别</w:t>
            </w:r>
          </w:p>
        </w:tc>
        <w:tc>
          <w:tcPr>
            <w:tcW w:w="17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从事XXX工作年限</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从事XXXX年限</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认证证书</w:t>
            </w:r>
          </w:p>
        </w:tc>
        <w:tc>
          <w:tcPr>
            <w:tcW w:w="766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928"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工作简历及主要业绩</w:t>
            </w:r>
          </w:p>
          <w:p>
            <w:pPr>
              <w:keepNext w:val="0"/>
              <w:keepLines w:val="0"/>
              <w:pageBreakBefore w:val="0"/>
              <w:widowControl w:val="0"/>
              <w:kinsoku/>
              <w:wordWrap/>
              <w:overflowPunct/>
              <w:topLinePunct w:val="0"/>
              <w:autoSpaceDE/>
              <w:autoSpaceDN/>
              <w:bidi w:val="0"/>
              <w:adjustRightInd w:val="0"/>
              <w:snapToGrid/>
              <w:spacing w:after="0" w:line="400" w:lineRule="exact"/>
              <w:textAlignment w:val="auto"/>
              <w:rPr>
                <w:rFonts w:hint="eastAsia" w:ascii="宋体" w:hAnsi="宋体" w:eastAsia="宋体" w:cs="宋体"/>
                <w:color w:val="auto"/>
                <w:sz w:val="24"/>
                <w:szCs w:val="24"/>
                <w:highlight w:val="none"/>
              </w:rPr>
            </w:pPr>
          </w:p>
        </w:tc>
      </w:tr>
    </w:tbl>
    <w:p>
      <w:pPr>
        <w:widowControl/>
        <w:spacing w:after="0" w:line="240" w:lineRule="auto"/>
        <w:jc w:val="left"/>
        <w:rPr>
          <w:rFonts w:hint="eastAsia" w:ascii="宋体" w:hAnsi="宋体" w:eastAsia="宋体" w:cs="宋体"/>
          <w:color w:val="auto"/>
          <w:sz w:val="24"/>
          <w:szCs w:val="24"/>
          <w:highlight w:val="none"/>
        </w:rPr>
      </w:pPr>
    </w:p>
    <w:p>
      <w:pPr>
        <w:pStyle w:val="39"/>
        <w:keepNext w:val="0"/>
        <w:keepLines w:val="0"/>
        <w:tabs>
          <w:tab w:val="left" w:pos="360"/>
          <w:tab w:val="left" w:pos="816"/>
        </w:tabs>
        <w:spacing w:before="0" w:after="0" w:line="360" w:lineRule="auto"/>
        <w:ind w:left="0" w:firstLine="480"/>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格式1</w:t>
      </w:r>
      <w:r>
        <w:rPr>
          <w:rFonts w:hint="eastAsia" w:ascii="宋体" w:hAnsi="宋体" w:eastAsia="宋体" w:cs="宋体"/>
          <w:b/>
          <w:bCs/>
          <w:color w:val="auto"/>
          <w:sz w:val="32"/>
          <w:szCs w:val="32"/>
          <w:highlight w:val="none"/>
          <w:lang w:val="en-US" w:eastAsia="zh-CN"/>
        </w:rPr>
        <w:t>2</w:t>
      </w:r>
      <w:r>
        <w:rPr>
          <w:rFonts w:hint="eastAsia" w:ascii="宋体" w:hAnsi="宋体" w:eastAsia="宋体" w:cs="宋体"/>
          <w:b/>
          <w:bCs/>
          <w:color w:val="auto"/>
          <w:sz w:val="32"/>
          <w:szCs w:val="32"/>
          <w:highlight w:val="none"/>
        </w:rPr>
        <w:t xml:space="preserve"> 评标内容对应表</w:t>
      </w:r>
    </w:p>
    <w:p>
      <w:pPr>
        <w:spacing w:line="440" w:lineRule="exact"/>
        <w:ind w:firstLine="204" w:firstLineChars="8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 xml:space="preserve">名称：                          </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 xml:space="preserve">编号∶ </w:t>
      </w:r>
    </w:p>
    <w:tbl>
      <w:tblPr>
        <w:tblStyle w:val="29"/>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030"/>
        <w:gridCol w:w="3168"/>
        <w:gridCol w:w="2738"/>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661" w:type="dxa"/>
            <w:gridSpan w:val="2"/>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  目</w:t>
            </w:r>
          </w:p>
        </w:tc>
        <w:tc>
          <w:tcPr>
            <w:tcW w:w="3168"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评审</w:t>
            </w:r>
            <w:r>
              <w:rPr>
                <w:rFonts w:hint="eastAsia" w:ascii="宋体" w:hAnsi="宋体" w:eastAsia="宋体" w:cs="宋体"/>
                <w:color w:val="auto"/>
                <w:sz w:val="24"/>
                <w:szCs w:val="24"/>
              </w:rPr>
              <w:t>指标要求</w:t>
            </w:r>
          </w:p>
        </w:tc>
        <w:tc>
          <w:tcPr>
            <w:tcW w:w="2738"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文件响应情况</w:t>
            </w:r>
          </w:p>
        </w:tc>
        <w:tc>
          <w:tcPr>
            <w:tcW w:w="1482"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31" w:type="dxa"/>
            <w:vMerge w:val="restart"/>
            <w:noWrap w:val="0"/>
            <w:vAlign w:val="center"/>
          </w:tcPr>
          <w:p>
            <w:pPr>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商务部分</w:t>
            </w:r>
          </w:p>
        </w:tc>
        <w:tc>
          <w:tcPr>
            <w:tcW w:w="1030"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1</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top"/>
          </w:tcPr>
          <w:p>
            <w:pPr>
              <w:spacing w:line="440" w:lineRule="exact"/>
              <w:rPr>
                <w:rFonts w:hint="eastAsia" w:ascii="宋体" w:hAnsi="宋体" w:eastAsia="宋体" w:cs="宋体"/>
                <w:b/>
                <w:color w:val="auto"/>
                <w:sz w:val="24"/>
                <w:szCs w:val="24"/>
              </w:rPr>
            </w:pPr>
          </w:p>
        </w:tc>
        <w:tc>
          <w:tcPr>
            <w:tcW w:w="1030"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2</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top"/>
          </w:tcPr>
          <w:p>
            <w:pPr>
              <w:spacing w:line="440" w:lineRule="exact"/>
              <w:rPr>
                <w:rFonts w:hint="eastAsia" w:ascii="宋体" w:hAnsi="宋体" w:eastAsia="宋体" w:cs="宋体"/>
                <w:b/>
                <w:color w:val="auto"/>
                <w:sz w:val="24"/>
                <w:szCs w:val="24"/>
              </w:rPr>
            </w:pPr>
          </w:p>
        </w:tc>
        <w:tc>
          <w:tcPr>
            <w:tcW w:w="1030" w:type="dxa"/>
            <w:noWrap w:val="0"/>
            <w:vAlign w:val="center"/>
          </w:tcPr>
          <w:p>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restart"/>
            <w:noWrap w:val="0"/>
            <w:vAlign w:val="top"/>
          </w:tcPr>
          <w:p>
            <w:pPr>
              <w:spacing w:line="440" w:lineRule="exact"/>
              <w:jc w:val="center"/>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lang w:val="en-US" w:eastAsia="zh-CN"/>
              </w:rPr>
              <w:t>技术部分</w:t>
            </w:r>
          </w:p>
        </w:tc>
        <w:tc>
          <w:tcPr>
            <w:tcW w:w="1030" w:type="dxa"/>
            <w:noWrap w:val="0"/>
            <w:vAlign w:val="center"/>
          </w:tcPr>
          <w:p>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C</w:t>
            </w:r>
            <w:r>
              <w:rPr>
                <w:rFonts w:hint="eastAsia" w:ascii="宋体" w:hAnsi="宋体" w:eastAsia="宋体" w:cs="宋体"/>
                <w:color w:val="auto"/>
                <w:sz w:val="24"/>
                <w:szCs w:val="24"/>
                <w:lang w:val="en-US" w:eastAsia="zh-CN"/>
              </w:rPr>
              <w:t>1</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top"/>
          </w:tcPr>
          <w:p>
            <w:pPr>
              <w:spacing w:line="440" w:lineRule="exact"/>
              <w:rPr>
                <w:rFonts w:hint="eastAsia" w:ascii="宋体" w:hAnsi="宋体" w:eastAsia="宋体" w:cs="宋体"/>
                <w:b/>
                <w:color w:val="auto"/>
                <w:sz w:val="24"/>
                <w:szCs w:val="24"/>
              </w:rPr>
            </w:pPr>
          </w:p>
        </w:tc>
        <w:tc>
          <w:tcPr>
            <w:tcW w:w="1030" w:type="dxa"/>
            <w:noWrap w:val="0"/>
            <w:vAlign w:val="center"/>
          </w:tcPr>
          <w:p>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C</w:t>
            </w:r>
            <w:r>
              <w:rPr>
                <w:rFonts w:hint="eastAsia" w:ascii="宋体" w:hAnsi="宋体" w:eastAsia="宋体" w:cs="宋体"/>
                <w:color w:val="auto"/>
                <w:sz w:val="24"/>
                <w:szCs w:val="24"/>
                <w:lang w:val="en-US" w:eastAsia="zh-CN"/>
              </w:rPr>
              <w:t>2</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top"/>
          </w:tcPr>
          <w:p>
            <w:pPr>
              <w:spacing w:line="440" w:lineRule="exact"/>
              <w:rPr>
                <w:rFonts w:hint="eastAsia" w:ascii="宋体" w:hAnsi="宋体" w:eastAsia="宋体" w:cs="宋体"/>
                <w:b/>
                <w:color w:val="auto"/>
                <w:sz w:val="24"/>
                <w:szCs w:val="24"/>
              </w:rPr>
            </w:pPr>
          </w:p>
        </w:tc>
        <w:tc>
          <w:tcPr>
            <w:tcW w:w="1030"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bl>
    <w:p>
      <w:pPr>
        <w:spacing w:line="440" w:lineRule="exact"/>
        <w:rPr>
          <w:rFonts w:hint="eastAsia" w:ascii="宋体" w:hAnsi="宋体" w:eastAsia="宋体" w:cs="宋体"/>
          <w:color w:val="auto"/>
          <w:sz w:val="24"/>
          <w:szCs w:val="24"/>
        </w:rPr>
      </w:pPr>
    </w:p>
    <w:p>
      <w:pPr>
        <w:spacing w:line="440" w:lineRule="exact"/>
        <w:rPr>
          <w:rFonts w:hint="eastAsia" w:ascii="宋体" w:hAnsi="宋体" w:eastAsia="宋体" w:cs="宋体"/>
          <w:snapToGrid w:val="0"/>
          <w:color w:val="auto"/>
          <w:sz w:val="24"/>
          <w:szCs w:val="24"/>
        </w:rPr>
      </w:pPr>
      <w:r>
        <w:rPr>
          <w:rFonts w:hint="eastAsia" w:ascii="宋体" w:hAnsi="宋体" w:eastAsia="宋体" w:cs="宋体"/>
          <w:color w:val="auto"/>
          <w:sz w:val="24"/>
          <w:szCs w:val="24"/>
        </w:rPr>
        <w:t>注：</w:t>
      </w:r>
      <w:r>
        <w:rPr>
          <w:rFonts w:hint="eastAsia" w:ascii="宋体" w:hAnsi="宋体" w:cs="宋体"/>
          <w:color w:val="auto"/>
          <w:sz w:val="24"/>
          <w:szCs w:val="24"/>
          <w:lang w:val="en-US" w:eastAsia="zh-CN"/>
        </w:rPr>
        <w:t>供应商需</w:t>
      </w:r>
      <w:r>
        <w:rPr>
          <w:rFonts w:hint="eastAsia" w:ascii="宋体" w:hAnsi="宋体" w:eastAsia="宋体" w:cs="宋体"/>
          <w:color w:val="auto"/>
          <w:sz w:val="24"/>
          <w:szCs w:val="24"/>
        </w:rPr>
        <w:t>将</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rPr>
        <w:t>文件中的相关内容按上述要求及以上格式，逐条对应填写</w:t>
      </w:r>
      <w:r>
        <w:rPr>
          <w:rFonts w:hint="eastAsia" w:ascii="宋体" w:hAnsi="宋体" w:eastAsia="宋体" w:cs="宋体"/>
          <w:snapToGrid w:val="0"/>
          <w:color w:val="auto"/>
          <w:sz w:val="24"/>
          <w:szCs w:val="24"/>
        </w:rPr>
        <w:t>，以便</w:t>
      </w:r>
      <w:r>
        <w:rPr>
          <w:rFonts w:hint="eastAsia" w:ascii="宋体" w:hAnsi="宋体" w:cs="宋体"/>
          <w:snapToGrid w:val="0"/>
          <w:color w:val="auto"/>
          <w:sz w:val="24"/>
          <w:szCs w:val="24"/>
          <w:lang w:val="en-US" w:eastAsia="zh-CN"/>
        </w:rPr>
        <w:t>磋商小组</w:t>
      </w:r>
      <w:r>
        <w:rPr>
          <w:rFonts w:hint="eastAsia" w:ascii="宋体" w:hAnsi="宋体" w:eastAsia="宋体" w:cs="宋体"/>
          <w:snapToGrid w:val="0"/>
          <w:color w:val="auto"/>
          <w:sz w:val="24"/>
          <w:szCs w:val="24"/>
        </w:rPr>
        <w:t>进行评</w:t>
      </w:r>
      <w:r>
        <w:rPr>
          <w:rFonts w:hint="eastAsia" w:ascii="宋体" w:hAnsi="宋体" w:cs="宋体"/>
          <w:snapToGrid w:val="0"/>
          <w:color w:val="auto"/>
          <w:sz w:val="24"/>
          <w:szCs w:val="24"/>
          <w:lang w:val="en-US" w:eastAsia="zh-CN"/>
        </w:rPr>
        <w:t>审</w:t>
      </w:r>
      <w:r>
        <w:rPr>
          <w:rFonts w:hint="eastAsia" w:ascii="宋体" w:hAnsi="宋体" w:eastAsia="宋体" w:cs="宋体"/>
          <w:snapToGrid w:val="0"/>
          <w:color w:val="auto"/>
          <w:sz w:val="24"/>
          <w:szCs w:val="24"/>
        </w:rPr>
        <w:t>，未按以上格式逐条填写导致条理不清，解释不明的，</w:t>
      </w:r>
      <w:r>
        <w:rPr>
          <w:rFonts w:hint="eastAsia" w:ascii="宋体" w:hAnsi="宋体" w:cs="宋体"/>
          <w:color w:val="auto"/>
          <w:sz w:val="24"/>
          <w:szCs w:val="24"/>
          <w:lang w:val="en-US" w:eastAsia="zh-CN"/>
        </w:rPr>
        <w:t>磋商小组</w:t>
      </w:r>
      <w:r>
        <w:rPr>
          <w:rFonts w:hint="eastAsia" w:ascii="宋体" w:hAnsi="宋体" w:eastAsia="宋体" w:cs="宋体"/>
          <w:snapToGrid w:val="0"/>
          <w:color w:val="auto"/>
          <w:sz w:val="24"/>
          <w:szCs w:val="24"/>
        </w:rPr>
        <w:t>将做出不利于</w:t>
      </w:r>
      <w:r>
        <w:rPr>
          <w:rFonts w:hint="eastAsia" w:ascii="宋体" w:hAnsi="宋体" w:cs="宋体"/>
          <w:snapToGrid w:val="0"/>
          <w:color w:val="auto"/>
          <w:sz w:val="24"/>
          <w:szCs w:val="24"/>
          <w:lang w:val="en-US" w:eastAsia="zh-CN"/>
        </w:rPr>
        <w:t>供应商</w:t>
      </w:r>
      <w:r>
        <w:rPr>
          <w:rFonts w:hint="eastAsia" w:ascii="宋体" w:hAnsi="宋体" w:eastAsia="宋体" w:cs="宋体"/>
          <w:snapToGrid w:val="0"/>
          <w:color w:val="auto"/>
          <w:sz w:val="24"/>
          <w:szCs w:val="24"/>
        </w:rPr>
        <w:t>的</w:t>
      </w:r>
      <w:r>
        <w:rPr>
          <w:rFonts w:hint="eastAsia" w:ascii="宋体" w:hAnsi="宋体" w:eastAsia="宋体" w:cs="宋体"/>
          <w:color w:val="auto"/>
          <w:sz w:val="24"/>
          <w:szCs w:val="24"/>
        </w:rPr>
        <w:t>判断</w:t>
      </w:r>
      <w:r>
        <w:rPr>
          <w:rFonts w:hint="eastAsia" w:ascii="宋体" w:hAnsi="宋体" w:eastAsia="宋体" w:cs="宋体"/>
          <w:snapToGrid w:val="0"/>
          <w:color w:val="auto"/>
          <w:sz w:val="24"/>
          <w:szCs w:val="24"/>
        </w:rPr>
        <w:t>。</w:t>
      </w:r>
    </w:p>
    <w:p>
      <w:pPr>
        <w:spacing w:line="440" w:lineRule="exact"/>
        <w:rPr>
          <w:rFonts w:hint="eastAsia" w:ascii="宋体" w:hAnsi="宋体" w:eastAsia="宋体" w:cs="宋体"/>
          <w:b/>
          <w:color w:val="auto"/>
          <w:sz w:val="24"/>
          <w:szCs w:val="24"/>
        </w:rPr>
      </w:pPr>
    </w:p>
    <w:p>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3"/>
        <w:jc w:val="center"/>
        <w:rPr>
          <w:rFonts w:hint="eastAsia" w:ascii="宋体" w:hAnsi="宋体" w:cs="宋体"/>
          <w:b/>
          <w:color w:val="auto"/>
          <w:sz w:val="72"/>
          <w:szCs w:val="72"/>
        </w:rPr>
      </w:pPr>
      <w:r>
        <w:rPr>
          <w:rFonts w:hint="eastAsia" w:ascii="宋体" w:hAnsi="宋体" w:cs="宋体"/>
          <w:b/>
          <w:color w:val="auto"/>
          <w:sz w:val="72"/>
          <w:szCs w:val="72"/>
        </w:rPr>
        <w:br w:type="page"/>
      </w:r>
      <w:bookmarkStart w:id="122" w:name="_Toc24618"/>
      <w:r>
        <w:rPr>
          <w:rFonts w:hint="eastAsia" w:ascii="宋体" w:hAnsi="宋体" w:eastAsia="宋体" w:cs="宋体"/>
          <w:b/>
          <w:bCs/>
          <w:color w:val="auto"/>
          <w:sz w:val="32"/>
          <w:szCs w:val="32"/>
          <w:highlight w:val="none"/>
        </w:rPr>
        <w:t>格式1</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en-US" w:eastAsia="zh-CN"/>
        </w:rPr>
        <w:t>供应商认为需要提交的其他材料</w:t>
      </w:r>
      <w:r>
        <w:rPr>
          <w:rFonts w:hint="eastAsia" w:ascii="宋体" w:hAnsi="宋体" w:cs="宋体"/>
          <w:b/>
          <w:color w:val="auto"/>
          <w:sz w:val="72"/>
          <w:szCs w:val="72"/>
        </w:rPr>
        <w:br w:type="page"/>
      </w:r>
      <w:r>
        <w:rPr>
          <w:rFonts w:hint="eastAsia" w:ascii="宋体" w:hAnsi="宋体" w:cs="宋体"/>
          <w:b/>
          <w:color w:val="auto"/>
          <w:sz w:val="72"/>
          <w:szCs w:val="72"/>
        </w:rPr>
        <w:t>竞争性磋商文件</w:t>
      </w:r>
      <w:bookmarkEnd w:id="38"/>
      <w:bookmarkEnd w:id="122"/>
    </w:p>
    <w:p>
      <w:pPr>
        <w:pStyle w:val="3"/>
        <w:jc w:val="center"/>
        <w:rPr>
          <w:rFonts w:hint="eastAsia" w:ascii="宋体" w:hAnsi="宋体" w:cs="宋体"/>
          <w:b/>
          <w:color w:val="auto"/>
          <w:sz w:val="72"/>
          <w:szCs w:val="72"/>
        </w:rPr>
      </w:pPr>
      <w:bookmarkStart w:id="123" w:name="_Toc4811"/>
      <w:bookmarkStart w:id="124" w:name="_Toc17751"/>
      <w:r>
        <w:rPr>
          <w:rFonts w:hint="eastAsia" w:ascii="宋体" w:hAnsi="宋体" w:cs="宋体"/>
          <w:b/>
          <w:color w:val="auto"/>
          <w:sz w:val="72"/>
          <w:szCs w:val="72"/>
        </w:rPr>
        <w:t>（</w:t>
      </w:r>
      <w:r>
        <w:rPr>
          <w:rFonts w:hint="eastAsia" w:ascii="宋体" w:hAnsi="宋体" w:cs="宋体"/>
          <w:b/>
          <w:color w:val="auto"/>
          <w:sz w:val="72"/>
          <w:szCs w:val="72"/>
          <w:lang w:val="en-US" w:eastAsia="zh-CN"/>
        </w:rPr>
        <w:t>技术</w:t>
      </w:r>
      <w:r>
        <w:rPr>
          <w:rFonts w:hint="eastAsia" w:ascii="宋体" w:hAnsi="宋体" w:cs="宋体"/>
          <w:b/>
          <w:color w:val="auto"/>
          <w:sz w:val="72"/>
          <w:szCs w:val="72"/>
        </w:rPr>
        <w:t>部分）</w:t>
      </w:r>
      <w:bookmarkEnd w:id="123"/>
      <w:bookmarkEnd w:id="124"/>
    </w:p>
    <w:p>
      <w:pPr>
        <w:pStyle w:val="15"/>
        <w:ind w:firstLine="1400" w:firstLineChars="500"/>
        <w:rPr>
          <w:rFonts w:hint="eastAsia" w:ascii="宋体" w:hAnsi="宋体" w:eastAsia="宋体" w:cs="宋体"/>
          <w:color w:val="auto"/>
          <w:kern w:val="0"/>
          <w:sz w:val="28"/>
          <w:szCs w:val="28"/>
        </w:rPr>
      </w:pPr>
    </w:p>
    <w:p>
      <w:pPr>
        <w:bidi w:val="0"/>
        <w:rPr>
          <w:rFonts w:hint="eastAsia" w:ascii="宋体" w:hAnsi="宋体" w:eastAsia="宋体" w:cs="宋体"/>
          <w:color w:val="auto"/>
          <w:sz w:val="24"/>
          <w:szCs w:val="24"/>
          <w:highlight w:val="none"/>
        </w:rPr>
      </w:pPr>
    </w:p>
    <w:p>
      <w:pPr>
        <w:pStyle w:val="7"/>
        <w:numPr>
          <w:ilvl w:val="0"/>
          <w:numId w:val="0"/>
        </w:numPr>
        <w:ind w:leftChars="200"/>
        <w:rPr>
          <w:rFonts w:hint="eastAsia"/>
          <w:color w:val="auto"/>
        </w:rPr>
      </w:pPr>
    </w:p>
    <w:p>
      <w:pPr>
        <w:pStyle w:val="9"/>
        <w:rPr>
          <w:rFonts w:hint="eastAsia"/>
          <w:color w:val="auto"/>
        </w:rPr>
      </w:pPr>
    </w:p>
    <w:p>
      <w:pPr>
        <w:pStyle w:val="15"/>
        <w:rPr>
          <w:rFonts w:hint="eastAsia" w:hAnsi="宋体" w:cs="宋体"/>
          <w:color w:val="auto"/>
          <w:kern w:val="0"/>
          <w:sz w:val="28"/>
          <w:szCs w:val="28"/>
          <w:u w:val="single"/>
          <w:lang w:eastAsia="zh-CN"/>
        </w:rPr>
      </w:pPr>
      <w:r>
        <w:rPr>
          <w:rFonts w:hint="eastAsia" w:ascii="宋体" w:hAnsi="宋体" w:eastAsia="宋体" w:cs="宋体"/>
          <w:color w:val="auto"/>
          <w:kern w:val="0"/>
          <w:sz w:val="28"/>
          <w:szCs w:val="28"/>
        </w:rPr>
        <w:t>项目名称：</w:t>
      </w:r>
      <w:r>
        <w:rPr>
          <w:rFonts w:hint="eastAsia" w:hAnsi="宋体" w:cs="宋体"/>
          <w:color w:val="auto"/>
          <w:kern w:val="0"/>
          <w:sz w:val="28"/>
          <w:szCs w:val="28"/>
          <w:u w:val="single"/>
          <w:lang w:eastAsia="zh-CN"/>
        </w:rPr>
        <w:t>国家税务总局福州市仓山区税务局涉税（费）服务采购项目</w:t>
      </w:r>
    </w:p>
    <w:p>
      <w:pPr>
        <w:pStyle w:val="15"/>
        <w:ind w:firstLine="1400" w:firstLineChars="5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项目编号：</w:t>
      </w:r>
      <w:r>
        <w:rPr>
          <w:rFonts w:hint="eastAsia" w:hAnsi="宋体" w:cs="宋体"/>
          <w:color w:val="auto"/>
          <w:kern w:val="0"/>
          <w:sz w:val="28"/>
          <w:szCs w:val="28"/>
          <w:u w:val="single"/>
          <w:lang w:eastAsia="zh-CN"/>
        </w:rPr>
        <w:t>ZXWT-2025-30</w:t>
      </w:r>
    </w:p>
    <w:p>
      <w:pPr>
        <w:pStyle w:val="15"/>
        <w:ind w:firstLine="1400" w:firstLineChars="500"/>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采 购 人：</w:t>
      </w:r>
      <w:r>
        <w:rPr>
          <w:rFonts w:hint="eastAsia" w:hAnsi="宋体" w:cs="宋体"/>
          <w:color w:val="auto"/>
          <w:kern w:val="0"/>
          <w:sz w:val="28"/>
          <w:szCs w:val="28"/>
          <w:u w:val="single"/>
          <w:lang w:eastAsia="zh-CN"/>
        </w:rPr>
        <w:t>国家税务总局福州市仓山区税务局</w:t>
      </w:r>
    </w:p>
    <w:p>
      <w:pPr>
        <w:pStyle w:val="15"/>
        <w:ind w:firstLine="1400" w:firstLineChars="5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采购代理机构：</w:t>
      </w:r>
      <w:r>
        <w:rPr>
          <w:rFonts w:hint="eastAsia" w:ascii="宋体" w:hAnsi="宋体" w:eastAsia="宋体" w:cs="宋体"/>
          <w:color w:val="auto"/>
          <w:kern w:val="0"/>
          <w:sz w:val="28"/>
          <w:szCs w:val="28"/>
          <w:u w:val="single"/>
        </w:rPr>
        <w:t>福建省智信招标有限公司</w:t>
      </w:r>
    </w:p>
    <w:p>
      <w:pPr>
        <w:topLinePunct/>
        <w:autoSpaceDE w:val="0"/>
        <w:autoSpaceDN w:val="0"/>
        <w:spacing w:line="460" w:lineRule="exact"/>
        <w:rPr>
          <w:rFonts w:hint="eastAsia" w:ascii="宋体" w:hAnsi="宋体" w:eastAsia="宋体" w:cs="宋体"/>
          <w:b/>
          <w:color w:val="auto"/>
          <w:sz w:val="24"/>
          <w:szCs w:val="24"/>
          <w:highlight w:val="none"/>
        </w:rPr>
      </w:pPr>
    </w:p>
    <w:p>
      <w:pPr>
        <w:topLinePunct/>
        <w:autoSpaceDE w:val="0"/>
        <w:autoSpaceDN w:val="0"/>
        <w:spacing w:line="460" w:lineRule="exact"/>
        <w:jc w:val="center"/>
        <w:rPr>
          <w:rFonts w:hint="eastAsia" w:ascii="宋体" w:hAnsi="宋体" w:eastAsia="宋体" w:cs="宋体"/>
          <w:color w:val="auto"/>
          <w:sz w:val="24"/>
          <w:szCs w:val="24"/>
          <w:highlight w:val="none"/>
        </w:rPr>
      </w:pPr>
    </w:p>
    <w:p>
      <w:pPr>
        <w:pStyle w:val="7"/>
        <w:numPr>
          <w:ilvl w:val="0"/>
          <w:numId w:val="0"/>
        </w:numPr>
        <w:ind w:leftChars="200"/>
        <w:rPr>
          <w:rFonts w:hint="eastAsia"/>
          <w:color w:val="auto"/>
        </w:rPr>
      </w:pPr>
    </w:p>
    <w:p>
      <w:pPr>
        <w:pStyle w:val="10"/>
        <w:rPr>
          <w:rFonts w:hint="eastAsia"/>
          <w:color w:val="auto"/>
        </w:rPr>
      </w:pPr>
    </w:p>
    <w:p>
      <w:pPr>
        <w:topLinePunct/>
        <w:autoSpaceDE w:val="0"/>
        <w:autoSpaceDN w:val="0"/>
        <w:spacing w:line="160" w:lineRule="exact"/>
        <w:jc w:val="center"/>
        <w:rPr>
          <w:rFonts w:hint="eastAsia" w:ascii="宋体" w:hAnsi="宋体" w:eastAsia="宋体" w:cs="宋体"/>
          <w:color w:val="auto"/>
          <w:sz w:val="24"/>
          <w:szCs w:val="24"/>
          <w:highlight w:val="none"/>
        </w:rPr>
      </w:pPr>
    </w:p>
    <w:p>
      <w:pPr>
        <w:jc w:val="center"/>
        <w:rPr>
          <w:rFonts w:hint="eastAsia" w:hAnsi="宋体" w:cs="宋体"/>
          <w:color w:val="auto"/>
          <w:kern w:val="0"/>
          <w:sz w:val="28"/>
          <w:szCs w:val="28"/>
          <w:u w:val="none"/>
          <w:lang w:eastAsia="zh-CN"/>
        </w:rPr>
      </w:pPr>
      <w:r>
        <w:rPr>
          <w:rFonts w:hint="eastAsia" w:hAnsi="宋体" w:cs="宋体"/>
          <w:color w:val="auto"/>
          <w:kern w:val="0"/>
          <w:sz w:val="28"/>
          <w:szCs w:val="28"/>
          <w:u w:val="none"/>
          <w:lang w:eastAsia="zh-CN"/>
        </w:rPr>
        <w:t>国家税务总局福州市仓山区税务局</w:t>
      </w: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202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02</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13</w:t>
      </w:r>
      <w:r>
        <w:rPr>
          <w:rFonts w:hint="eastAsia" w:ascii="宋体" w:hAnsi="宋体" w:eastAsia="宋体" w:cs="宋体"/>
          <w:color w:val="auto"/>
          <w:sz w:val="28"/>
          <w:szCs w:val="28"/>
          <w:highlight w:val="none"/>
        </w:rPr>
        <w:t>日</w:t>
      </w:r>
    </w:p>
    <w:p>
      <w:pPr>
        <w:topLinePunct/>
        <w:autoSpaceDE w:val="0"/>
        <w:autoSpaceDN w:val="0"/>
        <w:jc w:val="center"/>
        <w:rPr>
          <w:rFonts w:hint="eastAsia" w:ascii="宋体" w:hAnsi="宋体" w:eastAsia="宋体" w:cs="宋体"/>
          <w:b/>
          <w:bCs/>
          <w:color w:val="auto"/>
          <w:sz w:val="28"/>
          <w:szCs w:val="28"/>
          <w:highlight w:val="yellow"/>
        </w:rPr>
      </w:pPr>
      <w:r>
        <w:rPr>
          <w:rFonts w:hint="eastAsia" w:ascii="宋体" w:hAnsi="宋体" w:eastAsia="宋体" w:cs="宋体"/>
          <w:b w:val="0"/>
          <w:bCs/>
          <w:color w:val="auto"/>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黑体" w:hAnsi="黑体" w:eastAsia="黑体" w:cs="黑体"/>
          <w:b/>
          <w:bCs/>
          <w:color w:val="auto"/>
          <w:highlight w:val="none"/>
          <w:lang w:val="en-US" w:eastAsia="zh-CN"/>
        </w:rPr>
      </w:pPr>
      <w:bookmarkStart w:id="125" w:name="_Toc31314"/>
      <w:bookmarkStart w:id="126" w:name="_Toc132880669"/>
      <w:r>
        <w:rPr>
          <w:rFonts w:hint="eastAsia" w:ascii="宋体" w:hAnsi="宋体" w:eastAsia="宋体" w:cs="宋体"/>
          <w:b/>
          <w:bCs/>
          <w:color w:val="auto"/>
          <w:sz w:val="28"/>
          <w:szCs w:val="28"/>
          <w:highlight w:val="none"/>
        </w:rPr>
        <w:t>第六章  项目采购需求</w:t>
      </w:r>
      <w:bookmarkEnd w:id="125"/>
      <w:bookmarkEnd w:id="126"/>
      <w:bookmarkStart w:id="127" w:name="_Toc132880670"/>
      <w:bookmarkStart w:id="128" w:name="_Toc12903"/>
    </w:p>
    <w:bookmarkEnd w:id="127"/>
    <w:bookmarkEnd w:id="128"/>
    <w:p>
      <w:pPr>
        <w:pStyle w:val="3"/>
        <w:keepNext w:val="0"/>
        <w:pageBreakBefore w:val="0"/>
        <w:kinsoku/>
        <w:wordWrap/>
        <w:overflowPunct/>
        <w:topLinePunct w:val="0"/>
        <w:autoSpaceDE/>
        <w:autoSpaceDN/>
        <w:bidi w:val="0"/>
        <w:adjustRightInd/>
        <w:snapToGrid/>
        <w:spacing w:before="0" w:beforeAutospacing="0" w:after="0" w:afterAutospacing="0" w:line="400" w:lineRule="exact"/>
        <w:ind w:firstLine="482"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36"/>
          <w:sz w:val="24"/>
          <w:szCs w:val="24"/>
          <w:lang w:val="en-US" w:eastAsia="zh-CN"/>
          <w14:textFill>
            <w14:solidFill>
              <w14:schemeClr w14:val="tx1"/>
            </w14:solidFill>
          </w14:textFill>
        </w:rPr>
        <w:t>1、</w:t>
      </w:r>
      <w:r>
        <w:rPr>
          <w:rFonts w:hint="eastAsia" w:ascii="宋体" w:hAnsi="宋体" w:eastAsia="宋体" w:cs="宋体"/>
          <w:color w:val="000000" w:themeColor="text1"/>
          <w:kern w:val="36"/>
          <w:sz w:val="24"/>
          <w:szCs w:val="24"/>
          <w:lang w:eastAsia="zh-CN"/>
          <w14:textFill>
            <w14:solidFill>
              <w14:schemeClr w14:val="tx1"/>
            </w14:solidFill>
          </w14:textFill>
        </w:rPr>
        <w:t>项目概述</w:t>
      </w:r>
    </w:p>
    <w:p>
      <w:pPr>
        <w:pStyle w:val="4"/>
        <w:keepNext w:val="0"/>
        <w:pageBreakBefore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129" w:name="_Toc256000001"/>
      <w:r>
        <w:rPr>
          <w:rFonts w:hint="eastAsia" w:ascii="宋体" w:hAnsi="宋体" w:eastAsia="宋体" w:cs="宋体"/>
          <w:i w:val="0"/>
          <w:iCs w:val="0"/>
          <w:color w:val="000000" w:themeColor="text1"/>
          <w:sz w:val="24"/>
          <w:szCs w:val="24"/>
          <w:lang w:eastAsia="zh-CN"/>
          <w14:textFill>
            <w14:solidFill>
              <w14:schemeClr w14:val="tx1"/>
            </w14:solidFill>
          </w14:textFill>
        </w:rPr>
        <w:t>1.1项目背景</w:t>
      </w:r>
      <w:bookmarkEnd w:id="129"/>
    </w:p>
    <w:p>
      <w:pPr>
        <w:pStyle w:val="49"/>
        <w:keepNext w:val="0"/>
        <w:pageBreakBefore w:val="0"/>
        <w:kinsoku/>
        <w:wordWrap/>
        <w:overflowPunct/>
        <w:topLinePunct w:val="0"/>
        <w:autoSpaceDE/>
        <w:autoSpaceDN/>
        <w:bidi w:val="0"/>
        <w:adjustRightInd/>
        <w:snapToGrid/>
        <w:spacing w:beforeAutospacing="0" w:afterAutospacing="0" w:line="400" w:lineRule="exact"/>
        <w:ind w:firstLine="640"/>
        <w:textAlignment w:val="auto"/>
        <w:rPr>
          <w:rFonts w:hint="eastAsia" w:ascii="宋体" w:hAnsi="宋体" w:eastAsia="宋体" w:cs="宋体"/>
          <w:color w:val="auto"/>
          <w:sz w:val="24"/>
          <w:szCs w:val="24"/>
          <w:lang w:eastAsia="zh-CN"/>
        </w:rPr>
      </w:pPr>
      <w:r>
        <w:rPr>
          <w:rFonts w:hint="eastAsia" w:ascii="宋体" w:hAnsi="宋体" w:eastAsia="宋体" w:cs="宋体"/>
          <w:color w:val="000000" w:themeColor="text1"/>
          <w:sz w:val="24"/>
          <w:szCs w:val="24"/>
          <w:lang w:eastAsia="zh-CN"/>
          <w14:textFill>
            <w14:solidFill>
              <w14:schemeClr w14:val="tx1"/>
            </w14:solidFill>
          </w14:textFill>
        </w:rPr>
        <w:t>随着辖区内纳税人缴费人数量的增长，办税服务质量亟需进一步提质升级。为此，国家税务总局</w:t>
      </w:r>
      <w:r>
        <w:rPr>
          <w:rFonts w:hint="eastAsia" w:ascii="宋体" w:hAnsi="宋体" w:eastAsia="宋体" w:cs="宋体"/>
          <w:color w:val="000000" w:themeColor="text1"/>
          <w:sz w:val="24"/>
          <w:szCs w:val="24"/>
          <w:lang w:val="en-US" w:eastAsia="zh-CN"/>
          <w14:textFill>
            <w14:solidFill>
              <w14:schemeClr w14:val="tx1"/>
            </w14:solidFill>
          </w14:textFill>
        </w:rPr>
        <w:t>福州市仓山区</w:t>
      </w:r>
      <w:r>
        <w:rPr>
          <w:rFonts w:hint="eastAsia" w:ascii="宋体" w:hAnsi="宋体" w:eastAsia="宋体" w:cs="宋体"/>
          <w:color w:val="000000" w:themeColor="text1"/>
          <w:sz w:val="24"/>
          <w:szCs w:val="24"/>
          <w:lang w:eastAsia="zh-CN"/>
          <w14:textFill>
            <w14:solidFill>
              <w14:schemeClr w14:val="tx1"/>
            </w14:solidFill>
          </w14:textFill>
        </w:rPr>
        <w:t>税务</w:t>
      </w:r>
      <w:r>
        <w:rPr>
          <w:rFonts w:hint="eastAsia" w:ascii="宋体" w:hAnsi="宋体" w:eastAsia="宋体" w:cs="宋体"/>
          <w:color w:val="auto"/>
          <w:sz w:val="24"/>
          <w:szCs w:val="24"/>
          <w:lang w:eastAsia="zh-CN"/>
        </w:rPr>
        <w:t>局拟将涉税（费）服务项目（不少于</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lang w:eastAsia="zh-CN"/>
        </w:rPr>
        <w:t>个岗位需求）对外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，旨在提高纳税服务水平，展现国家税务总局</w:t>
      </w:r>
      <w:r>
        <w:rPr>
          <w:rFonts w:hint="eastAsia" w:ascii="宋体" w:hAnsi="宋体" w:eastAsia="宋体" w:cs="宋体"/>
          <w:color w:val="auto"/>
          <w:sz w:val="24"/>
          <w:szCs w:val="24"/>
          <w:lang w:val="en-US" w:eastAsia="zh-CN"/>
        </w:rPr>
        <w:t>福州市仓山区</w:t>
      </w:r>
      <w:r>
        <w:rPr>
          <w:rFonts w:hint="eastAsia" w:ascii="宋体" w:hAnsi="宋体" w:eastAsia="宋体" w:cs="宋体"/>
          <w:color w:val="auto"/>
          <w:sz w:val="24"/>
          <w:szCs w:val="24"/>
          <w:lang w:eastAsia="zh-CN"/>
        </w:rPr>
        <w:t>税务局机关良好的精神风貌。</w:t>
      </w:r>
    </w:p>
    <w:p>
      <w:pPr>
        <w:pStyle w:val="4"/>
        <w:keepNext w:val="0"/>
        <w:pageBreakBefore w:val="0"/>
        <w:kinsoku/>
        <w:wordWrap/>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s="宋体"/>
          <w:color w:val="auto"/>
          <w:sz w:val="24"/>
          <w:szCs w:val="24"/>
          <w:lang w:val="en-US" w:eastAsia="zh-CN"/>
        </w:rPr>
      </w:pPr>
      <w:bookmarkStart w:id="130" w:name="_Toc256000003"/>
      <w:r>
        <w:rPr>
          <w:rFonts w:hint="eastAsia" w:ascii="宋体" w:hAnsi="宋体" w:eastAsia="宋体" w:cs="宋体"/>
          <w:i w:val="0"/>
          <w:iCs w:val="0"/>
          <w:color w:val="auto"/>
          <w:sz w:val="24"/>
          <w:szCs w:val="24"/>
        </w:rPr>
        <w:t>1.2</w:t>
      </w:r>
      <w:bookmarkEnd w:id="130"/>
      <w:r>
        <w:rPr>
          <w:rFonts w:hint="eastAsia" w:ascii="宋体" w:hAnsi="宋体" w:eastAsia="宋体" w:cs="宋体"/>
          <w:i w:val="0"/>
          <w:iCs w:val="0"/>
          <w:color w:val="auto"/>
          <w:sz w:val="24"/>
          <w:szCs w:val="24"/>
          <w:lang w:val="en-US" w:eastAsia="zh-CN"/>
        </w:rPr>
        <w:t>采购内容</w:t>
      </w:r>
    </w:p>
    <w:tbl>
      <w:tblPr>
        <w:tblStyle w:val="51"/>
        <w:tblW w:w="8769" w:type="dxa"/>
        <w:tblInd w:w="15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6"/>
        <w:gridCol w:w="1050"/>
        <w:gridCol w:w="842"/>
        <w:gridCol w:w="3774"/>
        <w:gridCol w:w="1188"/>
        <w:gridCol w:w="9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2" w:hRule="atLeast"/>
        </w:trPr>
        <w:tc>
          <w:tcPr>
            <w:tcW w:w="946" w:type="dxa"/>
            <w:tcBorders>
              <w:tl2br w:val="nil"/>
              <w:tr2bl w:val="nil"/>
            </w:tcBorders>
            <w:tcMar>
              <w:top w:w="0" w:type="dxa"/>
              <w:left w:w="128" w:type="dxa"/>
              <w:bottom w:w="0" w:type="dxa"/>
              <w:right w:w="128" w:type="dxa"/>
            </w:tcMar>
            <w:vAlign w:val="center"/>
          </w:tcPr>
          <w:p>
            <w:pPr>
              <w:pStyle w:val="50"/>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采购包</w:t>
            </w:r>
          </w:p>
        </w:tc>
        <w:tc>
          <w:tcPr>
            <w:tcW w:w="1050" w:type="dxa"/>
            <w:tcBorders>
              <w:tl2br w:val="nil"/>
              <w:tr2bl w:val="nil"/>
            </w:tcBorders>
            <w:tcMar>
              <w:top w:w="0" w:type="dxa"/>
              <w:left w:w="118" w:type="dxa"/>
              <w:bottom w:w="0" w:type="dxa"/>
              <w:right w:w="128" w:type="dxa"/>
            </w:tcMar>
            <w:vAlign w:val="center"/>
          </w:tcPr>
          <w:p>
            <w:pPr>
              <w:pStyle w:val="50"/>
              <w:keepNext w:val="0"/>
              <w:pageBreakBefore w:val="0"/>
              <w:kinsoku/>
              <w:wordWrap/>
              <w:overflowPunct/>
              <w:topLinePunct w:val="0"/>
              <w:autoSpaceDE/>
              <w:autoSpaceDN/>
              <w:bidi w:val="0"/>
              <w:adjustRightInd/>
              <w:spacing w:before="240" w:line="400" w:lineRule="exact"/>
              <w:ind w:right="62"/>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服务</w:t>
            </w:r>
            <w:r>
              <w:rPr>
                <w:rFonts w:hint="eastAsia" w:ascii="宋体" w:hAnsi="宋体" w:eastAsia="宋体" w:cs="宋体"/>
                <w:b/>
                <w:bCs/>
                <w:color w:val="auto"/>
                <w:sz w:val="24"/>
                <w:szCs w:val="24"/>
                <w:lang w:val="en-US" w:eastAsia="zh-CN"/>
              </w:rPr>
              <w:t xml:space="preserve">名称 </w:t>
            </w:r>
          </w:p>
        </w:tc>
        <w:tc>
          <w:tcPr>
            <w:tcW w:w="842" w:type="dxa"/>
            <w:tcBorders>
              <w:tl2br w:val="nil"/>
              <w:tr2bl w:val="nil"/>
            </w:tcBorders>
            <w:tcMar>
              <w:top w:w="0" w:type="dxa"/>
              <w:left w:w="123" w:type="dxa"/>
              <w:bottom w:w="0" w:type="dxa"/>
              <w:right w:w="128" w:type="dxa"/>
            </w:tcMar>
            <w:vAlign w:val="center"/>
          </w:tcPr>
          <w:p>
            <w:pPr>
              <w:pStyle w:val="50"/>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岗位数量</w:t>
            </w:r>
          </w:p>
        </w:tc>
        <w:tc>
          <w:tcPr>
            <w:tcW w:w="3774" w:type="dxa"/>
            <w:tcBorders>
              <w:tl2br w:val="nil"/>
              <w:tr2bl w:val="nil"/>
            </w:tcBorders>
            <w:tcMar>
              <w:top w:w="0" w:type="dxa"/>
              <w:left w:w="123" w:type="dxa"/>
              <w:bottom w:w="0" w:type="dxa"/>
              <w:right w:w="128" w:type="dxa"/>
            </w:tcMar>
            <w:vAlign w:val="center"/>
          </w:tcPr>
          <w:p>
            <w:pPr>
              <w:pStyle w:val="50"/>
              <w:keepNext w:val="0"/>
              <w:pageBreakBefore w:val="0"/>
              <w:kinsoku/>
              <w:wordWrap/>
              <w:overflowPunct/>
              <w:topLinePunct w:val="0"/>
              <w:autoSpaceDE/>
              <w:autoSpaceDN/>
              <w:bidi w:val="0"/>
              <w:adjustRightInd/>
              <w:spacing w:line="400" w:lineRule="exact"/>
              <w:ind w:right="62" w:firstLine="37"/>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采购内容及要求</w:t>
            </w:r>
          </w:p>
        </w:tc>
        <w:tc>
          <w:tcPr>
            <w:tcW w:w="1188" w:type="dxa"/>
            <w:tcBorders>
              <w:tl2br w:val="nil"/>
              <w:tr2bl w:val="nil"/>
            </w:tcBorders>
            <w:tcMar>
              <w:top w:w="0" w:type="dxa"/>
              <w:left w:w="123" w:type="dxa"/>
              <w:bottom w:w="0" w:type="dxa"/>
              <w:right w:w="128" w:type="dxa"/>
            </w:tcMar>
            <w:vAlign w:val="center"/>
          </w:tcPr>
          <w:p>
            <w:pPr>
              <w:pStyle w:val="50"/>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最高限价（</w:t>
            </w:r>
            <w:r>
              <w:rPr>
                <w:rFonts w:hint="eastAsia" w:ascii="宋体" w:hAnsi="宋体" w:eastAsia="宋体" w:cs="宋体"/>
                <w:b/>
                <w:bCs/>
                <w:color w:val="auto"/>
                <w:sz w:val="24"/>
                <w:szCs w:val="24"/>
                <w:lang w:val="en-US" w:eastAsia="zh-CN"/>
              </w:rPr>
              <w:t>万</w:t>
            </w:r>
            <w:r>
              <w:rPr>
                <w:rFonts w:hint="eastAsia" w:ascii="宋体" w:hAnsi="宋体" w:eastAsia="宋体" w:cs="宋体"/>
                <w:b/>
                <w:bCs/>
                <w:color w:val="auto"/>
                <w:sz w:val="24"/>
                <w:szCs w:val="24"/>
              </w:rPr>
              <w:t>元）</w:t>
            </w:r>
          </w:p>
        </w:tc>
        <w:tc>
          <w:tcPr>
            <w:tcW w:w="969" w:type="dxa"/>
            <w:tcBorders>
              <w:tl2br w:val="nil"/>
              <w:tr2bl w:val="nil"/>
            </w:tcBorders>
            <w:tcMar>
              <w:top w:w="0" w:type="dxa"/>
              <w:left w:w="123" w:type="dxa"/>
              <w:bottom w:w="0" w:type="dxa"/>
              <w:right w:w="128" w:type="dxa"/>
            </w:tcMar>
            <w:vAlign w:val="center"/>
          </w:tcPr>
          <w:p>
            <w:pPr>
              <w:pStyle w:val="50"/>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服务期限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946" w:type="dxa"/>
            <w:tcBorders>
              <w:tl2br w:val="nil"/>
              <w:tr2bl w:val="nil"/>
            </w:tcBorders>
            <w:tcMar>
              <w:top w:w="0" w:type="dxa"/>
              <w:left w:w="128" w:type="dxa"/>
              <w:bottom w:w="0" w:type="dxa"/>
              <w:right w:w="128" w:type="dxa"/>
            </w:tcMar>
            <w:vAlign w:val="center"/>
          </w:tcPr>
          <w:p>
            <w:pPr>
              <w:pStyle w:val="50"/>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p>
        </w:tc>
        <w:tc>
          <w:tcPr>
            <w:tcW w:w="1050" w:type="dxa"/>
            <w:tcBorders>
              <w:tl2br w:val="nil"/>
              <w:tr2bl w:val="nil"/>
            </w:tcBorders>
            <w:tcMar>
              <w:top w:w="0" w:type="dxa"/>
              <w:left w:w="118" w:type="dxa"/>
              <w:bottom w:w="0" w:type="dxa"/>
              <w:right w:w="128" w:type="dxa"/>
            </w:tcMar>
            <w:vAlign w:val="center"/>
          </w:tcPr>
          <w:p>
            <w:pPr>
              <w:pStyle w:val="50"/>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涉税（费）服务</w:t>
            </w:r>
            <w:r>
              <w:rPr>
                <w:rFonts w:hint="eastAsia" w:ascii="宋体" w:hAnsi="宋体" w:eastAsia="宋体" w:cs="宋体"/>
                <w:color w:val="auto"/>
                <w:sz w:val="24"/>
                <w:szCs w:val="24"/>
                <w:lang w:val="en-US" w:eastAsia="zh-CN"/>
              </w:rPr>
              <w:t>采购项目</w:t>
            </w:r>
          </w:p>
        </w:tc>
        <w:tc>
          <w:tcPr>
            <w:tcW w:w="842" w:type="dxa"/>
            <w:tcBorders>
              <w:tl2br w:val="nil"/>
              <w:tr2bl w:val="nil"/>
            </w:tcBorders>
            <w:tcMar>
              <w:top w:w="0" w:type="dxa"/>
              <w:left w:w="123" w:type="dxa"/>
              <w:bottom w:w="0" w:type="dxa"/>
              <w:right w:w="128" w:type="dxa"/>
            </w:tcMar>
            <w:vAlign w:val="center"/>
          </w:tcPr>
          <w:p>
            <w:pPr>
              <w:pStyle w:val="50"/>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3774" w:type="dxa"/>
            <w:tcBorders>
              <w:tl2br w:val="nil"/>
              <w:tr2bl w:val="nil"/>
            </w:tcBorders>
            <w:tcMar>
              <w:top w:w="0" w:type="dxa"/>
              <w:left w:w="123" w:type="dxa"/>
              <w:bottom w:w="0" w:type="dxa"/>
              <w:right w:w="128" w:type="dxa"/>
            </w:tcMar>
            <w:vAlign w:val="center"/>
          </w:tcPr>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zh-CN" w:eastAsia="zh-CN"/>
              </w:rPr>
              <w:t>提供</w:t>
            </w:r>
            <w:r>
              <w:rPr>
                <w:rFonts w:hint="eastAsia" w:ascii="宋体" w:hAnsi="宋体" w:eastAsia="宋体" w:cs="宋体"/>
                <w:color w:val="auto"/>
                <w:sz w:val="24"/>
                <w:szCs w:val="24"/>
                <w:lang w:val="zh-CN"/>
              </w:rPr>
              <w:t>办税服务厅现场导税、接受咨询；辅导纳税人利用自助办税终端、</w:t>
            </w:r>
            <w:r>
              <w:rPr>
                <w:rFonts w:hint="eastAsia" w:ascii="宋体" w:hAnsi="宋体" w:eastAsia="宋体" w:cs="宋体"/>
                <w:color w:val="auto"/>
                <w:sz w:val="24"/>
                <w:szCs w:val="24"/>
                <w:lang w:val="en-US" w:eastAsia="zh-CN"/>
              </w:rPr>
              <w:t>自助办税区</w:t>
            </w:r>
            <w:r>
              <w:rPr>
                <w:rFonts w:hint="eastAsia" w:ascii="宋体" w:hAnsi="宋体" w:eastAsia="宋体" w:cs="宋体"/>
                <w:color w:val="auto"/>
                <w:sz w:val="24"/>
                <w:szCs w:val="24"/>
                <w:lang w:val="zh-CN"/>
              </w:rPr>
              <w:t>、手机进行自助办税、网上办税、掌上办税；区局税收业务咨询热线接答，12366远程座席接答；</w:t>
            </w:r>
            <w:r>
              <w:rPr>
                <w:rFonts w:hint="eastAsia" w:ascii="宋体" w:hAnsi="宋体" w:eastAsia="宋体" w:cs="宋体"/>
                <w:color w:val="auto"/>
                <w:sz w:val="24"/>
                <w:szCs w:val="24"/>
                <w:lang w:val="en-US" w:eastAsia="zh-CN"/>
              </w:rPr>
              <w:t>税费争议诉求事项接待、台账录入、咨询调解等；</w:t>
            </w:r>
            <w:r>
              <w:rPr>
                <w:rFonts w:hint="eastAsia" w:ascii="宋体" w:hAnsi="宋体" w:eastAsia="宋体" w:cs="宋体"/>
                <w:color w:val="auto"/>
                <w:sz w:val="24"/>
                <w:szCs w:val="24"/>
                <w:lang w:val="zh-CN"/>
              </w:rPr>
              <w:t>资料管理以及除总局规定办税服务厅编外人员授权负面清单以外的业务事项等辅助工作。</w:t>
            </w:r>
          </w:p>
        </w:tc>
        <w:tc>
          <w:tcPr>
            <w:tcW w:w="1188" w:type="dxa"/>
            <w:tcBorders>
              <w:tl2br w:val="nil"/>
              <w:tr2bl w:val="nil"/>
            </w:tcBorders>
            <w:tcMar>
              <w:top w:w="0" w:type="dxa"/>
              <w:left w:w="123" w:type="dxa"/>
              <w:bottom w:w="0" w:type="dxa"/>
              <w:right w:w="128" w:type="dxa"/>
            </w:tcMar>
            <w:vAlign w:val="center"/>
          </w:tcPr>
          <w:p>
            <w:pPr>
              <w:pStyle w:val="50"/>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bidi="ar-SA"/>
              </w:rPr>
              <w:t>98</w:t>
            </w:r>
          </w:p>
        </w:tc>
        <w:tc>
          <w:tcPr>
            <w:tcW w:w="969" w:type="dxa"/>
            <w:tcBorders>
              <w:tl2br w:val="nil"/>
              <w:tr2bl w:val="nil"/>
            </w:tcBorders>
            <w:tcMar>
              <w:top w:w="0" w:type="dxa"/>
              <w:left w:w="123" w:type="dxa"/>
              <w:bottom w:w="0" w:type="dxa"/>
              <w:right w:w="128" w:type="dxa"/>
            </w:tcMar>
            <w:vAlign w:val="center"/>
          </w:tcPr>
          <w:p>
            <w:pPr>
              <w:pStyle w:val="50"/>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bidi="ar-SA"/>
              </w:rPr>
              <w:t>1</w:t>
            </w:r>
            <w:r>
              <w:rPr>
                <w:rFonts w:hint="eastAsia" w:ascii="宋体" w:hAnsi="宋体" w:eastAsia="宋体" w:cs="宋体"/>
                <w:color w:val="auto"/>
                <w:sz w:val="24"/>
                <w:szCs w:val="24"/>
                <w:lang w:val="zh-CN" w:eastAsia="zh-CN" w:bidi="ar-SA"/>
              </w:rPr>
              <w:t>年</w:t>
            </w:r>
          </w:p>
        </w:tc>
      </w:tr>
    </w:tbl>
    <w:p>
      <w:pPr>
        <w:pStyle w:val="6"/>
        <w:keepNext w:val="0"/>
        <w:pageBreakBefore w:val="0"/>
        <w:kinsoku/>
        <w:wordWrap/>
        <w:overflowPunct/>
        <w:topLinePunct w:val="0"/>
        <w:autoSpaceDE/>
        <w:autoSpaceDN/>
        <w:bidi w:val="0"/>
        <w:adjustRightInd/>
        <w:spacing w:before="0" w:after="0" w:line="40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131" w:name="_Toc256000005"/>
      <w:r>
        <w:rPr>
          <w:rFonts w:hint="eastAsia" w:ascii="宋体" w:hAnsi="宋体" w:eastAsia="宋体" w:cs="宋体"/>
          <w:color w:val="000000" w:themeColor="text1"/>
          <w:sz w:val="24"/>
          <w:szCs w:val="24"/>
          <w:lang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项目实施</w:t>
      </w:r>
      <w:bookmarkEnd w:id="131"/>
      <w:r>
        <w:rPr>
          <w:rFonts w:hint="eastAsia" w:ascii="宋体" w:hAnsi="宋体" w:eastAsia="宋体" w:cs="宋体"/>
          <w:color w:val="000000" w:themeColor="text1"/>
          <w:sz w:val="24"/>
          <w:szCs w:val="24"/>
          <w:lang w:val="en-US" w:eastAsia="zh-CN"/>
          <w14:textFill>
            <w14:solidFill>
              <w14:schemeClr w14:val="tx1"/>
            </w14:solidFill>
          </w14:textFill>
        </w:rPr>
        <w:t>地点</w:t>
      </w:r>
    </w:p>
    <w:p>
      <w:pPr>
        <w:keepNext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国家税务总局</w:t>
      </w:r>
      <w:r>
        <w:rPr>
          <w:rFonts w:hint="eastAsia" w:ascii="宋体" w:hAnsi="宋体" w:eastAsia="宋体" w:cs="宋体"/>
          <w:color w:val="000000" w:themeColor="text1"/>
          <w:sz w:val="24"/>
          <w:szCs w:val="24"/>
          <w:lang w:val="en-US" w:eastAsia="zh-CN"/>
          <w14:textFill>
            <w14:solidFill>
              <w14:schemeClr w14:val="tx1"/>
            </w14:solidFill>
          </w14:textFill>
        </w:rPr>
        <w:t>福州市仓山区</w:t>
      </w:r>
      <w:r>
        <w:rPr>
          <w:rFonts w:hint="eastAsia" w:ascii="宋体" w:hAnsi="宋体" w:eastAsia="宋体" w:cs="宋体"/>
          <w:color w:val="000000" w:themeColor="text1"/>
          <w:sz w:val="24"/>
          <w:szCs w:val="24"/>
          <w:lang w:eastAsia="zh-CN"/>
          <w14:textFill>
            <w14:solidFill>
              <w14:schemeClr w14:val="tx1"/>
            </w14:solidFill>
          </w14:textFill>
        </w:rPr>
        <w:t>税务局。</w:t>
      </w:r>
    </w:p>
    <w:p>
      <w:pPr>
        <w:pStyle w:val="2"/>
        <w:ind w:left="0" w:leftChars="0" w:firstLine="0" w:firstLineChars="0"/>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1.4付款方式</w:t>
      </w:r>
    </w:p>
    <w:p>
      <w:pPr>
        <w:pStyle w:val="2"/>
        <w:ind w:left="0" w:leftChars="0" w:firstLine="480" w:firstLineChars="200"/>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按月支付费用：采购人收到发票后15日之内支付成交人上个月的结算费用。采购人在服务期内进行岗位调整的,根据供应商对应岗位的投标报价据实结算。</w:t>
      </w:r>
    </w:p>
    <w:p>
      <w:pPr>
        <w:pStyle w:val="3"/>
        <w:keepNext w:val="0"/>
        <w:pageBreakBefore w:val="0"/>
        <w:numPr>
          <w:ilvl w:val="0"/>
          <w:numId w:val="2"/>
        </w:numPr>
        <w:kinsoku/>
        <w:wordWrap/>
        <w:overflowPunct/>
        <w:topLinePunct w:val="0"/>
        <w:autoSpaceDE/>
        <w:autoSpaceDN/>
        <w:bidi w:val="0"/>
        <w:adjustRightInd/>
        <w:spacing w:before="0" w:after="0" w:line="400" w:lineRule="exact"/>
        <w:jc w:val="both"/>
        <w:textAlignment w:val="auto"/>
        <w:rPr>
          <w:rFonts w:hint="eastAsia" w:ascii="宋体" w:hAnsi="宋体" w:eastAsia="宋体" w:cs="宋体"/>
          <w:color w:val="000000" w:themeColor="text1"/>
          <w:kern w:val="36"/>
          <w:sz w:val="24"/>
          <w:szCs w:val="24"/>
          <w:lang w:val="en-US" w:eastAsia="zh-CN"/>
          <w14:textFill>
            <w14:solidFill>
              <w14:schemeClr w14:val="tx1"/>
            </w14:solidFill>
          </w14:textFill>
        </w:rPr>
      </w:pPr>
      <w:bookmarkStart w:id="132" w:name="_Toc256000014"/>
      <w:r>
        <w:rPr>
          <w:rFonts w:hint="eastAsia" w:ascii="宋体" w:hAnsi="宋体" w:eastAsia="宋体" w:cs="宋体"/>
          <w:color w:val="000000" w:themeColor="text1"/>
          <w:kern w:val="36"/>
          <w:sz w:val="24"/>
          <w:szCs w:val="24"/>
          <w:lang w:val="en-US" w:eastAsia="zh-CN"/>
          <w14:textFill>
            <w14:solidFill>
              <w14:schemeClr w14:val="tx1"/>
            </w14:solidFill>
          </w14:textFill>
        </w:rPr>
        <w:t>项目服务要求</w:t>
      </w:r>
    </w:p>
    <w:p>
      <w:pPr>
        <w:keepNext w:val="0"/>
        <w:pageBreakBefore w:val="0"/>
        <w:kinsoku/>
        <w:wordWrap/>
        <w:overflowPunct/>
        <w:topLinePunct w:val="0"/>
        <w:autoSpaceDE/>
        <w:autoSpaceDN/>
        <w:bidi w:val="0"/>
        <w:adjustRightInd/>
        <w:spacing w:before="0" w:after="0" w:line="4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lang w:eastAsia="zh-CN"/>
          <w14:textFill>
            <w14:solidFill>
              <w14:schemeClr w14:val="tx1"/>
            </w14:solidFill>
          </w14:textFill>
        </w:rPr>
        <w:t>成交人</w:t>
      </w:r>
      <w:r>
        <w:rPr>
          <w:rFonts w:hint="eastAsia" w:ascii="宋体" w:hAnsi="宋体" w:eastAsia="宋体" w:cs="宋体"/>
          <w:color w:val="000000" w:themeColor="text1"/>
          <w:sz w:val="24"/>
          <w:szCs w:val="24"/>
          <w14:textFill>
            <w14:solidFill>
              <w14:schemeClr w14:val="tx1"/>
            </w14:solidFill>
          </w14:textFill>
        </w:rPr>
        <w:t>应</w:t>
      </w:r>
      <w:r>
        <w:rPr>
          <w:rFonts w:hint="eastAsia" w:ascii="宋体" w:hAnsi="宋体" w:eastAsia="宋体" w:cs="宋体"/>
          <w:color w:val="000000" w:themeColor="text1"/>
          <w:sz w:val="24"/>
          <w:szCs w:val="24"/>
          <w:lang w:eastAsia="zh-CN"/>
          <w14:textFill>
            <w14:solidFill>
              <w14:schemeClr w14:val="tx1"/>
            </w14:solidFill>
          </w14:textFill>
        </w:rPr>
        <w:t>为本项目配备项目经理和专职法务团队，并</w:t>
      </w:r>
      <w:r>
        <w:rPr>
          <w:rFonts w:hint="eastAsia" w:ascii="宋体" w:hAnsi="宋体" w:eastAsia="宋体" w:cs="宋体"/>
          <w:color w:val="000000" w:themeColor="text1"/>
          <w:sz w:val="24"/>
          <w:szCs w:val="24"/>
          <w14:textFill>
            <w14:solidFill>
              <w14:schemeClr w14:val="tx1"/>
            </w14:solidFill>
          </w14:textFill>
        </w:rPr>
        <w:t>向采购人提供项目</w:t>
      </w:r>
      <w:r>
        <w:rPr>
          <w:rFonts w:hint="eastAsia" w:ascii="宋体" w:hAnsi="宋体" w:eastAsia="宋体" w:cs="宋体"/>
          <w:color w:val="000000" w:themeColor="text1"/>
          <w:sz w:val="24"/>
          <w:szCs w:val="24"/>
          <w:lang w:eastAsia="zh-CN"/>
          <w14:textFill>
            <w14:solidFill>
              <w14:schemeClr w14:val="tx1"/>
            </w14:solidFill>
          </w14:textFill>
        </w:rPr>
        <w:t>经理</w:t>
      </w:r>
      <w:r>
        <w:rPr>
          <w:rFonts w:hint="eastAsia" w:ascii="宋体" w:hAnsi="宋体" w:eastAsia="宋体" w:cs="宋体"/>
          <w:color w:val="000000" w:themeColor="text1"/>
          <w:sz w:val="24"/>
          <w:szCs w:val="24"/>
          <w14:textFill>
            <w14:solidFill>
              <w14:schemeClr w14:val="tx1"/>
            </w14:solidFill>
          </w14:textFill>
        </w:rPr>
        <w:t>姓名、身份证及24小时服务电话。</w:t>
      </w:r>
    </w:p>
    <w:p>
      <w:pPr>
        <w:keepNext w:val="0"/>
        <w:pageBreakBefore w:val="0"/>
        <w:kinsoku/>
        <w:wordWrap/>
        <w:overflowPunct/>
        <w:topLinePunct w:val="0"/>
        <w:autoSpaceDE/>
        <w:autoSpaceDN/>
        <w:bidi w:val="0"/>
        <w:adjustRightInd/>
        <w:spacing w:before="0" w:after="0" w:line="40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w:t>
      </w:r>
      <w:r>
        <w:rPr>
          <w:rFonts w:hint="eastAsia" w:ascii="宋体" w:hAnsi="宋体" w:eastAsia="宋体" w:cs="宋体"/>
          <w:color w:val="000000" w:themeColor="text1"/>
          <w:sz w:val="24"/>
          <w:szCs w:val="24"/>
          <w:lang w:val="en-US" w:eastAsia="zh-CN"/>
          <w14:textFill>
            <w14:solidFill>
              <w14:schemeClr w14:val="tx1"/>
            </w14:solidFill>
          </w14:textFill>
        </w:rPr>
        <w:t>2.2</w:t>
      </w:r>
      <w:r>
        <w:rPr>
          <w:rFonts w:hint="eastAsia" w:ascii="宋体" w:hAnsi="宋体" w:eastAsia="宋体" w:cs="宋体"/>
          <w:color w:val="000000" w:themeColor="text1"/>
          <w:sz w:val="24"/>
          <w:szCs w:val="24"/>
          <w:lang w:eastAsia="zh-CN"/>
          <w14:textFill>
            <w14:solidFill>
              <w14:schemeClr w14:val="tx1"/>
            </w14:solidFill>
          </w14:textFill>
        </w:rPr>
        <w:t>成交人为本项目配备的服务人员</w:t>
      </w:r>
      <w:r>
        <w:rPr>
          <w:rFonts w:hint="eastAsia" w:ascii="宋体" w:hAnsi="宋体" w:eastAsia="宋体" w:cs="宋体"/>
          <w:color w:val="000000" w:themeColor="text1"/>
          <w:sz w:val="24"/>
          <w:szCs w:val="24"/>
          <w14:textFill>
            <w14:solidFill>
              <w14:schemeClr w14:val="tx1"/>
            </w14:solidFill>
          </w14:textFill>
        </w:rPr>
        <w:t>不得</w:t>
      </w:r>
      <w:r>
        <w:rPr>
          <w:rFonts w:hint="eastAsia" w:ascii="宋体" w:hAnsi="宋体" w:eastAsia="宋体" w:cs="宋体"/>
          <w:color w:val="000000" w:themeColor="text1"/>
          <w:sz w:val="24"/>
          <w:szCs w:val="24"/>
          <w:lang w:eastAsia="zh-CN"/>
          <w14:textFill>
            <w14:solidFill>
              <w14:schemeClr w14:val="tx1"/>
            </w14:solidFill>
          </w14:textFill>
        </w:rPr>
        <w:t>有</w:t>
      </w:r>
      <w:r>
        <w:rPr>
          <w:rFonts w:hint="eastAsia" w:ascii="宋体" w:hAnsi="宋体" w:eastAsia="宋体" w:cs="宋体"/>
          <w:color w:val="000000" w:themeColor="text1"/>
          <w:sz w:val="24"/>
          <w:szCs w:val="24"/>
          <w14:textFill>
            <w14:solidFill>
              <w14:schemeClr w14:val="tx1"/>
            </w14:solidFill>
          </w14:textFill>
        </w:rPr>
        <w:t>涉赌、涉毒、涉黑以及任何的违法、违纪等不良记录。</w:t>
      </w:r>
      <w:r>
        <w:rPr>
          <w:rFonts w:hint="eastAsia" w:ascii="宋体" w:hAnsi="宋体" w:eastAsia="宋体" w:cs="宋体"/>
          <w:color w:val="000000" w:themeColor="text1"/>
          <w:sz w:val="24"/>
          <w:szCs w:val="24"/>
          <w:lang w:eastAsia="zh-CN"/>
          <w14:textFill>
            <w14:solidFill>
              <w14:schemeClr w14:val="tx1"/>
            </w14:solidFill>
          </w14:textFill>
        </w:rPr>
        <w:t>供应商成交后须</w:t>
      </w:r>
      <w:r>
        <w:rPr>
          <w:rFonts w:hint="eastAsia" w:ascii="宋体" w:hAnsi="宋体" w:eastAsia="宋体" w:cs="宋体"/>
          <w:color w:val="000000" w:themeColor="text1"/>
          <w:sz w:val="24"/>
          <w:szCs w:val="24"/>
          <w14:textFill>
            <w14:solidFill>
              <w14:schemeClr w14:val="tx1"/>
            </w14:solidFill>
          </w14:textFill>
        </w:rPr>
        <w:t>为采购人提供相应人员户籍所在地派出所出具的背景核查证明。</w:t>
      </w:r>
    </w:p>
    <w:p>
      <w:pPr>
        <w:pStyle w:val="4"/>
        <w:keepNext w:val="0"/>
        <w:pageBreakBefore w:val="0"/>
        <w:kinsoku/>
        <w:wordWrap/>
        <w:overflowPunct/>
        <w:topLinePunct w:val="0"/>
        <w:autoSpaceDE/>
        <w:autoSpaceDN/>
        <w:bidi w:val="0"/>
        <w:adjustRightInd/>
        <w:spacing w:before="0" w:after="0" w:line="400" w:lineRule="exact"/>
        <w:ind w:firstLine="482"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133" w:name="_Toc256000019"/>
      <w:r>
        <w:rPr>
          <w:rFonts w:hint="eastAsia" w:ascii="宋体" w:hAnsi="宋体" w:eastAsia="宋体" w:cs="宋体"/>
          <w:i w:val="0"/>
          <w:iCs w:val="0"/>
          <w:color w:val="000000" w:themeColor="text1"/>
          <w:sz w:val="24"/>
          <w:szCs w:val="24"/>
          <w:lang w:val="en-US" w:eastAsia="zh-CN"/>
          <w14:textFill>
            <w14:solidFill>
              <w14:schemeClr w14:val="tx1"/>
            </w14:solidFill>
          </w14:textFill>
        </w:rPr>
        <w:t>2.3</w:t>
      </w:r>
      <w:r>
        <w:rPr>
          <w:rFonts w:hint="eastAsia" w:ascii="宋体" w:hAnsi="宋体" w:eastAsia="宋体" w:cs="宋体"/>
          <w:i w:val="0"/>
          <w:iCs w:val="0"/>
          <w:color w:val="000000" w:themeColor="text1"/>
          <w:sz w:val="24"/>
          <w:szCs w:val="24"/>
          <w:lang w:eastAsia="zh-CN"/>
          <w14:textFill>
            <w14:solidFill>
              <w14:schemeClr w14:val="tx1"/>
            </w14:solidFill>
          </w14:textFill>
        </w:rPr>
        <w:t>具体要求</w:t>
      </w:r>
      <w:bookmarkEnd w:id="133"/>
    </w:p>
    <w:tbl>
      <w:tblPr>
        <w:tblStyle w:val="52"/>
        <w:tblW w:w="478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713"/>
        <w:gridCol w:w="687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998" w:type="pct"/>
            <w:tcBorders>
              <w:tl2br w:val="nil"/>
              <w:tr2bl w:val="nil"/>
            </w:tcBorders>
            <w:tcMar>
              <w:top w:w="0" w:type="dxa"/>
              <w:left w:w="113"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岗</w:t>
            </w:r>
            <w:r>
              <w:rPr>
                <w:rFonts w:hint="eastAsia" w:ascii="宋体" w:hAnsi="宋体" w:eastAsia="宋体" w:cs="宋体"/>
                <w:b/>
                <w:bCs/>
                <w:color w:val="000000" w:themeColor="text1"/>
                <w:sz w:val="24"/>
                <w:szCs w:val="24"/>
                <w:lang w:eastAsia="zh-CN"/>
                <w14:textFill>
                  <w14:solidFill>
                    <w14:schemeClr w14:val="tx1"/>
                  </w14:solidFill>
                </w14:textFill>
              </w:rPr>
              <w:t>　</w:t>
            </w:r>
            <w:r>
              <w:rPr>
                <w:rFonts w:hint="eastAsia" w:ascii="宋体" w:hAnsi="宋体" w:eastAsia="宋体" w:cs="宋体"/>
                <w:b/>
                <w:bCs/>
                <w:color w:val="000000" w:themeColor="text1"/>
                <w:sz w:val="24"/>
                <w:szCs w:val="24"/>
                <w14:textFill>
                  <w14:solidFill>
                    <w14:schemeClr w14:val="tx1"/>
                  </w14:solidFill>
                </w14:textFill>
              </w:rPr>
              <w:t>位</w:t>
            </w:r>
          </w:p>
        </w:tc>
        <w:tc>
          <w:tcPr>
            <w:tcW w:w="4001" w:type="pct"/>
            <w:tcBorders>
              <w:tl2br w:val="nil"/>
              <w:tr2bl w:val="nil"/>
            </w:tcBorders>
            <w:tcMar>
              <w:top w:w="0" w:type="dxa"/>
              <w:left w:w="113"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具体要求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1" w:hRule="atLeast"/>
          <w:jc w:val="center"/>
        </w:trPr>
        <w:tc>
          <w:tcPr>
            <w:tcW w:w="998" w:type="pct"/>
            <w:tcBorders>
              <w:tl2br w:val="nil"/>
              <w:tr2bl w:val="nil"/>
            </w:tcBorders>
            <w:tcMar>
              <w:top w:w="0" w:type="dxa"/>
              <w:left w:w="113"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导税服务</w:t>
            </w:r>
          </w:p>
        </w:tc>
        <w:tc>
          <w:tcPr>
            <w:tcW w:w="4001" w:type="pct"/>
            <w:vMerge w:val="restart"/>
            <w:tcBorders>
              <w:tl2br w:val="nil"/>
              <w:tr2bl w:val="nil"/>
            </w:tcBorders>
            <w:tcMar>
              <w:top w:w="0" w:type="dxa"/>
              <w:left w:w="113" w:type="dxa"/>
              <w:bottom w:w="0" w:type="dxa"/>
              <w:right w:w="118" w:type="dxa"/>
            </w:tcMar>
            <w:vAlign w:val="center"/>
          </w:tcPr>
          <w:p>
            <w:pPr>
              <w:pStyle w:val="53"/>
              <w:keepNext w:val="0"/>
              <w:pageBreakBefore w:val="0"/>
              <w:kinsoku/>
              <w:wordWrap/>
              <w:overflowPunct/>
              <w:topLinePunct w:val="0"/>
              <w:autoSpaceDE/>
              <w:autoSpaceDN/>
              <w:bidi w:val="0"/>
              <w:adjustRightInd/>
              <w:spacing w:line="400" w:lineRule="exact"/>
              <w:ind w:right="281"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①具有中华人民共和国国籍，拥护中华人民共和国宪法，拥护中国共产党领导和社会主义制度，自觉维护国家和单位利益，遵纪守法，自觉遵守和执行各项规章制度、职工行为规范，供应商</w:t>
            </w:r>
            <w:r>
              <w:rPr>
                <w:rFonts w:hint="eastAsia" w:ascii="宋体" w:hAnsi="宋体" w:eastAsia="宋体" w:cs="宋体"/>
                <w:color w:val="000000" w:themeColor="text1"/>
                <w:sz w:val="24"/>
                <w:szCs w:val="24"/>
                <w:lang w:val="en-US" w:eastAsia="zh-CN"/>
                <w14:textFill>
                  <w14:solidFill>
                    <w14:schemeClr w14:val="tx1"/>
                  </w14:solidFill>
                </w14:textFill>
              </w:rPr>
              <w:t>成交后</w:t>
            </w:r>
            <w:r>
              <w:rPr>
                <w:rFonts w:hint="eastAsia" w:ascii="宋体" w:hAnsi="宋体" w:eastAsia="宋体" w:cs="宋体"/>
                <w:color w:val="000000" w:themeColor="text1"/>
                <w:sz w:val="24"/>
                <w:szCs w:val="24"/>
                <w:lang w:eastAsia="zh-CN"/>
                <w14:textFill>
                  <w14:solidFill>
                    <w14:schemeClr w14:val="tx1"/>
                  </w14:solidFill>
                </w14:textFill>
              </w:rPr>
              <w:t>需提供服务人员的户籍所在地派出所出具的无犯罪记录证明；</w:t>
            </w:r>
          </w:p>
          <w:p>
            <w:pPr>
              <w:pStyle w:val="53"/>
              <w:keepNext w:val="0"/>
              <w:pageBreakBefore w:val="0"/>
              <w:kinsoku/>
              <w:wordWrap/>
              <w:overflowPunct/>
              <w:topLinePunct w:val="0"/>
              <w:autoSpaceDE/>
              <w:autoSpaceDN/>
              <w:bidi w:val="0"/>
              <w:adjustRightInd/>
              <w:spacing w:line="400" w:lineRule="exact"/>
              <w:ind w:right="281"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②熟练使用办公软件，如Word进行文字录入、文档排版等操作，使用Excel进行数据录入、表格制作等。</w:t>
            </w:r>
          </w:p>
          <w:p>
            <w:pPr>
              <w:pStyle w:val="53"/>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③身体健康，品行良好，思想端正，具有较强的语言表达能力、良好的沟通能力、思维反应能力、记忆能力、心理承受能力和学习能力；</w:t>
            </w:r>
          </w:p>
          <w:p>
            <w:pPr>
              <w:pStyle w:val="53"/>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④服从领导听从指挥，具备较强的服务意识、安全防范意识、保密意识；</w:t>
            </w:r>
          </w:p>
          <w:p>
            <w:pPr>
              <w:pStyle w:val="53"/>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⑤爱岗敬业，能吃苦耐劳，具备良好的团队精神。</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998" w:type="pct"/>
            <w:tcBorders>
              <w:tl2br w:val="nil"/>
              <w:tr2bl w:val="nil"/>
            </w:tcBorders>
            <w:tcMar>
              <w:top w:w="0" w:type="dxa"/>
              <w:left w:w="113"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自助办税（费）辅导服务</w:t>
            </w:r>
          </w:p>
        </w:tc>
        <w:tc>
          <w:tcPr>
            <w:tcW w:w="4001" w:type="pct"/>
            <w:vMerge w:val="continue"/>
            <w:tcBorders>
              <w:tl2br w:val="nil"/>
              <w:tr2bl w:val="nil"/>
            </w:tcBorders>
            <w:tcMar>
              <w:top w:w="0" w:type="dxa"/>
              <w:left w:w="113"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998" w:type="pct"/>
            <w:tcBorders>
              <w:tl2br w:val="nil"/>
              <w:tr2bl w:val="nil"/>
            </w:tcBorders>
            <w:tcMar>
              <w:top w:w="0" w:type="dxa"/>
              <w:left w:w="113"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税费咨询服务</w:t>
            </w:r>
          </w:p>
        </w:tc>
        <w:tc>
          <w:tcPr>
            <w:tcW w:w="4001" w:type="pct"/>
            <w:vMerge w:val="continue"/>
            <w:tcBorders>
              <w:tl2br w:val="nil"/>
              <w:tr2bl w:val="nil"/>
            </w:tcBorders>
            <w:tcMar>
              <w:top w:w="0" w:type="dxa"/>
              <w:left w:w="113"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998" w:type="pct"/>
            <w:tcBorders>
              <w:tl2br w:val="nil"/>
              <w:tr2bl w:val="nil"/>
            </w:tcBorders>
            <w:tcMar>
              <w:top w:w="0" w:type="dxa"/>
              <w:left w:w="113"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涉税（费）</w:t>
            </w:r>
            <w:r>
              <w:rPr>
                <w:rFonts w:hint="eastAsia" w:ascii="宋体" w:hAnsi="宋体" w:eastAsia="宋体" w:cs="宋体"/>
                <w:color w:val="000000" w:themeColor="text1"/>
                <w:sz w:val="24"/>
                <w:szCs w:val="24"/>
                <w:lang w:val="en-US" w:eastAsia="zh-CN"/>
                <w14:textFill>
                  <w14:solidFill>
                    <w14:schemeClr w14:val="tx1"/>
                  </w14:solidFill>
                </w14:textFill>
              </w:rPr>
              <w:t>诉求</w:t>
            </w:r>
            <w:r>
              <w:rPr>
                <w:rFonts w:hint="eastAsia" w:ascii="宋体" w:hAnsi="宋体" w:eastAsia="宋体" w:cs="宋体"/>
                <w:color w:val="000000" w:themeColor="text1"/>
                <w:sz w:val="24"/>
                <w:szCs w:val="24"/>
                <w14:textFill>
                  <w14:solidFill>
                    <w14:schemeClr w14:val="tx1"/>
                  </w14:solidFill>
                </w14:textFill>
              </w:rPr>
              <w:t>服务</w:t>
            </w:r>
          </w:p>
        </w:tc>
        <w:tc>
          <w:tcPr>
            <w:tcW w:w="4001" w:type="pct"/>
            <w:vMerge w:val="continue"/>
            <w:tcBorders>
              <w:tl2br w:val="nil"/>
              <w:tr2bl w:val="nil"/>
            </w:tcBorders>
            <w:tcMar>
              <w:top w:w="0" w:type="dxa"/>
              <w:left w:w="113"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998" w:type="pct"/>
            <w:tcBorders>
              <w:tl2br w:val="nil"/>
              <w:tr2bl w:val="nil"/>
            </w:tcBorders>
            <w:tcMar>
              <w:top w:w="0" w:type="dxa"/>
              <w:left w:w="113"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文书内勤服务</w:t>
            </w:r>
          </w:p>
        </w:tc>
        <w:tc>
          <w:tcPr>
            <w:tcW w:w="4001" w:type="pct"/>
            <w:vMerge w:val="continue"/>
            <w:tcBorders>
              <w:tl2br w:val="nil"/>
              <w:tr2bl w:val="nil"/>
            </w:tcBorders>
            <w:tcMar>
              <w:top w:w="0" w:type="dxa"/>
              <w:left w:w="113"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说明:</w:t>
      </w:r>
      <w:r>
        <w:rPr>
          <w:rFonts w:hint="eastAsia" w:ascii="宋体" w:hAnsi="宋体" w:eastAsia="宋体" w:cs="宋体"/>
          <w:color w:val="000000" w:themeColor="text1"/>
          <w:sz w:val="24"/>
          <w:szCs w:val="24"/>
          <w14:textFill>
            <w14:solidFill>
              <w14:schemeClr w14:val="tx1"/>
            </w14:solidFill>
          </w14:textFill>
        </w:rPr>
        <w:t>采购人在服务期内进行岗位调整</w:t>
      </w:r>
      <w:r>
        <w:rPr>
          <w:rFonts w:hint="eastAsia" w:ascii="宋体" w:hAnsi="宋体" w:eastAsia="宋体" w:cs="宋体"/>
          <w:color w:val="000000" w:themeColor="text1"/>
          <w:sz w:val="24"/>
          <w:szCs w:val="24"/>
          <w:lang w:eastAsia="zh-CN"/>
          <w14:textFill>
            <w14:solidFill>
              <w14:schemeClr w14:val="tx1"/>
            </w14:solidFill>
          </w14:textFill>
        </w:rPr>
        <w:t>的</w:t>
      </w:r>
      <w:r>
        <w:rPr>
          <w:rFonts w:hint="eastAsia" w:ascii="宋体" w:hAnsi="宋体" w:eastAsia="宋体" w:cs="宋体"/>
          <w:color w:val="000000" w:themeColor="text1"/>
          <w:sz w:val="24"/>
          <w:szCs w:val="24"/>
          <w14:textFill>
            <w14:solidFill>
              <w14:schemeClr w14:val="tx1"/>
            </w14:solidFill>
          </w14:textFill>
        </w:rPr>
        <w:t>,根据</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对应岗位的投标报价据实结算。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w:t>
      </w:r>
      <w:r>
        <w:rPr>
          <w:rFonts w:hint="eastAsia" w:ascii="宋体" w:hAnsi="宋体" w:eastAsia="宋体" w:cs="宋体"/>
          <w:color w:val="000000" w:themeColor="text1"/>
          <w:sz w:val="24"/>
          <w:szCs w:val="24"/>
          <w:lang w:eastAsia="zh-CN"/>
          <w14:textFill>
            <w14:solidFill>
              <w14:schemeClr w14:val="tx1"/>
            </w14:solidFill>
          </w14:textFill>
        </w:rPr>
        <w:t>供应商应为服务岗位人员定制工作服，每人夏季服装两套</w:t>
      </w:r>
      <w:r>
        <w:rPr>
          <w:rFonts w:hint="eastAsia" w:ascii="宋体" w:hAnsi="宋体" w:eastAsia="宋体" w:cs="宋体"/>
          <w:i w:val="0"/>
          <w:caps w:val="0"/>
          <w:color w:val="000000" w:themeColor="text1"/>
          <w:spacing w:val="0"/>
          <w:kern w:val="0"/>
          <w:sz w:val="24"/>
          <w:szCs w:val="24"/>
          <w:shd w:val="clear" w:fill="FFFFFF"/>
          <w:lang w:val="en-US" w:eastAsia="zh-CN" w:bidi="ar"/>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秋季服装两套。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2.5服务态度：成交人为本项目配备的岗位人员应具备良好的服务态度，包括但不限于礼貌、耐心、细致等，与服务对象能进行良好的沟通，流畅应对各类涉税咨询，主动回应服务对象的需求和要求。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2.6服务效率：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①能提供足够数量的服务人员，满足采购人的需求；②成交人应确保员工的培训和考核，保障服务质量，并遵守相关的法规和标准；③提供的服务人员应服从领导指挥，具备较强的服务意识、心理承受能力和学习能力，具有一定问题分析能力，能快速响应服务对象的诉求。④服务人员应遵循着装管理办法（含制服、头发等仪容仪表要求，相关费用由成交人负责），不迟到、早退，不无故离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2.7服务质量监控：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①成交人应建立健全服务质量监控机制；②成交人定期对服务人员服务质量进行评估，向采购人提交评估报告，收集意见和反馈，及时改进服务；③采购人有权要求成交人提供服务质量报告和相关数据，以确保服务符合标准和要求；④建立投诉处理机制，及时对投诉进行处理并改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2.8服务保障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①服务人员变动或请假离岗连续超过3天的，成交人应及时提供替代人选，确保提供不间断的服务；②服务人员应遵循保密规定，不得外传采购人涉密信息。</w:t>
      </w:r>
    </w:p>
    <w:p>
      <w:pPr>
        <w:pStyle w:val="3"/>
        <w:keepNext w:val="0"/>
        <w:pageBreakBefore w:val="0"/>
        <w:numPr>
          <w:ilvl w:val="0"/>
          <w:numId w:val="0"/>
        </w:numPr>
        <w:kinsoku/>
        <w:wordWrap/>
        <w:overflowPunct/>
        <w:topLinePunct w:val="0"/>
        <w:autoSpaceDE/>
        <w:autoSpaceDN/>
        <w:bidi w:val="0"/>
        <w:adjustRightInd/>
        <w:spacing w:before="0" w:after="0" w:line="400" w:lineRule="exact"/>
        <w:ind w:firstLine="482" w:firstLineChars="200"/>
        <w:jc w:val="both"/>
        <w:textAlignment w:val="auto"/>
        <w:rPr>
          <w:rFonts w:hint="eastAsia" w:ascii="宋体" w:hAnsi="宋体" w:eastAsia="宋体" w:cs="宋体"/>
          <w:color w:val="000000" w:themeColor="text1"/>
          <w:kern w:val="36"/>
          <w:sz w:val="24"/>
          <w:szCs w:val="24"/>
          <w:lang w:val="en-US" w:eastAsia="zh-CN"/>
          <w14:textFill>
            <w14:solidFill>
              <w14:schemeClr w14:val="tx1"/>
            </w14:solidFill>
          </w14:textFill>
        </w:rPr>
      </w:pPr>
      <w:r>
        <w:rPr>
          <w:rFonts w:hint="eastAsia" w:ascii="宋体" w:hAnsi="宋体" w:eastAsia="宋体" w:cs="宋体"/>
          <w:color w:val="000000" w:themeColor="text1"/>
          <w:kern w:val="36"/>
          <w:sz w:val="24"/>
          <w:szCs w:val="24"/>
          <w:lang w:val="en-US" w:eastAsia="zh-CN"/>
          <w14:textFill>
            <w14:solidFill>
              <w14:schemeClr w14:val="tx1"/>
            </w14:solidFill>
          </w14:textFill>
        </w:rPr>
        <w:t>3、其他要求</w:t>
      </w:r>
    </w:p>
    <w:bookmarkEnd w:id="132"/>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3.1本项目不允许供应商以任何名义和理由进行转包，如有发现，采购人有权单方终止合同，视为供应商违约，供应商违约对采购人造成损失的，需另行支付相应的赔偿。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合同期间，供应商提供服务岗位人员应保持相对稳定，若供应商服务无法达到采购人要求，采购人有权终止合同。供应商安排的服务人员如非因采购人要求更换而换人的，应当提前一个月向采购人报告，并确保再次安排的服务人员需满足采购人服务需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3.3供应商必须对采购项目的所有内容进行响应，投标报价包括服务期限内的所有费用；供应商分项报价须列出各项费用的计算相关标准及依据，包括但不限于列明人员薪酬、管理费用等所涉及的各细项费用。供应商应充分评估服务期内发生的所有费用并合理报价，各项费用不管是否在供应商报价书中单列，均视为报价总价中已包括该费用。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3.4由于项目存在服务内容变更的可能性，因此应允许采购人对服务范围等方面的适度调整，成交人应该充分估计和接受因上述调整给自身带来的计划变更及损失，不得以任何理由拒绝。</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3.5服务人员的工作时间应严格按国家有关法律、法规要求标准执行，因工作原因产生的加班（含节假日加班）应严格按照国家有关法律、法规要求的标准由成交人支付给员工加班费。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3.6供应商应与服务人员建立劳动关系，并签订书面劳动合同，同时应确保所有服务人员的工资不得低于福建建福州市的最低工资标准。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3.7服务人员在采购人工作期间发生工伤、职业病、死亡等安全事故的，其责任及相应的赔偿由供应商承担，并负责办理工伤保险理赔手续和保险金的发放。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3.8供应商提供的服务人员因执行工作任务造成第三方损害应承担的赔偿责任，善后补偿、赔偿责任由供应商承担。</w:t>
      </w:r>
    </w:p>
    <w:p>
      <w:pPr>
        <w:pStyle w:val="50"/>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3.9</w:t>
      </w:r>
      <w:r>
        <w:rPr>
          <w:rFonts w:hint="eastAsia" w:ascii="宋体" w:hAnsi="宋体" w:eastAsia="宋体" w:cs="宋体"/>
          <w:color w:val="000000" w:themeColor="text1"/>
          <w:sz w:val="24"/>
          <w:szCs w:val="24"/>
          <w:lang w:eastAsia="zh-CN"/>
          <w14:textFill>
            <w14:solidFill>
              <w14:schemeClr w14:val="tx1"/>
            </w14:solidFill>
          </w14:textFill>
        </w:rPr>
        <w:t>采购人对以下情形，有权提出撤换服务人员的要求，供应商应按采购人要求进行撤换，并在采购人指定时间内完成（一般为5日内）：</w:t>
      </w:r>
    </w:p>
    <w:p>
      <w:pPr>
        <w:pStyle w:val="50"/>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（1）严重影响税务形象，被有关部门通报的；</w:t>
      </w:r>
    </w:p>
    <w:p>
      <w:pPr>
        <w:pStyle w:val="50"/>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（2）在一个工作年度内，被投诉三次以上的（含三次）；</w:t>
      </w:r>
    </w:p>
    <w:p>
      <w:pPr>
        <w:pStyle w:val="50"/>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（3）因个人身体原因，不适合服务岗位的；</w:t>
      </w:r>
    </w:p>
    <w:p>
      <w:pPr>
        <w:pStyle w:val="50"/>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（4）不胜任岗位需求，不服从管理的；</w:t>
      </w:r>
    </w:p>
    <w:p>
      <w:pPr>
        <w:pStyle w:val="50"/>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（5）其它影响工作的情形。</w:t>
      </w:r>
    </w:p>
    <w:p>
      <w:pPr>
        <w:pStyle w:val="50"/>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3.10</w:t>
      </w:r>
      <w:r>
        <w:rPr>
          <w:rFonts w:hint="eastAsia" w:ascii="宋体" w:hAnsi="宋体" w:eastAsia="宋体" w:cs="宋体"/>
          <w:color w:val="000000" w:themeColor="text1"/>
          <w:sz w:val="24"/>
          <w:szCs w:val="24"/>
          <w:lang w:eastAsia="zh-CN"/>
          <w14:textFill>
            <w14:solidFill>
              <w14:schemeClr w14:val="tx1"/>
            </w14:solidFill>
          </w14:textFill>
        </w:rPr>
        <w:t>供应商应保守采购人单位的工作秘密，包括但不限于文件、数据等信息，不得泄露给任何第三方，包括其提供的服务人员以外的个人或组织。供应商应按要求与所有服务人员签订保密协议和网络安全承诺书，同时定期进行网络安全、数据安全及相关保密安全培训。</w:t>
      </w:r>
    </w:p>
    <w:p>
      <w:pPr>
        <w:pStyle w:val="54"/>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未明确的其它约定事项或条款，待采购人与成交人签订合同时，由双方协商订立。</w:t>
      </w:r>
      <w:bookmarkStart w:id="134" w:name="_Toc256000017"/>
    </w:p>
    <w:p>
      <w:pPr>
        <w:pStyle w:val="3"/>
        <w:keepNext w:val="0"/>
        <w:pageBreakBefore w:val="0"/>
        <w:kinsoku/>
        <w:wordWrap/>
        <w:overflowPunct/>
        <w:topLinePunct w:val="0"/>
        <w:autoSpaceDE/>
        <w:autoSpaceDN/>
        <w:bidi w:val="0"/>
        <w:adjustRightInd/>
        <w:spacing w:before="0" w:after="0" w:line="400" w:lineRule="exact"/>
        <w:jc w:val="both"/>
        <w:textAlignment w:val="auto"/>
        <w:rPr>
          <w:rFonts w:hint="eastAsia" w:ascii="宋体" w:hAnsi="宋体" w:eastAsia="宋体" w:cs="宋体"/>
          <w:color w:val="000000" w:themeColor="text1"/>
          <w:sz w:val="24"/>
          <w:szCs w:val="24"/>
          <w14:textFill>
            <w14:solidFill>
              <w14:schemeClr w14:val="tx1"/>
            </w14:solidFill>
          </w14:textFill>
        </w:rPr>
      </w:pPr>
      <w:bookmarkStart w:id="135" w:name="_Toc256000022"/>
      <w:r>
        <w:rPr>
          <w:rFonts w:hint="eastAsia" w:ascii="宋体" w:hAnsi="宋体" w:eastAsia="宋体" w:cs="宋体"/>
          <w:color w:val="000000" w:themeColor="text1"/>
          <w:kern w:val="36"/>
          <w:sz w:val="24"/>
          <w:szCs w:val="24"/>
          <w:lang w:val="en-US" w:eastAsia="zh-CN"/>
          <w14:textFill>
            <w14:solidFill>
              <w14:schemeClr w14:val="tx1"/>
            </w14:solidFill>
          </w14:textFill>
        </w:rPr>
        <w:t>4、验收考核</w:t>
      </w:r>
      <w:r>
        <w:rPr>
          <w:rFonts w:hint="eastAsia" w:ascii="宋体" w:hAnsi="宋体" w:eastAsia="宋体" w:cs="宋体"/>
          <w:color w:val="000000" w:themeColor="text1"/>
          <w:kern w:val="36"/>
          <w:sz w:val="24"/>
          <w:szCs w:val="24"/>
          <w14:textFill>
            <w14:solidFill>
              <w14:schemeClr w14:val="tx1"/>
            </w14:solidFill>
          </w14:textFill>
        </w:rPr>
        <w:t>要求</w:t>
      </w:r>
      <w:bookmarkEnd w:id="135"/>
      <w:r>
        <w:rPr>
          <w:rFonts w:hint="eastAsia" w:ascii="宋体" w:hAnsi="宋体" w:eastAsia="宋体" w:cs="宋体"/>
          <w:color w:val="000000" w:themeColor="text1"/>
          <w:sz w:val="24"/>
          <w:szCs w:val="24"/>
          <w14:textFill>
            <w14:solidFill>
              <w14:schemeClr w14:val="tx1"/>
            </w14:solidFill>
          </w14:textFill>
        </w:rPr>
        <w:t> </w:t>
      </w:r>
    </w:p>
    <w:tbl>
      <w:tblPr>
        <w:tblStyle w:val="52"/>
        <w:tblW w:w="0" w:type="auto"/>
        <w:tblInd w:w="253" w:type="dxa"/>
        <w:tblLayout w:type="autofit"/>
        <w:tblCellMar>
          <w:top w:w="0" w:type="dxa"/>
          <w:left w:w="0" w:type="dxa"/>
          <w:bottom w:w="0" w:type="dxa"/>
          <w:right w:w="0" w:type="dxa"/>
        </w:tblCellMar>
      </w:tblPr>
      <w:tblGrid>
        <w:gridCol w:w="2033"/>
        <w:gridCol w:w="1282"/>
        <w:gridCol w:w="5400"/>
      </w:tblGrid>
      <w:tr>
        <w:tblPrEx>
          <w:tblCellMar>
            <w:top w:w="0" w:type="dxa"/>
            <w:left w:w="0" w:type="dxa"/>
            <w:bottom w:w="0" w:type="dxa"/>
            <w:right w:w="0" w:type="dxa"/>
          </w:tblCellMar>
        </w:tblPrEx>
        <w:tc>
          <w:tcPr>
            <w:tcW w:w="2098" w:type="dxa"/>
            <w:tcBorders>
              <w:top w:val="single" w:color="000000" w:sz="8" w:space="0"/>
              <w:left w:val="single" w:color="000000" w:sz="8" w:space="0"/>
              <w:bottom w:val="single" w:color="000000" w:sz="8" w:space="0"/>
              <w:right w:val="single" w:color="000000" w:sz="8" w:space="0"/>
            </w:tcBorders>
            <w:tcMar>
              <w:top w:w="0" w:type="dxa"/>
              <w:left w:w="118" w:type="dxa"/>
              <w:bottom w:w="0" w:type="dxa"/>
              <w:right w:w="118" w:type="dxa"/>
            </w:tcMa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考核项目名称</w:t>
            </w:r>
          </w:p>
        </w:tc>
        <w:tc>
          <w:tcPr>
            <w:tcW w:w="1315" w:type="dxa"/>
            <w:tcBorders>
              <w:top w:val="single" w:color="000000" w:sz="8" w:space="0"/>
              <w:bottom w:val="single" w:color="000000" w:sz="8" w:space="0"/>
              <w:right w:val="single" w:color="000000" w:sz="8" w:space="0"/>
            </w:tcBorders>
            <w:tcMar>
              <w:top w:w="0" w:type="dxa"/>
              <w:left w:w="113" w:type="dxa"/>
              <w:bottom w:w="0" w:type="dxa"/>
              <w:right w:w="118" w:type="dxa"/>
            </w:tcMa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分值</w:t>
            </w:r>
          </w:p>
        </w:tc>
        <w:tc>
          <w:tcPr>
            <w:tcW w:w="5592" w:type="dxa"/>
            <w:tcBorders>
              <w:top w:val="single" w:color="000000" w:sz="8" w:space="0"/>
              <w:bottom w:val="single" w:color="000000" w:sz="8" w:space="0"/>
              <w:right w:val="single" w:color="000000" w:sz="8" w:space="0"/>
            </w:tcBorders>
            <w:tcMar>
              <w:top w:w="0" w:type="dxa"/>
              <w:left w:w="113" w:type="dxa"/>
              <w:bottom w:w="0" w:type="dxa"/>
              <w:right w:w="118" w:type="dxa"/>
            </w:tcMa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细则</w:t>
            </w:r>
          </w:p>
        </w:tc>
      </w:tr>
      <w:tr>
        <w:tblPrEx>
          <w:tblCellMar>
            <w:top w:w="0" w:type="dxa"/>
            <w:left w:w="0" w:type="dxa"/>
            <w:bottom w:w="0" w:type="dxa"/>
            <w:right w:w="0" w:type="dxa"/>
          </w:tblCellMar>
        </w:tblPrEx>
        <w:tc>
          <w:tcPr>
            <w:tcW w:w="2098"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人员要求</w:t>
            </w:r>
          </w:p>
        </w:tc>
        <w:tc>
          <w:tcPr>
            <w:tcW w:w="1315" w:type="dxa"/>
            <w:tcBorders>
              <w:bottom w:val="single" w:color="000000" w:sz="8" w:space="0"/>
              <w:right w:val="single" w:color="000000" w:sz="8" w:space="0"/>
            </w:tcBorders>
            <w:tcMar>
              <w:top w:w="0" w:type="dxa"/>
              <w:left w:w="113"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10分</w:t>
            </w:r>
          </w:p>
        </w:tc>
        <w:tc>
          <w:tcPr>
            <w:tcW w:w="5592" w:type="dxa"/>
            <w:tcBorders>
              <w:bottom w:val="single" w:color="000000" w:sz="8" w:space="0"/>
              <w:right w:val="single" w:color="000000" w:sz="8" w:space="0"/>
            </w:tcBorders>
            <w:tcMar>
              <w:top w:w="0" w:type="dxa"/>
              <w:left w:w="113" w:type="dxa"/>
              <w:bottom w:w="0" w:type="dxa"/>
              <w:right w:w="118" w:type="dxa"/>
            </w:tcMar>
          </w:tcPr>
          <w:p>
            <w:pPr>
              <w:pStyle w:val="49"/>
              <w:keepNext w:val="0"/>
              <w:pageBreakBefore w:val="0"/>
              <w:shd w:val="clear" w:color="auto" w:fill="FFFFFF"/>
              <w:kinsoku/>
              <w:wordWrap/>
              <w:overflowPunct/>
              <w:topLinePunct w:val="0"/>
              <w:autoSpaceDE/>
              <w:autoSpaceDN/>
              <w:bidi w:val="0"/>
              <w:adjustRightInd/>
              <w:spacing w:after="240" w:line="400" w:lineRule="exact"/>
              <w:ind w:right="62"/>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①成交人需严格按采购人的要求提供服务，所安排人员未满足采购人服务需求的，每人次扣</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分。</w:t>
            </w:r>
          </w:p>
          <w:p>
            <w:pPr>
              <w:pStyle w:val="49"/>
              <w:keepNext w:val="0"/>
              <w:pageBreakBefore w:val="0"/>
              <w:shd w:val="clear" w:color="auto" w:fill="FFFFFF"/>
              <w:kinsoku/>
              <w:wordWrap/>
              <w:overflowPunct/>
              <w:topLinePunct w:val="0"/>
              <w:autoSpaceDE/>
              <w:autoSpaceDN/>
              <w:bidi w:val="0"/>
              <w:adjustRightInd/>
              <w:spacing w:before="240" w:after="240" w:line="400" w:lineRule="exact"/>
              <w:ind w:right="62"/>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②成交人需对新服务人员进行思想素质、职业技能、安全防范及各项规章制度的培训，无培训及培训不合格，每人次扣2分。</w:t>
            </w:r>
          </w:p>
          <w:p>
            <w:pPr>
              <w:pStyle w:val="49"/>
              <w:keepNext w:val="0"/>
              <w:pageBreakBefore w:val="0"/>
              <w:shd w:val="clear" w:color="auto" w:fill="FFFFFF"/>
              <w:kinsoku/>
              <w:wordWrap/>
              <w:overflowPunct/>
              <w:topLinePunct w:val="0"/>
              <w:autoSpaceDE/>
              <w:autoSpaceDN/>
              <w:bidi w:val="0"/>
              <w:adjustRightInd/>
              <w:spacing w:before="240" w:after="240" w:line="400" w:lineRule="exact"/>
              <w:ind w:right="62"/>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xml:space="preserve">③成交人需在新服务人员入职前完善各项资料和相关手续，明确劳动关系和签署相关法律文件，未按要求完善，每人次扣 </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分。</w:t>
            </w:r>
          </w:p>
        </w:tc>
      </w:tr>
      <w:tr>
        <w:tblPrEx>
          <w:tblCellMar>
            <w:top w:w="0" w:type="dxa"/>
            <w:left w:w="0" w:type="dxa"/>
            <w:bottom w:w="0" w:type="dxa"/>
            <w:right w:w="0" w:type="dxa"/>
          </w:tblCellMar>
        </w:tblPrEx>
        <w:tc>
          <w:tcPr>
            <w:tcW w:w="2098"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日常管理</w:t>
            </w:r>
          </w:p>
        </w:tc>
        <w:tc>
          <w:tcPr>
            <w:tcW w:w="1315" w:type="dxa"/>
            <w:tcBorders>
              <w:bottom w:val="single" w:color="000000" w:sz="8" w:space="0"/>
              <w:right w:val="single" w:color="000000" w:sz="8" w:space="0"/>
            </w:tcBorders>
            <w:tcMar>
              <w:top w:w="0" w:type="dxa"/>
              <w:left w:w="113"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20分</w:t>
            </w:r>
          </w:p>
        </w:tc>
        <w:tc>
          <w:tcPr>
            <w:tcW w:w="5592" w:type="dxa"/>
            <w:tcBorders>
              <w:bottom w:val="single" w:color="000000" w:sz="8" w:space="0"/>
              <w:right w:val="single" w:color="000000" w:sz="8" w:space="0"/>
            </w:tcBorders>
            <w:tcMar>
              <w:top w:w="0" w:type="dxa"/>
              <w:left w:w="113" w:type="dxa"/>
              <w:bottom w:w="0" w:type="dxa"/>
              <w:right w:w="118" w:type="dxa"/>
            </w:tcMar>
          </w:tcPr>
          <w:p>
            <w:pPr>
              <w:pStyle w:val="49"/>
              <w:keepNext w:val="0"/>
              <w:pageBreakBefore w:val="0"/>
              <w:shd w:val="clear" w:color="auto" w:fill="FFFFFF"/>
              <w:kinsoku/>
              <w:wordWrap/>
              <w:overflowPunct/>
              <w:topLinePunct w:val="0"/>
              <w:autoSpaceDE/>
              <w:autoSpaceDN/>
              <w:bidi w:val="0"/>
              <w:adjustRightInd/>
              <w:spacing w:after="240" w:line="400" w:lineRule="exact"/>
              <w:ind w:right="62"/>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①成交人负责对服务人员日常管理，包括对员工的考勤、工作纪律等，未按要求管理的，每人次扣2分。凡有迟到、早退、旷工等情况的，成交人应如实记录，并按月提供考勤表，作为考核的依据。服务人员变动或请假离岗连续超过</w:t>
            </w:r>
            <w:r>
              <w:rPr>
                <w:rFonts w:hint="eastAsia" w:ascii="宋体" w:hAnsi="宋体" w:eastAsia="宋体" w:cs="宋体"/>
                <w:color w:val="000000" w:themeColor="text1"/>
                <w:sz w:val="24"/>
                <w:szCs w:val="24"/>
                <w:lang w:val="en-US" w:eastAsia="zh-CN"/>
                <w14:textFill>
                  <w14:solidFill>
                    <w14:schemeClr w14:val="tx1"/>
                  </w14:solidFill>
                </w14:textFill>
              </w:rPr>
              <w:t>3天</w:t>
            </w:r>
            <w:r>
              <w:rPr>
                <w:rFonts w:hint="eastAsia" w:ascii="宋体" w:hAnsi="宋体" w:eastAsia="宋体" w:cs="宋体"/>
                <w:color w:val="000000" w:themeColor="text1"/>
                <w:sz w:val="24"/>
                <w:szCs w:val="24"/>
                <w:lang w:eastAsia="zh-CN"/>
                <w14:textFill>
                  <w14:solidFill>
                    <w14:schemeClr w14:val="tx1"/>
                  </w14:solidFill>
                </w14:textFill>
              </w:rPr>
              <w:t>的，成交人需及时安排人员替换，确保满足采购人的服务需求。</w:t>
            </w:r>
          </w:p>
          <w:p>
            <w:pPr>
              <w:pStyle w:val="49"/>
              <w:keepNext w:val="0"/>
              <w:pageBreakBefore w:val="0"/>
              <w:kinsoku/>
              <w:wordWrap/>
              <w:overflowPunct/>
              <w:topLinePunct w:val="0"/>
              <w:autoSpaceDE/>
              <w:autoSpaceDN/>
              <w:bidi w:val="0"/>
              <w:adjustRightInd/>
              <w:spacing w:before="240" w:line="4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②成交人安排的服务人员需服从采购人就服务内容提出的合理要求。</w:t>
            </w:r>
            <w:r>
              <w:rPr>
                <w:rFonts w:hint="eastAsia" w:ascii="宋体" w:hAnsi="宋体" w:eastAsia="宋体" w:cs="宋体"/>
                <w:color w:val="000000" w:themeColor="text1"/>
                <w:sz w:val="24"/>
                <w:szCs w:val="24"/>
                <w14:textFill>
                  <w14:solidFill>
                    <w14:schemeClr w14:val="tx1"/>
                  </w14:solidFill>
                </w14:textFill>
              </w:rPr>
              <w:t>否则每人次扣2分。</w:t>
            </w:r>
          </w:p>
        </w:tc>
      </w:tr>
      <w:tr>
        <w:tblPrEx>
          <w:tblCellMar>
            <w:top w:w="0" w:type="dxa"/>
            <w:left w:w="0" w:type="dxa"/>
            <w:bottom w:w="0" w:type="dxa"/>
            <w:right w:w="0" w:type="dxa"/>
          </w:tblCellMar>
        </w:tblPrEx>
        <w:tc>
          <w:tcPr>
            <w:tcW w:w="2098"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服务质量与服务态度</w:t>
            </w:r>
          </w:p>
        </w:tc>
        <w:tc>
          <w:tcPr>
            <w:tcW w:w="1315" w:type="dxa"/>
            <w:tcBorders>
              <w:bottom w:val="single" w:color="000000" w:sz="8" w:space="0"/>
              <w:right w:val="single" w:color="000000" w:sz="8" w:space="0"/>
            </w:tcBorders>
            <w:tcMar>
              <w:top w:w="0" w:type="dxa"/>
              <w:left w:w="113"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50分</w:t>
            </w:r>
          </w:p>
        </w:tc>
        <w:tc>
          <w:tcPr>
            <w:tcW w:w="5592" w:type="dxa"/>
            <w:tcBorders>
              <w:bottom w:val="single" w:color="000000" w:sz="8" w:space="0"/>
              <w:right w:val="single" w:color="000000" w:sz="8" w:space="0"/>
            </w:tcBorders>
            <w:tcMar>
              <w:top w:w="0" w:type="dxa"/>
              <w:left w:w="113" w:type="dxa"/>
              <w:bottom w:w="0" w:type="dxa"/>
              <w:right w:w="118" w:type="dxa"/>
            </w:tcMar>
          </w:tcPr>
          <w:p>
            <w:pPr>
              <w:pStyle w:val="49"/>
              <w:keepNext w:val="0"/>
              <w:pageBreakBefore w:val="0"/>
              <w:shd w:val="clear" w:color="auto" w:fill="FFFFFF"/>
              <w:kinsoku/>
              <w:wordWrap/>
              <w:overflowPunct/>
              <w:topLinePunct w:val="0"/>
              <w:autoSpaceDE/>
              <w:autoSpaceDN/>
              <w:bidi w:val="0"/>
              <w:adjustRightInd/>
              <w:spacing w:after="240" w:line="400" w:lineRule="exact"/>
              <w:ind w:right="62"/>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①成交人安排的服务人员需认真对待及时完成服务内容，未按要求提供服务的，每人次扣2分。</w:t>
            </w:r>
          </w:p>
          <w:p>
            <w:pPr>
              <w:pStyle w:val="49"/>
              <w:keepNext w:val="0"/>
              <w:pageBreakBefore w:val="0"/>
              <w:shd w:val="clear" w:color="auto" w:fill="FFFFFF"/>
              <w:kinsoku/>
              <w:wordWrap/>
              <w:overflowPunct/>
              <w:topLinePunct w:val="0"/>
              <w:autoSpaceDE/>
              <w:autoSpaceDN/>
              <w:bidi w:val="0"/>
              <w:adjustRightInd/>
              <w:spacing w:before="240" w:after="240" w:line="400" w:lineRule="exact"/>
              <w:ind w:right="62"/>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②成交人安排的服务人员，若发生吃拿卡要的现象，一经查实，每人次扣15分。</w:t>
            </w:r>
          </w:p>
          <w:p>
            <w:pPr>
              <w:pStyle w:val="49"/>
              <w:keepNext w:val="0"/>
              <w:pageBreakBefore w:val="0"/>
              <w:shd w:val="clear" w:color="auto" w:fill="FFFFFF"/>
              <w:kinsoku/>
              <w:wordWrap/>
              <w:overflowPunct/>
              <w:topLinePunct w:val="0"/>
              <w:autoSpaceDE/>
              <w:autoSpaceDN/>
              <w:bidi w:val="0"/>
              <w:adjustRightInd/>
              <w:spacing w:before="240" w:after="240" w:line="400" w:lineRule="exact"/>
              <w:ind w:right="62"/>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③成交人提供的服务人员，被采购人或接受服务方投诉的，经核实属服务人员的责任，每人次扣3分。</w:t>
            </w:r>
          </w:p>
          <w:p>
            <w:pPr>
              <w:pStyle w:val="49"/>
              <w:keepNext w:val="0"/>
              <w:pageBreakBefore w:val="0"/>
              <w:shd w:val="clear" w:color="auto" w:fill="FFFFFF"/>
              <w:kinsoku/>
              <w:wordWrap/>
              <w:overflowPunct/>
              <w:topLinePunct w:val="0"/>
              <w:autoSpaceDE/>
              <w:autoSpaceDN/>
              <w:bidi w:val="0"/>
              <w:adjustRightInd/>
              <w:spacing w:before="240" w:line="400" w:lineRule="exact"/>
              <w:ind w:right="62"/>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④成交人提供的服务人员，服务过程中出现一般错误的，每人次扣1分;出现重大错误的，每人次扣10分。</w:t>
            </w:r>
          </w:p>
        </w:tc>
      </w:tr>
      <w:tr>
        <w:tblPrEx>
          <w:tblCellMar>
            <w:top w:w="0" w:type="dxa"/>
            <w:left w:w="0" w:type="dxa"/>
            <w:bottom w:w="0" w:type="dxa"/>
            <w:right w:w="0" w:type="dxa"/>
          </w:tblCellMar>
        </w:tblPrEx>
        <w:tc>
          <w:tcPr>
            <w:tcW w:w="2098"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服务保障</w:t>
            </w:r>
          </w:p>
        </w:tc>
        <w:tc>
          <w:tcPr>
            <w:tcW w:w="1315" w:type="dxa"/>
            <w:tcBorders>
              <w:bottom w:val="single" w:color="000000" w:sz="8" w:space="0"/>
              <w:right w:val="single" w:color="000000" w:sz="8" w:space="0"/>
            </w:tcBorders>
            <w:tcMar>
              <w:top w:w="0" w:type="dxa"/>
              <w:left w:w="113" w:type="dxa"/>
              <w:bottom w:w="0" w:type="dxa"/>
              <w:right w:w="118" w:type="dxa"/>
            </w:tcMar>
            <w:vAlign w:val="center"/>
          </w:tcPr>
          <w:p>
            <w:pPr>
              <w:pStyle w:val="49"/>
              <w:keepNext w:val="0"/>
              <w:pageBreakBefore w:val="0"/>
              <w:kinsoku/>
              <w:wordWrap/>
              <w:overflowPunct/>
              <w:topLinePunct w:val="0"/>
              <w:autoSpaceDE/>
              <w:autoSpaceDN/>
              <w:bidi w:val="0"/>
              <w:adjustRightInd/>
              <w:spacing w:line="400" w:lineRule="exact"/>
              <w:ind w:right="62"/>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20分</w:t>
            </w:r>
          </w:p>
        </w:tc>
        <w:tc>
          <w:tcPr>
            <w:tcW w:w="5592" w:type="dxa"/>
            <w:tcBorders>
              <w:bottom w:val="single" w:color="000000" w:sz="8" w:space="0"/>
              <w:right w:val="single" w:color="000000" w:sz="8" w:space="0"/>
            </w:tcBorders>
            <w:tcMar>
              <w:top w:w="0" w:type="dxa"/>
              <w:left w:w="113" w:type="dxa"/>
              <w:bottom w:w="0" w:type="dxa"/>
              <w:right w:w="118" w:type="dxa"/>
            </w:tcMar>
          </w:tcPr>
          <w:p>
            <w:pPr>
              <w:pStyle w:val="49"/>
              <w:keepNext w:val="0"/>
              <w:pageBreakBefore w:val="0"/>
              <w:shd w:val="clear" w:color="auto" w:fill="FFFFFF"/>
              <w:kinsoku/>
              <w:wordWrap/>
              <w:overflowPunct/>
              <w:topLinePunct w:val="0"/>
              <w:autoSpaceDE/>
              <w:autoSpaceDN/>
              <w:bidi w:val="0"/>
              <w:adjustRightInd/>
              <w:spacing w:after="240" w:line="400" w:lineRule="exact"/>
              <w:ind w:right="62"/>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①成交人负责定期对服务人员进行培训，如劳动保障法律法规、心理常识教育、员工手册学习及相关业务培训等，负责服务人员社保政策咨询服务。</w:t>
            </w:r>
          </w:p>
          <w:p>
            <w:pPr>
              <w:pStyle w:val="49"/>
              <w:keepNext w:val="0"/>
              <w:pageBreakBefore w:val="0"/>
              <w:shd w:val="clear" w:color="auto" w:fill="FFFFFF"/>
              <w:kinsoku/>
              <w:wordWrap/>
              <w:overflowPunct/>
              <w:topLinePunct w:val="0"/>
              <w:autoSpaceDE/>
              <w:autoSpaceDN/>
              <w:bidi w:val="0"/>
              <w:adjustRightInd/>
              <w:spacing w:before="240" w:after="240" w:line="400" w:lineRule="exact"/>
              <w:ind w:right="62"/>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②成交人负责服务人员工伤、工亡保险等事务办理，并承担全部责任与费用。</w:t>
            </w:r>
          </w:p>
          <w:p>
            <w:pPr>
              <w:pStyle w:val="49"/>
              <w:keepNext w:val="0"/>
              <w:pageBreakBefore w:val="0"/>
              <w:shd w:val="clear" w:color="auto" w:fill="FFFFFF"/>
              <w:kinsoku/>
              <w:wordWrap/>
              <w:overflowPunct/>
              <w:topLinePunct w:val="0"/>
              <w:autoSpaceDE/>
              <w:autoSpaceDN/>
              <w:bidi w:val="0"/>
              <w:adjustRightInd/>
              <w:spacing w:before="240" w:after="240" w:line="400" w:lineRule="exact"/>
              <w:ind w:right="62"/>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③成交人负责服务人员的劳动争议调解、仲裁、诉讼处理，办理工亡员工善后事务处理、理赔谈判等，并承担前述全部费用。</w:t>
            </w:r>
          </w:p>
          <w:p>
            <w:pPr>
              <w:pStyle w:val="49"/>
              <w:keepNext w:val="0"/>
              <w:pageBreakBefore w:val="0"/>
              <w:shd w:val="clear" w:color="auto" w:fill="FFFFFF"/>
              <w:kinsoku/>
              <w:wordWrap/>
              <w:overflowPunct/>
              <w:topLinePunct w:val="0"/>
              <w:autoSpaceDE/>
              <w:autoSpaceDN/>
              <w:bidi w:val="0"/>
              <w:adjustRightInd/>
              <w:spacing w:before="240" w:after="240" w:line="400" w:lineRule="exact"/>
              <w:ind w:right="62"/>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④成交人为服务人员出具相关证明:如收入证明、在职离职证明、参保证明等。</w:t>
            </w:r>
          </w:p>
          <w:p>
            <w:pPr>
              <w:pStyle w:val="49"/>
              <w:keepNext w:val="0"/>
              <w:pageBreakBefore w:val="0"/>
              <w:kinsoku/>
              <w:wordWrap/>
              <w:overflowPunct/>
              <w:topLinePunct w:val="0"/>
              <w:autoSpaceDE/>
              <w:autoSpaceDN/>
              <w:bidi w:val="0"/>
              <w:adjustRightInd/>
              <w:spacing w:before="240" w:line="400" w:lineRule="exact"/>
              <w:ind w:right="62" w:firstLine="48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成交人前述对服务人员的服务保障内容是确保对采购人服务的基础，以上每项为未办理或未及时办理，每人次扣3分。</w:t>
            </w:r>
          </w:p>
        </w:tc>
      </w:tr>
    </w:tbl>
    <w:p>
      <w:pPr>
        <w:pStyle w:val="49"/>
        <w:keepNext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w:t>
      </w:r>
      <w:r>
        <w:rPr>
          <w:rFonts w:hint="eastAsia" w:ascii="宋体" w:hAnsi="宋体" w:eastAsia="宋体" w:cs="宋体"/>
          <w:b/>
          <w:bCs/>
          <w:color w:val="000000" w:themeColor="text1"/>
          <w:sz w:val="24"/>
          <w:szCs w:val="24"/>
          <w:lang w:eastAsia="zh-CN"/>
          <w14:textFill>
            <w14:solidFill>
              <w14:schemeClr w14:val="tx1"/>
            </w14:solidFill>
          </w14:textFill>
        </w:rPr>
        <w:t>注：</w:t>
      </w:r>
      <w:r>
        <w:rPr>
          <w:rFonts w:hint="eastAsia" w:ascii="宋体" w:hAnsi="宋体" w:eastAsia="宋体" w:cs="宋体"/>
          <w:color w:val="000000" w:themeColor="text1"/>
          <w:sz w:val="24"/>
          <w:szCs w:val="24"/>
          <w:lang w:eastAsia="zh-CN"/>
          <w14:textFill>
            <w14:solidFill>
              <w14:schemeClr w14:val="tx1"/>
            </w14:solidFill>
          </w14:textFill>
        </w:rPr>
        <w:t>考核验收采取每月不定期随机抽查的形式，验收</w:t>
      </w:r>
      <w:r>
        <w:rPr>
          <w:rFonts w:hint="eastAsia" w:ascii="宋体" w:hAnsi="宋体" w:eastAsia="宋体" w:cs="宋体"/>
          <w:color w:val="000000" w:themeColor="text1"/>
          <w:sz w:val="24"/>
          <w:szCs w:val="24"/>
          <w:lang w:val="en-US" w:eastAsia="zh-CN"/>
          <w14:textFill>
            <w14:solidFill>
              <w14:schemeClr w14:val="tx1"/>
            </w14:solidFill>
          </w14:textFill>
        </w:rPr>
        <w:t>考核</w:t>
      </w:r>
      <w:r>
        <w:rPr>
          <w:rFonts w:hint="eastAsia" w:ascii="宋体" w:hAnsi="宋体" w:eastAsia="宋体" w:cs="宋体"/>
          <w:color w:val="000000" w:themeColor="text1"/>
          <w:sz w:val="24"/>
          <w:szCs w:val="24"/>
          <w:lang w:eastAsia="zh-CN"/>
          <w14:textFill>
            <w14:solidFill>
              <w14:schemeClr w14:val="tx1"/>
            </w14:solidFill>
          </w14:textFill>
        </w:rPr>
        <w:t>时间跨度为每月1日至每月最后一日。依据考核细则的要求，对成交人就本项目各项服务方面进行抽查，对违反要求的进行扣分。</w:t>
      </w:r>
    </w:p>
    <w:p>
      <w:pPr>
        <w:pStyle w:val="49"/>
        <w:keepNext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考核细则由采购人负责解释，并有权根据实际服务需求进行调整，调整后的服务内容送达成交人，成交人应当及时调整。</w:t>
      </w:r>
    </w:p>
    <w:p>
      <w:pPr>
        <w:pStyle w:val="49"/>
        <w:keepNext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1.月考核分</w:t>
      </w:r>
    </w:p>
    <w:p>
      <w:pPr>
        <w:pStyle w:val="49"/>
        <w:keepNext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（1）月考核分为90分（含）以上的为合格，全额拨款。</w:t>
      </w:r>
    </w:p>
    <w:p>
      <w:pPr>
        <w:pStyle w:val="49"/>
        <w:keepNext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（2）月考核分为90分以下每少1分扣款1000元。</w:t>
      </w:r>
    </w:p>
    <w:p>
      <w:pPr>
        <w:pStyle w:val="49"/>
        <w:keepNext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（3）月考核分数为85分以下的为不合格，85分以下每少1分扣款2000元。</w:t>
      </w:r>
    </w:p>
    <w:p>
      <w:pPr>
        <w:pStyle w:val="49"/>
        <w:keepNext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（4）月考核分数为75分以下的，扣减当月费用￥：</w:t>
      </w:r>
      <w:r>
        <w:rPr>
          <w:rFonts w:hint="eastAsia" w:ascii="宋体" w:hAnsi="宋体" w:eastAsia="宋体" w:cs="宋体"/>
          <w:color w:val="000000" w:themeColor="text1"/>
          <w:sz w:val="24"/>
          <w:szCs w:val="24"/>
          <w:lang w:val="en-US" w:eastAsia="zh-CN"/>
          <w14:textFill>
            <w14:solidFill>
              <w14:schemeClr w14:val="tx1"/>
            </w14:solidFill>
          </w14:textFill>
        </w:rPr>
        <w:t>20000</w:t>
      </w:r>
      <w:r>
        <w:rPr>
          <w:rFonts w:hint="eastAsia" w:ascii="宋体" w:hAnsi="宋体" w:eastAsia="宋体" w:cs="宋体"/>
          <w:color w:val="000000" w:themeColor="text1"/>
          <w:sz w:val="24"/>
          <w:szCs w:val="24"/>
          <w:lang w:eastAsia="zh-CN"/>
          <w14:textFill>
            <w14:solidFill>
              <w14:schemeClr w14:val="tx1"/>
            </w14:solidFill>
          </w14:textFill>
        </w:rPr>
        <w:t>元。</w:t>
      </w:r>
    </w:p>
    <w:p>
      <w:pPr>
        <w:pStyle w:val="49"/>
        <w:keepNext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    2.分数不合格的，采购人暂停支付当月服务费用并通知成交人，成交人于采购人通知之日起30日内查找原因立即整改，待采购人重新验收合格后才能支付当月服务费用。合同期内累计二个月考核分数在75分（含75分）以下的予以解除合同。</w:t>
      </w:r>
    </w:p>
    <w:bookmarkEnd w:id="134"/>
    <w:p>
      <w:pPr>
        <w:pStyle w:val="3"/>
        <w:keepNext w:val="0"/>
        <w:pageBreakBefore w:val="0"/>
        <w:kinsoku/>
        <w:wordWrap/>
        <w:overflowPunct/>
        <w:topLinePunct w:val="0"/>
        <w:autoSpaceDE/>
        <w:autoSpaceDN/>
        <w:bidi w:val="0"/>
        <w:adjustRightInd/>
        <w:spacing w:before="0" w:after="0" w:line="40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kern w:val="36"/>
          <w:sz w:val="24"/>
          <w:szCs w:val="24"/>
          <w:lang w:val="en-US" w:eastAsia="zh-CN"/>
          <w14:textFill>
            <w14:solidFill>
              <w14:schemeClr w14:val="tx1"/>
            </w14:solidFill>
          </w14:textFill>
        </w:rPr>
        <w:t>违约要求</w:t>
      </w:r>
    </w:p>
    <w:p>
      <w:pPr>
        <w:pStyle w:val="55"/>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w:t>
      </w:r>
      <w:r>
        <w:rPr>
          <w:rFonts w:hint="eastAsia" w:ascii="宋体" w:hAnsi="宋体" w:eastAsia="宋体" w:cs="宋体"/>
          <w:color w:val="000000" w:themeColor="text1"/>
          <w:sz w:val="24"/>
          <w:szCs w:val="24"/>
          <w:lang w:eastAsia="zh-CN"/>
          <w14:textFill>
            <w14:solidFill>
              <w14:schemeClr w14:val="tx1"/>
            </w14:solidFill>
          </w14:textFill>
        </w:rPr>
        <w:t>成交人不得以任何名义和理由将该项目进行转包，如有发现，采购人有权单方解除合同，并要求成交人支付合同总价款的10%作为违约金。</w:t>
      </w:r>
    </w:p>
    <w:p>
      <w:pPr>
        <w:pStyle w:val="49"/>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5.2</w:t>
      </w:r>
      <w:r>
        <w:rPr>
          <w:rFonts w:hint="eastAsia" w:ascii="宋体" w:hAnsi="宋体" w:eastAsia="宋体" w:cs="宋体"/>
          <w:color w:val="000000" w:themeColor="text1"/>
          <w:sz w:val="24"/>
          <w:szCs w:val="24"/>
          <w:lang w:eastAsia="zh-CN"/>
          <w14:textFill>
            <w14:solidFill>
              <w14:schemeClr w14:val="tx1"/>
            </w14:solidFill>
          </w14:textFill>
        </w:rPr>
        <w:t>合同签订后，成交人应提供符合岗位条件及数量的服务人员为采购人开展服务，采购人不定期抽查成交人投入的岗位数量，如果抽查时发现岗位数量少于采购人需求的数量，除扣除缺少岗位人数工资外，采购人可以按缺少岗位数量每人每个工作日100元扣除当月合同款。</w:t>
      </w:r>
    </w:p>
    <w:p>
      <w:pPr>
        <w:pStyle w:val="49"/>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w:t>
      </w:r>
      <w:r>
        <w:rPr>
          <w:rFonts w:hint="eastAsia" w:ascii="宋体" w:hAnsi="宋体" w:eastAsia="宋体" w:cs="宋体"/>
          <w:color w:val="000000" w:themeColor="text1"/>
          <w:sz w:val="24"/>
          <w:szCs w:val="24"/>
          <w:lang w:eastAsia="zh-CN"/>
          <w14:textFill>
            <w14:solidFill>
              <w14:schemeClr w14:val="tx1"/>
            </w14:solidFill>
          </w14:textFill>
        </w:rPr>
        <w:t>成交人如未按照要求在规定时间内配齐符合条件及数量的服务人员，每逾期1个工作日，成交人应向采购人支付合同总价款的千分之一作为违约金，若逾期超过15个工作日，采购人有权单方面解除合同。</w:t>
      </w:r>
    </w:p>
    <w:p>
      <w:pPr>
        <w:pStyle w:val="49"/>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5.4</w:t>
      </w:r>
      <w:r>
        <w:rPr>
          <w:rFonts w:hint="eastAsia" w:ascii="宋体" w:hAnsi="宋体" w:eastAsia="宋体" w:cs="宋体"/>
          <w:color w:val="000000" w:themeColor="text1"/>
          <w:sz w:val="24"/>
          <w:szCs w:val="24"/>
          <w:lang w:eastAsia="zh-CN"/>
          <w14:textFill>
            <w14:solidFill>
              <w14:schemeClr w14:val="tx1"/>
            </w14:solidFill>
          </w14:textFill>
        </w:rPr>
        <w:t xml:space="preserve">成交人未履行服务响应承诺，每发现一次未按要求履行的情况，扣成交人当月合同款金额×（承诺得分-实际得分）×1%。 </w:t>
      </w:r>
    </w:p>
    <w:p>
      <w:pPr>
        <w:pStyle w:val="49"/>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5.5</w:t>
      </w:r>
      <w:r>
        <w:rPr>
          <w:rFonts w:hint="eastAsia" w:ascii="宋体" w:hAnsi="宋体" w:eastAsia="宋体" w:cs="宋体"/>
          <w:color w:val="000000" w:themeColor="text1"/>
          <w:sz w:val="24"/>
          <w:szCs w:val="24"/>
          <w:lang w:eastAsia="zh-CN"/>
          <w14:textFill>
            <w14:solidFill>
              <w14:schemeClr w14:val="tx1"/>
            </w14:solidFill>
          </w14:textFill>
        </w:rPr>
        <w:t>服务人员违反采购人的保密制度和安全管理制度，采购人有权要求成交人立即撤换有关服务人员，同时成交人应及时采取有效措施防止损失的进一步扩大，成交人应将对泄密人员的处理意见于3个工作日内报采购人，由此给采购人造成利益损害的，成交人应承担相关法律责任。每违反一次，成交人应按照当年合同总价款的5%承担违约金并赔偿采购人因此受到的损失；当年度累计出现三次及以上的，采购人有权单方面解除合同，并要求成交人支付当年合同总价款的10%作为违约金。成交人的保密义务不因合同的解除、终止或失效而失去效力。</w:t>
      </w:r>
    </w:p>
    <w:p>
      <w:pPr>
        <w:pStyle w:val="49"/>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5.6</w:t>
      </w:r>
      <w:r>
        <w:rPr>
          <w:rFonts w:hint="eastAsia" w:ascii="宋体" w:hAnsi="宋体" w:eastAsia="宋体" w:cs="宋体"/>
          <w:color w:val="000000" w:themeColor="text1"/>
          <w:sz w:val="24"/>
          <w:szCs w:val="24"/>
          <w:lang w:eastAsia="zh-CN"/>
          <w14:textFill>
            <w14:solidFill>
              <w14:schemeClr w14:val="tx1"/>
            </w14:solidFill>
          </w14:textFill>
        </w:rPr>
        <w:t>成交人提供的服务人员在工作中出现严重违反国家法律法规、地方法规、采购人单位的规章制度的要求，造成采购人经济损失或负面影响的，采购人有权要求成交人立即撤换有关服务人员。每违反一次，成交人应按照当年合同总价款的千分之一支付违约金并赔偿采购人因此受到的损失。</w:t>
      </w:r>
    </w:p>
    <w:p>
      <w:pPr>
        <w:pStyle w:val="56"/>
        <w:keepNext w:val="0"/>
        <w:pageBreakBefore w:val="0"/>
        <w:shd w:val="clear" w:color="auto" w:fill="FFFFFF"/>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5.7</w:t>
      </w:r>
      <w:r>
        <w:rPr>
          <w:rFonts w:hint="eastAsia" w:ascii="宋体" w:hAnsi="宋体" w:eastAsia="宋体" w:cs="宋体"/>
          <w:color w:val="000000" w:themeColor="text1"/>
          <w:sz w:val="24"/>
          <w:szCs w:val="24"/>
          <w:lang w:eastAsia="zh-CN"/>
          <w14:textFill>
            <w14:solidFill>
              <w14:schemeClr w14:val="tx1"/>
            </w14:solidFill>
          </w14:textFill>
        </w:rPr>
        <w:t>服务期满后，成交人要做好服务外包合同衔接期的平稳过渡工作，并全面配合下一轮中标机构在规定时间内做好交接工作。过渡期间拒不配合的，扣除合同总价款的10%作为违约金。</w:t>
      </w:r>
    </w:p>
    <w:p>
      <w:pPr>
        <w:pStyle w:val="49"/>
        <w:keepNext w:val="0"/>
        <w:pageBreakBefore w:val="0"/>
        <w:kinsoku/>
        <w:wordWrap/>
        <w:overflowPunct/>
        <w:topLinePunct w:val="0"/>
        <w:autoSpaceDE/>
        <w:autoSpaceDN/>
        <w:bidi w:val="0"/>
        <w:adjustRightInd/>
        <w:spacing w:line="400" w:lineRule="exact"/>
        <w:ind w:firstLine="64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5.8</w:t>
      </w:r>
      <w:r>
        <w:rPr>
          <w:rFonts w:hint="eastAsia" w:ascii="宋体" w:hAnsi="宋体" w:eastAsia="宋体" w:cs="宋体"/>
          <w:color w:val="000000" w:themeColor="text1"/>
          <w:sz w:val="24"/>
          <w:szCs w:val="24"/>
          <w:lang w:eastAsia="zh-CN"/>
          <w14:textFill>
            <w14:solidFill>
              <w14:schemeClr w14:val="tx1"/>
            </w14:solidFill>
          </w14:textFill>
        </w:rPr>
        <w:t>如遇自然灾害、战争、上级行政机关政策要求、重大政策性调整等不可抗力因素必须服从调整需要或者终止合同的，采购人有权单方面解除合同，采购人与成交人之间的合同自采购人书面解除合同寄送至成交人营业执照上的住所地址时解除，若无人签收，则文书退回之日视为送达之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5.9</w:t>
      </w:r>
      <w:r>
        <w:rPr>
          <w:rFonts w:hint="eastAsia" w:ascii="宋体" w:hAnsi="宋体" w:eastAsia="宋体" w:cs="宋体"/>
          <w:color w:val="000000" w:themeColor="text1"/>
          <w:sz w:val="24"/>
          <w:szCs w:val="24"/>
          <w:lang w:eastAsia="zh-CN"/>
          <w14:textFill>
            <w14:solidFill>
              <w14:schemeClr w14:val="tx1"/>
            </w14:solidFill>
          </w14:textFill>
        </w:rPr>
        <w:t>成交人违约，应按照约定支付违约金，并赔偿采购人支出的诉讼或仲裁费、律师费、公证费、鉴定费等维权费用。因本协议产生的纠纷，提交采购人所在地有管辖权的法院诉讼，成交人同意其营业执照上的住所地址为其指定的文件送达与诉讼、仲裁等法律文书的送达地址。</w:t>
      </w:r>
    </w:p>
    <w:sectPr>
      <w:headerReference r:id="rId8" w:type="default"/>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Cambria">
    <w:panose1 w:val="02040503050406030204"/>
    <w:charset w:val="00"/>
    <w:family w:val="roman"/>
    <w:pitch w:val="default"/>
    <w:sig w:usb0="E00006FF" w:usb1="420024FF" w:usb2="02000000" w:usb3="00000000" w:csb0="2000019F" w:csb1="00000000"/>
  </w:font>
  <w:font w:name="方正大标宋简体">
    <w:altName w:val="微软雅黑"/>
    <w:panose1 w:val="02010601030101010101"/>
    <w:charset w:val="86"/>
    <w:family w:val="script"/>
    <w:pitch w:val="default"/>
    <w:sig w:usb0="00000000" w:usb1="00000000" w:usb2="00000000" w:usb3="00000000" w:csb0="00040000" w:csb1="00000000"/>
  </w:font>
  <w:font w:name="MetaPlusLF">
    <w:altName w:val="Segoe Print"/>
    <w:panose1 w:val="00000000000000000000"/>
    <w:charset w:val="00"/>
    <w:family w:val="auto"/>
    <w:pitch w:val="default"/>
    <w:sig w:usb0="00000000" w:usb1="00000000" w:usb2="00000000" w:usb3="00000000" w:csb0="00000097"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pacing w:after="0" w:line="240" w:lineRule="auto"/>
                            <w:jc w:val="center"/>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pPr>
                      <w:spacing w:after="0" w:line="240" w:lineRule="auto"/>
                      <w:jc w:val="cente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pacing w:after="0" w:line="240" w:lineRule="auto"/>
                            <w:jc w:val="center"/>
                          </w:pPr>
                          <w:r>
                            <w:t xml:space="preserve">— </w:t>
                          </w:r>
                          <w:r>
                            <w:fldChar w:fldCharType="begin"/>
                          </w:r>
                          <w:r>
                            <w:instrText xml:space="preserve"> PAGE  \* MERGEFORMAT </w:instrText>
                          </w:r>
                          <w:r>
                            <w:fldChar w:fldCharType="separate"/>
                          </w:r>
                          <w:r>
                            <w:t>4</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pPr>
                      <w:spacing w:after="0" w:line="240" w:lineRule="auto"/>
                      <w:jc w:val="center"/>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3"/>
      </w:rPr>
    </w:pPr>
    <w:r>
      <w:fldChar w:fldCharType="begin"/>
    </w:r>
    <w:r>
      <w:rPr>
        <w:rStyle w:val="33"/>
      </w:rPr>
      <w:instrText xml:space="preserve">PAGE  </w:instrText>
    </w:r>
    <w:r>
      <w:fldChar w:fldCharType="end"/>
    </w:r>
  </w:p>
  <w:p>
    <w:pPr>
      <w:pStyle w:val="17"/>
    </w:pPr>
  </w:p>
  <w:p/>
  <w:p/>
  <w:p/>
  <w:p/>
  <w:p/>
  <w:p/>
  <w:p/>
  <w:p/>
  <w:p/>
  <w:p/>
  <w:p/>
  <w:p/>
  <w:p/>
  <w:p/>
  <w:p/>
  <w:p/>
  <w:p/>
  <w:p/>
  <w:p/>
  <w:p/>
  <w:p/>
  <w:p/>
  <w:p/>
  <w:p/>
  <w:p/>
  <w:p/>
  <w:p/>
  <w:p/>
  <w:p/>
  <w:p/>
  <w:p/>
  <w:p/>
  <w:p/>
  <w:p/>
  <w:p/>
  <w:p/>
  <w:p/>
  <w:p/>
  <w:p/>
  <w:p/>
  <w:p/>
  <w:p/>
  <w:p/>
  <w:p/>
  <w:p/>
  <w:p/>
  <w:p/>
  <w:p/>
  <w:p/>
  <w:p/>
  <w:p/>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pacing w:after="0" w:line="240" w:lineRule="auto"/>
                            <w:jc w:val="center"/>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pPr>
                      <w:spacing w:after="0" w:line="240" w:lineRule="auto"/>
                      <w:jc w:val="center"/>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p/>
  <w:p/>
  <w:p/>
  <w:p/>
  <w:p/>
  <w:p/>
  <w:p/>
  <w:p/>
  <w:p/>
  <w:p/>
  <w:p/>
  <w:p/>
  <w:p/>
  <w:p/>
  <w:p/>
  <w:p/>
  <w:p/>
  <w:p/>
  <w:p/>
  <w:p/>
  <w:p/>
  <w:p/>
  <w:p/>
  <w:p/>
  <w:p/>
  <w:p/>
  <w:p/>
  <w:p/>
  <w:p/>
  <w:p/>
  <w:p/>
  <w:p/>
  <w:p/>
  <w:p/>
  <w:p/>
  <w:p/>
  <w:p/>
  <w:p/>
  <w:p/>
  <w:p/>
  <w:p/>
  <w:p/>
  <w:p/>
  <w:p/>
  <w:p/>
  <w:p/>
  <w:p/>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95B24"/>
    <w:multiLevelType w:val="singleLevel"/>
    <w:tmpl w:val="A1195B24"/>
    <w:lvl w:ilvl="0" w:tentative="0">
      <w:start w:val="2"/>
      <w:numFmt w:val="decimal"/>
      <w:suff w:val="nothing"/>
      <w:lvlText w:val="%1、"/>
      <w:lvlJc w:val="left"/>
    </w:lvl>
  </w:abstractNum>
  <w:abstractNum w:abstractNumId="1">
    <w:nsid w:val="418DC410"/>
    <w:multiLevelType w:val="singleLevel"/>
    <w:tmpl w:val="418DC410"/>
    <w:lvl w:ilvl="0" w:tentative="0">
      <w:start w:val="1"/>
      <w:numFmt w:val="decimal"/>
      <w:pStyle w:val="8"/>
      <w:lvlText w:val="%1."/>
      <w:lvlJc w:val="left"/>
      <w:pPr>
        <w:tabs>
          <w:tab w:val="left" w:pos="780"/>
        </w:tabs>
        <w:ind w:left="7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4OGJhN2M0MjI4NDBmZTU4YWZiNGM3ZDcyOTY4NDAifQ=="/>
    <w:docVar w:name="KSO_WPS_MARK_KEY" w:val="89a6e010-2d44-48ff-9fa5-81c90fc158c7"/>
  </w:docVars>
  <w:rsids>
    <w:rsidRoot w:val="00000000"/>
    <w:rsid w:val="00124D16"/>
    <w:rsid w:val="001F7F7E"/>
    <w:rsid w:val="00634488"/>
    <w:rsid w:val="00936276"/>
    <w:rsid w:val="00C14B91"/>
    <w:rsid w:val="012D1688"/>
    <w:rsid w:val="013052AA"/>
    <w:rsid w:val="01D86637"/>
    <w:rsid w:val="01DD11F5"/>
    <w:rsid w:val="01E0373D"/>
    <w:rsid w:val="0224300A"/>
    <w:rsid w:val="02902A6D"/>
    <w:rsid w:val="02924A37"/>
    <w:rsid w:val="02B475B0"/>
    <w:rsid w:val="0335576D"/>
    <w:rsid w:val="037D0DA7"/>
    <w:rsid w:val="03824AAC"/>
    <w:rsid w:val="03E2006E"/>
    <w:rsid w:val="040D758B"/>
    <w:rsid w:val="04131BA8"/>
    <w:rsid w:val="042B5143"/>
    <w:rsid w:val="045B2BCC"/>
    <w:rsid w:val="047D1717"/>
    <w:rsid w:val="049A4077"/>
    <w:rsid w:val="04A15406"/>
    <w:rsid w:val="04BF5DB3"/>
    <w:rsid w:val="04C63BD8"/>
    <w:rsid w:val="04F574FF"/>
    <w:rsid w:val="050F05C1"/>
    <w:rsid w:val="051D01F9"/>
    <w:rsid w:val="057B067D"/>
    <w:rsid w:val="05F85B6E"/>
    <w:rsid w:val="060774EA"/>
    <w:rsid w:val="06913258"/>
    <w:rsid w:val="06B07B82"/>
    <w:rsid w:val="06FD0BBC"/>
    <w:rsid w:val="07040256"/>
    <w:rsid w:val="0721282E"/>
    <w:rsid w:val="07342561"/>
    <w:rsid w:val="076F6FBB"/>
    <w:rsid w:val="07991AC0"/>
    <w:rsid w:val="079E7F01"/>
    <w:rsid w:val="081449F9"/>
    <w:rsid w:val="0898267C"/>
    <w:rsid w:val="08C36927"/>
    <w:rsid w:val="08DA08BA"/>
    <w:rsid w:val="091B0441"/>
    <w:rsid w:val="09401BE1"/>
    <w:rsid w:val="094333A8"/>
    <w:rsid w:val="09510A7C"/>
    <w:rsid w:val="096C5132"/>
    <w:rsid w:val="09CA66CE"/>
    <w:rsid w:val="09E33DCA"/>
    <w:rsid w:val="09F9539C"/>
    <w:rsid w:val="0A27015B"/>
    <w:rsid w:val="0A304E58"/>
    <w:rsid w:val="0A530F50"/>
    <w:rsid w:val="0A8D27DE"/>
    <w:rsid w:val="0ABC39D2"/>
    <w:rsid w:val="0ACC6D0D"/>
    <w:rsid w:val="0AD41C47"/>
    <w:rsid w:val="0ADF4592"/>
    <w:rsid w:val="0AF02450"/>
    <w:rsid w:val="0B3F3282"/>
    <w:rsid w:val="0B5D195B"/>
    <w:rsid w:val="0B654503"/>
    <w:rsid w:val="0BD03763"/>
    <w:rsid w:val="0BE34A57"/>
    <w:rsid w:val="0C6B6E73"/>
    <w:rsid w:val="0C7D0506"/>
    <w:rsid w:val="0CA21D1B"/>
    <w:rsid w:val="0CE74EA1"/>
    <w:rsid w:val="0CF3732E"/>
    <w:rsid w:val="0D194323"/>
    <w:rsid w:val="0D1A741A"/>
    <w:rsid w:val="0D4903E8"/>
    <w:rsid w:val="0D6E42F3"/>
    <w:rsid w:val="0D8A34B8"/>
    <w:rsid w:val="0D96694A"/>
    <w:rsid w:val="0DB00748"/>
    <w:rsid w:val="0DBF4B4E"/>
    <w:rsid w:val="0DC27C32"/>
    <w:rsid w:val="0E0E7B83"/>
    <w:rsid w:val="0E213113"/>
    <w:rsid w:val="0E715E49"/>
    <w:rsid w:val="0E7E1417"/>
    <w:rsid w:val="0EC75A69"/>
    <w:rsid w:val="0EF9473A"/>
    <w:rsid w:val="0F0A5C76"/>
    <w:rsid w:val="0FAC491B"/>
    <w:rsid w:val="0FC06ED2"/>
    <w:rsid w:val="0FD85A54"/>
    <w:rsid w:val="0FEF53FB"/>
    <w:rsid w:val="10340294"/>
    <w:rsid w:val="105B30F1"/>
    <w:rsid w:val="10612472"/>
    <w:rsid w:val="108F6A5A"/>
    <w:rsid w:val="10A9762F"/>
    <w:rsid w:val="10B46161"/>
    <w:rsid w:val="10F56DD4"/>
    <w:rsid w:val="11196324"/>
    <w:rsid w:val="11380EA0"/>
    <w:rsid w:val="11427629"/>
    <w:rsid w:val="11553800"/>
    <w:rsid w:val="118539B9"/>
    <w:rsid w:val="124F16C1"/>
    <w:rsid w:val="12650510"/>
    <w:rsid w:val="126975C3"/>
    <w:rsid w:val="12764506"/>
    <w:rsid w:val="1287490F"/>
    <w:rsid w:val="12B55B84"/>
    <w:rsid w:val="12BD6CF7"/>
    <w:rsid w:val="12EF1A32"/>
    <w:rsid w:val="13076BFB"/>
    <w:rsid w:val="13517FF7"/>
    <w:rsid w:val="137133DE"/>
    <w:rsid w:val="13AD7CBC"/>
    <w:rsid w:val="13D6315D"/>
    <w:rsid w:val="14171240"/>
    <w:rsid w:val="14A3624C"/>
    <w:rsid w:val="14FC60B6"/>
    <w:rsid w:val="152C35F9"/>
    <w:rsid w:val="15353DDC"/>
    <w:rsid w:val="155E1D5B"/>
    <w:rsid w:val="156E4DA1"/>
    <w:rsid w:val="158929F6"/>
    <w:rsid w:val="15A07014"/>
    <w:rsid w:val="1623221F"/>
    <w:rsid w:val="16421E79"/>
    <w:rsid w:val="165C118C"/>
    <w:rsid w:val="165D68C3"/>
    <w:rsid w:val="16B80B15"/>
    <w:rsid w:val="16E92044"/>
    <w:rsid w:val="172B0B5F"/>
    <w:rsid w:val="172F6E5D"/>
    <w:rsid w:val="172F7842"/>
    <w:rsid w:val="1767428D"/>
    <w:rsid w:val="18131F69"/>
    <w:rsid w:val="185302ED"/>
    <w:rsid w:val="18575DED"/>
    <w:rsid w:val="189D389E"/>
    <w:rsid w:val="19185CD4"/>
    <w:rsid w:val="195E16BF"/>
    <w:rsid w:val="19831B12"/>
    <w:rsid w:val="19916771"/>
    <w:rsid w:val="199B570B"/>
    <w:rsid w:val="19A66F03"/>
    <w:rsid w:val="19C07C84"/>
    <w:rsid w:val="1A0F6C1A"/>
    <w:rsid w:val="1A1D1E6A"/>
    <w:rsid w:val="1A262A10"/>
    <w:rsid w:val="1A2E706A"/>
    <w:rsid w:val="1A385A6D"/>
    <w:rsid w:val="1A5255B1"/>
    <w:rsid w:val="1A8A0842"/>
    <w:rsid w:val="1AED4FBA"/>
    <w:rsid w:val="1B501C36"/>
    <w:rsid w:val="1B8756CA"/>
    <w:rsid w:val="1BE418C7"/>
    <w:rsid w:val="1C49522F"/>
    <w:rsid w:val="1C624076"/>
    <w:rsid w:val="1C625E8F"/>
    <w:rsid w:val="1C9D1FFD"/>
    <w:rsid w:val="1C9D512C"/>
    <w:rsid w:val="1CD961B0"/>
    <w:rsid w:val="1D086921"/>
    <w:rsid w:val="1D127003"/>
    <w:rsid w:val="1D2642A2"/>
    <w:rsid w:val="1D3505EC"/>
    <w:rsid w:val="1D36039F"/>
    <w:rsid w:val="1D8A53D5"/>
    <w:rsid w:val="1D9C08F7"/>
    <w:rsid w:val="1DEB7BDC"/>
    <w:rsid w:val="1DEF2C3F"/>
    <w:rsid w:val="1E065784"/>
    <w:rsid w:val="1E110AAE"/>
    <w:rsid w:val="1E276C97"/>
    <w:rsid w:val="1E297E7C"/>
    <w:rsid w:val="1E314019"/>
    <w:rsid w:val="1E326C77"/>
    <w:rsid w:val="1E3429EF"/>
    <w:rsid w:val="1E3C6ED2"/>
    <w:rsid w:val="1E605592"/>
    <w:rsid w:val="1FC33BE4"/>
    <w:rsid w:val="20F76668"/>
    <w:rsid w:val="212E6EB9"/>
    <w:rsid w:val="21582E98"/>
    <w:rsid w:val="21626FF0"/>
    <w:rsid w:val="21983295"/>
    <w:rsid w:val="226D6AA8"/>
    <w:rsid w:val="227069BF"/>
    <w:rsid w:val="22954F1C"/>
    <w:rsid w:val="22D66761"/>
    <w:rsid w:val="23005595"/>
    <w:rsid w:val="231F6A45"/>
    <w:rsid w:val="233A0E7B"/>
    <w:rsid w:val="23751ADF"/>
    <w:rsid w:val="23A10440"/>
    <w:rsid w:val="23F1071B"/>
    <w:rsid w:val="2468430B"/>
    <w:rsid w:val="25186BC6"/>
    <w:rsid w:val="251D43AD"/>
    <w:rsid w:val="25270E21"/>
    <w:rsid w:val="254D37F4"/>
    <w:rsid w:val="256A4F48"/>
    <w:rsid w:val="26261F5F"/>
    <w:rsid w:val="263A491A"/>
    <w:rsid w:val="268C786C"/>
    <w:rsid w:val="26D22DCF"/>
    <w:rsid w:val="26F23447"/>
    <w:rsid w:val="26F471BF"/>
    <w:rsid w:val="27027B2E"/>
    <w:rsid w:val="272E1AD7"/>
    <w:rsid w:val="27535103"/>
    <w:rsid w:val="27E7113F"/>
    <w:rsid w:val="27EF027C"/>
    <w:rsid w:val="28165840"/>
    <w:rsid w:val="281E30AB"/>
    <w:rsid w:val="287A6993"/>
    <w:rsid w:val="289E6B98"/>
    <w:rsid w:val="28A04ED3"/>
    <w:rsid w:val="28BB61E6"/>
    <w:rsid w:val="29057B0C"/>
    <w:rsid w:val="29163C7F"/>
    <w:rsid w:val="296A07EA"/>
    <w:rsid w:val="29C16A0B"/>
    <w:rsid w:val="2A0C4820"/>
    <w:rsid w:val="2A105854"/>
    <w:rsid w:val="2A111E36"/>
    <w:rsid w:val="2A1C74B2"/>
    <w:rsid w:val="2A3B7451"/>
    <w:rsid w:val="2A5744DB"/>
    <w:rsid w:val="2A577B8D"/>
    <w:rsid w:val="2B2E7A6E"/>
    <w:rsid w:val="2B404781"/>
    <w:rsid w:val="2B4101B8"/>
    <w:rsid w:val="2B696830"/>
    <w:rsid w:val="2B8F5708"/>
    <w:rsid w:val="2BEF1E49"/>
    <w:rsid w:val="2C0559CB"/>
    <w:rsid w:val="2C1B476C"/>
    <w:rsid w:val="2C25135A"/>
    <w:rsid w:val="2C8608B9"/>
    <w:rsid w:val="2CDF446E"/>
    <w:rsid w:val="2CDF621C"/>
    <w:rsid w:val="2D2D25FE"/>
    <w:rsid w:val="2D367DBD"/>
    <w:rsid w:val="2D7746A6"/>
    <w:rsid w:val="2D800808"/>
    <w:rsid w:val="2D855015"/>
    <w:rsid w:val="2D9E60D7"/>
    <w:rsid w:val="2DD35D80"/>
    <w:rsid w:val="2E0979F4"/>
    <w:rsid w:val="2E70537D"/>
    <w:rsid w:val="2EBF00B3"/>
    <w:rsid w:val="2F6628DC"/>
    <w:rsid w:val="2F6B65A7"/>
    <w:rsid w:val="2F7754DD"/>
    <w:rsid w:val="2F7A5541"/>
    <w:rsid w:val="2F8337D6"/>
    <w:rsid w:val="2FA8516F"/>
    <w:rsid w:val="2FC305C0"/>
    <w:rsid w:val="30010B15"/>
    <w:rsid w:val="30054645"/>
    <w:rsid w:val="30185CCC"/>
    <w:rsid w:val="30215B55"/>
    <w:rsid w:val="302E3742"/>
    <w:rsid w:val="3034062C"/>
    <w:rsid w:val="30B3181E"/>
    <w:rsid w:val="30C6397A"/>
    <w:rsid w:val="31177BD5"/>
    <w:rsid w:val="31252C6C"/>
    <w:rsid w:val="314444BE"/>
    <w:rsid w:val="31BD45C7"/>
    <w:rsid w:val="321E77E6"/>
    <w:rsid w:val="322841C1"/>
    <w:rsid w:val="32A01F1E"/>
    <w:rsid w:val="32A221C5"/>
    <w:rsid w:val="32E14A9C"/>
    <w:rsid w:val="32FF3174"/>
    <w:rsid w:val="331108DD"/>
    <w:rsid w:val="333B34C9"/>
    <w:rsid w:val="33527747"/>
    <w:rsid w:val="33582884"/>
    <w:rsid w:val="33AD2BD0"/>
    <w:rsid w:val="33C7466E"/>
    <w:rsid w:val="33D61160"/>
    <w:rsid w:val="340E3279"/>
    <w:rsid w:val="340F5638"/>
    <w:rsid w:val="342235BE"/>
    <w:rsid w:val="34346E4D"/>
    <w:rsid w:val="34580754"/>
    <w:rsid w:val="3485672A"/>
    <w:rsid w:val="34980548"/>
    <w:rsid w:val="354632DC"/>
    <w:rsid w:val="35642908"/>
    <w:rsid w:val="35A53185"/>
    <w:rsid w:val="35B7678E"/>
    <w:rsid w:val="35D11B70"/>
    <w:rsid w:val="36496DE4"/>
    <w:rsid w:val="36C77154"/>
    <w:rsid w:val="36F76C4D"/>
    <w:rsid w:val="37222F49"/>
    <w:rsid w:val="373602E2"/>
    <w:rsid w:val="37461371"/>
    <w:rsid w:val="375D2B5F"/>
    <w:rsid w:val="37611E7D"/>
    <w:rsid w:val="37863E63"/>
    <w:rsid w:val="37A020E5"/>
    <w:rsid w:val="37AB38CA"/>
    <w:rsid w:val="37BC7885"/>
    <w:rsid w:val="37E666B0"/>
    <w:rsid w:val="38267DA4"/>
    <w:rsid w:val="384D3CF2"/>
    <w:rsid w:val="38514471"/>
    <w:rsid w:val="38602622"/>
    <w:rsid w:val="387E5179"/>
    <w:rsid w:val="38935C71"/>
    <w:rsid w:val="39331DC9"/>
    <w:rsid w:val="394D0F3D"/>
    <w:rsid w:val="3962445C"/>
    <w:rsid w:val="39642E69"/>
    <w:rsid w:val="39AA1A47"/>
    <w:rsid w:val="39FE7D95"/>
    <w:rsid w:val="3A5C6756"/>
    <w:rsid w:val="3A62434D"/>
    <w:rsid w:val="3A6C39BB"/>
    <w:rsid w:val="3A723312"/>
    <w:rsid w:val="3BE42422"/>
    <w:rsid w:val="3C2C7FB3"/>
    <w:rsid w:val="3C4936B2"/>
    <w:rsid w:val="3C59493B"/>
    <w:rsid w:val="3D2B057A"/>
    <w:rsid w:val="3D4F538F"/>
    <w:rsid w:val="3D820C29"/>
    <w:rsid w:val="3D8D6CC9"/>
    <w:rsid w:val="3DA9265A"/>
    <w:rsid w:val="3DEB2C72"/>
    <w:rsid w:val="3DFD29A6"/>
    <w:rsid w:val="3E1C47FE"/>
    <w:rsid w:val="3E701D54"/>
    <w:rsid w:val="3E9C09D1"/>
    <w:rsid w:val="3ED63997"/>
    <w:rsid w:val="3EDE7B8A"/>
    <w:rsid w:val="3EFB5137"/>
    <w:rsid w:val="3F702A77"/>
    <w:rsid w:val="3FB13A48"/>
    <w:rsid w:val="3FBA180C"/>
    <w:rsid w:val="3FBD32CD"/>
    <w:rsid w:val="3FC96FE3"/>
    <w:rsid w:val="3FEA1E48"/>
    <w:rsid w:val="3FF1682D"/>
    <w:rsid w:val="401133A3"/>
    <w:rsid w:val="402C3D57"/>
    <w:rsid w:val="40411F10"/>
    <w:rsid w:val="40774FC4"/>
    <w:rsid w:val="40BF3F42"/>
    <w:rsid w:val="40E165AE"/>
    <w:rsid w:val="40F736DC"/>
    <w:rsid w:val="411A4E32"/>
    <w:rsid w:val="412E1EDF"/>
    <w:rsid w:val="41CF5EAE"/>
    <w:rsid w:val="4208730F"/>
    <w:rsid w:val="423A2F5F"/>
    <w:rsid w:val="424C79A5"/>
    <w:rsid w:val="429D7C3C"/>
    <w:rsid w:val="432A1125"/>
    <w:rsid w:val="43321338"/>
    <w:rsid w:val="4346094B"/>
    <w:rsid w:val="4352109E"/>
    <w:rsid w:val="43747DE7"/>
    <w:rsid w:val="43955508"/>
    <w:rsid w:val="443C3945"/>
    <w:rsid w:val="44472BCC"/>
    <w:rsid w:val="448A3F42"/>
    <w:rsid w:val="44A2581D"/>
    <w:rsid w:val="44AC2A30"/>
    <w:rsid w:val="453B6B56"/>
    <w:rsid w:val="45486BFC"/>
    <w:rsid w:val="45742769"/>
    <w:rsid w:val="4602765B"/>
    <w:rsid w:val="46252A99"/>
    <w:rsid w:val="466B2BA2"/>
    <w:rsid w:val="46D47A5D"/>
    <w:rsid w:val="46E11CFC"/>
    <w:rsid w:val="47021D0D"/>
    <w:rsid w:val="473016F6"/>
    <w:rsid w:val="47741147"/>
    <w:rsid w:val="47AA594C"/>
    <w:rsid w:val="47B02837"/>
    <w:rsid w:val="482A213A"/>
    <w:rsid w:val="485853A8"/>
    <w:rsid w:val="487877F8"/>
    <w:rsid w:val="489F114E"/>
    <w:rsid w:val="48DA5DBD"/>
    <w:rsid w:val="49465201"/>
    <w:rsid w:val="4970701E"/>
    <w:rsid w:val="49BA14B8"/>
    <w:rsid w:val="4A365988"/>
    <w:rsid w:val="4A657B03"/>
    <w:rsid w:val="4AA047C0"/>
    <w:rsid w:val="4ACE3700"/>
    <w:rsid w:val="4AE83552"/>
    <w:rsid w:val="4B09426C"/>
    <w:rsid w:val="4B6577C5"/>
    <w:rsid w:val="4B683D72"/>
    <w:rsid w:val="4B823380"/>
    <w:rsid w:val="4BA6467C"/>
    <w:rsid w:val="4BB15521"/>
    <w:rsid w:val="4BFA0524"/>
    <w:rsid w:val="4C4F4680"/>
    <w:rsid w:val="4CC74B2D"/>
    <w:rsid w:val="4CE33A94"/>
    <w:rsid w:val="4CF86289"/>
    <w:rsid w:val="4CFF45DE"/>
    <w:rsid w:val="4D0D7549"/>
    <w:rsid w:val="4D1C13E2"/>
    <w:rsid w:val="4D92059A"/>
    <w:rsid w:val="4DA97542"/>
    <w:rsid w:val="4DBA5D92"/>
    <w:rsid w:val="4DE374C2"/>
    <w:rsid w:val="4DEF5FB2"/>
    <w:rsid w:val="4E294664"/>
    <w:rsid w:val="4E2F3344"/>
    <w:rsid w:val="4E381C20"/>
    <w:rsid w:val="4E9B0E76"/>
    <w:rsid w:val="4EF70F4D"/>
    <w:rsid w:val="4F166011"/>
    <w:rsid w:val="4F2B1620"/>
    <w:rsid w:val="4F367AC5"/>
    <w:rsid w:val="4F76490F"/>
    <w:rsid w:val="4FF04118"/>
    <w:rsid w:val="50650662"/>
    <w:rsid w:val="50BC1CBA"/>
    <w:rsid w:val="50D37CC2"/>
    <w:rsid w:val="5153094C"/>
    <w:rsid w:val="51571AC4"/>
    <w:rsid w:val="51DF2696"/>
    <w:rsid w:val="51EE0B2B"/>
    <w:rsid w:val="521368F9"/>
    <w:rsid w:val="521C7446"/>
    <w:rsid w:val="52642870"/>
    <w:rsid w:val="52851158"/>
    <w:rsid w:val="52A35472"/>
    <w:rsid w:val="52C43A4A"/>
    <w:rsid w:val="52D675F5"/>
    <w:rsid w:val="53373E0C"/>
    <w:rsid w:val="5362532D"/>
    <w:rsid w:val="536315A2"/>
    <w:rsid w:val="53807561"/>
    <w:rsid w:val="53842339"/>
    <w:rsid w:val="538D7DC6"/>
    <w:rsid w:val="54B043D5"/>
    <w:rsid w:val="54E56216"/>
    <w:rsid w:val="54FE4194"/>
    <w:rsid w:val="554C11A0"/>
    <w:rsid w:val="557E60A6"/>
    <w:rsid w:val="55A3516F"/>
    <w:rsid w:val="55A710C4"/>
    <w:rsid w:val="56474D13"/>
    <w:rsid w:val="56902DE6"/>
    <w:rsid w:val="56B608E9"/>
    <w:rsid w:val="56F24C1A"/>
    <w:rsid w:val="56F27A24"/>
    <w:rsid w:val="57460F48"/>
    <w:rsid w:val="57806831"/>
    <w:rsid w:val="57C96FA8"/>
    <w:rsid w:val="57E84079"/>
    <w:rsid w:val="583A2891"/>
    <w:rsid w:val="58871392"/>
    <w:rsid w:val="58BF6D7E"/>
    <w:rsid w:val="58ED38EB"/>
    <w:rsid w:val="59487E7E"/>
    <w:rsid w:val="594A4899"/>
    <w:rsid w:val="59975605"/>
    <w:rsid w:val="5A025174"/>
    <w:rsid w:val="5A0923CC"/>
    <w:rsid w:val="5A203F0F"/>
    <w:rsid w:val="5A3C3A68"/>
    <w:rsid w:val="5A4E632B"/>
    <w:rsid w:val="5A905E1F"/>
    <w:rsid w:val="5B02690F"/>
    <w:rsid w:val="5B2259DD"/>
    <w:rsid w:val="5B234C47"/>
    <w:rsid w:val="5BB756DE"/>
    <w:rsid w:val="5BFB3AD0"/>
    <w:rsid w:val="5C4D3E66"/>
    <w:rsid w:val="5C502CD5"/>
    <w:rsid w:val="5C7B120D"/>
    <w:rsid w:val="5C9A11AC"/>
    <w:rsid w:val="5D5A0361"/>
    <w:rsid w:val="5D5E2ADB"/>
    <w:rsid w:val="5D7B00ED"/>
    <w:rsid w:val="5DA65D3F"/>
    <w:rsid w:val="5DAB78D0"/>
    <w:rsid w:val="5E13627E"/>
    <w:rsid w:val="5E484F5D"/>
    <w:rsid w:val="5F0A5107"/>
    <w:rsid w:val="5F322057"/>
    <w:rsid w:val="5F351B48"/>
    <w:rsid w:val="5FD62FB0"/>
    <w:rsid w:val="601654D5"/>
    <w:rsid w:val="608D2202"/>
    <w:rsid w:val="60E170B6"/>
    <w:rsid w:val="613320B7"/>
    <w:rsid w:val="6155074D"/>
    <w:rsid w:val="61AD3C17"/>
    <w:rsid w:val="61F555BE"/>
    <w:rsid w:val="62141908"/>
    <w:rsid w:val="62345AB8"/>
    <w:rsid w:val="62A0377C"/>
    <w:rsid w:val="62A32961"/>
    <w:rsid w:val="630F26B0"/>
    <w:rsid w:val="632B6F6F"/>
    <w:rsid w:val="63676BEB"/>
    <w:rsid w:val="63A63014"/>
    <w:rsid w:val="63BE595B"/>
    <w:rsid w:val="63FC03BF"/>
    <w:rsid w:val="644E6121"/>
    <w:rsid w:val="645804F2"/>
    <w:rsid w:val="645B3DFE"/>
    <w:rsid w:val="64B70842"/>
    <w:rsid w:val="659770B8"/>
    <w:rsid w:val="65CE72E4"/>
    <w:rsid w:val="65EA3213"/>
    <w:rsid w:val="660303B6"/>
    <w:rsid w:val="6642102A"/>
    <w:rsid w:val="6643057B"/>
    <w:rsid w:val="66560D21"/>
    <w:rsid w:val="668A4527"/>
    <w:rsid w:val="66F27700"/>
    <w:rsid w:val="673920B8"/>
    <w:rsid w:val="674C3ED2"/>
    <w:rsid w:val="679413D5"/>
    <w:rsid w:val="67C075ED"/>
    <w:rsid w:val="67E1286C"/>
    <w:rsid w:val="67EE6D37"/>
    <w:rsid w:val="68184B4C"/>
    <w:rsid w:val="68190914"/>
    <w:rsid w:val="682816DB"/>
    <w:rsid w:val="68364B4E"/>
    <w:rsid w:val="686D7CF2"/>
    <w:rsid w:val="688C50C8"/>
    <w:rsid w:val="68C006D4"/>
    <w:rsid w:val="691E4361"/>
    <w:rsid w:val="697175FF"/>
    <w:rsid w:val="698D0391"/>
    <w:rsid w:val="69CA13F4"/>
    <w:rsid w:val="69CE52E6"/>
    <w:rsid w:val="69F820EF"/>
    <w:rsid w:val="6A1F55DC"/>
    <w:rsid w:val="6A2C3B47"/>
    <w:rsid w:val="6A2F53C6"/>
    <w:rsid w:val="6A3C6480"/>
    <w:rsid w:val="6A6F7879"/>
    <w:rsid w:val="6AFE45F0"/>
    <w:rsid w:val="6B244066"/>
    <w:rsid w:val="6C256E6C"/>
    <w:rsid w:val="6C3C2767"/>
    <w:rsid w:val="6C5C0714"/>
    <w:rsid w:val="6C7F2654"/>
    <w:rsid w:val="6CD70FC1"/>
    <w:rsid w:val="6CE81868"/>
    <w:rsid w:val="6CFB2A09"/>
    <w:rsid w:val="6D3A7005"/>
    <w:rsid w:val="6D761CA9"/>
    <w:rsid w:val="6DE80D4D"/>
    <w:rsid w:val="6E1D01E8"/>
    <w:rsid w:val="6E280154"/>
    <w:rsid w:val="6E763D12"/>
    <w:rsid w:val="6EFA2466"/>
    <w:rsid w:val="6EFF79D2"/>
    <w:rsid w:val="6F121862"/>
    <w:rsid w:val="6F35524C"/>
    <w:rsid w:val="6F7B5355"/>
    <w:rsid w:val="6FA66085"/>
    <w:rsid w:val="6FBB727C"/>
    <w:rsid w:val="6FF611BD"/>
    <w:rsid w:val="70231548"/>
    <w:rsid w:val="7035375F"/>
    <w:rsid w:val="704F058F"/>
    <w:rsid w:val="706C6A24"/>
    <w:rsid w:val="70CC53D1"/>
    <w:rsid w:val="70FC5D5F"/>
    <w:rsid w:val="71157B57"/>
    <w:rsid w:val="71A52B5D"/>
    <w:rsid w:val="71BC3A02"/>
    <w:rsid w:val="720F6228"/>
    <w:rsid w:val="723C62EB"/>
    <w:rsid w:val="727644F9"/>
    <w:rsid w:val="728E2A0C"/>
    <w:rsid w:val="73092C77"/>
    <w:rsid w:val="73726B40"/>
    <w:rsid w:val="73813691"/>
    <w:rsid w:val="74581611"/>
    <w:rsid w:val="74A311D9"/>
    <w:rsid w:val="7524274C"/>
    <w:rsid w:val="756949EA"/>
    <w:rsid w:val="764D5DFB"/>
    <w:rsid w:val="765D7381"/>
    <w:rsid w:val="770374F5"/>
    <w:rsid w:val="773F1043"/>
    <w:rsid w:val="77846CDF"/>
    <w:rsid w:val="778D20C9"/>
    <w:rsid w:val="78417467"/>
    <w:rsid w:val="7866427B"/>
    <w:rsid w:val="786A41B8"/>
    <w:rsid w:val="78782D79"/>
    <w:rsid w:val="788F1E71"/>
    <w:rsid w:val="78FE7F71"/>
    <w:rsid w:val="790E6A01"/>
    <w:rsid w:val="79110227"/>
    <w:rsid w:val="796B7990"/>
    <w:rsid w:val="7A6A4943"/>
    <w:rsid w:val="7A6B4218"/>
    <w:rsid w:val="7AAB0E79"/>
    <w:rsid w:val="7AB636E5"/>
    <w:rsid w:val="7ADE6D11"/>
    <w:rsid w:val="7AE07C8F"/>
    <w:rsid w:val="7AEF4E49"/>
    <w:rsid w:val="7B160627"/>
    <w:rsid w:val="7B205002"/>
    <w:rsid w:val="7B711D02"/>
    <w:rsid w:val="7B7A3ACB"/>
    <w:rsid w:val="7BB045D8"/>
    <w:rsid w:val="7BB51BEE"/>
    <w:rsid w:val="7BC04649"/>
    <w:rsid w:val="7BDD2EF3"/>
    <w:rsid w:val="7C0E12FE"/>
    <w:rsid w:val="7C7B5CFE"/>
    <w:rsid w:val="7C8A41BB"/>
    <w:rsid w:val="7D4A280A"/>
    <w:rsid w:val="7D935010"/>
    <w:rsid w:val="7DB60C46"/>
    <w:rsid w:val="7DEA7A4F"/>
    <w:rsid w:val="7DEB50B3"/>
    <w:rsid w:val="7E0C70D4"/>
    <w:rsid w:val="7E26761A"/>
    <w:rsid w:val="7E4A7A99"/>
    <w:rsid w:val="7E4D4360"/>
    <w:rsid w:val="7E9A1CEA"/>
    <w:rsid w:val="7E9D7499"/>
    <w:rsid w:val="7EEE0574"/>
    <w:rsid w:val="7EF053B6"/>
    <w:rsid w:val="7F201A88"/>
    <w:rsid w:val="7F517E80"/>
    <w:rsid w:val="7F547A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9"/>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qFormat/>
    <w:uiPriority w:val="9"/>
    <w:pPr>
      <w:keepNext/>
      <w:keepLines/>
      <w:spacing w:before="260" w:after="260" w:line="416" w:lineRule="auto"/>
      <w:outlineLvl w:val="2"/>
    </w:pPr>
    <w:rPr>
      <w:sz w:val="32"/>
      <w:szCs w:val="32"/>
    </w:rPr>
  </w:style>
  <w:style w:type="paragraph" w:styleId="6">
    <w:name w:val="heading 4"/>
    <w:basedOn w:val="1"/>
    <w:next w:val="1"/>
    <w:qFormat/>
    <w:uiPriority w:val="0"/>
    <w:pPr>
      <w:keepNext/>
      <w:spacing w:before="240" w:after="60"/>
      <w:outlineLvl w:val="3"/>
    </w:pPr>
    <w:rPr>
      <w:b/>
      <w:bCs/>
      <w:sz w:val="28"/>
      <w:szCs w:val="28"/>
    </w:rPr>
  </w:style>
  <w:style w:type="paragraph" w:styleId="7">
    <w:name w:val="heading 5"/>
    <w:basedOn w:val="8"/>
    <w:next w:val="9"/>
    <w:qFormat/>
    <w:uiPriority w:val="9"/>
    <w:pPr>
      <w:keepNext/>
      <w:keepLines/>
      <w:tabs>
        <w:tab w:val="left" w:pos="780"/>
      </w:tabs>
      <w:spacing w:before="280" w:after="290" w:line="377" w:lineRule="auto"/>
      <w:ind w:firstLine="200" w:firstLineChars="200"/>
      <w:outlineLvl w:val="4"/>
    </w:pPr>
    <w:rPr>
      <w:rFonts w:ascii="Times New Roman" w:hAnsi="Times New Roman" w:eastAsia="仿宋_GB2312" w:cs="Times New Roman"/>
      <w:bCs/>
      <w:szCs w:val="28"/>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2">
    <w:name w:val="Block Text"/>
    <w:basedOn w:val="1"/>
    <w:unhideWhenUsed/>
    <w:qFormat/>
    <w:uiPriority w:val="99"/>
    <w:pPr>
      <w:spacing w:line="400" w:lineRule="atLeast"/>
      <w:ind w:left="280" w:rightChars="134" w:firstLine="497" w:firstLineChars="0"/>
    </w:pPr>
    <w:rPr>
      <w:rFonts w:ascii="宋体" w:hAnsi="宋体" w:eastAsia="楷体_GB2312"/>
      <w:sz w:val="24"/>
      <w:szCs w:val="20"/>
    </w:rPr>
  </w:style>
  <w:style w:type="paragraph" w:styleId="8">
    <w:name w:val="List Number 2"/>
    <w:basedOn w:val="1"/>
    <w:qFormat/>
    <w:uiPriority w:val="0"/>
    <w:pPr>
      <w:numPr>
        <w:ilvl w:val="0"/>
        <w:numId w:val="1"/>
      </w:numPr>
    </w:pPr>
  </w:style>
  <w:style w:type="paragraph" w:styleId="9">
    <w:name w:val="Normal (Web)"/>
    <w:basedOn w:val="1"/>
    <w:next w:val="10"/>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0">
    <w:name w:val="样式 标题 3 + (中文) 黑体 小四 非加粗 段前: 7.8 磅 段后: 0 磅 行距: 固定值 20 磅"/>
    <w:basedOn w:val="5"/>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1">
    <w:name w:val="Normal Indent"/>
    <w:basedOn w:val="1"/>
    <w:qFormat/>
    <w:uiPriority w:val="99"/>
    <w:pPr>
      <w:spacing w:before="156" w:beforeLines="50" w:after="156" w:afterLines="50" w:line="360" w:lineRule="auto"/>
      <w:ind w:firstLine="420" w:firstLineChars="200"/>
    </w:pPr>
    <w:rPr>
      <w:rFonts w:ascii="Times New Roman" w:hAnsi="Times New Roman"/>
      <w:sz w:val="24"/>
      <w:szCs w:val="24"/>
    </w:rPr>
  </w:style>
  <w:style w:type="paragraph" w:styleId="12">
    <w:name w:val="annotation text"/>
    <w:basedOn w:val="1"/>
    <w:qFormat/>
    <w:uiPriority w:val="0"/>
    <w:pPr>
      <w:jc w:val="left"/>
    </w:pPr>
  </w:style>
  <w:style w:type="paragraph" w:styleId="13">
    <w:name w:val="Body Text"/>
    <w:basedOn w:val="1"/>
    <w:next w:val="1"/>
    <w:qFormat/>
    <w:uiPriority w:val="1"/>
    <w:rPr>
      <w:b/>
      <w:szCs w:val="24"/>
    </w:rPr>
  </w:style>
  <w:style w:type="paragraph" w:styleId="14">
    <w:name w:val="Body Text Indent"/>
    <w:basedOn w:val="1"/>
    <w:next w:val="1"/>
    <w:qFormat/>
    <w:uiPriority w:val="0"/>
    <w:pPr>
      <w:spacing w:after="120"/>
      <w:ind w:left="420" w:leftChars="200"/>
    </w:pPr>
  </w:style>
  <w:style w:type="paragraph" w:styleId="15">
    <w:name w:val="Plain Text"/>
    <w:basedOn w:val="1"/>
    <w:unhideWhenUsed/>
    <w:qFormat/>
    <w:uiPriority w:val="99"/>
    <w:rPr>
      <w:rFonts w:ascii="宋体" w:hAnsi="Courier New" w:eastAsia="宋体" w:cs="Courier New"/>
      <w:szCs w:val="21"/>
    </w:rPr>
  </w:style>
  <w:style w:type="paragraph" w:styleId="16">
    <w:name w:val="Body Text Indent 2"/>
    <w:basedOn w:val="1"/>
    <w:qFormat/>
    <w:uiPriority w:val="0"/>
    <w:pPr>
      <w:spacing w:line="360" w:lineRule="auto"/>
      <w:ind w:firstLine="480" w:firstLineChars="200"/>
      <w:jc w:val="left"/>
    </w:pPr>
    <w:rPr>
      <w:rFonts w:hAnsi="Arial Narrow"/>
      <w:sz w:val="24"/>
      <w:szCs w:val="21"/>
    </w:rPr>
  </w:style>
  <w:style w:type="paragraph" w:styleId="17">
    <w:name w:val="footer"/>
    <w:basedOn w:val="1"/>
    <w:unhideWhenUsed/>
    <w:qFormat/>
    <w:uiPriority w:val="99"/>
    <w:pPr>
      <w:tabs>
        <w:tab w:val="center" w:pos="4153"/>
        <w:tab w:val="right" w:pos="8306"/>
      </w:tabs>
      <w:snapToGrid w:val="0"/>
      <w:jc w:val="left"/>
    </w:pPr>
    <w:rPr>
      <w:sz w:val="18"/>
      <w:szCs w:val="18"/>
    </w:rPr>
  </w:style>
  <w:style w:type="paragraph" w:styleId="18">
    <w:name w:val="envelope return"/>
    <w:basedOn w:val="1"/>
    <w:qFormat/>
    <w:uiPriority w:val="0"/>
    <w:pPr>
      <w:snapToGrid w:val="0"/>
    </w:pPr>
    <w:rPr>
      <w:rFonts w:ascii="Arial" w:hAnsi="Arial"/>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unhideWhenUsed/>
    <w:qFormat/>
    <w:uiPriority w:val="39"/>
  </w:style>
  <w:style w:type="paragraph" w:styleId="21">
    <w:name w:val="toc 2"/>
    <w:basedOn w:val="1"/>
    <w:next w:val="1"/>
    <w:unhideWhenUsed/>
    <w:qFormat/>
    <w:uiPriority w:val="39"/>
    <w:pPr>
      <w:ind w:left="420" w:leftChars="200"/>
    </w:pPr>
  </w:style>
  <w:style w:type="paragraph" w:styleId="22">
    <w:name w:val="Body Text 2"/>
    <w:basedOn w:val="1"/>
    <w:unhideWhenUsed/>
    <w:qFormat/>
    <w:uiPriority w:val="99"/>
    <w:pPr>
      <w:spacing w:after="120" w:line="480" w:lineRule="auto"/>
    </w:pPr>
  </w:style>
  <w:style w:type="paragraph" w:styleId="23">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24">
    <w:name w:val="Body Text First Indent 2"/>
    <w:basedOn w:val="14"/>
    <w:next w:val="25"/>
    <w:qFormat/>
    <w:uiPriority w:val="99"/>
    <w:pPr>
      <w:tabs>
        <w:tab w:val="left" w:pos="4606"/>
      </w:tabs>
      <w:ind w:firstLine="420"/>
    </w:pPr>
  </w:style>
  <w:style w:type="paragraph" w:customStyle="1" w:styleId="25">
    <w:name w:val="样式 标题 3 + (中文) 黑体 小四 非加粗 段前: 7.8 磅 段后: 0 磅 行距: 固定值 20 磅_0"/>
    <w:basedOn w:val="26"/>
    <w:qFormat/>
    <w:uiPriority w:val="0"/>
    <w:pPr>
      <w:spacing w:before="0" w:after="0" w:line="400" w:lineRule="exact"/>
    </w:pPr>
    <w:rPr>
      <w:rFonts w:ascii="Times New Roman" w:hAnsi="Times New Roman" w:eastAsia="黑体" w:cs="宋体"/>
      <w:b w:val="0"/>
      <w:bCs w:val="0"/>
      <w:sz w:val="21"/>
      <w:szCs w:val="20"/>
    </w:rPr>
  </w:style>
  <w:style w:type="paragraph" w:customStyle="1" w:styleId="26">
    <w:name w:val="标题 3_0"/>
    <w:basedOn w:val="27"/>
    <w:next w:val="28"/>
    <w:qFormat/>
    <w:uiPriority w:val="0"/>
    <w:pPr>
      <w:keepNext/>
      <w:keepLines/>
      <w:spacing w:before="260" w:after="260" w:line="416" w:lineRule="auto"/>
      <w:outlineLvl w:val="2"/>
    </w:pPr>
    <w:rPr>
      <w:rFonts w:ascii="Calibri" w:hAnsi="Calibri"/>
      <w:b/>
      <w:bCs/>
      <w:sz w:val="32"/>
      <w:szCs w:val="32"/>
    </w:rPr>
  </w:style>
  <w:style w:type="paragraph" w:customStyle="1" w:styleId="27">
    <w:name w:val="正文_0"/>
    <w:next w:val="2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正文_1"/>
    <w:next w:val="24"/>
    <w:qFormat/>
    <w:uiPriority w:val="0"/>
    <w:pPr>
      <w:widowControl w:val="0"/>
      <w:jc w:val="both"/>
    </w:pPr>
    <w:rPr>
      <w:rFonts w:ascii="Times New Roman" w:hAnsi="Times New Roman" w:eastAsia="宋体" w:cs="Times New Roman"/>
      <w:kern w:val="2"/>
      <w:sz w:val="21"/>
      <w:szCs w:val="22"/>
      <w:lang w:val="en-US" w:eastAsia="zh-CN" w:bidi="ar-SA"/>
    </w:rPr>
  </w:style>
  <w:style w:type="table" w:styleId="30">
    <w:name w:val="Table Grid"/>
    <w:basedOn w:val="2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bCs/>
    </w:rPr>
  </w:style>
  <w:style w:type="character" w:styleId="33">
    <w:name w:val="page number"/>
    <w:basedOn w:val="31"/>
    <w:qFormat/>
    <w:uiPriority w:val="99"/>
  </w:style>
  <w:style w:type="character" w:styleId="34">
    <w:name w:val="Hyperlink"/>
    <w:unhideWhenUsed/>
    <w:qFormat/>
    <w:uiPriority w:val="99"/>
    <w:rPr>
      <w:color w:val="0000FF"/>
      <w:u w:val="single"/>
    </w:rPr>
  </w:style>
  <w:style w:type="paragraph" w:customStyle="1" w:styleId="35">
    <w:name w:val="Fließtext"/>
    <w:basedOn w:val="1"/>
    <w:qFormat/>
    <w:uiPriority w:val="99"/>
    <w:pPr>
      <w:overflowPunct w:val="0"/>
      <w:autoSpaceDE w:val="0"/>
      <w:autoSpaceDN w:val="0"/>
      <w:adjustRightInd w:val="0"/>
      <w:textAlignment w:val="baseline"/>
    </w:pPr>
    <w:rPr>
      <w:kern w:val="28"/>
      <w:szCs w:val="20"/>
    </w:rPr>
  </w:style>
  <w:style w:type="paragraph" w:customStyle="1" w:styleId="36">
    <w:name w:val="首行缩进"/>
    <w:basedOn w:val="1"/>
    <w:qFormat/>
    <w:uiPriority w:val="0"/>
    <w:pPr>
      <w:ind w:firstLine="480" w:firstLineChars="200"/>
    </w:pPr>
    <w:rPr>
      <w:lang w:val="zh-CN"/>
    </w:rPr>
  </w:style>
  <w:style w:type="paragraph" w:customStyle="1" w:styleId="37">
    <w:name w:val="正文（缩进）"/>
    <w:basedOn w:val="1"/>
    <w:qFormat/>
    <w:uiPriority w:val="99"/>
    <w:pPr>
      <w:spacing w:before="156" w:after="156"/>
      <w:ind w:firstLine="480"/>
    </w:pPr>
  </w:style>
  <w:style w:type="paragraph" w:customStyle="1" w:styleId="38">
    <w:name w:val="null3"/>
    <w:qFormat/>
    <w:uiPriority w:val="0"/>
    <w:rPr>
      <w:rFonts w:hint="eastAsia" w:ascii="Calibri" w:hAnsi="Calibri" w:eastAsia="宋体" w:cs="Times New Roman"/>
      <w:lang w:val="en-US" w:eastAsia="zh-CN" w:bidi="ar-SA"/>
    </w:rPr>
  </w:style>
  <w:style w:type="paragraph" w:customStyle="1" w:styleId="39">
    <w:name w:val="样式1"/>
    <w:basedOn w:val="1"/>
    <w:qFormat/>
    <w:uiPriority w:val="0"/>
    <w:pPr>
      <w:jc w:val="center"/>
    </w:pPr>
    <w:rPr>
      <w:rFonts w:eastAsia="方正大标宋简体"/>
      <w:sz w:val="52"/>
    </w:rPr>
  </w:style>
  <w:style w:type="paragraph" w:customStyle="1" w:styleId="40">
    <w:name w:val="Normal Indent1"/>
    <w:qFormat/>
    <w:uiPriority w:val="0"/>
    <w:pPr>
      <w:spacing w:afterLines="50" w:line="360" w:lineRule="auto"/>
      <w:ind w:firstLine="420" w:firstLineChars="200"/>
    </w:pPr>
    <w:rPr>
      <w:rFonts w:ascii="Times New Roman" w:hAnsi="Times New Roman" w:eastAsia="宋体" w:cs="Times New Roman"/>
      <w:lang w:val="en-US" w:eastAsia="zh-CN" w:bidi="ar-SA"/>
    </w:rPr>
  </w:style>
  <w:style w:type="character" w:customStyle="1" w:styleId="41">
    <w:name w:val="edittexttarea"/>
    <w:basedOn w:val="31"/>
    <w:qFormat/>
    <w:uiPriority w:val="0"/>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WPSOffice手动目录 2"/>
    <w:qFormat/>
    <w:uiPriority w:val="0"/>
    <w:pPr>
      <w:ind w:leftChars="200"/>
    </w:pPr>
    <w:rPr>
      <w:rFonts w:ascii="Times New Roman" w:hAnsi="Times New Roman" w:eastAsia="宋体" w:cs="Times New Roman"/>
      <w:sz w:val="20"/>
      <w:szCs w:val="20"/>
    </w:rPr>
  </w:style>
  <w:style w:type="paragraph" w:customStyle="1" w:styleId="44">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45">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4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47">
    <w:name w:val="List Paragraph"/>
    <w:basedOn w:val="1"/>
    <w:qFormat/>
    <w:uiPriority w:val="0"/>
    <w:pPr>
      <w:widowControl/>
      <w:ind w:firstLine="420" w:firstLineChars="200"/>
      <w:jc w:val="left"/>
    </w:pPr>
    <w:rPr>
      <w:rFonts w:ascii="MetaPlusLF" w:hAnsi="MetaPlusLF" w:cs="Times New Roman"/>
      <w:snapToGrid/>
      <w:sz w:val="20"/>
      <w:szCs w:val="20"/>
      <w:lang w:val="de-DE" w:eastAsia="de-DE"/>
    </w:rPr>
  </w:style>
  <w:style w:type="paragraph" w:customStyle="1" w:styleId="48">
    <w:name w:val="p0"/>
    <w:basedOn w:val="1"/>
    <w:qFormat/>
    <w:uiPriority w:val="0"/>
    <w:pPr>
      <w:widowControl/>
    </w:pPr>
    <w:rPr>
      <w:kern w:val="0"/>
      <w:sz w:val="20"/>
      <w:szCs w:val="21"/>
    </w:rPr>
  </w:style>
  <w:style w:type="paragraph" w:customStyle="1" w:styleId="49">
    <w:name w:val="MsoNormal"/>
    <w:basedOn w:val="1"/>
    <w:qFormat/>
    <w:uiPriority w:val="0"/>
  </w:style>
  <w:style w:type="paragraph" w:customStyle="1" w:styleId="50">
    <w:name w:val="MsoNormal0"/>
    <w:basedOn w:val="1"/>
    <w:qFormat/>
    <w:uiPriority w:val="0"/>
  </w:style>
  <w:style w:type="table" w:customStyle="1" w:styleId="51">
    <w:name w:val="MsoNormalTable0"/>
    <w:basedOn w:val="29"/>
    <w:qFormat/>
    <w:uiPriority w:val="0"/>
    <w:tblPr>
      <w:tblCellMar>
        <w:top w:w="0" w:type="dxa"/>
        <w:left w:w="108" w:type="dxa"/>
        <w:bottom w:w="0" w:type="dxa"/>
        <w:right w:w="108" w:type="dxa"/>
      </w:tblCellMar>
    </w:tblPr>
  </w:style>
  <w:style w:type="table" w:customStyle="1" w:styleId="52">
    <w:name w:val="MsoNormalTable"/>
    <w:basedOn w:val="29"/>
    <w:qFormat/>
    <w:uiPriority w:val="0"/>
    <w:tblPr>
      <w:tblCellMar>
        <w:top w:w="0" w:type="dxa"/>
        <w:left w:w="108" w:type="dxa"/>
        <w:bottom w:w="0" w:type="dxa"/>
        <w:right w:w="108" w:type="dxa"/>
      </w:tblCellMar>
    </w:tblPr>
  </w:style>
  <w:style w:type="paragraph" w:customStyle="1" w:styleId="53">
    <w:name w:val="MsoBodyText"/>
    <w:basedOn w:val="1"/>
    <w:qFormat/>
    <w:uiPriority w:val="0"/>
  </w:style>
  <w:style w:type="paragraph" w:customStyle="1" w:styleId="54">
    <w:name w:val="MsoBodyTextFirstIndent20"/>
    <w:basedOn w:val="1"/>
    <w:qFormat/>
    <w:uiPriority w:val="0"/>
  </w:style>
  <w:style w:type="paragraph" w:customStyle="1" w:styleId="55">
    <w:name w:val="MsoListParagraph"/>
    <w:basedOn w:val="1"/>
    <w:qFormat/>
    <w:uiPriority w:val="0"/>
  </w:style>
  <w:style w:type="paragraph" w:customStyle="1" w:styleId="56">
    <w:name w:val="MsoBodyTextFirstIndent2"/>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33545</Words>
  <Characters>35814</Characters>
  <Lines>0</Lines>
  <Paragraphs>0</Paragraphs>
  <TotalTime>1</TotalTime>
  <ScaleCrop>false</ScaleCrop>
  <LinksUpToDate>false</LinksUpToDate>
  <CharactersWithSpaces>37788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2024-06-04T12:42:00Z</dcterms:created>
  <dc:creator>Administrator</dc:creator>
  <cp:lastModifiedBy>admin</cp:lastModifiedBy>
  <dcterms:modified xsi:type="dcterms:W3CDTF">2025-02-25T05:53:39Z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3E92C8B07C68425BAD60A4633F88354A_13</vt:lpwstr>
  </property>
  <property fmtid="{D5CDD505-2E9C-101B-9397-08002B2CF9AE}" pid="4" name="KSOTemplateDocerSaveRecord">
    <vt:lpwstr>eyJoZGlkIjoiODZjZjA2N2Y3NWJmNzk4YTBjN2MxMTE0YWEyZWE2MDkiLCJ1c2VySWQiOiI3MDIzMzI3NzUifQ==</vt:lpwstr>
  </property>
</Properties>
</file>