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EFC68">
      <w:pPr>
        <w:pStyle w:val="3"/>
        <w:jc w:val="center"/>
        <w:outlineLvl w:val="9"/>
        <w:rPr>
          <w:rFonts w:hint="eastAsia" w:ascii="宋体" w:hAnsi="宋体" w:eastAsia="宋体" w:cs="宋体"/>
          <w:b/>
          <w:color w:val="auto"/>
          <w:sz w:val="24"/>
          <w:szCs w:val="24"/>
        </w:rPr>
      </w:pPr>
    </w:p>
    <w:p w14:paraId="2F0DBF98">
      <w:pPr>
        <w:pStyle w:val="3"/>
        <w:jc w:val="center"/>
        <w:rPr>
          <w:rFonts w:hint="eastAsia" w:ascii="宋体" w:hAnsi="宋体" w:cs="宋体"/>
          <w:b/>
          <w:color w:val="auto"/>
          <w:sz w:val="72"/>
          <w:szCs w:val="72"/>
        </w:rPr>
      </w:pPr>
      <w:bookmarkStart w:id="0" w:name="_Toc29271"/>
      <w:bookmarkStart w:id="1" w:name="_Toc5043"/>
      <w:r>
        <w:rPr>
          <w:rFonts w:hint="eastAsia" w:ascii="宋体" w:hAnsi="宋体" w:cs="宋体"/>
          <w:b/>
          <w:color w:val="auto"/>
          <w:sz w:val="72"/>
          <w:szCs w:val="72"/>
        </w:rPr>
        <w:t>竞争性磋商文件</w:t>
      </w:r>
      <w:bookmarkEnd w:id="0"/>
      <w:bookmarkEnd w:id="1"/>
    </w:p>
    <w:p w14:paraId="2D467A93">
      <w:pPr>
        <w:pStyle w:val="3"/>
        <w:jc w:val="center"/>
        <w:rPr>
          <w:rFonts w:hint="eastAsia" w:ascii="宋体" w:hAnsi="宋体" w:cs="宋体"/>
          <w:b/>
          <w:color w:val="auto"/>
          <w:sz w:val="72"/>
          <w:szCs w:val="72"/>
        </w:rPr>
      </w:pPr>
      <w:bookmarkStart w:id="2" w:name="_Toc14781"/>
      <w:bookmarkStart w:id="3" w:name="_Toc32452"/>
      <w:r>
        <w:rPr>
          <w:rFonts w:hint="eastAsia" w:ascii="宋体" w:hAnsi="宋体" w:cs="宋体"/>
          <w:b/>
          <w:color w:val="auto"/>
          <w:sz w:val="72"/>
          <w:szCs w:val="72"/>
        </w:rPr>
        <w:t>（商务部分）</w:t>
      </w:r>
      <w:bookmarkEnd w:id="2"/>
      <w:bookmarkEnd w:id="3"/>
    </w:p>
    <w:p w14:paraId="3CABB25A">
      <w:pPr>
        <w:bidi w:val="0"/>
        <w:rPr>
          <w:rFonts w:hint="eastAsia" w:ascii="宋体" w:hAnsi="宋体" w:eastAsia="宋体" w:cs="宋体"/>
          <w:color w:val="auto"/>
          <w:sz w:val="24"/>
          <w:szCs w:val="24"/>
          <w:highlight w:val="none"/>
        </w:rPr>
      </w:pPr>
    </w:p>
    <w:p w14:paraId="55AE4607">
      <w:pPr>
        <w:pStyle w:val="13"/>
        <w:rPr>
          <w:rFonts w:hint="eastAsia" w:ascii="宋体" w:hAnsi="宋体" w:eastAsia="宋体" w:cs="宋体"/>
          <w:color w:val="auto"/>
          <w:sz w:val="24"/>
          <w:szCs w:val="24"/>
          <w:highlight w:val="none"/>
        </w:rPr>
      </w:pPr>
    </w:p>
    <w:p w14:paraId="4B830647">
      <w:pPr>
        <w:bidi w:val="0"/>
        <w:rPr>
          <w:rFonts w:hint="eastAsia" w:ascii="宋体" w:hAnsi="宋体" w:eastAsia="宋体" w:cs="宋体"/>
          <w:color w:val="auto"/>
          <w:sz w:val="24"/>
          <w:szCs w:val="24"/>
          <w:highlight w:val="none"/>
        </w:rPr>
      </w:pPr>
    </w:p>
    <w:p w14:paraId="6A3DA6CB">
      <w:pPr>
        <w:pStyle w:val="7"/>
        <w:numPr>
          <w:ilvl w:val="0"/>
          <w:numId w:val="0"/>
        </w:numPr>
        <w:ind w:leftChars="200"/>
        <w:rPr>
          <w:rFonts w:hint="eastAsia"/>
          <w:color w:val="auto"/>
        </w:rPr>
      </w:pPr>
    </w:p>
    <w:p w14:paraId="7F00091F">
      <w:pPr>
        <w:pStyle w:val="9"/>
        <w:rPr>
          <w:rFonts w:hint="eastAsia"/>
          <w:color w:val="auto"/>
        </w:rPr>
      </w:pPr>
    </w:p>
    <w:p w14:paraId="2CD253B5">
      <w:pPr>
        <w:pStyle w:val="15"/>
        <w:ind w:firstLine="280" w:firstLineChars="1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国家税务总局福州市仓山区税务局涉税（费）服务采购项目</w:t>
      </w:r>
    </w:p>
    <w:p w14:paraId="32B35FF2">
      <w:pPr>
        <w:pStyle w:val="15"/>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ZXWT-2025-30-1</w:t>
      </w:r>
    </w:p>
    <w:p w14:paraId="06782E3F">
      <w:pPr>
        <w:pStyle w:val="15"/>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国家税务总局福州市仓山区税务局</w:t>
      </w:r>
    </w:p>
    <w:p w14:paraId="39FEFAB6">
      <w:pPr>
        <w:pStyle w:val="15"/>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14:paraId="34120DB3">
      <w:pPr>
        <w:topLinePunct/>
        <w:autoSpaceDE w:val="0"/>
        <w:autoSpaceDN w:val="0"/>
        <w:spacing w:line="460" w:lineRule="exact"/>
        <w:rPr>
          <w:rFonts w:hint="eastAsia" w:ascii="宋体" w:hAnsi="宋体" w:eastAsia="宋体" w:cs="宋体"/>
          <w:b/>
          <w:color w:val="auto"/>
          <w:sz w:val="24"/>
          <w:szCs w:val="24"/>
          <w:highlight w:val="none"/>
        </w:rPr>
      </w:pPr>
    </w:p>
    <w:p w14:paraId="0C654D0F">
      <w:pPr>
        <w:topLinePunct/>
        <w:autoSpaceDE w:val="0"/>
        <w:autoSpaceDN w:val="0"/>
        <w:spacing w:line="460" w:lineRule="exact"/>
        <w:jc w:val="center"/>
        <w:rPr>
          <w:rFonts w:hint="eastAsia" w:ascii="宋体" w:hAnsi="宋体" w:eastAsia="宋体" w:cs="宋体"/>
          <w:color w:val="auto"/>
          <w:sz w:val="24"/>
          <w:szCs w:val="24"/>
          <w:highlight w:val="none"/>
        </w:rPr>
      </w:pPr>
    </w:p>
    <w:p w14:paraId="75B087B3">
      <w:pPr>
        <w:pStyle w:val="7"/>
        <w:numPr>
          <w:ilvl w:val="0"/>
          <w:numId w:val="0"/>
        </w:numPr>
        <w:ind w:leftChars="200"/>
        <w:rPr>
          <w:rFonts w:hint="eastAsia"/>
          <w:color w:val="auto"/>
        </w:rPr>
      </w:pPr>
    </w:p>
    <w:p w14:paraId="1ABFAA7E">
      <w:pPr>
        <w:pStyle w:val="10"/>
        <w:rPr>
          <w:rFonts w:hint="eastAsia"/>
          <w:color w:val="auto"/>
        </w:rPr>
      </w:pPr>
    </w:p>
    <w:p w14:paraId="064DD46F">
      <w:pPr>
        <w:topLinePunct/>
        <w:autoSpaceDE w:val="0"/>
        <w:autoSpaceDN w:val="0"/>
        <w:spacing w:line="160" w:lineRule="exact"/>
        <w:jc w:val="center"/>
        <w:rPr>
          <w:rFonts w:hint="eastAsia" w:ascii="宋体" w:hAnsi="宋体" w:eastAsia="宋体" w:cs="宋体"/>
          <w:color w:val="auto"/>
          <w:sz w:val="24"/>
          <w:szCs w:val="24"/>
          <w:highlight w:val="none"/>
        </w:rPr>
      </w:pPr>
    </w:p>
    <w:p w14:paraId="22464B9A">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14:paraId="17470E8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27</w:t>
      </w:r>
      <w:r>
        <w:rPr>
          <w:rFonts w:hint="eastAsia" w:ascii="宋体" w:hAnsi="宋体" w:eastAsia="宋体" w:cs="宋体"/>
          <w:color w:val="auto"/>
          <w:sz w:val="28"/>
          <w:szCs w:val="28"/>
          <w:highlight w:val="none"/>
        </w:rPr>
        <w:t>日</w:t>
      </w:r>
    </w:p>
    <w:p w14:paraId="3414527E">
      <w:pPr>
        <w:rPr>
          <w:rFonts w:hint="eastAsia" w:ascii="宋体" w:hAnsi="宋体" w:eastAsia="宋体" w:cs="宋体"/>
          <w:color w:val="auto"/>
          <w:sz w:val="24"/>
          <w:szCs w:val="24"/>
          <w:highlight w:val="none"/>
        </w:rPr>
      </w:pPr>
    </w:p>
    <w:p w14:paraId="6BCB468D">
      <w:pPr>
        <w:rPr>
          <w:rFonts w:hint="eastAsia" w:ascii="宋体" w:hAnsi="宋体" w:eastAsia="宋体" w:cs="宋体"/>
          <w:color w:val="auto"/>
          <w:sz w:val="24"/>
          <w:szCs w:val="24"/>
          <w:highlight w:val="none"/>
        </w:rPr>
      </w:pPr>
    </w:p>
    <w:p w14:paraId="10461A1F">
      <w:pPr>
        <w:rPr>
          <w:rFonts w:hint="eastAsia" w:ascii="宋体" w:hAnsi="宋体" w:eastAsia="宋体" w:cs="宋体"/>
          <w:color w:val="auto"/>
          <w:sz w:val="24"/>
          <w:szCs w:val="24"/>
          <w:highlight w:val="none"/>
        </w:rPr>
        <w:sectPr>
          <w:footerReference r:id="rId3" w:type="default"/>
          <w:pgSz w:w="11906" w:h="16838"/>
          <w:pgMar w:top="1440" w:right="1531" w:bottom="1440" w:left="1531" w:header="851" w:footer="992" w:gutter="0"/>
          <w:pgNumType w:fmt="decimal"/>
          <w:cols w:space="720" w:num="1"/>
          <w:docGrid w:type="lines" w:linePitch="312" w:charSpace="0"/>
        </w:sectPr>
      </w:pPr>
    </w:p>
    <w:p w14:paraId="5AF5809A">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color w:val="auto"/>
          <w:sz w:val="32"/>
          <w:szCs w:val="32"/>
        </w:rPr>
      </w:pPr>
      <w:r>
        <w:rPr>
          <w:rFonts w:ascii="宋体" w:hAnsi="宋体" w:eastAsia="宋体"/>
          <w:b/>
          <w:bCs/>
          <w:color w:val="auto"/>
          <w:sz w:val="32"/>
          <w:szCs w:val="32"/>
        </w:rPr>
        <w:t>目录</w:t>
      </w:r>
    </w:p>
    <w:p w14:paraId="04AD0049">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p>
    <w:p w14:paraId="260D03A7">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_Toc12643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第一章  磋商邀请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_Toc12643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DC96B03">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F06FF03">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0F92C32">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_Toc9293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BA85440">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E42E1EC">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_Toc20651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四、响应文件递交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0B24887">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_Toc8791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五、磋商与评审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C75531A">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六、成交和合同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E66A1EB">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_Toc17635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七、询问和质疑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66EA246">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_Toc6779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八、其他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8AEDCBF">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_Toc13151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第三章  评审方法及标准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5609A7F">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第四章  采购合同文本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_Toc29753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0B72E2D">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428D73D">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第六章  项目采购需求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8C8DE0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14:paraId="1A176AB7">
      <w:pPr>
        <w:rPr>
          <w:rFonts w:hint="eastAsia" w:ascii="宋体" w:hAnsi="宋体" w:eastAsia="宋体" w:cs="宋体"/>
          <w:color w:val="auto"/>
          <w:sz w:val="24"/>
          <w:szCs w:val="24"/>
          <w:highlight w:val="none"/>
        </w:rPr>
      </w:pPr>
    </w:p>
    <w:p w14:paraId="4FF97E82">
      <w:pPr>
        <w:rPr>
          <w:rFonts w:hint="eastAsia" w:ascii="宋体" w:hAnsi="宋体" w:eastAsia="宋体" w:cs="宋体"/>
          <w:color w:val="auto"/>
          <w:sz w:val="24"/>
          <w:szCs w:val="24"/>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14:paraId="3EFEBE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 w:name="_Toc12643"/>
      <w:bookmarkStart w:id="5" w:name="_Toc132880655"/>
      <w:r>
        <w:rPr>
          <w:rFonts w:hint="eastAsia" w:ascii="宋体" w:hAnsi="宋体" w:eastAsia="宋体" w:cs="宋体"/>
          <w:b/>
          <w:bCs/>
          <w:color w:val="auto"/>
          <w:sz w:val="28"/>
          <w:szCs w:val="28"/>
          <w:highlight w:val="none"/>
        </w:rPr>
        <w:t>第一章  磋商邀请</w:t>
      </w:r>
      <w:bookmarkEnd w:id="4"/>
      <w:bookmarkEnd w:id="5"/>
    </w:p>
    <w:p w14:paraId="4BE6ECC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52098F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国家税务总局福州市仓山区税务局涉税（费）服务采购项目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福建省智信招标有限公司（福建省福州市鼓楼区五四路159号世界金龙大厦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03</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2EAC68A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6" w:name="_Toc27898"/>
      <w:bookmarkStart w:id="7" w:name="_Toc16149"/>
      <w:r>
        <w:rPr>
          <w:rFonts w:hint="eastAsia" w:ascii="宋体" w:hAnsi="宋体" w:eastAsia="宋体" w:cs="宋体"/>
          <w:b/>
          <w:bCs/>
          <w:color w:val="auto"/>
          <w:sz w:val="24"/>
          <w:szCs w:val="24"/>
          <w:highlight w:val="none"/>
        </w:rPr>
        <w:t>一、项目基本情况</w:t>
      </w:r>
      <w:bookmarkEnd w:id="6"/>
      <w:bookmarkEnd w:id="7"/>
    </w:p>
    <w:p w14:paraId="374B8544">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ZXWT-2025-30-1</w:t>
      </w:r>
    </w:p>
    <w:p w14:paraId="24B444B1">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国家税务总局福州市仓山区税务局涉税（费）服务采购项目</w:t>
      </w:r>
    </w:p>
    <w:p w14:paraId="38FD1111">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2C710A51">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kern w:val="0"/>
          <w:sz w:val="24"/>
          <w:szCs w:val="24"/>
          <w:highlight w:val="none"/>
          <w:lang w:val="en-US" w:eastAsia="zh-CN" w:bidi="ar-SA"/>
        </w:rPr>
        <w:t>98</w:t>
      </w:r>
      <w:r>
        <w:rPr>
          <w:rFonts w:hint="eastAsia" w:ascii="宋体" w:hAnsi="宋体" w:eastAsia="宋体" w:cs="宋体"/>
          <w:color w:val="auto"/>
          <w:kern w:val="0"/>
          <w:sz w:val="24"/>
          <w:szCs w:val="24"/>
          <w:highlight w:val="none"/>
          <w:lang w:val="en-US" w:eastAsia="zh-CN" w:bidi="ar-SA"/>
        </w:rPr>
        <w:t>万元</w:t>
      </w:r>
    </w:p>
    <w:p w14:paraId="0798584B">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kern w:val="0"/>
          <w:sz w:val="24"/>
          <w:szCs w:val="24"/>
          <w:highlight w:val="none"/>
          <w:lang w:val="en-US" w:eastAsia="zh-CN" w:bidi="ar-SA"/>
        </w:rPr>
        <w:t>98</w:t>
      </w:r>
      <w:r>
        <w:rPr>
          <w:rFonts w:hint="eastAsia" w:ascii="宋体" w:hAnsi="宋体" w:eastAsia="宋体" w:cs="宋体"/>
          <w:color w:val="auto"/>
          <w:kern w:val="0"/>
          <w:sz w:val="24"/>
          <w:szCs w:val="24"/>
          <w:highlight w:val="none"/>
          <w:lang w:val="en-US" w:eastAsia="zh-CN" w:bidi="ar-SA"/>
        </w:rPr>
        <w:t>万元</w:t>
      </w:r>
    </w:p>
    <w:p w14:paraId="0861803C">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9"/>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51"/>
        <w:gridCol w:w="1625"/>
        <w:gridCol w:w="912"/>
        <w:gridCol w:w="1263"/>
        <w:gridCol w:w="4204"/>
      </w:tblGrid>
      <w:tr w14:paraId="596D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951" w:type="dxa"/>
            <w:shd w:val="clear" w:color="auto" w:fill="FFFFFF"/>
            <w:noWrap w:val="0"/>
            <w:tcMar>
              <w:left w:w="108" w:type="dxa"/>
              <w:right w:w="108" w:type="dxa"/>
            </w:tcMar>
            <w:vAlign w:val="center"/>
          </w:tcPr>
          <w:p w14:paraId="23971E7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采购包</w:t>
            </w:r>
          </w:p>
        </w:tc>
        <w:tc>
          <w:tcPr>
            <w:tcW w:w="1625" w:type="dxa"/>
            <w:shd w:val="clear" w:color="auto" w:fill="FFFFFF"/>
            <w:noWrap w:val="0"/>
            <w:tcMar>
              <w:left w:w="108" w:type="dxa"/>
              <w:right w:w="108" w:type="dxa"/>
            </w:tcMar>
            <w:vAlign w:val="center"/>
          </w:tcPr>
          <w:p w14:paraId="296231E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项目名称</w:t>
            </w:r>
          </w:p>
        </w:tc>
        <w:tc>
          <w:tcPr>
            <w:tcW w:w="912" w:type="dxa"/>
            <w:shd w:val="clear" w:color="auto" w:fill="FFFFFF"/>
            <w:noWrap w:val="0"/>
            <w:tcMar>
              <w:left w:w="108" w:type="dxa"/>
              <w:right w:w="108" w:type="dxa"/>
            </w:tcMar>
            <w:vAlign w:val="center"/>
          </w:tcPr>
          <w:p w14:paraId="18159A6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服务期限</w:t>
            </w:r>
          </w:p>
        </w:tc>
        <w:tc>
          <w:tcPr>
            <w:tcW w:w="1263" w:type="dxa"/>
            <w:shd w:val="clear" w:color="auto" w:fill="FFFFFF"/>
            <w:noWrap w:val="0"/>
            <w:tcMar>
              <w:left w:w="108" w:type="dxa"/>
              <w:right w:w="108" w:type="dxa"/>
            </w:tcMar>
            <w:vAlign w:val="center"/>
          </w:tcPr>
          <w:p w14:paraId="3F0AEE3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预算金额（万元）</w:t>
            </w:r>
          </w:p>
        </w:tc>
        <w:tc>
          <w:tcPr>
            <w:tcW w:w="4204" w:type="dxa"/>
            <w:shd w:val="clear" w:color="auto" w:fill="FFFFFF"/>
            <w:noWrap w:val="0"/>
            <w:tcMar>
              <w:left w:w="108" w:type="dxa"/>
              <w:right w:w="108" w:type="dxa"/>
            </w:tcMar>
            <w:vAlign w:val="center"/>
          </w:tcPr>
          <w:p w14:paraId="6D2E47C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rPr>
            </w:pPr>
            <w:r>
              <w:rPr>
                <w:rFonts w:hint="eastAsia" w:ascii="宋体" w:hAnsi="宋体"/>
                <w:color w:val="auto"/>
              </w:rPr>
              <w:t>简要</w:t>
            </w:r>
            <w:r>
              <w:rPr>
                <w:rFonts w:hint="eastAsia"/>
                <w:color w:val="auto"/>
                <w:lang w:val="en-US" w:eastAsia="zh-CN"/>
              </w:rPr>
              <w:t>技术</w:t>
            </w:r>
            <w:r>
              <w:rPr>
                <w:rFonts w:hint="eastAsia" w:ascii="宋体" w:hAnsi="宋体"/>
                <w:color w:val="auto"/>
              </w:rPr>
              <w:t>服务要求</w:t>
            </w:r>
          </w:p>
        </w:tc>
      </w:tr>
      <w:tr w14:paraId="5CBC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trPr>
        <w:tc>
          <w:tcPr>
            <w:tcW w:w="951" w:type="dxa"/>
            <w:shd w:val="clear" w:color="auto" w:fill="FFFFFF"/>
            <w:noWrap w:val="0"/>
            <w:tcMar>
              <w:left w:w="108" w:type="dxa"/>
              <w:right w:w="108" w:type="dxa"/>
            </w:tcMar>
            <w:vAlign w:val="center"/>
          </w:tcPr>
          <w:p w14:paraId="166C6B1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1</w:t>
            </w:r>
          </w:p>
        </w:tc>
        <w:tc>
          <w:tcPr>
            <w:tcW w:w="1625" w:type="dxa"/>
            <w:shd w:val="clear" w:color="auto" w:fill="FFFFFF"/>
            <w:noWrap w:val="0"/>
            <w:tcMar>
              <w:left w:w="108" w:type="dxa"/>
              <w:right w:w="108" w:type="dxa"/>
            </w:tcMar>
            <w:vAlign w:val="center"/>
          </w:tcPr>
          <w:p w14:paraId="33CA1B82">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宋体" w:hAnsi="宋体" w:eastAsia="宋体"/>
                <w:color w:val="auto"/>
                <w:lang w:val="en-US" w:eastAsia="zh-CN"/>
              </w:rPr>
            </w:pPr>
            <w:r>
              <w:rPr>
                <w:rFonts w:hint="eastAsia" w:ascii="宋体" w:hAnsi="宋体" w:cs="宋体"/>
                <w:color w:val="auto"/>
                <w:sz w:val="24"/>
                <w:szCs w:val="24"/>
                <w:highlight w:val="none"/>
                <w:lang w:eastAsia="zh-CN"/>
              </w:rPr>
              <w:t>国家税务总局福州市仓山区税务局涉税（费）服务采购项目</w:t>
            </w:r>
          </w:p>
        </w:tc>
        <w:tc>
          <w:tcPr>
            <w:tcW w:w="912" w:type="dxa"/>
            <w:shd w:val="clear" w:color="auto" w:fill="FFFFFF"/>
            <w:noWrap w:val="0"/>
            <w:tcMar>
              <w:left w:w="108" w:type="dxa"/>
              <w:right w:w="108" w:type="dxa"/>
            </w:tcMar>
            <w:vAlign w:val="center"/>
          </w:tcPr>
          <w:p w14:paraId="41A3D91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1年</w:t>
            </w:r>
          </w:p>
        </w:tc>
        <w:tc>
          <w:tcPr>
            <w:tcW w:w="1263" w:type="dxa"/>
            <w:shd w:val="clear" w:color="auto" w:fill="FFFFFF"/>
            <w:noWrap w:val="0"/>
            <w:tcMar>
              <w:left w:w="108" w:type="dxa"/>
              <w:right w:w="108" w:type="dxa"/>
            </w:tcMar>
            <w:vAlign w:val="center"/>
          </w:tcPr>
          <w:p w14:paraId="4CD8CC2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cyan"/>
                <w:lang w:val="en-US" w:eastAsia="zh-CN"/>
              </w:rPr>
            </w:pPr>
            <w:r>
              <w:rPr>
                <w:rFonts w:hint="eastAsia" w:cs="宋体"/>
                <w:color w:val="auto"/>
                <w:sz w:val="24"/>
                <w:szCs w:val="24"/>
                <w:highlight w:val="none"/>
                <w:lang w:val="en-US" w:eastAsia="zh-CN"/>
              </w:rPr>
              <w:t>98</w:t>
            </w:r>
          </w:p>
        </w:tc>
        <w:tc>
          <w:tcPr>
            <w:tcW w:w="4204" w:type="dxa"/>
            <w:shd w:val="clear" w:color="auto" w:fill="FFFFFF"/>
            <w:noWrap w:val="0"/>
            <w:tcMar>
              <w:left w:w="108" w:type="dxa"/>
              <w:right w:w="108" w:type="dxa"/>
            </w:tcMar>
            <w:vAlign w:val="center"/>
          </w:tcPr>
          <w:p w14:paraId="4EB1EFE2">
            <w:pPr>
              <w:keepNext w:val="0"/>
              <w:keepLines w:val="0"/>
              <w:pageBreakBefore w:val="0"/>
              <w:widowControl w:val="0"/>
              <w:tabs>
                <w:tab w:val="left" w:pos="525"/>
                <w:tab w:val="left" w:pos="737"/>
              </w:tabs>
              <w:kinsoku/>
              <w:wordWrap/>
              <w:overflowPunct/>
              <w:topLinePunct w:val="0"/>
              <w:autoSpaceDE/>
              <w:autoSpaceDN/>
              <w:bidi w:val="0"/>
              <w:adjustRightInd/>
              <w:snapToGrid w:val="0"/>
              <w:spacing w:line="600" w:lineRule="exact"/>
              <w:textAlignment w:val="auto"/>
              <w:rPr>
                <w:rFonts w:hint="default" w:ascii="宋体" w:hAnsi="宋体" w:eastAsia="宋体"/>
                <w:color w:val="auto"/>
                <w:highlight w:val="none"/>
                <w:lang w:val="en-US" w:eastAsia="zh-CN"/>
              </w:rPr>
            </w:pPr>
            <w:r>
              <w:rPr>
                <w:rFonts w:hint="eastAsia" w:ascii="宋体" w:hAnsi="宋体" w:eastAsia="宋体" w:cs="宋体"/>
                <w:sz w:val="24"/>
                <w:szCs w:val="24"/>
                <w:lang w:val="zh-CN" w:eastAsia="zh-CN"/>
              </w:rPr>
              <w:t>提供</w:t>
            </w:r>
            <w:r>
              <w:rPr>
                <w:rFonts w:hint="eastAsia" w:ascii="宋体" w:hAnsi="宋体" w:eastAsia="宋体" w:cs="宋体"/>
                <w:sz w:val="24"/>
                <w:szCs w:val="24"/>
                <w:lang w:val="zh-CN"/>
              </w:rPr>
              <w:t>办</w:t>
            </w:r>
            <w:r>
              <w:rPr>
                <w:rFonts w:hint="eastAsia" w:ascii="宋体" w:hAnsi="宋体" w:eastAsia="宋体" w:cs="宋体"/>
                <w:color w:val="auto"/>
                <w:kern w:val="0"/>
                <w:sz w:val="24"/>
                <w:szCs w:val="24"/>
                <w:highlight w:val="none"/>
                <w:lang w:val="zh-CN" w:eastAsia="zh-CN" w:bidi="ar-SA"/>
              </w:rPr>
              <w:t>税服务厅现场导税、接受咨询；辅导纳税人利用自助办税终端、</w:t>
            </w:r>
            <w:r>
              <w:rPr>
                <w:rFonts w:hint="eastAsia" w:ascii="宋体" w:hAnsi="宋体" w:eastAsia="宋体" w:cs="宋体"/>
                <w:color w:val="auto"/>
                <w:kern w:val="0"/>
                <w:sz w:val="24"/>
                <w:szCs w:val="24"/>
                <w:highlight w:val="none"/>
                <w:lang w:val="en-US" w:eastAsia="zh-CN" w:bidi="ar-SA"/>
              </w:rPr>
              <w:t>自助办税区</w:t>
            </w:r>
            <w:r>
              <w:rPr>
                <w:rFonts w:hint="eastAsia" w:ascii="宋体" w:hAnsi="宋体" w:eastAsia="宋体" w:cs="宋体"/>
                <w:color w:val="auto"/>
                <w:kern w:val="0"/>
                <w:sz w:val="24"/>
                <w:szCs w:val="24"/>
                <w:highlight w:val="none"/>
                <w:lang w:val="zh-CN" w:eastAsia="zh-CN" w:bidi="ar-SA"/>
              </w:rPr>
              <w:t>、手机进行自助办税、网上办税、掌上办税；区局税收业务咨询热线接答，12366远程座席接答；</w:t>
            </w:r>
            <w:r>
              <w:rPr>
                <w:rFonts w:hint="eastAsia" w:ascii="宋体" w:hAnsi="宋体" w:eastAsia="宋体" w:cs="宋体"/>
                <w:color w:val="auto"/>
                <w:kern w:val="0"/>
                <w:sz w:val="24"/>
                <w:szCs w:val="24"/>
                <w:highlight w:val="none"/>
                <w:lang w:val="en-US" w:eastAsia="zh-CN" w:bidi="ar-SA"/>
              </w:rPr>
              <w:t>税费争议诉求事项接待、台账录入、咨询调解等；</w:t>
            </w:r>
            <w:r>
              <w:rPr>
                <w:rFonts w:hint="eastAsia" w:ascii="宋体" w:hAnsi="宋体" w:eastAsia="宋体" w:cs="宋体"/>
                <w:color w:val="auto"/>
                <w:kern w:val="0"/>
                <w:sz w:val="24"/>
                <w:szCs w:val="24"/>
                <w:highlight w:val="none"/>
                <w:lang w:val="zh-CN" w:eastAsia="zh-CN" w:bidi="ar-SA"/>
              </w:rPr>
              <w:t>资料管理以及除总局规定办税服务厅编外人员授权负面清单以外的业务事项等辅助工作</w:t>
            </w:r>
            <w:r>
              <w:rPr>
                <w:rFonts w:hint="eastAsia" w:ascii="宋体" w:hAnsi="宋体" w:eastAsia="宋体" w:cs="宋体"/>
                <w:color w:val="auto"/>
                <w:kern w:val="0"/>
                <w:sz w:val="24"/>
                <w:szCs w:val="24"/>
                <w:highlight w:val="none"/>
                <w:lang w:val="en-US" w:eastAsia="zh-CN" w:bidi="ar-SA"/>
              </w:rPr>
              <w:t>，具体详见磋商文件第六章“项目采购需求”。</w:t>
            </w:r>
          </w:p>
        </w:tc>
      </w:tr>
    </w:tbl>
    <w:p w14:paraId="35A68BB2">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14:paraId="43FA7847">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14:paraId="5FC6DF5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8" w:name="_Toc25153"/>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8"/>
    </w:p>
    <w:p w14:paraId="76BE37F9">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zh-CN" w:eastAsia="zh-CN" w:bidi="ar-SA"/>
        </w:rPr>
      </w:pPr>
      <w:bookmarkStart w:id="9" w:name="_Toc21862"/>
      <w:r>
        <w:rPr>
          <w:rFonts w:hint="eastAsia" w:ascii="宋体" w:hAnsi="宋体" w:eastAsia="宋体" w:cs="宋体"/>
          <w:color w:val="auto"/>
          <w:kern w:val="2"/>
          <w:sz w:val="24"/>
          <w:szCs w:val="24"/>
          <w:highlight w:val="none"/>
          <w:lang w:val="zh-CN" w:eastAsia="zh-CN" w:bidi="ar-SA"/>
        </w:rPr>
        <w:t>1.符合国家</w:t>
      </w:r>
      <w:r>
        <w:rPr>
          <w:rFonts w:hint="eastAsia" w:ascii="宋体" w:hAnsi="宋体" w:eastAsia="宋体" w:cs="宋体"/>
          <w:color w:val="auto"/>
          <w:kern w:val="2"/>
          <w:sz w:val="24"/>
          <w:szCs w:val="24"/>
          <w:highlight w:val="none"/>
          <w:lang w:val="en-US" w:eastAsia="zh-CN" w:bidi="ar-SA"/>
        </w:rPr>
        <w:t>有关</w:t>
      </w:r>
      <w:r>
        <w:rPr>
          <w:rFonts w:hint="eastAsia" w:ascii="宋体" w:hAnsi="宋体" w:eastAsia="宋体" w:cs="宋体"/>
          <w:color w:val="auto"/>
          <w:kern w:val="2"/>
          <w:sz w:val="24"/>
          <w:szCs w:val="24"/>
          <w:highlight w:val="none"/>
          <w:lang w:val="zh-CN" w:eastAsia="zh-CN" w:bidi="ar-SA"/>
        </w:rPr>
        <w:t>法律规定，在中国境内（指关境内）注册，同时满足本项目资质要求。</w:t>
      </w:r>
    </w:p>
    <w:p w14:paraId="3D201508">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2.供应商须符合《中华人民共和国政府采购法》第二十二条规定的条件，并提供下列证明材料：</w:t>
      </w:r>
    </w:p>
    <w:p w14:paraId="2C0E3010">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(1)法人或者其他组织的营业执照等证明文件；</w:t>
      </w:r>
    </w:p>
    <w:p w14:paraId="0E9685C7">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2023年度或2024年度的财务报告（须提供加盖会计师事务所公章及注册会计师签章的扫描件或复印件）；没有经审计的财务报告的，可以提供银行出具的资信证明】；</w:t>
      </w:r>
    </w:p>
    <w:p w14:paraId="261CF6A8">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(3)供应商依法缴纳税收：2024年10月以来不少于1个月依法缴纳税收（不包括个人所得税）的相关材料；若为提交响应文件截止时间的当月成立的供应商，视同满足本项资格条件要求；</w:t>
      </w:r>
    </w:p>
    <w:p w14:paraId="70FC5F16">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(4)供应商依法缴纳社会保障资金：2024年10月以来不少于1个月的依法缴纳社会保障资金的相关材料；若为提交响应文件截止时间的当月成立的供应商，视同满足本项资格条件要求；</w:t>
      </w:r>
    </w:p>
    <w:p w14:paraId="0416DAF1">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14:paraId="5BCD33DA">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(6)参加政府采购活动前三年内在经营活动中没有重大违法记录的书面声明；</w:t>
      </w:r>
    </w:p>
    <w:p w14:paraId="756E2A4C">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14:paraId="59C3FAB1">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3.落实政府采购政策需满足的资格要求：本项目不专门面向中小企业采购。</w:t>
      </w:r>
    </w:p>
    <w:p w14:paraId="6F35B116">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4.本项目的特定资格要求：无。</w:t>
      </w:r>
    </w:p>
    <w:p w14:paraId="24E7543A">
      <w:pPr>
        <w:keepNext w:val="0"/>
        <w:keepLines w:val="0"/>
        <w:pageBreakBefore w:val="0"/>
        <w:widowControl/>
        <w:kinsoku/>
        <w:wordWrap/>
        <w:topLinePunct w:val="0"/>
        <w:bidi w:val="0"/>
        <w:snapToGrid/>
        <w:spacing w:line="360" w:lineRule="auto"/>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5.本项目不接受联合体报价。</w:t>
      </w:r>
    </w:p>
    <w:p w14:paraId="2E818D88">
      <w:pPr>
        <w:pStyle w:val="40"/>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14:paraId="50F43E2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9"/>
    </w:p>
    <w:p w14:paraId="1F7A7095">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27</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w:t>
      </w:r>
      <w:r>
        <w:rPr>
          <w:rFonts w:hint="eastAsia" w:ascii="宋体" w:hAnsi="宋体" w:cs="宋体"/>
          <w:color w:val="auto"/>
          <w:sz w:val="24"/>
          <w:szCs w:val="24"/>
          <w:highlight w:val="none"/>
          <w:u w:val="none"/>
          <w:lang w:val="en-US" w:eastAsia="zh-CN"/>
        </w:rPr>
        <w:t>08：00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14：30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17：30</w:t>
      </w:r>
      <w:r>
        <w:rPr>
          <w:rFonts w:hint="eastAsia" w:ascii="宋体" w:hAnsi="宋体" w:eastAsia="宋体" w:cs="宋体"/>
          <w:color w:val="auto"/>
          <w:sz w:val="24"/>
          <w:szCs w:val="24"/>
          <w:highlight w:val="none"/>
          <w:u w:val="none"/>
        </w:rPr>
        <w:t>（北京时间，法定节假日除外）</w:t>
      </w:r>
    </w:p>
    <w:p w14:paraId="65191CAC">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14:paraId="1BCA18CC">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14:paraId="6F2CA893">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14:paraId="1F5A9A1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0" w:name="_Toc24999"/>
      <w:r>
        <w:rPr>
          <w:rFonts w:hint="eastAsia" w:ascii="宋体" w:hAnsi="宋体" w:eastAsia="宋体" w:cs="宋体"/>
          <w:b/>
          <w:bCs/>
          <w:color w:val="auto"/>
          <w:sz w:val="24"/>
          <w:szCs w:val="24"/>
          <w:highlight w:val="none"/>
        </w:rPr>
        <w:t>四、响应文件提交</w:t>
      </w:r>
      <w:bookmarkEnd w:id="10"/>
    </w:p>
    <w:p w14:paraId="3B15A094">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none"/>
          <w:lang w:val="en-US" w:eastAsia="zh-CN"/>
        </w:rPr>
        <w:t>2025</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03</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11</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09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3DFDF45B">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14:paraId="475EFEE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1" w:name="_Toc22727"/>
      <w:r>
        <w:rPr>
          <w:rFonts w:hint="eastAsia" w:ascii="宋体" w:hAnsi="宋体" w:eastAsia="宋体" w:cs="宋体"/>
          <w:b/>
          <w:bCs/>
          <w:color w:val="auto"/>
          <w:sz w:val="24"/>
          <w:szCs w:val="24"/>
          <w:highlight w:val="none"/>
        </w:rPr>
        <w:t>五、开启</w:t>
      </w:r>
      <w:bookmarkEnd w:id="11"/>
    </w:p>
    <w:p w14:paraId="43C9CAC0">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03</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11</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09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0FDF1287">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14:paraId="4EA3477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2" w:name="_Toc30955"/>
      <w:r>
        <w:rPr>
          <w:rFonts w:hint="eastAsia" w:ascii="宋体" w:hAnsi="宋体" w:eastAsia="宋体" w:cs="宋体"/>
          <w:b/>
          <w:bCs/>
          <w:color w:val="auto"/>
          <w:sz w:val="24"/>
          <w:szCs w:val="24"/>
          <w:highlight w:val="none"/>
        </w:rPr>
        <w:t>六、公告期限</w:t>
      </w:r>
      <w:bookmarkEnd w:id="12"/>
    </w:p>
    <w:p w14:paraId="5141AD1F">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612F857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color w:val="auto"/>
          <w:sz w:val="24"/>
          <w:szCs w:val="24"/>
          <w:highlight w:val="none"/>
          <w:u w:val="none"/>
          <w:lang w:val="en-US" w:eastAsia="zh-CN"/>
        </w:rPr>
      </w:pPr>
      <w:bookmarkStart w:id="13" w:name="_Toc15463"/>
      <w:r>
        <w:rPr>
          <w:rFonts w:hint="eastAsia" w:ascii="宋体" w:hAnsi="宋体" w:eastAsia="宋体" w:cs="宋体"/>
          <w:b/>
          <w:bCs/>
          <w:color w:val="auto"/>
          <w:sz w:val="24"/>
          <w:szCs w:val="24"/>
          <w:highlight w:val="none"/>
        </w:rPr>
        <w:t>七、其他补充事宜</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无</w:t>
      </w:r>
      <w:bookmarkEnd w:id="13"/>
    </w:p>
    <w:p w14:paraId="61631F4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4" w:name="_Toc10471"/>
      <w:r>
        <w:rPr>
          <w:rFonts w:hint="eastAsia" w:ascii="宋体" w:hAnsi="宋体" w:eastAsia="宋体" w:cs="宋体"/>
          <w:b/>
          <w:bCs/>
          <w:color w:val="auto"/>
          <w:sz w:val="24"/>
          <w:szCs w:val="24"/>
          <w:highlight w:val="none"/>
        </w:rPr>
        <w:t>八、凡对本次采购提出询问，请按以下方式联系。</w:t>
      </w:r>
      <w:bookmarkEnd w:id="14"/>
    </w:p>
    <w:p w14:paraId="0B8EA283">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采购</w:t>
      </w:r>
      <w:r>
        <w:rPr>
          <w:rFonts w:hint="eastAsia" w:ascii="宋体" w:hAnsi="宋体" w:eastAsia="宋体" w:cs="宋体"/>
          <w:bCs/>
          <w:color w:val="auto"/>
          <w:sz w:val="24"/>
          <w:szCs w:val="24"/>
          <w:highlight w:val="none"/>
        </w:rPr>
        <w:t>人信息</w:t>
      </w:r>
    </w:p>
    <w:p w14:paraId="449E6F3B">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国家税务总局福州市仓山区税务局</w:t>
      </w:r>
    </w:p>
    <w:p w14:paraId="744E27B9">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地    址：福州市仓山区则徐大道268号</w:t>
      </w:r>
    </w:p>
    <w:p w14:paraId="78A096B8">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周星宇，0591-83536336</w:t>
      </w:r>
    </w:p>
    <w:p w14:paraId="6D1CCC41">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14:paraId="48B386F8">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14:paraId="617334CA">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14:paraId="03C5371D">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14:paraId="34457D62">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14:paraId="66327C62">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eastAsia="zh-CN"/>
        </w:rPr>
        <w:t>廖丽松、林伟南、王小敏</w:t>
      </w:r>
    </w:p>
    <w:p w14:paraId="7968B5A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p w14:paraId="253C3640">
      <w:pPr>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p w14:paraId="72A372D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5" w:name="_Toc132880656"/>
      <w:bookmarkStart w:id="16" w:name="_Toc5752"/>
      <w:r>
        <w:rPr>
          <w:rFonts w:hint="eastAsia" w:ascii="宋体" w:hAnsi="宋体" w:eastAsia="宋体" w:cs="宋体"/>
          <w:b/>
          <w:bCs/>
          <w:color w:val="auto"/>
          <w:sz w:val="28"/>
          <w:szCs w:val="28"/>
          <w:highlight w:val="none"/>
        </w:rPr>
        <w:t>第二章　供应商须知</w:t>
      </w:r>
      <w:bookmarkEnd w:id="15"/>
      <w:bookmarkEnd w:id="16"/>
    </w:p>
    <w:p w14:paraId="6AFFAB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17" w:name="_Toc132880657"/>
      <w:r>
        <w:rPr>
          <w:rFonts w:hint="eastAsia" w:ascii="宋体" w:hAnsi="宋体" w:eastAsia="宋体" w:cs="宋体"/>
          <w:b/>
          <w:bCs/>
          <w:color w:val="auto"/>
          <w:sz w:val="28"/>
          <w:szCs w:val="28"/>
          <w:highlight w:val="none"/>
        </w:rPr>
        <w:t>供应商须知前附表</w:t>
      </w:r>
      <w:bookmarkEnd w:id="17"/>
    </w:p>
    <w:tbl>
      <w:tblPr>
        <w:tblStyle w:val="2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14:paraId="4157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072FF1A">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4414A739">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519E6D7A">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2BC1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noWrap w:val="0"/>
            <w:vAlign w:val="center"/>
          </w:tcPr>
          <w:p w14:paraId="72CD216E">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4" w:type="dxa"/>
            <w:vMerge w:val="restart"/>
            <w:tcBorders>
              <w:top w:val="single" w:color="auto" w:sz="4" w:space="0"/>
              <w:left w:val="single" w:color="auto" w:sz="4" w:space="0"/>
              <w:right w:val="single" w:color="auto" w:sz="4" w:space="0"/>
            </w:tcBorders>
            <w:noWrap w:val="0"/>
            <w:vAlign w:val="center"/>
          </w:tcPr>
          <w:p w14:paraId="776470BF">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38DA9B8F">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国家税务总局福州市仓山区税务局涉税（费）服务采购项目</w:t>
            </w:r>
          </w:p>
        </w:tc>
      </w:tr>
      <w:tr w14:paraId="5E52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14:paraId="47C56E88">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14:paraId="3A2C9116">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0B56E3FD">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ZXWT-2025-30-1</w:t>
            </w:r>
          </w:p>
        </w:tc>
      </w:tr>
      <w:tr w14:paraId="0473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14:paraId="763ACFE0">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14:paraId="10ABF864">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1C642FA7">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r>
              <w:rPr>
                <w:rFonts w:hint="eastAsia" w:ascii="宋体" w:hAnsi="宋体" w:cs="宋体"/>
                <w:color w:val="auto"/>
                <w:kern w:val="0"/>
                <w:sz w:val="24"/>
                <w:szCs w:val="24"/>
                <w:highlight w:val="none"/>
                <w:lang w:val="en-US" w:eastAsia="zh-CN" w:bidi="ar-SA"/>
              </w:rPr>
              <w:t>98</w:t>
            </w:r>
            <w:r>
              <w:rPr>
                <w:rFonts w:hint="eastAsia" w:ascii="宋体" w:hAnsi="宋体" w:eastAsia="宋体" w:cs="宋体"/>
                <w:color w:val="auto"/>
                <w:kern w:val="0"/>
                <w:sz w:val="24"/>
                <w:szCs w:val="24"/>
                <w:highlight w:val="none"/>
                <w:lang w:val="en-US" w:eastAsia="zh-CN" w:bidi="ar-SA"/>
              </w:rPr>
              <w:t>万元</w:t>
            </w:r>
          </w:p>
        </w:tc>
      </w:tr>
      <w:tr w14:paraId="7143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14:paraId="467333D8">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14:paraId="767BEB14">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4882EFDC">
            <w:pPr>
              <w:keepNext w:val="0"/>
              <w:keepLines w:val="0"/>
              <w:pageBreakBefore w:val="0"/>
              <w:kinsoku/>
              <w:wordWrap/>
              <w:overflowPunct/>
              <w:bidi w:val="0"/>
              <w:adjustRightInd w:val="0"/>
              <w:snapToGrid w:val="0"/>
              <w:spacing w:line="39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项目最高限价：98万元</w:t>
            </w:r>
          </w:p>
        </w:tc>
      </w:tr>
      <w:tr w14:paraId="5321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6FA5B96">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2A8B2A7E">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0B30C0BC">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14:paraId="7E06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8A63446">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27F1259E">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49B9DDAF">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 xml:space="preserve"> </w:t>
            </w:r>
          </w:p>
          <w:p w14:paraId="05101EA7">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项目类别：</w:t>
            </w:r>
            <w:r>
              <w:rPr>
                <w:rFonts w:hint="eastAsia" w:ascii="宋体" w:hAnsi="宋体" w:eastAsia="宋体" w:cs="宋体"/>
                <w:color w:val="auto"/>
                <w:sz w:val="24"/>
                <w:szCs w:val="24"/>
                <w:highlight w:val="none"/>
              </w:rPr>
              <w:t>非信息化项目</w:t>
            </w:r>
          </w:p>
        </w:tc>
      </w:tr>
      <w:tr w14:paraId="770C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2F3F165">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29E4BC61">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27C79622">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w:t>
            </w:r>
            <w:r>
              <w:rPr>
                <w:rFonts w:hint="eastAsia" w:ascii="宋体" w:hAnsi="宋体" w:cs="宋体"/>
                <w:color w:val="auto"/>
                <w:sz w:val="24"/>
                <w:szCs w:val="24"/>
                <w:highlight w:val="none"/>
                <w:u w:val="none"/>
                <w:lang w:eastAsia="zh-CN"/>
              </w:rPr>
              <w:t>国家税务总局福州市仓山区税务局</w:t>
            </w:r>
          </w:p>
          <w:p w14:paraId="25ADAB84">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none"/>
                <w:lang w:eastAsia="zh-CN"/>
              </w:rPr>
              <w:t>福州市仓山区则徐大道268号</w:t>
            </w:r>
            <w:r>
              <w:rPr>
                <w:rFonts w:hint="eastAsia" w:ascii="宋体" w:hAnsi="宋体" w:eastAsia="宋体" w:cs="宋体"/>
                <w:color w:val="auto"/>
                <w:sz w:val="24"/>
                <w:szCs w:val="24"/>
                <w:highlight w:val="none"/>
                <w:u w:val="none"/>
                <w:lang w:val="en-US" w:eastAsia="zh-CN"/>
              </w:rPr>
              <w:t xml:space="preserve">  </w:t>
            </w:r>
          </w:p>
          <w:p w14:paraId="0DCEA66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周星宇，0591-83536336</w:t>
            </w:r>
            <w:r>
              <w:rPr>
                <w:rFonts w:hint="eastAsia" w:ascii="宋体" w:hAnsi="宋体" w:cs="宋体"/>
                <w:color w:val="auto"/>
                <w:sz w:val="24"/>
                <w:highlight w:val="none"/>
                <w:lang w:val="en-US" w:eastAsia="zh-CN"/>
              </w:rPr>
              <w:t xml:space="preserve"> </w:t>
            </w:r>
          </w:p>
        </w:tc>
      </w:tr>
      <w:tr w14:paraId="2F9D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37A0203">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5382BE14">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3F24C333">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名称：福建省智信招标有限公司</w:t>
            </w:r>
          </w:p>
          <w:p w14:paraId="49FA726A">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地址：福建省福州市鼓楼区五四路159号世界金龙大厦第14层A、C1单元</w:t>
            </w:r>
          </w:p>
          <w:p w14:paraId="3117D7D4">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0591-88318332、87530730、87616211转80</w:t>
            </w:r>
            <w:r>
              <w:rPr>
                <w:rFonts w:hint="eastAsia" w:ascii="宋体" w:hAnsi="宋体" w:eastAsia="宋体" w:cs="宋体"/>
                <w:color w:val="auto"/>
                <w:sz w:val="24"/>
                <w:szCs w:val="24"/>
                <w:highlight w:val="none"/>
                <w:u w:val="none"/>
                <w:lang w:val="en-US" w:eastAsia="zh-CN"/>
              </w:rPr>
              <w:t>3</w:t>
            </w:r>
          </w:p>
          <w:p w14:paraId="1EC8FA04">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zhixin01@126.com</w:t>
            </w:r>
          </w:p>
        </w:tc>
      </w:tr>
      <w:tr w14:paraId="283E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B8E7585">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27465E7E">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3E438505">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14:paraId="0BB90E65">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14:paraId="0046DE37">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14:paraId="59DC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C61AB92">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3C0430B9">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6BB7CF2C">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14:paraId="426A07CB">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14:paraId="05653F0A">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eastAsia="宋体" w:cs="宋体"/>
                <w:color w:val="auto"/>
                <w:sz w:val="24"/>
                <w:szCs w:val="24"/>
                <w:highlight w:val="none"/>
              </w:rPr>
              <w:t>）]。</w:t>
            </w:r>
          </w:p>
        </w:tc>
      </w:tr>
      <w:tr w14:paraId="2D0C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0864F8A">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1B1EF801">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598F6474">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具体详见第一章磋商邀请</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的资格要求”要求。</w:t>
            </w:r>
          </w:p>
        </w:tc>
      </w:tr>
      <w:tr w14:paraId="1AF7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6543D46">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625C767A">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66364EF4">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58DE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AA74BBB">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53EF463B">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3167A59B">
            <w:pPr>
              <w:keepNext w:val="0"/>
              <w:keepLines w:val="0"/>
              <w:pageBreakBefore w:val="0"/>
              <w:widowControl/>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享受扶持政策获得政府采购项目的，小微企业不得将合同分包给大中型企业，中型企业不得将合同分包给大型企业。本项目</w:t>
            </w:r>
            <w:r>
              <w:rPr>
                <w:rFonts w:hint="eastAsia" w:ascii="宋体" w:hAnsi="宋体" w:eastAsia="宋体" w:cs="宋体"/>
                <w:color w:val="auto"/>
                <w:sz w:val="24"/>
                <w:szCs w:val="24"/>
                <w:highlight w:val="none"/>
                <w:lang w:val="en-US" w:eastAsia="zh-CN"/>
              </w:rPr>
              <w:t>为服务类项目，对应的中小企业划分标准所属行业为“</w:t>
            </w:r>
            <w:r>
              <w:rPr>
                <w:rFonts w:hint="eastAsia" w:ascii="宋体" w:hAnsi="宋体" w:eastAsia="宋体" w:cs="宋体"/>
                <w:b w:val="0"/>
                <w:bCs w:val="0"/>
                <w:color w:val="auto"/>
                <w:kern w:val="2"/>
                <w:sz w:val="24"/>
                <w:szCs w:val="24"/>
                <w:highlight w:val="none"/>
                <w:lang w:val="en-US" w:eastAsia="zh-CN" w:bidi="ar"/>
              </w:rPr>
              <w:t>租赁和商务服务业</w:t>
            </w:r>
            <w:r>
              <w:rPr>
                <w:rFonts w:hint="eastAsia" w:ascii="宋体" w:hAnsi="宋体" w:eastAsia="宋体" w:cs="宋体"/>
                <w:color w:val="auto"/>
                <w:sz w:val="24"/>
                <w:szCs w:val="24"/>
                <w:highlight w:val="none"/>
                <w:lang w:val="en-US" w:eastAsia="zh-CN"/>
              </w:rPr>
              <w:t>”。</w:t>
            </w:r>
          </w:p>
        </w:tc>
      </w:tr>
      <w:tr w14:paraId="250D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2F57B32">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0DD54C96">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14:paraId="03204E0E">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14:paraId="143E8C5E">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26C11971">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14:paraId="60F4748E">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14:paraId="48F4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5309C43B">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4" w:type="dxa"/>
            <w:noWrap w:val="0"/>
            <w:vAlign w:val="center"/>
          </w:tcPr>
          <w:p w14:paraId="56E2600F">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197" w:type="dxa"/>
            <w:gridSpan w:val="2"/>
            <w:noWrap w:val="0"/>
            <w:vAlign w:val="center"/>
          </w:tcPr>
          <w:p w14:paraId="1DFF7C5C">
            <w:pPr>
              <w:keepNext w:val="0"/>
              <w:keepLines w:val="0"/>
              <w:pageBreakBefore w:val="0"/>
              <w:widowControl w:val="0"/>
              <w:kinsoku/>
              <w:wordWrap/>
              <w:overflowPunct/>
              <w:topLinePunct w:val="0"/>
              <w:autoSpaceDE/>
              <w:autoSpaceDN/>
              <w:bidi w:val="0"/>
              <w:adjustRightInd w:val="0"/>
              <w:snapToGrid w:val="0"/>
              <w:spacing w:line="390" w:lineRule="exact"/>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无</w:t>
            </w:r>
          </w:p>
        </w:tc>
      </w:tr>
      <w:tr w14:paraId="3158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0AE20281">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4" w:type="dxa"/>
            <w:noWrap w:val="0"/>
            <w:vAlign w:val="center"/>
          </w:tcPr>
          <w:p w14:paraId="545951C2">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197" w:type="dxa"/>
            <w:gridSpan w:val="2"/>
            <w:noWrap w:val="0"/>
            <w:vAlign w:val="center"/>
          </w:tcPr>
          <w:p w14:paraId="5B8DC47E">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14:paraId="1E10829B">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14:paraId="105969D2">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14:paraId="55EB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7E08FEB5">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4" w:type="dxa"/>
            <w:noWrap w:val="0"/>
            <w:vAlign w:val="center"/>
          </w:tcPr>
          <w:p w14:paraId="3B0001D8">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6197" w:type="dxa"/>
            <w:gridSpan w:val="2"/>
            <w:noWrap w:val="0"/>
            <w:vAlign w:val="center"/>
          </w:tcPr>
          <w:p w14:paraId="09BEF41F">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国家税务总局福州市税务局网站</w:t>
            </w:r>
            <w:r>
              <w:rPr>
                <w:rFonts w:hint="eastAsia" w:ascii="宋体" w:hAnsi="宋体" w:eastAsia="宋体" w:cs="宋体"/>
                <w:bCs/>
                <w:color w:val="auto"/>
                <w:sz w:val="24"/>
                <w:szCs w:val="24"/>
                <w:highlight w:val="none"/>
              </w:rPr>
              <w:t>http://fujian.chinatax.gov.cn/fzsswj/</w:t>
            </w:r>
          </w:p>
        </w:tc>
      </w:tr>
      <w:tr w14:paraId="268A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11188E53">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4" w:type="dxa"/>
            <w:noWrap w:val="0"/>
            <w:vAlign w:val="center"/>
          </w:tcPr>
          <w:p w14:paraId="71EE6DFF">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14:paraId="2A3DFDC8">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14:paraId="57012036">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6197" w:type="dxa"/>
            <w:gridSpan w:val="2"/>
            <w:noWrap w:val="0"/>
            <w:vAlign w:val="center"/>
          </w:tcPr>
          <w:p w14:paraId="17D60C8C">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27</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rPr>
              <w:t>每天</w:t>
            </w:r>
            <w:r>
              <w:rPr>
                <w:rFonts w:hint="eastAsia" w:ascii="宋体" w:hAnsi="宋体" w:eastAsia="宋体" w:cs="宋体"/>
                <w:bCs/>
                <w:color w:val="auto"/>
                <w:sz w:val="24"/>
                <w:szCs w:val="24"/>
                <w:highlight w:val="none"/>
                <w:lang w:val="en-US" w:eastAsia="zh-CN"/>
              </w:rPr>
              <w:t>08：00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12：00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14：30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17：30</w:t>
            </w:r>
            <w:r>
              <w:rPr>
                <w:rFonts w:hint="eastAsia" w:ascii="宋体" w:hAnsi="宋体" w:eastAsia="宋体" w:cs="宋体"/>
                <w:bCs/>
                <w:color w:val="auto"/>
                <w:sz w:val="24"/>
                <w:szCs w:val="24"/>
                <w:highlight w:val="none"/>
              </w:rPr>
              <w:t>（北京时间，法定节假日除外）</w:t>
            </w:r>
          </w:p>
          <w:p w14:paraId="3673BA01">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rPr>
              <w:t>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14:paraId="31B73399">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方式：</w:t>
            </w:r>
            <w:r>
              <w:rPr>
                <w:rFonts w:hint="eastAsia" w:ascii="宋体" w:hAnsi="宋体" w:eastAsia="宋体" w:cs="宋体"/>
                <w:color w:val="auto"/>
                <w:sz w:val="24"/>
                <w:szCs w:val="24"/>
                <w:highlight w:val="none"/>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14:paraId="7CA3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3B147711">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4" w:type="dxa"/>
            <w:noWrap w:val="0"/>
            <w:vAlign w:val="center"/>
          </w:tcPr>
          <w:p w14:paraId="530807EF">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6197" w:type="dxa"/>
            <w:gridSpan w:val="2"/>
            <w:noWrap w:val="0"/>
            <w:vAlign w:val="center"/>
          </w:tcPr>
          <w:p w14:paraId="76952253">
            <w:pPr>
              <w:keepNext w:val="0"/>
              <w:keepLines w:val="0"/>
              <w:pageBreakBefore w:val="0"/>
              <w:numPr>
                <w:ilvl w:val="0"/>
                <w:numId w:val="0"/>
              </w:numPr>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14:paraId="7B14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79DBEBAC">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4" w:type="dxa"/>
            <w:noWrap w:val="0"/>
            <w:vAlign w:val="center"/>
          </w:tcPr>
          <w:p w14:paraId="7D6B8FFE">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197" w:type="dxa"/>
            <w:gridSpan w:val="2"/>
            <w:noWrap w:val="0"/>
            <w:vAlign w:val="center"/>
          </w:tcPr>
          <w:p w14:paraId="7D8EE841">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14:paraId="56D8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8" w:hRule="atLeast"/>
          <w:jc w:val="center"/>
        </w:trPr>
        <w:tc>
          <w:tcPr>
            <w:tcW w:w="816" w:type="dxa"/>
            <w:vMerge w:val="restart"/>
            <w:noWrap w:val="0"/>
            <w:vAlign w:val="center"/>
          </w:tcPr>
          <w:p w14:paraId="46BACF2F">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64" w:type="dxa"/>
            <w:vMerge w:val="restart"/>
            <w:noWrap w:val="0"/>
            <w:vAlign w:val="center"/>
          </w:tcPr>
          <w:p w14:paraId="0228D849">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990" w:type="dxa"/>
            <w:vMerge w:val="restart"/>
            <w:noWrap w:val="0"/>
            <w:vAlign w:val="center"/>
          </w:tcPr>
          <w:p w14:paraId="076DA0DC">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07" w:type="dxa"/>
            <w:noWrap w:val="0"/>
            <w:vAlign w:val="center"/>
          </w:tcPr>
          <w:p w14:paraId="17717372">
            <w:pPr>
              <w:keepNext w:val="0"/>
              <w:keepLines w:val="0"/>
              <w:pageBreakBefore w:val="0"/>
              <w:widowControl/>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14:paraId="1F6948E1">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1.★合格有效的营业执照复印件；</w:t>
            </w:r>
          </w:p>
          <w:p w14:paraId="40BF9D13">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eastAsia="宋体" w:cs="宋体"/>
                <w:snapToGrid w:val="0"/>
                <w:color w:val="auto"/>
                <w:sz w:val="24"/>
                <w:szCs w:val="24"/>
                <w:lang w:val="en-US" w:eastAsia="zh-CN"/>
              </w:rPr>
              <w:t>2023年度或2024年度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14:paraId="05D23DD4">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3.★依法缴纳税收：2024年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14:paraId="3EF35FA1">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4.★社会保障资金：2024年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14:paraId="6AB4F64E">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14:paraId="7535BC7F">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rPr>
              <w:t>参加政府采购活动前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年内在经营活动中没有重大违法记录的书面声明</w:t>
            </w:r>
            <w:r>
              <w:rPr>
                <w:rFonts w:hint="eastAsia" w:ascii="宋体" w:hAnsi="宋体" w:eastAsia="宋体" w:cs="宋体"/>
                <w:color w:val="auto"/>
                <w:sz w:val="24"/>
                <w:szCs w:val="24"/>
                <w:highlight w:val="none"/>
              </w:rPr>
              <w:t>；</w:t>
            </w:r>
          </w:p>
          <w:p w14:paraId="42C56BCD">
            <w:pPr>
              <w:keepNext w:val="0"/>
              <w:keepLines w:val="0"/>
              <w:pageBreakBefore w:val="0"/>
              <w:kinsoku/>
              <w:wordWrap/>
              <w:overflowPunct/>
              <w:bidi w:val="0"/>
              <w:adjustRightInd w:val="0"/>
              <w:snapToGrid w:val="0"/>
              <w:spacing w:line="390" w:lineRule="exact"/>
              <w:jc w:val="left"/>
              <w:textAlignment w:val="auto"/>
              <w:rPr>
                <w:rFonts w:hint="eastAsia"/>
                <w:color w:val="auto"/>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rPr>
              <w:t>参加政府采购活动前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年内无行贿犯罪记录的书面声明</w:t>
            </w:r>
            <w:r>
              <w:rPr>
                <w:rFonts w:hint="eastAsia" w:ascii="宋体" w:hAnsi="宋体" w:eastAsia="宋体" w:cs="宋体"/>
                <w:color w:val="auto"/>
                <w:sz w:val="24"/>
                <w:szCs w:val="24"/>
                <w:highlight w:val="none"/>
              </w:rPr>
              <w:t>；</w:t>
            </w:r>
          </w:p>
          <w:p w14:paraId="52CA054A">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14:paraId="0DB2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41F40839">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14:paraId="4D7E75FD">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14:paraId="0207637A">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14:paraId="1C7CADFF">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14:paraId="7DEB2982">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1.★磋商报价表</w:t>
            </w:r>
            <w:r>
              <w:rPr>
                <w:rFonts w:hint="eastAsia" w:ascii="宋体" w:hAnsi="宋体" w:cs="宋体"/>
                <w:color w:val="auto"/>
                <w:sz w:val="24"/>
                <w:szCs w:val="24"/>
                <w:highlight w:val="none"/>
                <w:lang w:eastAsia="zh-CN"/>
              </w:rPr>
              <w:t>。</w:t>
            </w:r>
          </w:p>
        </w:tc>
      </w:tr>
      <w:tr w14:paraId="0FD1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71DE367F">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14:paraId="2BDC7677">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14:paraId="253054B1">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14:paraId="0DD9692E">
            <w:pPr>
              <w:keepNext w:val="0"/>
              <w:keepLines w:val="0"/>
              <w:pageBreakBefore w:val="0"/>
              <w:widowControl/>
              <w:shd w:val="clear" w:color="auto" w:fill="FFFFFF"/>
              <w:tabs>
                <w:tab w:val="left" w:pos="475"/>
                <w:tab w:val="left" w:pos="617"/>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14:paraId="6901CB6E">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14:paraId="336DC4F4">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14:paraId="162F18B9">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14:paraId="18791B2A">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监狱企业证明文件[监狱企业参加政府采购活动的，应提交省级</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以上监狱管理局、戒毒管理局（含新疆生产建设兵团）出具的证明文件]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残疾人福利性单位声明函（残疾人福利性单位参加政府采购活动的，应提交此函）；</w:t>
            </w:r>
          </w:p>
          <w:p w14:paraId="0B0C0CCD">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.供应商认为需要提供的其它说明和资料</w:t>
            </w:r>
            <w:r>
              <w:rPr>
                <w:rFonts w:hint="eastAsia" w:ascii="宋体" w:hAnsi="宋体" w:cs="宋体"/>
                <w:color w:val="auto"/>
                <w:sz w:val="24"/>
                <w:szCs w:val="24"/>
                <w:highlight w:val="none"/>
                <w:lang w:eastAsia="zh-CN"/>
              </w:rPr>
              <w:t>。</w:t>
            </w:r>
          </w:p>
        </w:tc>
      </w:tr>
      <w:tr w14:paraId="0009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39ECEC71">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14:paraId="659836DD">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990" w:type="dxa"/>
            <w:noWrap w:val="0"/>
            <w:vAlign w:val="center"/>
          </w:tcPr>
          <w:p w14:paraId="388BCCE8">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07" w:type="dxa"/>
            <w:noWrap w:val="0"/>
            <w:vAlign w:val="center"/>
          </w:tcPr>
          <w:p w14:paraId="059D3A18">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14:paraId="5E321CA1">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14:paraId="0872DB60">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cs="宋体"/>
                <w:color w:val="auto"/>
                <w:sz w:val="24"/>
                <w:szCs w:val="24"/>
                <w:highlight w:val="none"/>
                <w:lang w:eastAsia="zh-CN"/>
              </w:rPr>
              <w:t>。</w:t>
            </w:r>
          </w:p>
        </w:tc>
      </w:tr>
      <w:tr w14:paraId="4BB8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noWrap w:val="0"/>
            <w:vAlign w:val="center"/>
          </w:tcPr>
          <w:p w14:paraId="579C08F0">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14:paraId="13A99A5C">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6197" w:type="dxa"/>
            <w:gridSpan w:val="2"/>
            <w:noWrap w:val="0"/>
            <w:vAlign w:val="center"/>
          </w:tcPr>
          <w:p w14:paraId="2FA1C5AB">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注：</w:t>
            </w:r>
            <w:r>
              <w:rPr>
                <w:rFonts w:hint="eastAsia" w:ascii="宋体" w:hAnsi="宋体" w:eastAsia="宋体" w:cs="宋体"/>
                <w:b/>
                <w:color w:val="auto"/>
                <w:sz w:val="24"/>
                <w:szCs w:val="24"/>
                <w:highlight w:val="none"/>
              </w:rPr>
              <w:t>以上带★的文件及资料未提供或提供的无效，则响应无效。</w:t>
            </w:r>
          </w:p>
        </w:tc>
      </w:tr>
      <w:tr w14:paraId="7FBE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5A321512">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64" w:type="dxa"/>
            <w:noWrap w:val="0"/>
            <w:vAlign w:val="center"/>
          </w:tcPr>
          <w:p w14:paraId="0A230D4D">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6197" w:type="dxa"/>
            <w:gridSpan w:val="2"/>
            <w:noWrap w:val="0"/>
            <w:vAlign w:val="center"/>
          </w:tcPr>
          <w:p w14:paraId="21D15EA0">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14:paraId="0F45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4944EC92">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64" w:type="dxa"/>
            <w:noWrap w:val="0"/>
            <w:vAlign w:val="center"/>
          </w:tcPr>
          <w:p w14:paraId="55003382">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6197" w:type="dxa"/>
            <w:gridSpan w:val="2"/>
            <w:noWrap w:val="0"/>
            <w:vAlign w:val="center"/>
          </w:tcPr>
          <w:p w14:paraId="2A36A2E9">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14:paraId="38DC44E8">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提交响应文件截止时间：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03</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lang w:val="en-US" w:eastAsia="zh-CN"/>
              </w:rPr>
              <w:t>（北京时间）</w:t>
            </w:r>
          </w:p>
          <w:p w14:paraId="7B6861D4">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p w14:paraId="017AEF0F">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b w:val="0"/>
                <w:bCs/>
                <w:color w:val="auto"/>
                <w:sz w:val="24"/>
                <w:szCs w:val="24"/>
                <w:highlight w:val="none"/>
                <w:u w:val="none"/>
              </w:rPr>
              <w:t>0591-88318332、87530730、87616211转80</w:t>
            </w:r>
            <w:r>
              <w:rPr>
                <w:rFonts w:hint="eastAsia" w:ascii="宋体" w:hAnsi="宋体" w:cs="宋体"/>
                <w:b w:val="0"/>
                <w:bCs/>
                <w:color w:val="auto"/>
                <w:sz w:val="24"/>
                <w:szCs w:val="24"/>
                <w:highlight w:val="none"/>
                <w:u w:val="none"/>
                <w:lang w:val="en-US" w:eastAsia="zh-CN"/>
              </w:rPr>
              <w:t>3</w:t>
            </w:r>
          </w:p>
        </w:tc>
      </w:tr>
      <w:tr w14:paraId="2C65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25E2008B">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64" w:type="dxa"/>
            <w:noWrap w:val="0"/>
            <w:vAlign w:val="center"/>
          </w:tcPr>
          <w:p w14:paraId="08656E72">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6197" w:type="dxa"/>
            <w:gridSpan w:val="2"/>
            <w:noWrap w:val="0"/>
            <w:vAlign w:val="center"/>
          </w:tcPr>
          <w:p w14:paraId="1085D32B">
            <w:pPr>
              <w:keepNext w:val="0"/>
              <w:keepLines w:val="0"/>
              <w:pageBreakBefore w:val="0"/>
              <w:kinsoku/>
              <w:wordWrap/>
              <w:overflowPunct/>
              <w:topLinePunct/>
              <w:autoSpaceDE w:val="0"/>
              <w:autoSpaceDN w:val="0"/>
              <w:bidi w:val="0"/>
              <w:adjustRightInd w:val="0"/>
              <w:snapToGrid w:val="0"/>
              <w:spacing w:line="39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03</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lang w:val="en-US" w:eastAsia="zh-CN"/>
              </w:rPr>
              <w:t>（北京时间）</w:t>
            </w:r>
          </w:p>
          <w:p w14:paraId="15557DC4">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tc>
      </w:tr>
      <w:tr w14:paraId="663D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7D7A58E8">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64" w:type="dxa"/>
            <w:noWrap w:val="0"/>
            <w:vAlign w:val="center"/>
          </w:tcPr>
          <w:p w14:paraId="31B6C557">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6197" w:type="dxa"/>
            <w:gridSpan w:val="2"/>
            <w:noWrap w:val="0"/>
            <w:vAlign w:val="center"/>
          </w:tcPr>
          <w:p w14:paraId="4352B54B">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要求提供</w:t>
            </w:r>
          </w:p>
        </w:tc>
      </w:tr>
      <w:tr w14:paraId="7246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48CEA6B0">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64" w:type="dxa"/>
            <w:noWrap w:val="0"/>
            <w:vAlign w:val="center"/>
          </w:tcPr>
          <w:p w14:paraId="7C67293C">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不予退还磋商保证金的情形</w:t>
            </w:r>
          </w:p>
        </w:tc>
        <w:tc>
          <w:tcPr>
            <w:tcW w:w="6197" w:type="dxa"/>
            <w:gridSpan w:val="2"/>
            <w:noWrap w:val="0"/>
            <w:vAlign w:val="center"/>
          </w:tcPr>
          <w:p w14:paraId="2D11EFC8">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14:paraId="2B78CE0D">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1A74EF00">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54306E98">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14:paraId="1C5C988E">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14:paraId="336F1D18">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（5）其他不予退还磋商保证金的情形：</w:t>
            </w:r>
            <w:r>
              <w:rPr>
                <w:rFonts w:hint="eastAsia" w:ascii="宋体" w:hAnsi="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rPr>
              <w:t xml:space="preserve">   </w:t>
            </w:r>
          </w:p>
        </w:tc>
      </w:tr>
      <w:tr w14:paraId="1FB2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78F47530">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64" w:type="dxa"/>
            <w:noWrap w:val="0"/>
            <w:vAlign w:val="center"/>
          </w:tcPr>
          <w:p w14:paraId="20E2F913">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6197" w:type="dxa"/>
            <w:gridSpan w:val="2"/>
            <w:noWrap w:val="0"/>
            <w:vAlign w:val="center"/>
          </w:tcPr>
          <w:p w14:paraId="5E2B73FC">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14:paraId="73552808">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14:paraId="14DC20F1">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14:paraId="0159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507EE326">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64" w:type="dxa"/>
            <w:noWrap w:val="0"/>
            <w:vAlign w:val="center"/>
          </w:tcPr>
          <w:p w14:paraId="677AC64B">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14:paraId="00238C91">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6197" w:type="dxa"/>
            <w:gridSpan w:val="2"/>
            <w:noWrap w:val="0"/>
            <w:vAlign w:val="center"/>
          </w:tcPr>
          <w:p w14:paraId="7086B6A0">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14:paraId="1EB3B5DC">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14:paraId="02F93526">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14:paraId="0C10B089">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14:paraId="25A03E81">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14:paraId="75526C6C">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p w14:paraId="6A139745">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专门面向中小企业采购项目。</w:t>
            </w:r>
          </w:p>
          <w:p w14:paraId="776FAC33">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C376E0">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14:paraId="542C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6A02F46F">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64" w:type="dxa"/>
            <w:noWrap w:val="0"/>
            <w:vAlign w:val="center"/>
          </w:tcPr>
          <w:p w14:paraId="52A2FD6F">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6197" w:type="dxa"/>
            <w:gridSpan w:val="2"/>
            <w:noWrap w:val="0"/>
            <w:vAlign w:val="center"/>
          </w:tcPr>
          <w:p w14:paraId="4A639616">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根据《关于政府采购支持监狱企业发展有关问题的通知》（财库〔2014〕68号），监狱企业视同小型、微型企业，按照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14:paraId="552D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1484614D">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64" w:type="dxa"/>
            <w:noWrap w:val="0"/>
            <w:vAlign w:val="center"/>
          </w:tcPr>
          <w:p w14:paraId="35F39133">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14:paraId="182536B6">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6197" w:type="dxa"/>
            <w:gridSpan w:val="2"/>
            <w:noWrap w:val="0"/>
            <w:vAlign w:val="center"/>
          </w:tcPr>
          <w:p w14:paraId="7066FE3B">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根据《关于促进残疾人就业政府采购政策的通知》（财库〔2017〕141号），残疾人福利性单位视同小型、微型企业，按照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14:paraId="3713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3A11B873">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64" w:type="dxa"/>
            <w:vMerge w:val="restart"/>
            <w:noWrap w:val="0"/>
            <w:vAlign w:val="center"/>
          </w:tcPr>
          <w:p w14:paraId="197C8DB8">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197" w:type="dxa"/>
            <w:gridSpan w:val="2"/>
            <w:noWrap w:val="0"/>
            <w:vAlign w:val="center"/>
          </w:tcPr>
          <w:p w14:paraId="1CC5C9AB">
            <w:pPr>
              <w:keepNext w:val="0"/>
              <w:keepLines w:val="0"/>
              <w:pageBreakBefore w:val="0"/>
              <w:kinsoku/>
              <w:wordWrap/>
              <w:overflowPunct/>
              <w:bidi w:val="0"/>
              <w:spacing w:line="390" w:lineRule="exact"/>
              <w:textAlignment w:val="auto"/>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cs="宋体"/>
                <w:color w:val="auto"/>
                <w:sz w:val="24"/>
                <w:szCs w:val="24"/>
                <w:highlight w:val="none"/>
                <w:lang w:val="en-US" w:eastAsia="zh-CN"/>
              </w:rPr>
              <w:t>采购包1：</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采购包</w:t>
            </w:r>
            <w:r>
              <w:rPr>
                <w:rFonts w:hint="eastAsia" w:ascii="宋体" w:hAnsi="宋体" w:eastAsia="宋体" w:cs="宋体"/>
                <w:color w:val="auto"/>
                <w:sz w:val="24"/>
                <w:szCs w:val="24"/>
                <w:highlight w:val="none"/>
              </w:rPr>
              <w:t>中强制采购节能产品的货物名称：</w:t>
            </w:r>
            <w:r>
              <w:rPr>
                <w:rFonts w:hint="eastAsia" w:ascii="宋体" w:hAnsi="宋体" w:eastAsia="宋体" w:cs="宋体"/>
                <w:b/>
                <w:bCs/>
                <w:color w:val="auto"/>
                <w:kern w:val="2"/>
                <w:sz w:val="24"/>
                <w:szCs w:val="24"/>
                <w:highlight w:val="none"/>
                <w:u w:val="single"/>
                <w:lang w:val="en-US" w:eastAsia="zh-CN" w:bidi="ar-SA"/>
              </w:rPr>
              <w:t>无。</w:t>
            </w:r>
          </w:p>
          <w:p w14:paraId="3691FD64">
            <w:pPr>
              <w:keepNext w:val="0"/>
              <w:keepLines w:val="0"/>
              <w:pageBreakBefore w:val="0"/>
              <w:kinsoku/>
              <w:wordWrap/>
              <w:overflowPunct/>
              <w:bidi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14:paraId="5B60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42E7BE61">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14:paraId="01AA3CE4">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14:paraId="4273B263">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cs="宋体"/>
                <w:color w:val="auto"/>
                <w:sz w:val="24"/>
                <w:szCs w:val="24"/>
                <w:highlight w:val="none"/>
                <w:u w:val="single"/>
                <w:lang w:val="en-US" w:eastAsia="zh-CN"/>
              </w:rPr>
              <w:t>无</w:t>
            </w:r>
          </w:p>
          <w:p w14:paraId="51DD12DE">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14:paraId="4602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61E300C5">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14:paraId="32A4E28D">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14:paraId="149C150F">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cs="宋体"/>
                <w:color w:val="auto"/>
                <w:sz w:val="24"/>
                <w:szCs w:val="24"/>
                <w:highlight w:val="none"/>
                <w:u w:val="single"/>
                <w:lang w:val="en-US" w:eastAsia="zh-CN"/>
              </w:rPr>
              <w:t>无</w:t>
            </w:r>
          </w:p>
        </w:tc>
      </w:tr>
      <w:tr w14:paraId="592C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0F74DB9F">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64" w:type="dxa"/>
            <w:noWrap w:val="0"/>
            <w:vAlign w:val="center"/>
          </w:tcPr>
          <w:p w14:paraId="1EF05880">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6197" w:type="dxa"/>
            <w:gridSpan w:val="2"/>
            <w:noWrap w:val="0"/>
            <w:vAlign w:val="center"/>
          </w:tcPr>
          <w:p w14:paraId="2AC2CF84">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14:paraId="3C84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4D59AB66">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64" w:type="dxa"/>
            <w:noWrap w:val="0"/>
            <w:vAlign w:val="center"/>
          </w:tcPr>
          <w:p w14:paraId="01327951">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6197" w:type="dxa"/>
            <w:gridSpan w:val="2"/>
            <w:noWrap w:val="0"/>
            <w:vAlign w:val="center"/>
          </w:tcPr>
          <w:p w14:paraId="21937ADA">
            <w:pPr>
              <w:keepNext w:val="0"/>
              <w:keepLines w:val="0"/>
              <w:pageBreakBefore w:val="0"/>
              <w:widowControl w:val="0"/>
              <w:kinsoku/>
              <w:wordWrap/>
              <w:overflowPunct/>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14:paraId="69F1789E">
            <w:pPr>
              <w:keepNext w:val="0"/>
              <w:keepLines w:val="0"/>
              <w:pageBreakBefore w:val="0"/>
              <w:widowControl w:val="0"/>
              <w:kinsoku/>
              <w:wordWrap/>
              <w:overflowPunct/>
              <w:topLinePunct/>
              <w:autoSpaceDE w:val="0"/>
              <w:autoSpaceDN w:val="0"/>
              <w:bidi w:val="0"/>
              <w:adjustRightInd w:val="0"/>
              <w:snapToGrid w:val="0"/>
              <w:spacing w:after="0" w:line="400"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，提交方式为银行电汇、金融机构或担保机构出具的保函。</w:t>
            </w:r>
          </w:p>
        </w:tc>
      </w:tr>
      <w:tr w14:paraId="4CEE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3D7F1BA2">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64" w:type="dxa"/>
            <w:noWrap w:val="0"/>
            <w:vAlign w:val="center"/>
          </w:tcPr>
          <w:p w14:paraId="5BC32A27">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6197" w:type="dxa"/>
            <w:gridSpan w:val="2"/>
            <w:noWrap w:val="0"/>
            <w:vAlign w:val="center"/>
          </w:tcPr>
          <w:p w14:paraId="3443913F">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14:paraId="592E9DBF">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14:paraId="68508DCB">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eastAsia="宋体" w:cs="宋体"/>
                <w:color w:val="auto"/>
                <w:sz w:val="24"/>
                <w:szCs w:val="24"/>
                <w:highlight w:val="none"/>
                <w:u w:val="single"/>
              </w:rPr>
              <w:t>福建省智信招标有限公司</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国家税务总局福州市仓山区税务局</w:t>
            </w:r>
          </w:p>
          <w:p w14:paraId="489460B8">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0591-88318332、87530730、87616211转80</w:t>
            </w:r>
            <w:r>
              <w:rPr>
                <w:rFonts w:hint="eastAsia" w:ascii="宋体" w:hAnsi="宋体" w:cs="宋体"/>
                <w:color w:val="auto"/>
                <w:sz w:val="24"/>
                <w:szCs w:val="24"/>
                <w:highlight w:val="none"/>
                <w:u w:val="single"/>
                <w:lang w:val="en-US" w:eastAsia="zh-CN"/>
              </w:rPr>
              <w:t>3</w:t>
            </w:r>
          </w:p>
          <w:p w14:paraId="4594D168">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eastAsia="宋体" w:cs="宋体"/>
                <w:color w:val="auto"/>
                <w:sz w:val="24"/>
                <w:szCs w:val="24"/>
                <w:highlight w:val="none"/>
                <w:u w:val="single"/>
              </w:rPr>
              <w:t>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cs="宋体"/>
                <w:color w:val="auto"/>
                <w:sz w:val="24"/>
                <w:szCs w:val="24"/>
                <w:highlight w:val="none"/>
                <w:u w:val="single"/>
                <w:lang w:val="en-US" w:eastAsia="zh-CN"/>
              </w:rPr>
              <w:t>福建省智信招标有限公司</w:t>
            </w:r>
          </w:p>
          <w:p w14:paraId="6F627E98">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cs="宋体"/>
                <w:color w:val="auto"/>
                <w:sz w:val="24"/>
                <w:szCs w:val="24"/>
                <w:highlight w:val="none"/>
                <w:u w:val="single"/>
                <w:lang w:val="en-US" w:eastAsia="zh-CN"/>
              </w:rPr>
              <w:t>zhixin01@126.com</w:t>
            </w:r>
          </w:p>
        </w:tc>
      </w:tr>
      <w:tr w14:paraId="7452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160DCF43">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64" w:type="dxa"/>
            <w:noWrap w:val="0"/>
            <w:vAlign w:val="center"/>
          </w:tcPr>
          <w:p w14:paraId="57160EFF">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6197" w:type="dxa"/>
            <w:gridSpan w:val="2"/>
            <w:noWrap w:val="0"/>
            <w:vAlign w:val="center"/>
          </w:tcPr>
          <w:p w14:paraId="63D8D9E4">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需提交的响应文件份数：</w:t>
            </w:r>
          </w:p>
          <w:p w14:paraId="03943001">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（1）正本</w:t>
            </w:r>
            <w:r>
              <w:rPr>
                <w:rFonts w:hint="eastAsia" w:ascii="宋体" w:hAnsi="宋体" w:eastAsia="宋体" w:cs="宋体"/>
                <w:b/>
                <w:bCs/>
                <w:color w:val="auto"/>
                <w:sz w:val="24"/>
                <w:szCs w:val="24"/>
                <w:highlight w:val="none"/>
                <w:u w:val="single"/>
              </w:rPr>
              <w:t>1</w:t>
            </w:r>
            <w:r>
              <w:rPr>
                <w:rFonts w:hint="eastAsia" w:ascii="宋体" w:hAnsi="宋体" w:eastAsia="宋体" w:cs="宋体"/>
                <w:b/>
                <w:bCs/>
                <w:color w:val="auto"/>
                <w:sz w:val="24"/>
                <w:szCs w:val="24"/>
                <w:highlight w:val="none"/>
              </w:rPr>
              <w:t>份、副本</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p>
          <w:p w14:paraId="2E9B007D">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（2）电子文件</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扫描件 </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Word）。采用光盘或U盘刻录提交。</w:t>
            </w:r>
          </w:p>
        </w:tc>
      </w:tr>
      <w:tr w14:paraId="742E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605868E6">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64" w:type="dxa"/>
            <w:noWrap w:val="0"/>
            <w:vAlign w:val="center"/>
          </w:tcPr>
          <w:p w14:paraId="28D0B1D2">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6197" w:type="dxa"/>
            <w:gridSpan w:val="2"/>
            <w:noWrap w:val="0"/>
            <w:vAlign w:val="center"/>
          </w:tcPr>
          <w:p w14:paraId="2304C9AD">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14:paraId="07FA1D40">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14:paraId="74DF591F">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14:paraId="6E12517B">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以</w:t>
            </w:r>
            <w:r>
              <w:rPr>
                <w:rFonts w:hint="eastAsia" w:ascii="宋体" w:hAnsi="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金额为基数</w:t>
            </w:r>
            <w:r>
              <w:rPr>
                <w:rFonts w:hint="eastAsia" w:ascii="宋体" w:hAnsi="宋体" w:cs="宋体"/>
                <w:color w:val="auto"/>
                <w:sz w:val="24"/>
                <w:szCs w:val="24"/>
                <w:highlight w:val="none"/>
                <w:u w:val="none"/>
                <w:lang w:val="en-US" w:eastAsia="zh-CN"/>
              </w:rPr>
              <w:t>按下列标准进行</w:t>
            </w:r>
            <w:r>
              <w:rPr>
                <w:rFonts w:hint="eastAsia" w:ascii="宋体" w:hAnsi="宋体" w:eastAsia="宋体" w:cs="宋体"/>
                <w:color w:val="auto"/>
                <w:sz w:val="24"/>
                <w:szCs w:val="24"/>
                <w:highlight w:val="none"/>
                <w:u w:val="none"/>
              </w:rPr>
              <w:t>计算，向</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收取，</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应以转</w:t>
            </w:r>
            <w:r>
              <w:rPr>
                <w:rFonts w:hint="eastAsia" w:ascii="宋体" w:hAnsi="宋体" w:cs="宋体"/>
                <w:color w:val="auto"/>
                <w:sz w:val="24"/>
                <w:szCs w:val="24"/>
                <w:highlight w:val="none"/>
                <w:u w:val="none"/>
                <w:lang w:val="en-US" w:eastAsia="zh-CN"/>
              </w:rPr>
              <w:t>账</w:t>
            </w:r>
            <w:r>
              <w:rPr>
                <w:rFonts w:hint="eastAsia" w:ascii="宋体" w:hAnsi="宋体" w:eastAsia="宋体" w:cs="宋体"/>
                <w:color w:val="auto"/>
                <w:sz w:val="24"/>
                <w:szCs w:val="24"/>
                <w:highlight w:val="none"/>
                <w:u w:val="none"/>
              </w:rPr>
              <w:t>或电汇等付款方式一次性向采购代理机构缴纳招标代理服务费。</w:t>
            </w:r>
          </w:p>
          <w:p w14:paraId="4892287B">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附：招标代理服务费收费标准：100万元以下按</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%计算收取。</w:t>
            </w:r>
          </w:p>
          <w:p w14:paraId="27801D25">
            <w:pPr>
              <w:keepNext w:val="0"/>
              <w:keepLines w:val="0"/>
              <w:pageBreakBefore w:val="0"/>
              <w:kinsoku/>
              <w:wordWrap/>
              <w:overflowPunct/>
              <w:bidi w:val="0"/>
              <w:spacing w:line="390" w:lineRule="exac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注：</w:t>
            </w:r>
          </w:p>
          <w:p w14:paraId="149F0334">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收款人</w:t>
            </w:r>
            <w:r>
              <w:rPr>
                <w:rFonts w:hint="eastAsia" w:ascii="宋体" w:hAnsi="宋体" w:eastAsia="宋体" w:cs="宋体"/>
                <w:color w:val="auto"/>
                <w:sz w:val="24"/>
                <w:szCs w:val="24"/>
                <w:highlight w:val="none"/>
                <w:u w:val="none"/>
                <w:lang w:val="en-US" w:eastAsia="zh-CN"/>
              </w:rPr>
              <w:t>信息</w:t>
            </w:r>
          </w:p>
          <w:p w14:paraId="7F800417">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开户名：福建省智信招标有限公司</w:t>
            </w:r>
          </w:p>
          <w:p w14:paraId="484403DD">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开户行：中国光大银行福州市杨桥支行</w:t>
            </w:r>
          </w:p>
          <w:p w14:paraId="5BCAC601">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账号：087739120100304037933 </w:t>
            </w:r>
          </w:p>
        </w:tc>
      </w:tr>
      <w:tr w14:paraId="60C6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noWrap w:val="0"/>
            <w:vAlign w:val="center"/>
          </w:tcPr>
          <w:p w14:paraId="24837022">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64" w:type="dxa"/>
            <w:noWrap w:val="0"/>
            <w:vAlign w:val="center"/>
          </w:tcPr>
          <w:p w14:paraId="642D4C53">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tc>
        <w:tc>
          <w:tcPr>
            <w:tcW w:w="6197" w:type="dxa"/>
            <w:gridSpan w:val="2"/>
            <w:noWrap w:val="0"/>
            <w:vAlign w:val="center"/>
          </w:tcPr>
          <w:p w14:paraId="035E122D">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p w14:paraId="0C672EB0">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本项目不为线上采购项目，采购文件中关于“线上采购项目”等有关表述，均不适用于本项目。（若有矛盾，以此为准</w:t>
            </w:r>
            <w:r>
              <w:rPr>
                <w:rFonts w:hint="eastAsia" w:ascii="宋体" w:hAnsi="宋体" w:eastAsia="宋体" w:cs="宋体"/>
                <w:color w:val="auto"/>
                <w:sz w:val="24"/>
                <w:szCs w:val="24"/>
                <w:highlight w:val="none"/>
                <w:lang w:val="en-US" w:eastAsia="zh-CN"/>
              </w:rPr>
              <w:t>。）</w:t>
            </w:r>
          </w:p>
          <w:p w14:paraId="45E8EA55">
            <w:pPr>
              <w:keepNext w:val="0"/>
              <w:keepLines w:val="0"/>
              <w:pageBreakBefore w:val="0"/>
              <w:kinsoku/>
              <w:wordWrap/>
              <w:overflowPunct/>
              <w:bidi w:val="0"/>
              <w:spacing w:line="390" w:lineRule="exact"/>
              <w:textAlignment w:val="auto"/>
              <w:rPr>
                <w:rFonts w:hint="default"/>
                <w:color w:val="auto"/>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14:paraId="40EA4916">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1668050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18" w:name="_Toc132880658"/>
      <w:bookmarkStart w:id="19" w:name="_Toc27846"/>
      <w:r>
        <w:rPr>
          <w:rFonts w:hint="eastAsia" w:ascii="宋体" w:hAnsi="宋体" w:eastAsia="宋体" w:cs="宋体"/>
          <w:b/>
          <w:bCs/>
          <w:color w:val="auto"/>
          <w:sz w:val="24"/>
          <w:szCs w:val="24"/>
          <w:highlight w:val="none"/>
        </w:rPr>
        <w:t>一、总则</w:t>
      </w:r>
      <w:bookmarkEnd w:id="18"/>
      <w:bookmarkEnd w:id="19"/>
    </w:p>
    <w:p w14:paraId="469ACD18">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14:paraId="7EB1DC9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批准立项。</w:t>
      </w:r>
    </w:p>
    <w:p w14:paraId="0881AA9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预算。</w:t>
      </w:r>
    </w:p>
    <w:p w14:paraId="762B3765">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14:paraId="1BA7467D">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14:paraId="57AA547B">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14:paraId="084CBAB5">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14:paraId="0DD23B88">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14:paraId="5141E8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63DC96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14:paraId="1C8B59C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14:paraId="5E08E5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14:paraId="0C7F44C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14:paraId="1D5313B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14:paraId="40E9E1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14:paraId="4174CB4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52074C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0F0FC7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14:paraId="464492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14:paraId="134C96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14:paraId="63F3A7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14:paraId="241BB1E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14:paraId="7EC3F79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14:paraId="322A71B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14:paraId="15C415B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14:paraId="035BB9D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14:paraId="779CDE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14:paraId="7A806009">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14:paraId="7ADFE22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14:paraId="0F8F6EC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0" w:name="_Toc9293"/>
      <w:bookmarkStart w:id="21" w:name="_Toc132880659"/>
      <w:r>
        <w:rPr>
          <w:rFonts w:hint="eastAsia" w:ascii="宋体" w:hAnsi="宋体" w:eastAsia="宋体" w:cs="宋体"/>
          <w:b/>
          <w:bCs/>
          <w:color w:val="auto"/>
          <w:sz w:val="24"/>
          <w:szCs w:val="24"/>
          <w:highlight w:val="none"/>
        </w:rPr>
        <w:t>二、采购文件</w:t>
      </w:r>
      <w:bookmarkEnd w:id="20"/>
      <w:bookmarkEnd w:id="21"/>
    </w:p>
    <w:p w14:paraId="4DB5691B">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14:paraId="7CD9AB93">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14:paraId="2B1C510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14:paraId="2FEB185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2171316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14:paraId="6793E86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（4）政府采购合同文本</w:t>
      </w:r>
    </w:p>
    <w:p w14:paraId="6F89FF4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14:paraId="59C0EB9B">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14:paraId="1A185812">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14:paraId="0DAACDDA">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14:paraId="44BFCAA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14:paraId="68A10CB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14:paraId="64E891C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F62AB5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14:paraId="2EE88F0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2" w:name="_Toc18450"/>
      <w:bookmarkStart w:id="23" w:name="_Toc132880660"/>
      <w:r>
        <w:rPr>
          <w:rFonts w:hint="eastAsia" w:ascii="宋体" w:hAnsi="宋体" w:eastAsia="宋体" w:cs="宋体"/>
          <w:b/>
          <w:bCs/>
          <w:color w:val="auto"/>
          <w:sz w:val="24"/>
          <w:szCs w:val="24"/>
          <w:highlight w:val="none"/>
        </w:rPr>
        <w:t>三、响应文件</w:t>
      </w:r>
      <w:bookmarkEnd w:id="22"/>
      <w:bookmarkEnd w:id="23"/>
    </w:p>
    <w:p w14:paraId="71BE7CB1">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14:paraId="26B44D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14:paraId="6620545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14:paraId="62C453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14:paraId="1464DF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14:paraId="3176D0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14:paraId="358A587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14:paraId="7AE3C7E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14:paraId="450477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7.3供应商制作响应文件前须提前办理数字证书和电子签章，办理方式和注意事项详见网站《供应商操作手册》。供应商在国家税务总局集中采购中心网站（https://swcg.chinatax.gov.cn） “下载中心”下载并安装“供应商投标工具”，使用投标工具编制响应文件。（</w:t>
      </w:r>
      <w:r>
        <w:rPr>
          <w:rFonts w:hint="eastAsia" w:ascii="宋体" w:hAnsi="宋体" w:cs="宋体"/>
          <w:color w:val="auto"/>
          <w:sz w:val="24"/>
          <w:szCs w:val="24"/>
          <w:highlight w:val="none"/>
          <w:lang w:val="en-US" w:eastAsia="zh-CN"/>
        </w:rPr>
        <w:t>本项目不</w:t>
      </w:r>
      <w:r>
        <w:rPr>
          <w:rFonts w:hint="eastAsia" w:ascii="宋体" w:hAnsi="宋体" w:eastAsia="宋体" w:cs="宋体"/>
          <w:color w:val="auto"/>
          <w:sz w:val="24"/>
          <w:szCs w:val="24"/>
          <w:highlight w:val="none"/>
        </w:rPr>
        <w:t>适用）</w:t>
      </w:r>
    </w:p>
    <w:p w14:paraId="07BA2A12">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14:paraId="6F8B1D1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14:paraId="73FE911F">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14:paraId="206455F9">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14:paraId="71635F8C">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14:paraId="4449ECBF">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14:paraId="37475BB9">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14:paraId="2EF5AF4D">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14:paraId="378C1BD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14:paraId="692FE0C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14:paraId="0F1C815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14:paraId="6766F67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46C493BC">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最低报价不能作为成交的保证。</w:t>
      </w:r>
    </w:p>
    <w:p w14:paraId="764367D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供应商的报价不得超过采购项目预算。</w:t>
      </w:r>
    </w:p>
    <w:p w14:paraId="3A374E87">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14:paraId="49F7C3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14:paraId="023D995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14:paraId="30E934F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14:paraId="12FF4A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14:paraId="60AA22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14:paraId="04C026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14:paraId="2C49C92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14:paraId="3E153F8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14:paraId="602E88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14:paraId="78FF5BD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14:paraId="05D18FB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14:paraId="1B8C98FF">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14:paraId="767F907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14:paraId="4257CE1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14:paraId="5170AFF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4" w:name="_Toc20651"/>
      <w:bookmarkStart w:id="25" w:name="_Toc132880661"/>
      <w:r>
        <w:rPr>
          <w:rFonts w:hint="eastAsia" w:ascii="宋体" w:hAnsi="宋体" w:eastAsia="宋体" w:cs="宋体"/>
          <w:b/>
          <w:bCs/>
          <w:color w:val="auto"/>
          <w:sz w:val="24"/>
          <w:szCs w:val="24"/>
          <w:highlight w:val="none"/>
        </w:rPr>
        <w:t>四、响应文件递交</w:t>
      </w:r>
      <w:bookmarkEnd w:id="24"/>
      <w:bookmarkEnd w:id="25"/>
    </w:p>
    <w:p w14:paraId="768228F3">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14:paraId="3A19D7A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14:paraId="0A8382D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磋商响应将被拒绝。</w:t>
      </w:r>
    </w:p>
    <w:p w14:paraId="197220D5">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14:paraId="224D2D7C">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14:paraId="4E79945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线上采购项目，供应商在提交响应文件截止时间前，可以登录评审管理系统对所提交的响应文件进行撤回、补充、修改、重新提交。补充、修改的内容应当按照采购文件要求签署、盖章。</w:t>
      </w:r>
    </w:p>
    <w:p w14:paraId="7B2C0B66">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提交响应文件截止时间后，不支持对已提交的响应文件作任何补充、修改或者撤回。</w:t>
      </w:r>
    </w:p>
    <w:p w14:paraId="5B92A2F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6" w:name="_Toc8791"/>
      <w:bookmarkStart w:id="27" w:name="_Toc132880662"/>
      <w:r>
        <w:rPr>
          <w:rFonts w:hint="eastAsia" w:ascii="宋体" w:hAnsi="宋体" w:eastAsia="宋体" w:cs="宋体"/>
          <w:b/>
          <w:bCs/>
          <w:color w:val="auto"/>
          <w:sz w:val="24"/>
          <w:szCs w:val="24"/>
          <w:highlight w:val="none"/>
        </w:rPr>
        <w:t>五、磋商与评审</w:t>
      </w:r>
      <w:bookmarkEnd w:id="26"/>
      <w:bookmarkEnd w:id="27"/>
    </w:p>
    <w:p w14:paraId="61F64150">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14:paraId="11E5D02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14:paraId="0468C8C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14:paraId="5688689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14:paraId="49854778">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14:paraId="29AFF0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14:paraId="730FBC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(1)供应商未按照磋商文件规定提交磋商保证金的；</w:t>
      </w:r>
    </w:p>
    <w:p w14:paraId="3CFCC59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14:paraId="3768EDA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14:paraId="5D894D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(4)供应商不满足磋商文件供应商资格条件或未按照磋商文件规定提供资格证明材料的；</w:t>
      </w:r>
    </w:p>
    <w:p w14:paraId="6848AA0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(5)响应文件不满足磋商文件实质性条款的。响应文件是否实质性响应磋商文件，由磋商小组依据磋商文件规定、供应商响应文件及磋商情况认定；</w:t>
      </w:r>
    </w:p>
    <w:p w14:paraId="309166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(6)供应商存在失信记录的：</w:t>
      </w:r>
    </w:p>
    <w:p w14:paraId="7DBEA2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14:paraId="6A2A0C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(7)其他不符合法律、规章、规范性文件和磋商文件规定的。</w:t>
      </w:r>
    </w:p>
    <w:p w14:paraId="1A427D22">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14:paraId="00A5CF4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14:paraId="2B4B8E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供应商的澄清、说明或者更正应当采用书面形式，由其法定代表人或其授权代表签字，供应商的澄清、说明或者更正不得超出磋商文件的范围或者改变响应文件的实质性内容。</w:t>
      </w:r>
    </w:p>
    <w:p w14:paraId="7BABFB4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16.3关于响应描述（即响应文件中描述的内容）</w:t>
      </w:r>
    </w:p>
    <w:p w14:paraId="5F1C7C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（1）响应描述前后不一致且不涉及证明材料的：按照本节第16.1条、16.2条规定执行。</w:t>
      </w:r>
    </w:p>
    <w:p w14:paraId="58A87F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14:paraId="040E8B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14:paraId="35A7BE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14:paraId="6112D7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14:paraId="6132701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除磋商小组要求供应商做出的澄清、说明或者补正以外，磋商小组不接受供应商的任何询问、说明、更改及文件。</w:t>
      </w:r>
    </w:p>
    <w:p w14:paraId="7CCBFA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供应商的澄清必须在规定的时间内提交。</w:t>
      </w:r>
    </w:p>
    <w:p w14:paraId="532B0253">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14:paraId="738DB1C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14:paraId="614DEA2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14:paraId="055B1BA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14:paraId="7DCEC9F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D30CFF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14:paraId="0AA4CDA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14:paraId="354684D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14:paraId="51FD5B5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14:paraId="41E74519">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14:paraId="2535F59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14:paraId="6E66D81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34B6238">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14:paraId="675F909C">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14:paraId="5AB6D55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14:paraId="4A9BAF4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(1)最后报价的大写金额和小写金额不一致的，以大写金额为准。</w:t>
      </w:r>
    </w:p>
    <w:p w14:paraId="6788491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(2)总价金额与按分项报价汇总金额不一致的，以分项报价金额计算结果为准。</w:t>
      </w:r>
    </w:p>
    <w:p w14:paraId="55A396D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(3)分项报价金额小数点有明显错位的，应以总价为准，并修改分项报价。</w:t>
      </w:r>
    </w:p>
    <w:p w14:paraId="35B47145">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(4)同时出现两种以上不一致的，按照前款规定的顺序修正。 </w:t>
      </w:r>
    </w:p>
    <w:p w14:paraId="24EFE69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(5)如果供应商不接受对其错误的更正，其最后报价将被视为无效报价或确定为无效响应。</w:t>
      </w:r>
    </w:p>
    <w:p w14:paraId="3D168FF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14:paraId="4AC8C57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14:paraId="2D82376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14:paraId="66BA324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14:paraId="2A440DB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14:paraId="2FBFED04">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14:paraId="001638C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14:paraId="31A63B9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14:paraId="5731060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14:paraId="0FFB999D">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14:paraId="74AF38A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14:paraId="42D3DB78">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w:t>
      </w:r>
      <w:r>
        <w:rPr>
          <w:rFonts w:hint="eastAsia" w:ascii="宋体" w:hAnsi="宋体" w:cs="宋体"/>
          <w:color w:val="auto"/>
          <w:sz w:val="24"/>
          <w:szCs w:val="24"/>
          <w:highlight w:val="none"/>
          <w:u w:val="single"/>
          <w:lang w:eastAsia="zh-CN"/>
        </w:rPr>
        <w:t>得分由高到低</w:t>
      </w:r>
      <w:r>
        <w:rPr>
          <w:rFonts w:hint="eastAsia" w:ascii="宋体" w:hAnsi="宋体" w:eastAsia="宋体" w:cs="宋体"/>
          <w:color w:val="auto"/>
          <w:sz w:val="24"/>
          <w:szCs w:val="24"/>
          <w:highlight w:val="none"/>
          <w:u w:val="single"/>
        </w:rPr>
        <w:t>顺序推荐</w:t>
      </w:r>
      <w:r>
        <w:rPr>
          <w:rFonts w:hint="eastAsia" w:ascii="宋体" w:hAnsi="宋体" w:eastAsia="宋体" w:cs="宋体"/>
          <w:color w:val="auto"/>
          <w:sz w:val="24"/>
          <w:szCs w:val="24"/>
          <w:highlight w:val="none"/>
        </w:rPr>
        <w:t>。</w:t>
      </w:r>
    </w:p>
    <w:p w14:paraId="667FE6A5">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14:paraId="35599A9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14:paraId="08394E5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1E473B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474018F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14:paraId="506CFDE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3502065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8" w:name="_Toc21852"/>
      <w:bookmarkStart w:id="29" w:name="_Toc132880663"/>
      <w:r>
        <w:rPr>
          <w:rFonts w:hint="eastAsia" w:ascii="宋体" w:hAnsi="宋体" w:eastAsia="宋体" w:cs="宋体"/>
          <w:b/>
          <w:bCs/>
          <w:color w:val="auto"/>
          <w:sz w:val="24"/>
          <w:szCs w:val="24"/>
          <w:highlight w:val="none"/>
        </w:rPr>
        <w:t>六、成交和合同</w:t>
      </w:r>
      <w:bookmarkEnd w:id="28"/>
      <w:bookmarkEnd w:id="29"/>
    </w:p>
    <w:p w14:paraId="783BFEF8">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14:paraId="26C6A46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14:paraId="66769A5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A1C36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14:paraId="4646FF9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14:paraId="2C39945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14:paraId="6912CDCB">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14:paraId="00DCC05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采购人与成交供应商应当在成交通知书发出之日起30日内，按照磋商文件确定的合同文本以及采购标的、规格型号、采购金额、采购数量、技术和服务要求等事项签订政府采购合同。</w:t>
      </w:r>
    </w:p>
    <w:p w14:paraId="7A89065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5FCFF8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14:paraId="4A857B6F">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14:paraId="75A0D6D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14:paraId="6799F23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14:paraId="46FB275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0" w:name="_Toc17635"/>
      <w:bookmarkStart w:id="31" w:name="_Toc132880664"/>
      <w:r>
        <w:rPr>
          <w:rFonts w:hint="eastAsia" w:ascii="宋体" w:hAnsi="宋体" w:eastAsia="宋体" w:cs="宋体"/>
          <w:b/>
          <w:bCs/>
          <w:color w:val="auto"/>
          <w:sz w:val="24"/>
          <w:szCs w:val="24"/>
          <w:highlight w:val="none"/>
        </w:rPr>
        <w:t>七、询问和质疑</w:t>
      </w:r>
      <w:bookmarkEnd w:id="30"/>
      <w:bookmarkEnd w:id="31"/>
    </w:p>
    <w:p w14:paraId="0CBEC991">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14:paraId="66C58ABB">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14:paraId="6F4BA1EF">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14:paraId="4BED4C8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14:paraId="5858BB5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14:paraId="5A21041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14:paraId="69616A4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14:paraId="6EB5EE0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66218D8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14:paraId="0F563F7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14:paraId="78C182F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14:paraId="7017CA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14:paraId="51DF6C5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14:paraId="14CCE67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2" w:name="_Toc132880665"/>
      <w:bookmarkStart w:id="33" w:name="_Toc6779"/>
      <w:r>
        <w:rPr>
          <w:rFonts w:hint="eastAsia" w:ascii="宋体" w:hAnsi="宋体" w:eastAsia="宋体" w:cs="宋体"/>
          <w:b/>
          <w:bCs/>
          <w:color w:val="auto"/>
          <w:sz w:val="24"/>
          <w:szCs w:val="24"/>
          <w:highlight w:val="none"/>
        </w:rPr>
        <w:t>八、其他</w:t>
      </w:r>
      <w:bookmarkEnd w:id="32"/>
      <w:bookmarkEnd w:id="33"/>
    </w:p>
    <w:p w14:paraId="7826CB3F">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14:paraId="7DA808F7">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14:paraId="7EE3DB87">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14:paraId="55EE6788">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14:paraId="3686AE56">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14:paraId="6BFC8CAA">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4CA5AD46">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14:paraId="069F2F7B">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14:paraId="1EEDC803">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14:paraId="495BF74F">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14:paraId="08F9B774">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14:paraId="2D09DE1F">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0D0F0D3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34" w:name="_Toc13151"/>
      <w:bookmarkStart w:id="35" w:name="_Toc132880666"/>
      <w:r>
        <w:rPr>
          <w:rFonts w:hint="eastAsia" w:ascii="宋体" w:hAnsi="宋体" w:eastAsia="宋体" w:cs="宋体"/>
          <w:b/>
          <w:bCs/>
          <w:color w:val="auto"/>
          <w:sz w:val="28"/>
          <w:szCs w:val="28"/>
          <w:highlight w:val="none"/>
        </w:rPr>
        <w:t>第三章  评审方法及标准</w:t>
      </w:r>
      <w:bookmarkEnd w:id="34"/>
    </w:p>
    <w:p w14:paraId="5BB1D25E">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36" w:name="_Toc18715"/>
      <w:r>
        <w:rPr>
          <w:rFonts w:hint="eastAsia" w:ascii="宋体" w:hAnsi="宋体" w:eastAsia="宋体" w:cs="宋体"/>
          <w:b/>
          <w:color w:val="auto"/>
          <w:sz w:val="24"/>
          <w:szCs w:val="24"/>
          <w:highlight w:val="none"/>
        </w:rPr>
        <w:t>1.评审方法</w:t>
      </w:r>
      <w:bookmarkEnd w:id="36"/>
    </w:p>
    <w:p w14:paraId="549C2150">
      <w:pPr>
        <w:keepNext w:val="0"/>
        <w:keepLines w:val="0"/>
        <w:pageBreakBefore w:val="0"/>
        <w:widowControl/>
        <w:kinsoku/>
        <w:wordWrap/>
        <w:overflowPunct/>
        <w:topLinePunct/>
        <w:autoSpaceDE w:val="0"/>
        <w:autoSpaceDN w:val="0"/>
        <w:bidi w:val="0"/>
        <w:adjustRightInd w:val="0"/>
        <w:snapToGrid w:val="0"/>
        <w:spacing w:after="0"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推荐三名成交候选人。</w:t>
      </w:r>
    </w:p>
    <w:p w14:paraId="2069007C">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37" w:name="_Toc7770"/>
      <w:r>
        <w:rPr>
          <w:rFonts w:hint="eastAsia" w:ascii="宋体" w:hAnsi="宋体" w:eastAsia="宋体" w:cs="宋体"/>
          <w:b/>
          <w:color w:val="auto"/>
          <w:sz w:val="24"/>
          <w:szCs w:val="24"/>
          <w:highlight w:val="none"/>
        </w:rPr>
        <w:t>2.评分标准</w:t>
      </w:r>
      <w:bookmarkEnd w:id="37"/>
    </w:p>
    <w:p w14:paraId="2D5913B0">
      <w:pPr>
        <w:tabs>
          <w:tab w:val="center" w:pos="4890"/>
        </w:tabs>
        <w:spacing w:line="360" w:lineRule="auto"/>
        <w:ind w:firstLine="560"/>
        <w:rPr>
          <w:rFonts w:ascii="仿宋_GB2312" w:hAnsi="仿宋" w:eastAsia="仿宋_GB2312" w:cs="仿宋_GB2312"/>
          <w:color w:val="auto"/>
          <w:sz w:val="28"/>
          <w:szCs w:val="28"/>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w:t>
      </w:r>
    </w:p>
    <w:p w14:paraId="219F2294">
      <w:pPr>
        <w:pStyle w:val="38"/>
        <w:keepNext w:val="0"/>
        <w:keepLines w:val="0"/>
        <w:pageBreakBefore w:val="0"/>
        <w:widowControl w:val="0"/>
        <w:kinsoku/>
        <w:wordWrap/>
        <w:overflowPunct/>
        <w:bidi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评审因素主要内容如下表。</w:t>
      </w:r>
    </w:p>
    <w:p w14:paraId="5D1EEE41">
      <w:pPr>
        <w:keepNext w:val="0"/>
        <w:keepLines w:val="0"/>
        <w:pageBreakBefore w:val="0"/>
        <w:kinsoku/>
        <w:wordWrap/>
        <w:overflowPunct/>
        <w:topLinePunct/>
        <w:autoSpaceDE w:val="0"/>
        <w:autoSpaceDN w:val="0"/>
        <w:bidi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分，其余评审因素分值为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90 </w:t>
      </w:r>
      <w:r>
        <w:rPr>
          <w:rFonts w:hint="eastAsia" w:ascii="宋体" w:hAnsi="宋体" w:eastAsia="宋体" w:cs="宋体"/>
          <w:color w:val="auto"/>
          <w:sz w:val="24"/>
          <w:szCs w:val="24"/>
          <w:highlight w:val="none"/>
        </w:rPr>
        <w:t>分。</w:t>
      </w:r>
    </w:p>
    <w:p w14:paraId="410BB8C6">
      <w:pPr>
        <w:spacing w:line="400" w:lineRule="exact"/>
        <w:ind w:firstLine="354" w:firstLineChars="147"/>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各部</w:t>
      </w:r>
      <w:r>
        <w:rPr>
          <w:rFonts w:hint="eastAsia" w:ascii="宋体" w:hAnsi="宋体" w:cs="宋体"/>
          <w:b/>
          <w:color w:val="auto"/>
          <w:kern w:val="1"/>
          <w:sz w:val="24"/>
          <w:szCs w:val="24"/>
          <w:highlight w:val="none"/>
          <w:lang w:val="en-US" w:eastAsia="zh-CN"/>
        </w:rPr>
        <w:t>分</w:t>
      </w:r>
      <w:r>
        <w:rPr>
          <w:rFonts w:hint="eastAsia" w:ascii="宋体" w:hAnsi="宋体" w:cs="宋体"/>
          <w:b/>
          <w:color w:val="auto"/>
          <w:kern w:val="1"/>
          <w:sz w:val="24"/>
          <w:szCs w:val="24"/>
          <w:highlight w:val="none"/>
        </w:rPr>
        <w:t>评分分值分布如下：</w:t>
      </w:r>
    </w:p>
    <w:p w14:paraId="6598872B">
      <w:pPr>
        <w:pStyle w:val="15"/>
        <w:spacing w:line="400" w:lineRule="exact"/>
        <w:ind w:firstLine="480" w:firstLineChars="200"/>
        <w:rPr>
          <w:rFonts w:hAnsi="宋体" w:cs="宋体"/>
          <w:color w:val="auto"/>
          <w:sz w:val="24"/>
          <w:szCs w:val="24"/>
          <w:highlight w:val="none"/>
        </w:rPr>
      </w:pPr>
      <w:r>
        <w:rPr>
          <w:rFonts w:hAnsi="宋体" w:cs="宋体"/>
          <w:color w:val="auto"/>
          <w:sz w:val="24"/>
          <w:szCs w:val="24"/>
          <w:highlight w:val="none"/>
        </w:rPr>
        <w:t>A</w:t>
      </w:r>
      <w:r>
        <w:rPr>
          <w:rFonts w:hint="eastAsia" w:hAnsi="宋体" w:cs="宋体"/>
          <w:color w:val="auto"/>
          <w:sz w:val="24"/>
          <w:szCs w:val="24"/>
          <w:highlight w:val="none"/>
        </w:rPr>
        <w:t>：价格</w:t>
      </w:r>
      <w:r>
        <w:rPr>
          <w:rFonts w:hAnsi="宋体" w:cs="宋体"/>
          <w:color w:val="auto"/>
          <w:sz w:val="24"/>
          <w:szCs w:val="24"/>
          <w:highlight w:val="none"/>
        </w:rPr>
        <w:t>部分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 xml:space="preserve">10 </w:t>
      </w:r>
      <w:r>
        <w:rPr>
          <w:rFonts w:hint="eastAsia" w:hAnsi="宋体" w:cs="宋体"/>
          <w:color w:val="auto"/>
          <w:sz w:val="24"/>
          <w:szCs w:val="24"/>
          <w:highlight w:val="none"/>
        </w:rPr>
        <w:t>分</w:t>
      </w:r>
    </w:p>
    <w:p w14:paraId="6DD0928E">
      <w:pPr>
        <w:pStyle w:val="15"/>
        <w:spacing w:line="40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B</w:t>
      </w:r>
      <w:r>
        <w:rPr>
          <w:rFonts w:hint="eastAsia" w:hAnsi="宋体" w:cs="宋体"/>
          <w:color w:val="auto"/>
          <w:sz w:val="24"/>
          <w:szCs w:val="24"/>
          <w:highlight w:val="none"/>
        </w:rPr>
        <w:t>：商务部</w:t>
      </w:r>
      <w:r>
        <w:rPr>
          <w:rFonts w:hAnsi="宋体" w:cs="宋体"/>
          <w:color w:val="auto"/>
          <w:sz w:val="24"/>
          <w:szCs w:val="24"/>
          <w:highlight w:val="none"/>
        </w:rPr>
        <w:t>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39</w:t>
      </w:r>
      <w:r>
        <w:rPr>
          <w:rFonts w:hint="eastAsia" w:hAnsi="宋体" w:cs="宋体"/>
          <w:color w:val="auto"/>
          <w:sz w:val="24"/>
          <w:szCs w:val="24"/>
          <w:highlight w:val="none"/>
        </w:rPr>
        <w:t>分</w:t>
      </w:r>
    </w:p>
    <w:p w14:paraId="0013E1B8">
      <w:pPr>
        <w:pStyle w:val="15"/>
        <w:spacing w:line="400" w:lineRule="exact"/>
        <w:ind w:firstLine="480" w:firstLineChars="200"/>
        <w:rPr>
          <w:rFonts w:hAnsi="宋体" w:cs="宋体"/>
          <w:color w:val="auto"/>
          <w:sz w:val="24"/>
          <w:szCs w:val="24"/>
          <w:highlight w:val="none"/>
        </w:rPr>
      </w:pPr>
      <w:r>
        <w:rPr>
          <w:rFonts w:hAnsi="宋体" w:cs="宋体"/>
          <w:color w:val="auto"/>
          <w:sz w:val="24"/>
          <w:szCs w:val="24"/>
          <w:highlight w:val="none"/>
        </w:rPr>
        <w:t>C</w:t>
      </w:r>
      <w:r>
        <w:rPr>
          <w:rFonts w:hint="eastAsia" w:hAnsi="宋体" w:cs="宋体"/>
          <w:color w:val="auto"/>
          <w:sz w:val="24"/>
          <w:szCs w:val="24"/>
          <w:highlight w:val="none"/>
        </w:rPr>
        <w:t>：技术</w:t>
      </w:r>
      <w:r>
        <w:rPr>
          <w:rFonts w:hAnsi="宋体" w:cs="宋体"/>
          <w:color w:val="auto"/>
          <w:sz w:val="24"/>
          <w:szCs w:val="24"/>
          <w:highlight w:val="none"/>
        </w:rPr>
        <w:t>部分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51</w:t>
      </w:r>
      <w:r>
        <w:rPr>
          <w:rFonts w:hint="eastAsia" w:hAnsi="宋体" w:cs="宋体"/>
          <w:color w:val="auto"/>
          <w:sz w:val="24"/>
          <w:szCs w:val="24"/>
          <w:highlight w:val="none"/>
        </w:rPr>
        <w:t>分</w:t>
      </w:r>
    </w:p>
    <w:p w14:paraId="2B2703E6">
      <w:pPr>
        <w:keepNext w:val="0"/>
        <w:keepLines w:val="0"/>
        <w:pageBreakBefore w:val="0"/>
        <w:kinsoku/>
        <w:wordWrap/>
        <w:overflowPunct/>
        <w:topLinePunct/>
        <w:autoSpaceDE w:val="0"/>
        <w:autoSpaceDN w:val="0"/>
        <w:bidi w:val="0"/>
        <w:spacing w:after="0" w:line="40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2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1"/>
        <w:gridCol w:w="900"/>
        <w:gridCol w:w="632"/>
        <w:gridCol w:w="1102"/>
        <w:gridCol w:w="4602"/>
        <w:gridCol w:w="638"/>
      </w:tblGrid>
      <w:tr w14:paraId="54DE7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bottom w:val="single" w:color="000000" w:sz="4" w:space="0"/>
              <w:right w:val="single" w:color="000000" w:sz="4" w:space="0"/>
            </w:tcBorders>
            <w:tcMar>
              <w:top w:w="0" w:type="dxa"/>
              <w:left w:w="108" w:type="dxa"/>
              <w:bottom w:w="0" w:type="dxa"/>
              <w:right w:w="108" w:type="dxa"/>
            </w:tcMar>
            <w:vAlign w:val="center"/>
          </w:tcPr>
          <w:p w14:paraId="05D03A21">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9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5838D6D6">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类别</w:t>
            </w:r>
          </w:p>
        </w:tc>
        <w:tc>
          <w:tcPr>
            <w:tcW w:w="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57535C78">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评审因素</w:t>
            </w:r>
          </w:p>
        </w:tc>
        <w:tc>
          <w:tcPr>
            <w:tcW w:w="119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6CFA5055">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主要内容</w:t>
            </w:r>
          </w:p>
        </w:tc>
        <w:tc>
          <w:tcPr>
            <w:tcW w:w="485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57215441">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指标要求</w:t>
            </w:r>
          </w:p>
        </w:tc>
        <w:tc>
          <w:tcPr>
            <w:tcW w:w="676" w:type="dxa"/>
            <w:tcBorders>
              <w:left w:val="single" w:color="000000" w:sz="4" w:space="0"/>
              <w:bottom w:val="single" w:color="000000" w:sz="4" w:space="0"/>
            </w:tcBorders>
            <w:tcMar>
              <w:top w:w="0" w:type="dxa"/>
              <w:left w:w="108" w:type="dxa"/>
              <w:bottom w:w="0" w:type="dxa"/>
              <w:right w:w="108" w:type="dxa"/>
            </w:tcMar>
            <w:vAlign w:val="center"/>
          </w:tcPr>
          <w:p w14:paraId="7A51EDC2">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细项分值</w:t>
            </w:r>
          </w:p>
        </w:tc>
      </w:tr>
      <w:tr w14:paraId="1A513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A026A3E">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D8FC0D">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价格分 (1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7D60C2">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4AF02B">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6631EC">
            <w:pPr>
              <w:pStyle w:val="38"/>
              <w:widowControl w:val="0"/>
              <w:shd w:val="clear" w:color="auto" w:fill="auto"/>
              <w:snapToGrid w:val="0"/>
              <w:spacing w:line="276" w:lineRule="auto"/>
              <w:jc w:val="both"/>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磋商报价得分=（磋商基准价／最后磋商报价）×满分值</w:t>
            </w:r>
          </w:p>
          <w:p w14:paraId="622202B3">
            <w:pPr>
              <w:pStyle w:val="38"/>
              <w:widowControl w:val="0"/>
              <w:shd w:val="clear" w:color="auto" w:fill="auto"/>
              <w:snapToGrid w:val="0"/>
              <w:spacing w:line="276" w:lineRule="auto"/>
              <w:jc w:val="both"/>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（1）磋商基准价为满足磋商文件要求且最后报价最低的供应商的价格。</w:t>
            </w:r>
          </w:p>
          <w:p w14:paraId="64E4FB65">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（2）因落实政府采购政策进行价格调整的，以调整后的价格计算磋商基准价和最后磋商报价。</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bidi="ar-SA"/>
                <w14:textFill>
                  <w14:solidFill>
                    <w14:schemeClr w14:val="tx1"/>
                  </w14:solidFill>
                </w14:textFill>
              </w:rPr>
              <w:t>注：</w:t>
            </w:r>
            <w:r>
              <w:rPr>
                <w:rFonts w:hint="eastAsia" w:ascii="宋体" w:hAnsi="宋体" w:eastAsia="宋体" w:cs="宋体"/>
                <w:color w:val="000000" w:themeColor="text1"/>
                <w:sz w:val="24"/>
                <w:szCs w:val="24"/>
                <w:lang w:val="zh-CN" w:eastAsia="zh-CN" w:bidi="ar-SA"/>
                <w14:textFill>
                  <w14:solidFill>
                    <w14:schemeClr w14:val="tx1"/>
                  </w14:solidFill>
                </w14:textFill>
              </w:rPr>
              <w:t>采购人不接受供应商的恶意低价竞争，</w:t>
            </w:r>
            <w:r>
              <w:rPr>
                <w:rFonts w:hint="eastAsia" w:ascii="宋体" w:hAnsi="宋体" w:eastAsia="宋体" w:cs="宋体"/>
                <w:color w:val="000000" w:themeColor="text1"/>
                <w:sz w:val="24"/>
                <w:szCs w:val="24"/>
                <w:lang w:val="en-US" w:eastAsia="zh-CN" w:bidi="ar-SA"/>
                <w14:textFill>
                  <w14:solidFill>
                    <w14:schemeClr w14:val="tx1"/>
                  </w14:solidFill>
                </w14:textFill>
              </w:rPr>
              <w:t>磋商小组</w:t>
            </w:r>
            <w:r>
              <w:rPr>
                <w:rFonts w:hint="eastAsia" w:ascii="宋体" w:hAnsi="宋体" w:eastAsia="宋体" w:cs="宋体"/>
                <w:color w:val="000000" w:themeColor="text1"/>
                <w:sz w:val="24"/>
                <w:szCs w:val="24"/>
                <w:lang w:val="zh-CN" w:eastAsia="zh-CN" w:bidi="ar-SA"/>
                <w14:textFill>
                  <w14:solidFill>
                    <w14:schemeClr w14:val="tx1"/>
                  </w14:solidFill>
                </w14:textFill>
              </w:rPr>
              <w:t>认为供应商的报价明显低于其他通过符合性审查</w:t>
            </w:r>
            <w:r>
              <w:rPr>
                <w:rFonts w:hint="eastAsia" w:ascii="宋体" w:hAnsi="宋体" w:eastAsia="宋体" w:cs="宋体"/>
                <w:color w:val="000000" w:themeColor="text1"/>
                <w:sz w:val="24"/>
                <w:szCs w:val="24"/>
                <w:lang w:val="en-US" w:eastAsia="zh-CN" w:bidi="ar-SA"/>
                <w14:textFill>
                  <w14:solidFill>
                    <w14:schemeClr w14:val="tx1"/>
                  </w14:solidFill>
                </w14:textFill>
              </w:rPr>
              <w:t>的</w:t>
            </w:r>
            <w:r>
              <w:rPr>
                <w:rFonts w:hint="eastAsia" w:ascii="宋体" w:hAnsi="宋体" w:eastAsia="宋体" w:cs="宋体"/>
                <w:color w:val="000000" w:themeColor="text1"/>
                <w:sz w:val="24"/>
                <w:szCs w:val="24"/>
                <w:lang w:val="zh-CN" w:eastAsia="zh-CN" w:bidi="ar-SA"/>
                <w14:textFill>
                  <w14:solidFill>
                    <w14:schemeClr w14:val="tx1"/>
                  </w14:solidFill>
                </w14:textFill>
              </w:rPr>
              <w:t>供应商的报价，有可能影响产品质量或者不能诚信履约的，要求其在评标现场提供书面说明，并提交相关证明材料，供应商不能证明其报价合理性的，</w:t>
            </w:r>
            <w:r>
              <w:rPr>
                <w:rFonts w:hint="eastAsia" w:ascii="宋体" w:hAnsi="宋体" w:eastAsia="宋体" w:cs="宋体"/>
                <w:color w:val="000000" w:themeColor="text1"/>
                <w:sz w:val="24"/>
                <w:szCs w:val="24"/>
                <w:lang w:val="en-US" w:eastAsia="zh-CN" w:bidi="ar-SA"/>
                <w14:textFill>
                  <w14:solidFill>
                    <w14:schemeClr w14:val="tx1"/>
                  </w14:solidFill>
                </w14:textFill>
              </w:rPr>
              <w:t>磋商小组</w:t>
            </w:r>
            <w:r>
              <w:rPr>
                <w:rFonts w:hint="eastAsia" w:ascii="宋体" w:hAnsi="宋体" w:eastAsia="宋体" w:cs="宋体"/>
                <w:color w:val="000000" w:themeColor="text1"/>
                <w:sz w:val="24"/>
                <w:szCs w:val="24"/>
                <w:lang w:val="zh-CN" w:eastAsia="zh-CN" w:bidi="ar-SA"/>
                <w14:textFill>
                  <w14:solidFill>
                    <w14:schemeClr w14:val="tx1"/>
                  </w14:solidFill>
                </w14:textFill>
              </w:rPr>
              <w:t>将对其作为无效投标处理。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F43DC21">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w:t>
            </w:r>
          </w:p>
        </w:tc>
      </w:tr>
      <w:tr w14:paraId="37E4D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4B0DF63">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9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2002E8E5">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商务</w:t>
            </w:r>
            <w:r>
              <w:rPr>
                <w:rFonts w:hint="eastAsia" w:ascii="宋体" w:hAnsi="宋体" w:eastAsia="宋体" w:cs="宋体"/>
                <w:color w:val="000000" w:themeColor="text1"/>
                <w:sz w:val="24"/>
                <w:szCs w:val="24"/>
                <w14:textFill>
                  <w14:solidFill>
                    <w14:schemeClr w14:val="tx1"/>
                  </w14:solidFill>
                </w14:textFill>
              </w:rPr>
              <w:t>分 (3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6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6EBA5BD3">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履约能力</w:t>
            </w: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A81550">
            <w:pPr>
              <w:spacing w:before="48" w:after="48"/>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企业认证</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03EC98">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供应商提供有效期内的ISO9001质量管理体系认证证书、ISO45001职业健康安全管理体系认证证书</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每提供一类得3分，本项最高可得6分。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注：须提供有效期内的相关证书复印件</w:t>
            </w:r>
            <w:r>
              <w:rPr>
                <w:rFonts w:hint="eastAsia" w:ascii="宋体" w:hAnsi="宋体" w:eastAsia="宋体" w:cs="宋体"/>
                <w:color w:val="000000" w:themeColor="text1"/>
                <w:sz w:val="24"/>
                <w:szCs w:val="24"/>
                <w:lang w:val="en-US" w:eastAsia="zh-CN"/>
                <w14:textFill>
                  <w14:solidFill>
                    <w14:schemeClr w14:val="tx1"/>
                  </w14:solidFill>
                </w14:textFill>
              </w:rPr>
              <w:t>或提供</w:t>
            </w:r>
            <w:r>
              <w:rPr>
                <w:rFonts w:hint="eastAsia" w:ascii="宋体" w:hAnsi="宋体" w:eastAsia="宋体" w:cs="宋体"/>
                <w:color w:val="000000" w:themeColor="text1"/>
                <w:sz w:val="24"/>
                <w:szCs w:val="24"/>
                <w14:textFill>
                  <w14:solidFill>
                    <w14:schemeClr w14:val="tx1"/>
                  </w14:solidFill>
                </w14:textFill>
              </w:rPr>
              <w:t>国家认证认可监督管理委员会(http://www.cnca.gov.cn)【或中国合格评定国家认可委员会(https://www.cnas.org.cn)】网站的下载网页并注明网址，否则不得分。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F419D7E">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r>
      <w:tr w14:paraId="6D54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1000B2D">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970" w:type="dxa"/>
            <w:vMerge w:val="continue"/>
            <w:tcBorders>
              <w:left w:val="single" w:color="000000" w:sz="4" w:space="0"/>
              <w:right w:val="single" w:color="000000" w:sz="4" w:space="0"/>
            </w:tcBorders>
            <w:vAlign w:val="center"/>
          </w:tcPr>
          <w:p w14:paraId="1B16F420">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12D5D37D">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EACDC5">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企业人员证书</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E431E8">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供应商具有专职法务团队，有专职法务人员处理各类劳务纠纷，提供律师证或法律职业资格证书得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注：须提供有效证书复印件或取得证书官方网站公示截图（或证书状态体现为“有效”的查询结果的网页截图）、提交响应文件截止之前六个月</w:t>
            </w:r>
            <w:r>
              <w:rPr>
                <w:rFonts w:hint="eastAsia" w:ascii="宋体" w:hAnsi="宋体" w:eastAsia="宋体" w:cs="宋体"/>
                <w:color w:val="000000" w:themeColor="text1"/>
                <w:sz w:val="24"/>
                <w:szCs w:val="24"/>
                <w:lang w:val="en-US" w:eastAsia="zh-CN"/>
                <w14:textFill>
                  <w14:solidFill>
                    <w14:schemeClr w14:val="tx1"/>
                  </w14:solidFill>
                </w14:textFill>
              </w:rPr>
              <w:t>内</w:t>
            </w:r>
            <w:r>
              <w:rPr>
                <w:rFonts w:hint="eastAsia" w:ascii="宋体" w:hAnsi="宋体" w:eastAsia="宋体" w:cs="宋体"/>
                <w:color w:val="000000" w:themeColor="text1"/>
                <w:sz w:val="24"/>
                <w:szCs w:val="24"/>
                <w:lang w:eastAsia="zh-CN"/>
                <w14:textFill>
                  <w14:solidFill>
                    <w14:schemeClr w14:val="tx1"/>
                  </w14:solidFill>
                </w14:textFill>
              </w:rPr>
              <w:t>任意一个月供应商为其缴纳的社保证明材料并加盖供应商公章（若为提交响应文件截止当月成立的供应商，提供社保增员材料视为满足该条件）。</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ABAD9D1">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r>
      <w:tr w14:paraId="4633E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C31139B">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70" w:type="dxa"/>
            <w:vMerge w:val="continue"/>
            <w:tcBorders>
              <w:left w:val="single" w:color="000000" w:sz="4" w:space="0"/>
              <w:right w:val="single" w:color="000000" w:sz="4" w:space="0"/>
            </w:tcBorders>
            <w:vAlign w:val="center"/>
          </w:tcPr>
          <w:p w14:paraId="2124C978">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587A0191">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52C835">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团队管理（项目经理）</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91295B">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根据</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供应商</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拟</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为</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本项目配备的项目经理情况进行评分。具有与本项目</w:t>
            </w:r>
            <w:r>
              <w:rPr>
                <w:rFonts w:hint="eastAsia" w:ascii="宋体" w:hAnsi="宋体" w:eastAsia="宋体" w:cs="宋体"/>
                <w:color w:val="000000" w:themeColor="text1"/>
                <w:sz w:val="24"/>
                <w:szCs w:val="24"/>
                <w14:textFill>
                  <w14:solidFill>
                    <w14:schemeClr w14:val="tx1"/>
                  </w14:solidFill>
                </w14:textFill>
              </w:rPr>
              <w:t>辅助性服务</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相似岗位(见项目需求中的岗位</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及数量</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需求)5年及以上管理工作经验的</w:t>
            </w:r>
            <w:r>
              <w:rPr>
                <w:rFonts w:hint="eastAsia" w:ascii="宋体" w:hAnsi="宋体" w:eastAsia="宋体" w:cs="宋体"/>
                <w:b w:val="0"/>
                <w:bCs w:val="0"/>
                <w:i w:val="0"/>
                <w:iCs w:val="0"/>
                <w:smallCap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分；具有3年及以上并在5年以下管理工作经验的得</w:t>
            </w:r>
            <w:r>
              <w:rPr>
                <w:rFonts w:hint="eastAsia" w:ascii="宋体" w:hAnsi="宋体" w:eastAsia="宋体" w:cs="宋体"/>
                <w:b w:val="0"/>
                <w:bCs w:val="0"/>
                <w:i w:val="0"/>
                <w:iCs w:val="0"/>
                <w:smallCap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分；其它情况不得分。</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br w:type="textWrapping"/>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注：需</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提供</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拟配备</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人员</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的</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聘用合同、相关经验证明、</w:t>
            </w:r>
            <w:r>
              <w:rPr>
                <w:rFonts w:hint="eastAsia" w:ascii="宋体" w:hAnsi="宋体" w:eastAsia="宋体" w:cs="宋体"/>
                <w:color w:val="000000" w:themeColor="text1"/>
                <w:sz w:val="24"/>
                <w:szCs w:val="24"/>
                <w:lang w:eastAsia="zh-CN"/>
                <w14:textFill>
                  <w14:solidFill>
                    <w14:schemeClr w14:val="tx1"/>
                  </w14:solidFill>
                </w14:textFill>
              </w:rPr>
              <w:t>提交响应文件截止之前六个月</w:t>
            </w:r>
            <w:r>
              <w:rPr>
                <w:rFonts w:hint="eastAsia" w:ascii="宋体" w:hAnsi="宋体" w:eastAsia="宋体" w:cs="宋体"/>
                <w:color w:val="000000" w:themeColor="text1"/>
                <w:sz w:val="24"/>
                <w:szCs w:val="24"/>
                <w:lang w:val="en-US" w:eastAsia="zh-CN"/>
                <w14:textFill>
                  <w14:solidFill>
                    <w14:schemeClr w14:val="tx1"/>
                  </w14:solidFill>
                </w14:textFill>
              </w:rPr>
              <w:t>内</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任意一个月在</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供应商</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单位缴纳社保的证明材料，否则不得分。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EC93603">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r>
      <w:tr w14:paraId="65C9D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D04048">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70" w:type="dxa"/>
            <w:vMerge w:val="continue"/>
            <w:tcBorders>
              <w:left w:val="single" w:color="000000" w:sz="4" w:space="0"/>
              <w:right w:val="single" w:color="000000" w:sz="4" w:space="0"/>
            </w:tcBorders>
            <w:vAlign w:val="center"/>
          </w:tcPr>
          <w:p w14:paraId="2F22F9D0">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27058651">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CE17B3">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人员投保</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F87FE5">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供应商承诺成交后，应为本项目的服务人员购买人身意外伤害险：</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30万≤承诺保险赔偿金额＜60万，得2分；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60万≤承诺保险赔偿金额＜100万，得4分；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100万≤承诺保险赔偿金额，得6分；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本项最高可得6分。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注：供应商需提供书面承诺函并加盖供应商公章。供应商需在合同签订后10个工作日内，向采购人提供保单或保险合同、购买发票等相关证明文件的复印件并加盖公章。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C36D586">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r>
      <w:tr w14:paraId="326AF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94BBE14">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970" w:type="dxa"/>
            <w:vMerge w:val="continue"/>
            <w:tcBorders>
              <w:left w:val="single" w:color="000000" w:sz="4" w:space="0"/>
              <w:right w:val="single" w:color="000000" w:sz="4" w:space="0"/>
            </w:tcBorders>
            <w:vAlign w:val="center"/>
          </w:tcPr>
          <w:p w14:paraId="53B8B16B">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706C9C1A">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B7D308">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公共责任风险控制</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2AC3D4">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供应商承诺成交后，应在服务有效期内为服务项目购买公共责任险：</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100万≤投保公众责任险累计赔偿限额＜300万，得2分；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300万≤投保公众责任险累计赔偿限额＜600万，得4分；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600万≤投保公众责任险累计赔偿限额，得6分；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本项最高可得6分。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注：供应商需提供书面承诺函并加盖供应商公章，格式自拟。供应商需在合同签订后10个工作日内，向采购人提供保单或保险合同、购买发票等相关证明文件的复印件并加盖公章。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B8ADC63">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r>
      <w:tr w14:paraId="3005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8A47640">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970" w:type="dxa"/>
            <w:vMerge w:val="continue"/>
            <w:tcBorders>
              <w:left w:val="single" w:color="000000" w:sz="4" w:space="0"/>
              <w:right w:val="single" w:color="000000" w:sz="4" w:space="0"/>
            </w:tcBorders>
            <w:vAlign w:val="center"/>
          </w:tcPr>
          <w:p w14:paraId="2CD45586">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3EE47442">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CB3462">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服务响应承诺情况</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358D54">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承诺遇应急情况（如人员突发疾病、工伤亡处理、劳动争议等）须紧急处理的，从接到采购人通知到采购人处的响应时间＜0.5个小时的得4分；0.5个小时≤响应时间＜1个小时的得2分；响应时间≥1小时的得1分。提供承诺函（格式自拟），否则不得分。本项最高可得 4 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注：供应商需提供书面承诺函并加盖供应商公章，格式自拟。</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733C7F9">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r>
      <w:tr w14:paraId="3167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84026D1">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970" w:type="dxa"/>
            <w:vMerge w:val="continue"/>
            <w:tcBorders>
              <w:left w:val="single" w:color="000000" w:sz="4" w:space="0"/>
              <w:right w:val="single" w:color="000000" w:sz="4" w:space="0"/>
            </w:tcBorders>
            <w:vAlign w:val="center"/>
          </w:tcPr>
          <w:p w14:paraId="25D5D03C">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42689FC0">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728EE0">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项目案例</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A9B98E">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供应商提交202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年以来通过各类采购取得的服务外包项目案例，每提供一份得1分，本项最高可得</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注：同一个被服务单位（以合同签订的不同法人主体作为不同的被服务单位）只按一项案例计算。需提供中标（成交）通知书或合同复印件为佐证材料并加盖公章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B48FA4F">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r>
      <w:tr w14:paraId="0DB5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FE4F158">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970" w:type="dxa"/>
            <w:vMerge w:val="continue"/>
            <w:tcBorders>
              <w:left w:val="single" w:color="000000" w:sz="4" w:space="0"/>
              <w:bottom w:val="single" w:color="000000" w:sz="4" w:space="0"/>
              <w:right w:val="single" w:color="000000" w:sz="4" w:space="0"/>
            </w:tcBorders>
            <w:vAlign w:val="center"/>
          </w:tcPr>
          <w:p w14:paraId="4CD06C82">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bottom w:val="single" w:color="000000" w:sz="4" w:space="0"/>
              <w:right w:val="single" w:color="000000" w:sz="4" w:space="0"/>
            </w:tcBorders>
            <w:vAlign w:val="center"/>
          </w:tcPr>
          <w:p w14:paraId="0C056475">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33B0F7">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项目满意度评价</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1259F6">
            <w:pPr>
              <w:spacing w:before="48" w:after="48"/>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供应商提供202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年以来通过各类采购取得的服务外包项目满意度评价表，每提供一份优秀等肯定性评价的满意度评价表得1分，本项最高可得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须提供加盖甲方盖章的</w:t>
            </w:r>
            <w:r>
              <w:rPr>
                <w:rFonts w:hint="eastAsia" w:ascii="宋体" w:hAnsi="宋体" w:eastAsia="宋体" w:cs="宋体"/>
                <w:color w:val="000000" w:themeColor="text1"/>
                <w:sz w:val="24"/>
                <w:szCs w:val="24"/>
                <w:lang w:eastAsia="zh-CN"/>
                <w14:textFill>
                  <w14:solidFill>
                    <w14:schemeClr w14:val="tx1"/>
                  </w14:solidFill>
                </w14:textFill>
              </w:rPr>
              <w:t>满意度评价表为佐证材料并加盖</w:t>
            </w:r>
            <w:r>
              <w:rPr>
                <w:rFonts w:hint="eastAsia" w:ascii="宋体" w:hAnsi="宋体" w:eastAsia="宋体" w:cs="宋体"/>
                <w:color w:val="000000" w:themeColor="text1"/>
                <w:sz w:val="24"/>
                <w:szCs w:val="24"/>
                <w:lang w:val="en-US" w:eastAsia="zh-CN"/>
                <w14:textFill>
                  <w14:solidFill>
                    <w14:schemeClr w14:val="tx1"/>
                  </w14:solidFill>
                </w14:textFill>
              </w:rPr>
              <w:t>供应商单位</w:t>
            </w:r>
            <w:r>
              <w:rPr>
                <w:rFonts w:hint="eastAsia" w:ascii="宋体" w:hAnsi="宋体" w:eastAsia="宋体" w:cs="宋体"/>
                <w:color w:val="000000" w:themeColor="text1"/>
                <w:sz w:val="24"/>
                <w:szCs w:val="24"/>
                <w:lang w:eastAsia="zh-CN"/>
                <w14:textFill>
                  <w14:solidFill>
                    <w14:schemeClr w14:val="tx1"/>
                  </w14:solidFill>
                </w14:textFill>
              </w:rPr>
              <w:t>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C4EDF1D">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r>
      <w:tr w14:paraId="6A667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337AE5">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9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6948199E">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分 (51分)</w:t>
            </w:r>
          </w:p>
        </w:tc>
        <w:tc>
          <w:tcPr>
            <w:tcW w:w="6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31FCA1A3">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服务水平</w:t>
            </w: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41A122">
            <w:pPr>
              <w:spacing w:before="48" w:after="48"/>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需求理解及总体服务方案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34FB52">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提供的需求理解及总体服务方案及措施（包括针对本项目的详细项目需求分析、采购人当前服务岗位及人员情况、针对本项目行业特殊性的重点难点分析理解三个模块）的完整性、科学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 6 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3C3B259">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r>
      <w:tr w14:paraId="196D9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B382206">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70" w:type="dxa"/>
            <w:vMerge w:val="continue"/>
            <w:tcBorders>
              <w:left w:val="single" w:color="000000" w:sz="4" w:space="0"/>
              <w:right w:val="single" w:color="000000" w:sz="4" w:space="0"/>
            </w:tcBorders>
            <w:vAlign w:val="center"/>
          </w:tcPr>
          <w:p w14:paraId="6B5DCE2B">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7232FF72">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2423B7">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运</w:t>
            </w:r>
            <w:r>
              <w:rPr>
                <w:rFonts w:hint="eastAsia" w:ascii="宋体" w:hAnsi="宋体" w:eastAsia="宋体" w:cs="宋体"/>
                <w:color w:val="000000" w:themeColor="text1"/>
                <w:sz w:val="24"/>
                <w:szCs w:val="24"/>
                <w14:textFill>
                  <w14:solidFill>
                    <w14:schemeClr w14:val="tx1"/>
                  </w14:solidFill>
                </w14:textFill>
              </w:rPr>
              <w:t>营管理方案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295C03">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针对本项目设计的经营管理方案（包括管理制度、团队建设管理两个模块）的完整性、科学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 4 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64471E9">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r>
      <w:tr w14:paraId="59199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E7DF3CC">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70" w:type="dxa"/>
            <w:vMerge w:val="continue"/>
            <w:tcBorders>
              <w:left w:val="single" w:color="000000" w:sz="4" w:space="0"/>
              <w:right w:val="single" w:color="000000" w:sz="4" w:space="0"/>
            </w:tcBorders>
            <w:vAlign w:val="center"/>
          </w:tcPr>
          <w:p w14:paraId="0978CF84">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7494FD34">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6E0447">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7681EF">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针对本服务外包项目制定整体的人员管理方案（包括人员招聘机制、人员薪酬管理制度、人员培训方案、人员考核方案、人员补充方案、人员淘汰机制六个模块）的完整性、科学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本项最高可得12分。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4D94999">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r>
      <w:tr w14:paraId="3D4C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1542485">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70" w:type="dxa"/>
            <w:vMerge w:val="continue"/>
            <w:tcBorders>
              <w:left w:val="single" w:color="000000" w:sz="4" w:space="0"/>
              <w:right w:val="single" w:color="000000" w:sz="4" w:space="0"/>
            </w:tcBorders>
            <w:vAlign w:val="center"/>
          </w:tcPr>
          <w:p w14:paraId="77FFF000">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12BF847B">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BB432D">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服务质量保障措施</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776A17">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制定服务质量保障措施（包括内控制度体系、服务人员业务能力保障、服务质量现场控制措施、服务质量反馈及改良机制、监督检查五个模块）的完整性、科学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本项最高可得10分。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872CDDC">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r>
      <w:tr w14:paraId="684CA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6E27B27">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70" w:type="dxa"/>
            <w:vMerge w:val="continue"/>
            <w:tcBorders>
              <w:left w:val="single" w:color="000000" w:sz="4" w:space="0"/>
              <w:right w:val="single" w:color="000000" w:sz="4" w:space="0"/>
            </w:tcBorders>
            <w:vAlign w:val="center"/>
          </w:tcPr>
          <w:p w14:paraId="000CF5CE">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1FD8E007">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45C67E">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应急处理方案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DDAEFB">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针对本项目可能发生的重大事件制定有效的应急方案（包括重大安全因素分析、制定应急预案的原则、外部联系协调措施、常见事故救援应急预案四个模块）的科学性、严密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本项最高可得8分。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8A96F21">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r>
      <w:tr w14:paraId="0DC04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087739">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70" w:type="dxa"/>
            <w:vMerge w:val="continue"/>
            <w:tcBorders>
              <w:left w:val="single" w:color="000000" w:sz="4" w:space="0"/>
              <w:right w:val="single" w:color="000000" w:sz="4" w:space="0"/>
            </w:tcBorders>
            <w:vAlign w:val="center"/>
          </w:tcPr>
          <w:p w14:paraId="7B96F4E4">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14:paraId="35D3351D">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7DF40C">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保密工作管理方案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3AEDA5">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制定保密工作管理方案（包括开展保密教育的周期及方式、日常工作涉及保密事项及管理措施、违反保密原则的处罚、工作交接程序四个模块）的科学性、严密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本项最高可得8分。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4AF8C87">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r>
      <w:tr w14:paraId="21C02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DEC674E">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970" w:type="dxa"/>
            <w:vMerge w:val="continue"/>
            <w:tcBorders>
              <w:left w:val="single" w:color="000000" w:sz="4" w:space="0"/>
              <w:bottom w:val="single" w:color="000000" w:sz="4" w:space="0"/>
              <w:right w:val="single" w:color="000000" w:sz="4" w:space="0"/>
            </w:tcBorders>
            <w:vAlign w:val="center"/>
          </w:tcPr>
          <w:p w14:paraId="5B4D3676">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bottom w:val="single" w:color="000000" w:sz="4" w:space="0"/>
              <w:right w:val="single" w:color="000000" w:sz="4" w:space="0"/>
            </w:tcBorders>
            <w:vAlign w:val="center"/>
          </w:tcPr>
          <w:p w14:paraId="6185305F">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C5CE72">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1735A4">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根据供应商提供的采购人针对服务人员服务态度、服务能力、服务质量等方面的投诉管理方案的科学性、严密性、可操作性，进行综合评分。磋商小组依据方案内容进行评审，内容完整可行的得3分，可行性一般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本项最高可得3分。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A6A9E5B">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r>
      <w:tr w14:paraId="15C0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99" w:type="dxa"/>
            <w:gridSpan w:val="4"/>
            <w:tcBorders>
              <w:top w:val="single" w:color="000000" w:sz="4" w:space="0"/>
              <w:right w:val="single" w:color="000000" w:sz="4" w:space="0"/>
            </w:tcBorders>
            <w:tcMar>
              <w:top w:w="0" w:type="dxa"/>
              <w:left w:w="108" w:type="dxa"/>
              <w:bottom w:w="0" w:type="dxa"/>
              <w:right w:w="108" w:type="dxa"/>
            </w:tcMar>
          </w:tcPr>
          <w:p w14:paraId="32635479">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5526" w:type="dxa"/>
            <w:gridSpan w:val="2"/>
            <w:tcBorders>
              <w:top w:val="single" w:color="000000" w:sz="4" w:space="0"/>
              <w:left w:val="single" w:color="000000" w:sz="4" w:space="0"/>
            </w:tcBorders>
            <w:tcMar>
              <w:top w:w="0" w:type="dxa"/>
              <w:left w:w="108" w:type="dxa"/>
              <w:bottom w:w="0" w:type="dxa"/>
              <w:right w:w="108" w:type="dxa"/>
            </w:tcMar>
          </w:tcPr>
          <w:p w14:paraId="342766BC">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bl>
    <w:p w14:paraId="1B7043C4">
      <w:pPr>
        <w:topLinePunct/>
        <w:autoSpaceDE w:val="0"/>
        <w:autoSpaceDN w:val="0"/>
        <w:spacing w:after="0"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rPr>
        <w:t>2.3 落实政府采购政策进行价格调整的规则：</w:t>
      </w:r>
    </w:p>
    <w:tbl>
      <w:tblPr>
        <w:tblStyle w:val="30"/>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68"/>
        <w:gridCol w:w="2144"/>
        <w:gridCol w:w="4492"/>
      </w:tblGrid>
      <w:tr w14:paraId="78093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576E61BF">
            <w:pPr>
              <w:pStyle w:val="38"/>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政府采购政策</w:t>
            </w:r>
          </w:p>
        </w:tc>
        <w:tc>
          <w:tcPr>
            <w:tcW w:w="2350" w:type="dxa"/>
            <w:noWrap w:val="0"/>
            <w:vAlign w:val="center"/>
          </w:tcPr>
          <w:p w14:paraId="4098B8F9">
            <w:pPr>
              <w:pStyle w:val="38"/>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价格扣除规则</w:t>
            </w:r>
          </w:p>
        </w:tc>
        <w:tc>
          <w:tcPr>
            <w:tcW w:w="5031" w:type="dxa"/>
            <w:noWrap w:val="0"/>
            <w:vAlign w:val="center"/>
          </w:tcPr>
          <w:p w14:paraId="71B55C76">
            <w:pPr>
              <w:pStyle w:val="38"/>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享受价格扣除的条件</w:t>
            </w:r>
          </w:p>
        </w:tc>
      </w:tr>
      <w:tr w14:paraId="67CA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68" w:type="dxa"/>
            <w:noWrap w:val="0"/>
            <w:vAlign w:val="center"/>
          </w:tcPr>
          <w:p w14:paraId="08C7D783">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节约能源政策</w:t>
            </w:r>
          </w:p>
        </w:tc>
        <w:tc>
          <w:tcPr>
            <w:tcW w:w="7381" w:type="dxa"/>
            <w:gridSpan w:val="2"/>
            <w:noWrap w:val="0"/>
            <w:vAlign w:val="center"/>
          </w:tcPr>
          <w:p w14:paraId="70647522">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14:paraId="32E09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1E5006BC">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保护环境政策</w:t>
            </w:r>
          </w:p>
        </w:tc>
        <w:tc>
          <w:tcPr>
            <w:tcW w:w="7381" w:type="dxa"/>
            <w:gridSpan w:val="2"/>
            <w:noWrap w:val="0"/>
            <w:vAlign w:val="center"/>
          </w:tcPr>
          <w:p w14:paraId="2B2F2596">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14:paraId="0C988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6A786521">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促进中小企业</w:t>
            </w:r>
          </w:p>
          <w:p w14:paraId="26A15534">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2350" w:type="dxa"/>
            <w:vMerge w:val="restart"/>
            <w:noWrap w:val="0"/>
            <w:vAlign w:val="center"/>
          </w:tcPr>
          <w:p w14:paraId="456E0CA7">
            <w:pPr>
              <w:pStyle w:val="38"/>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rPr>
              <w:t>对小型和微型企业的投标价格给予</w:t>
            </w:r>
            <w:r>
              <w:rPr>
                <w:rFonts w:hint="eastAsia" w:ascii="宋体" w:hAnsi="宋体" w:eastAsia="宋体" w:cs="宋体"/>
                <w:color w:val="auto"/>
                <w:kern w:val="0"/>
                <w:sz w:val="24"/>
                <w:szCs w:val="24"/>
                <w:highlight w:val="none"/>
                <w:u w:val="single"/>
                <w:lang w:val="en-US" w:eastAsia="zh-CN"/>
              </w:rPr>
              <w:t>20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%的扣除，用扣除后的价格参与评审。</w:t>
            </w:r>
          </w:p>
        </w:tc>
        <w:tc>
          <w:tcPr>
            <w:tcW w:w="5031" w:type="dxa"/>
            <w:vMerge w:val="restart"/>
            <w:noWrap w:val="0"/>
            <w:vAlign w:val="center"/>
          </w:tcPr>
          <w:p w14:paraId="4DDBD974">
            <w:pPr>
              <w:pStyle w:val="38"/>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在货物采购项目中，满足所有标的均由中小企业制造，即所有标的均由中小企业生产且使用该中小企业商号或者注册商标的，可享受中小企业扶持政策。</w:t>
            </w:r>
          </w:p>
          <w:p w14:paraId="3E2C5293">
            <w:pPr>
              <w:pStyle w:val="38"/>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在服务采购项目中，满足服务由中小企业承接，即提供服务的人员为中小企业依照《中华人民共和国劳动合同法》订立劳动合同的从业人员的，可享受中小企业扶持政策。</w:t>
            </w:r>
          </w:p>
        </w:tc>
      </w:tr>
      <w:tr w14:paraId="4F204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748FE4B6">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促进残疾人就业政策</w:t>
            </w:r>
          </w:p>
        </w:tc>
        <w:tc>
          <w:tcPr>
            <w:tcW w:w="2350" w:type="dxa"/>
            <w:vMerge w:val="continue"/>
            <w:noWrap w:val="0"/>
            <w:vAlign w:val="center"/>
          </w:tcPr>
          <w:p w14:paraId="738BECE4">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c>
          <w:tcPr>
            <w:tcW w:w="5031" w:type="dxa"/>
            <w:vMerge w:val="continue"/>
            <w:noWrap w:val="0"/>
            <w:vAlign w:val="center"/>
          </w:tcPr>
          <w:p w14:paraId="26BC68FB">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r>
      <w:tr w14:paraId="1152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3898850B">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支持监狱企业</w:t>
            </w:r>
          </w:p>
          <w:p w14:paraId="4F312D33">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2350" w:type="dxa"/>
            <w:vMerge w:val="continue"/>
            <w:noWrap w:val="0"/>
            <w:vAlign w:val="center"/>
          </w:tcPr>
          <w:p w14:paraId="16CDC683">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1"/>
                <w:szCs w:val="21"/>
                <w:highlight w:val="none"/>
              </w:rPr>
            </w:pPr>
          </w:p>
        </w:tc>
        <w:tc>
          <w:tcPr>
            <w:tcW w:w="5031" w:type="dxa"/>
            <w:vMerge w:val="continue"/>
            <w:noWrap w:val="0"/>
            <w:vAlign w:val="center"/>
          </w:tcPr>
          <w:p w14:paraId="65195EFF">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1"/>
                <w:szCs w:val="21"/>
                <w:highlight w:val="none"/>
              </w:rPr>
            </w:pPr>
          </w:p>
        </w:tc>
      </w:tr>
    </w:tbl>
    <w:p w14:paraId="056F65CE">
      <w:pPr>
        <w:topLinePunct/>
        <w:autoSpaceDE w:val="0"/>
        <w:autoSpaceDN w:val="0"/>
        <w:spacing w:after="0" w:line="360" w:lineRule="auto"/>
        <w:ind w:firstLine="480" w:firstLineChars="200"/>
        <w:rPr>
          <w:rFonts w:hint="default" w:ascii="宋体" w:hAnsi="宋体" w:eastAsia="宋体" w:cs="宋体"/>
          <w:color w:val="auto"/>
          <w:sz w:val="24"/>
          <w:szCs w:val="24"/>
          <w:highlight w:val="none"/>
          <w:lang w:val="en-US" w:eastAsia="zh-CN"/>
        </w:rPr>
      </w:pPr>
    </w:p>
    <w:p w14:paraId="35515DFC">
      <w:pPr>
        <w:rPr>
          <w:color w:val="auto"/>
        </w:rPr>
      </w:pPr>
    </w:p>
    <w:bookmarkEnd w:id="35"/>
    <w:p w14:paraId="73EC8EE7">
      <w:pPr>
        <w:topLinePunct/>
        <w:autoSpaceDE w:val="0"/>
        <w:autoSpaceDN w:val="0"/>
        <w:spacing w:after="0" w:line="360" w:lineRule="auto"/>
        <w:ind w:firstLine="480" w:firstLineChars="200"/>
        <w:rPr>
          <w:rFonts w:hint="default" w:ascii="宋体" w:hAnsi="宋体" w:eastAsia="宋体" w:cs="宋体"/>
          <w:color w:val="auto"/>
          <w:sz w:val="24"/>
          <w:szCs w:val="24"/>
          <w:highlight w:val="none"/>
          <w:lang w:val="en-US" w:eastAsia="zh-CN"/>
        </w:rPr>
      </w:pPr>
      <w:bookmarkStart w:id="38" w:name="_Toc222"/>
    </w:p>
    <w:p w14:paraId="1421F20B">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5C05BBC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39" w:name="_Toc29753"/>
      <w:r>
        <w:rPr>
          <w:rFonts w:hint="eastAsia" w:ascii="宋体" w:hAnsi="宋体" w:eastAsia="宋体" w:cs="宋体"/>
          <w:b/>
          <w:bCs/>
          <w:color w:val="auto"/>
          <w:sz w:val="28"/>
          <w:szCs w:val="28"/>
          <w:highlight w:val="none"/>
        </w:rPr>
        <w:t>第四章  采购合同文本</w:t>
      </w:r>
      <w:bookmarkEnd w:id="39"/>
    </w:p>
    <w:p w14:paraId="5BDB6ADA">
      <w:pPr>
        <w:pStyle w:val="15"/>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14:paraId="370BACA3">
      <w:pPr>
        <w:pStyle w:val="15"/>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14:paraId="01F8D367">
      <w:pPr>
        <w:pStyle w:val="15"/>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14:paraId="4E0E8F94">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14:paraId="2196EC59">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14:paraId="1A330C7F">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14:paraId="1372DE58">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14:paraId="7B58490F">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14:paraId="6380721F">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14:paraId="1293D2C4">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14:paraId="11958121">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14:paraId="5C278713">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14:paraId="339719FF">
      <w:pPr>
        <w:pStyle w:val="15"/>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14:paraId="5335AF90">
      <w:pPr>
        <w:pStyle w:val="15"/>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14:paraId="756C1E81">
      <w:pPr>
        <w:pStyle w:val="15"/>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14:paraId="73CC3FB9">
      <w:pPr>
        <w:pStyle w:val="15"/>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14:paraId="1CB348AF">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40" w:name="_Toc26360"/>
      <w:bookmarkStart w:id="41" w:name="_Toc16329"/>
      <w:r>
        <w:rPr>
          <w:rFonts w:hint="eastAsia" w:ascii="宋体" w:hAnsi="宋体" w:eastAsia="宋体" w:cs="宋体"/>
          <w:b w:val="0"/>
          <w:bCs/>
          <w:color w:val="auto"/>
          <w:sz w:val="24"/>
          <w:szCs w:val="24"/>
          <w:highlight w:val="none"/>
        </w:rPr>
        <w:t xml:space="preserve">甲    方： </w:t>
      </w:r>
      <w:bookmarkEnd w:id="40"/>
      <w:bookmarkEnd w:id="41"/>
      <w:r>
        <w:rPr>
          <w:rFonts w:hint="eastAsia" w:ascii="宋体" w:hAnsi="宋体" w:cs="宋体"/>
          <w:b w:val="0"/>
          <w:bCs/>
          <w:color w:val="auto"/>
          <w:sz w:val="24"/>
          <w:szCs w:val="24"/>
          <w:highlight w:val="none"/>
          <w:u w:val="single"/>
          <w:lang w:eastAsia="zh-CN"/>
        </w:rPr>
        <w:t>国家税务总局福州市仓山区税务局</w:t>
      </w:r>
    </w:p>
    <w:p w14:paraId="4E749ABD">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14:paraId="47C29C59">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14:paraId="020721D7">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2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14:paraId="0514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96531A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noWrap w:val="0"/>
            <w:vAlign w:val="center"/>
          </w:tcPr>
          <w:p w14:paraId="5F72246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29B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7A83D4E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248A2493">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08CCE80">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14:paraId="6484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7827995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4BD64848">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78DA9A1B">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14:paraId="281F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8C9691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2D29F423">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D213980">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14:paraId="4C8E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1E02EEE3">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5528AA1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3B36C1E8">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14:paraId="2F0A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noWrap w:val="0"/>
            <w:vAlign w:val="center"/>
          </w:tcPr>
          <w:p w14:paraId="57AF7C1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noWrap w:val="0"/>
            <w:vAlign w:val="center"/>
          </w:tcPr>
          <w:p w14:paraId="0986733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noWrap w:val="0"/>
            <w:vAlign w:val="center"/>
          </w:tcPr>
          <w:p w14:paraId="4779C312">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6E41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noWrap w:val="0"/>
            <w:vAlign w:val="center"/>
          </w:tcPr>
          <w:p w14:paraId="7896B755">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noWrap w:val="0"/>
            <w:vAlign w:val="center"/>
          </w:tcPr>
          <w:p w14:paraId="15F1536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noWrap w:val="0"/>
            <w:vAlign w:val="center"/>
          </w:tcPr>
          <w:p w14:paraId="652BBA84">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47A4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2F28BB89">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noWrap w:val="0"/>
            <w:vAlign w:val="center"/>
          </w:tcPr>
          <w:p w14:paraId="4BE4FFA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noWrap w:val="0"/>
            <w:vAlign w:val="center"/>
          </w:tcPr>
          <w:p w14:paraId="260EF376">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14:paraId="56896281">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6546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635B69E7">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29A7FAD6">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noWrap w:val="0"/>
            <w:vAlign w:val="center"/>
          </w:tcPr>
          <w:p w14:paraId="6B8AD07F">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14:paraId="2C83F600">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5CCB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4CDB8ACB">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761CA2D2">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3970AC1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3E66AAC6">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0859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35E33B25">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4A463EF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74B54C6A">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0ECAE6EA">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1F1B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4C610FCE">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136FFB9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578F896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23AB4159">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0C81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noWrap w:val="0"/>
            <w:vAlign w:val="center"/>
          </w:tcPr>
          <w:p w14:paraId="2E23ABAF">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noWrap w:val="0"/>
            <w:vAlign w:val="center"/>
          </w:tcPr>
          <w:p w14:paraId="76D4779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1D9C6E9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0AC95A4A">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548C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6E8A0BB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3653420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3546849E">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1956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E225597">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3AB2698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6A148563">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微型企业    </w:t>
            </w:r>
          </w:p>
          <w:p w14:paraId="5CA6FE83">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残疾人福利性单位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其他</w:t>
            </w:r>
          </w:p>
        </w:tc>
      </w:tr>
      <w:tr w14:paraId="2C59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3BEBFC20">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4C181DA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518E527">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14:paraId="40C5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C5AB2A3">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1BAA7497">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1F448AF3">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14:paraId="76E9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4994CA2">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3B159FF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25F7CA3A">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14:paraId="3B47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E1D6126">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1CC9481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7C64BB4D">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6CD0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EBC8B32">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0AA517E6">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55510738">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152D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38F09EAF">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74683EBA">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6D5EA4C5">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14:paraId="68B7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ABEA6F6">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5AD0AF92">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1B522D43">
            <w:pPr>
              <w:pStyle w:val="39"/>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14:paraId="60B098C8">
            <w:pPr>
              <w:pStyle w:val="39"/>
              <w:keepNext w:val="0"/>
              <w:keepLines w:val="0"/>
              <w:pageBreakBefore w:val="0"/>
              <w:numPr>
                <w:ilvl w:val="0"/>
                <w:numId w:val="0"/>
              </w:numPr>
              <w:tabs>
                <w:tab w:val="left" w:pos="840"/>
              </w:tabs>
              <w:kinsoku/>
              <w:wordWrap/>
              <w:overflowPunct/>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甲方收到发票后15日之内支付乙方上个月的结算费用。甲方在服务期内进行岗位调整的,根据乙方对应岗位的投标报价据实结算。</w:t>
            </w:r>
          </w:p>
        </w:tc>
      </w:tr>
      <w:tr w14:paraId="7F39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32C28B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7C7EEFF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03ACE8FD">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14:paraId="03DE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306FE01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6859365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04CFBD5D">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14:paraId="56E4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7055EB7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29D23EC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6E68AA50">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14:paraId="5922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348D208">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421C6A42">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23A3EB98">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14:paraId="5A9A962A">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14:paraId="2C10FD91">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14:paraId="1E19B453">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中标（成交）供应商</w:t>
      </w:r>
      <w:r>
        <w:rPr>
          <w:rFonts w:hint="eastAsia" w:ascii="宋体" w:hAnsi="宋体" w:eastAsia="宋体" w:cs="宋体"/>
          <w:color w:val="auto"/>
          <w:sz w:val="22"/>
          <w:szCs w:val="22"/>
          <w:highlight w:val="none"/>
        </w:rPr>
        <w:t>。甲乙双方同意按照该项目</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p>
    <w:p w14:paraId="4D5EF901">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42" w:name="_Toc4627"/>
      <w:bookmarkStart w:id="43" w:name="_Toc11041"/>
      <w:r>
        <w:rPr>
          <w:rFonts w:hint="eastAsia" w:ascii="宋体" w:hAnsi="宋体" w:eastAsia="宋体" w:cs="宋体"/>
          <w:b/>
          <w:color w:val="auto"/>
          <w:sz w:val="22"/>
          <w:szCs w:val="22"/>
          <w:highlight w:val="none"/>
        </w:rPr>
        <w:t>1. 合同文件</w:t>
      </w:r>
      <w:bookmarkEnd w:id="42"/>
      <w:bookmarkEnd w:id="43"/>
    </w:p>
    <w:p w14:paraId="2C139002">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14:paraId="60D458BC">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14:paraId="1ADBCCEA">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14:paraId="4D803DAD">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）招标（采购）文件；</w:t>
      </w:r>
    </w:p>
    <w:p w14:paraId="048E5CD5">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投标（响应）</w:t>
      </w:r>
      <w:r>
        <w:rPr>
          <w:rFonts w:hint="eastAsia" w:ascii="宋体" w:hAnsi="宋体" w:eastAsia="宋体" w:cs="宋体"/>
          <w:color w:val="auto"/>
          <w:sz w:val="22"/>
          <w:szCs w:val="22"/>
          <w:highlight w:val="none"/>
        </w:rPr>
        <w:t>文件。</w:t>
      </w:r>
    </w:p>
    <w:p w14:paraId="7D92AA2C">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44" w:name="_Toc9580"/>
      <w:bookmarkStart w:id="45" w:name="_Toc19921"/>
      <w:r>
        <w:rPr>
          <w:rFonts w:hint="eastAsia" w:ascii="宋体" w:hAnsi="宋体" w:eastAsia="宋体" w:cs="宋体"/>
          <w:b/>
          <w:color w:val="auto"/>
          <w:sz w:val="22"/>
          <w:szCs w:val="22"/>
          <w:highlight w:val="none"/>
        </w:rPr>
        <w:t>2. 合同范围和条件</w:t>
      </w:r>
      <w:bookmarkEnd w:id="44"/>
      <w:bookmarkEnd w:id="45"/>
    </w:p>
    <w:p w14:paraId="24E26317">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14:paraId="25C4C8F1">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3" w:firstLineChars="196"/>
        <w:outlineLvl w:val="1"/>
        <w:rPr>
          <w:rFonts w:hint="eastAsia" w:ascii="宋体" w:hAnsi="宋体" w:eastAsia="宋体" w:cs="宋体"/>
          <w:b/>
          <w:color w:val="auto"/>
          <w:sz w:val="22"/>
          <w:szCs w:val="22"/>
          <w:highlight w:val="none"/>
        </w:rPr>
      </w:pPr>
      <w:bookmarkStart w:id="46" w:name="_Toc25418"/>
      <w:bookmarkStart w:id="47" w:name="_Toc4439"/>
      <w:r>
        <w:rPr>
          <w:rFonts w:hint="eastAsia" w:ascii="宋体" w:hAnsi="宋体" w:eastAsia="宋体" w:cs="宋体"/>
          <w:b/>
          <w:color w:val="auto"/>
          <w:sz w:val="22"/>
          <w:szCs w:val="22"/>
          <w:highlight w:val="none"/>
        </w:rPr>
        <w:t>3. 合同金额</w:t>
      </w:r>
      <w:bookmarkEnd w:id="46"/>
      <w:bookmarkEnd w:id="47"/>
    </w:p>
    <w:p w14:paraId="2437EBBB">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14:paraId="3A4E8A18">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2" w:firstLineChars="200"/>
        <w:outlineLvl w:val="1"/>
        <w:rPr>
          <w:rFonts w:hint="eastAsia" w:ascii="宋体" w:hAnsi="宋体" w:eastAsia="宋体" w:cs="宋体"/>
          <w:b/>
          <w:color w:val="auto"/>
          <w:sz w:val="22"/>
          <w:szCs w:val="22"/>
          <w:highlight w:val="none"/>
        </w:rPr>
      </w:pPr>
      <w:bookmarkStart w:id="48" w:name="_Toc28641"/>
      <w:bookmarkStart w:id="49" w:name="_Toc26416"/>
      <w:r>
        <w:rPr>
          <w:rFonts w:hint="eastAsia" w:ascii="宋体" w:hAnsi="宋体" w:eastAsia="宋体" w:cs="宋体"/>
          <w:b/>
          <w:color w:val="auto"/>
          <w:sz w:val="22"/>
          <w:szCs w:val="22"/>
          <w:highlight w:val="none"/>
          <w:lang w:val="en"/>
        </w:rPr>
        <w:t>4.</w:t>
      </w:r>
      <w:r>
        <w:rPr>
          <w:rFonts w:hint="eastAsia" w:ascii="宋体" w:hAnsi="宋体" w:eastAsia="宋体" w:cs="宋体"/>
          <w:b/>
          <w:color w:val="auto"/>
          <w:sz w:val="22"/>
          <w:szCs w:val="22"/>
          <w:highlight w:val="none"/>
        </w:rPr>
        <w:t>付款条件</w:t>
      </w:r>
      <w:bookmarkEnd w:id="48"/>
      <w:bookmarkEnd w:id="49"/>
    </w:p>
    <w:p w14:paraId="6E9165A5">
      <w:pPr>
        <w:pStyle w:val="39"/>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14:paraId="2D1AA889">
      <w:pPr>
        <w:pStyle w:val="2"/>
        <w:rPr>
          <w:rFonts w:hint="eastAsia" w:ascii="宋体" w:hAnsi="宋体" w:eastAsia="宋体" w:cs="宋体"/>
          <w:color w:val="auto"/>
          <w:kern w:val="2"/>
          <w:sz w:val="22"/>
          <w:szCs w:val="22"/>
          <w:highlight w:val="none"/>
          <w:lang w:val="en-US" w:eastAsia="zh-CN" w:bidi="ar-SA"/>
        </w:rPr>
      </w:pPr>
      <w:bookmarkStart w:id="50" w:name="_Toc6077"/>
      <w:bookmarkStart w:id="51" w:name="_Toc28883"/>
      <w:r>
        <w:rPr>
          <w:rFonts w:hint="eastAsia" w:ascii="宋体" w:hAnsi="宋体" w:eastAsia="宋体" w:cs="宋体"/>
          <w:color w:val="auto"/>
          <w:kern w:val="2"/>
          <w:sz w:val="22"/>
          <w:szCs w:val="22"/>
          <w:highlight w:val="none"/>
          <w:lang w:val="en-US" w:eastAsia="zh-CN" w:bidi="ar-SA"/>
        </w:rPr>
        <w:t>按月支付费用：甲方收到发票后15日之内支付乙方上个月的结算费用。甲方在服务期内进行岗位调整的,根据乙方对应岗位的投标报价据实结算。</w:t>
      </w:r>
    </w:p>
    <w:p w14:paraId="20D20C83">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50"/>
      <w:bookmarkEnd w:id="51"/>
    </w:p>
    <w:p w14:paraId="0028EB84">
      <w:pPr>
        <w:pStyle w:val="39"/>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lang w:val="en"/>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14:paraId="50CA7A25">
      <w:pPr>
        <w:pStyle w:val="39"/>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14:paraId="00472455">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国家税务总局福州市仓山区税务局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乙方：</w:t>
      </w:r>
    </w:p>
    <w:p w14:paraId="11A7801E">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14:paraId="4B98C477">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14:paraId="79E8BD42">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14:paraId="4BF79894">
      <w:pPr>
        <w:topLinePunct/>
        <w:autoSpaceDE w:val="0"/>
        <w:autoSpaceDN w:val="0"/>
        <w:spacing w:line="460" w:lineRule="exact"/>
        <w:rPr>
          <w:rFonts w:hint="eastAsia" w:ascii="宋体" w:hAnsi="宋体" w:cs="宋体"/>
          <w:b/>
          <w:color w:val="auto"/>
          <w:sz w:val="24"/>
          <w:highlight w:val="none"/>
        </w:rPr>
      </w:pPr>
    </w:p>
    <w:p w14:paraId="6B98614C">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05170031">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57549BFA">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14:paraId="18A3FD6C">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52" w:name="_Toc19962"/>
      <w:bookmarkStart w:id="53" w:name="_Toc30156"/>
      <w:r>
        <w:rPr>
          <w:rFonts w:hint="eastAsia" w:ascii="宋体" w:hAnsi="宋体" w:eastAsia="宋体" w:cs="宋体"/>
          <w:b/>
          <w:color w:val="auto"/>
          <w:sz w:val="22"/>
          <w:szCs w:val="22"/>
          <w:highlight w:val="none"/>
        </w:rPr>
        <w:t>1. 定义</w:t>
      </w:r>
      <w:bookmarkEnd w:id="52"/>
      <w:bookmarkEnd w:id="53"/>
    </w:p>
    <w:p w14:paraId="0F6C1D86">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14:paraId="5B2D34F0">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w:t>
      </w:r>
    </w:p>
    <w:p w14:paraId="55196E43">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14:paraId="18AEF5DD">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14:paraId="1212B46E">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14:paraId="14AA9495">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14:paraId="1E953709">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14:paraId="078AE3D9">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54" w:name="_Toc24368"/>
      <w:bookmarkStart w:id="55" w:name="_Toc13700"/>
      <w:r>
        <w:rPr>
          <w:rFonts w:hint="eastAsia" w:ascii="宋体" w:hAnsi="宋体" w:eastAsia="宋体" w:cs="宋体"/>
          <w:b/>
          <w:color w:val="auto"/>
          <w:sz w:val="22"/>
          <w:szCs w:val="22"/>
          <w:highlight w:val="none"/>
        </w:rPr>
        <w:t>2. 标准</w:t>
      </w:r>
      <w:bookmarkEnd w:id="54"/>
      <w:bookmarkEnd w:id="55"/>
    </w:p>
    <w:p w14:paraId="524D86B2">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14:paraId="0A91DB0C">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14:paraId="52735325">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56" w:name="_Toc24638"/>
      <w:bookmarkStart w:id="57" w:name="_Toc25879"/>
      <w:r>
        <w:rPr>
          <w:rFonts w:hint="eastAsia" w:ascii="宋体" w:hAnsi="宋体" w:eastAsia="宋体" w:cs="宋体"/>
          <w:b/>
          <w:color w:val="auto"/>
          <w:sz w:val="22"/>
          <w:szCs w:val="22"/>
          <w:highlight w:val="none"/>
        </w:rPr>
        <w:t>3. 服务</w:t>
      </w:r>
      <w:bookmarkEnd w:id="56"/>
      <w:bookmarkEnd w:id="57"/>
    </w:p>
    <w:p w14:paraId="569FBFF1">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14:paraId="25EA592E">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14:paraId="09842C7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14:paraId="1047E4BC">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14:paraId="74E3C83B">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14:paraId="15CD276F">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58" w:name="_Toc14903"/>
      <w:bookmarkStart w:id="59" w:name="_Toc3471"/>
      <w:r>
        <w:rPr>
          <w:rFonts w:hint="eastAsia" w:ascii="宋体" w:hAnsi="宋体" w:eastAsia="宋体" w:cs="宋体"/>
          <w:b/>
          <w:color w:val="auto"/>
          <w:sz w:val="22"/>
          <w:szCs w:val="22"/>
          <w:highlight w:val="none"/>
        </w:rPr>
        <w:t>4. 知识产权</w:t>
      </w:r>
      <w:bookmarkEnd w:id="58"/>
      <w:bookmarkEnd w:id="59"/>
    </w:p>
    <w:p w14:paraId="189041B1">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14:paraId="1ECFAFD7">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14:paraId="642796EB">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14:paraId="465D2263">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0" w:name="_Toc31645"/>
      <w:bookmarkStart w:id="61" w:name="_Toc3072"/>
      <w:r>
        <w:rPr>
          <w:rFonts w:hint="eastAsia" w:ascii="宋体" w:hAnsi="宋体" w:eastAsia="宋体" w:cs="宋体"/>
          <w:b/>
          <w:color w:val="auto"/>
          <w:sz w:val="22"/>
          <w:szCs w:val="22"/>
          <w:highlight w:val="none"/>
        </w:rPr>
        <w:t>5. 保密条款</w:t>
      </w:r>
      <w:bookmarkEnd w:id="60"/>
      <w:bookmarkEnd w:id="61"/>
    </w:p>
    <w:p w14:paraId="414E0BFF">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14:paraId="28677F3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7D517D37">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14:paraId="27257B96">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14:paraId="017B1D23">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14:paraId="4BDE4D16">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14:paraId="6ADC75A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14:paraId="23052BE3">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14:paraId="3F9C5AE2">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14:paraId="7636F122">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14:paraId="0CF373E7">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14:paraId="5606CFA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14:paraId="12045BF8">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2" w:name="_Toc31015"/>
      <w:bookmarkStart w:id="63" w:name="_Toc27929"/>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62"/>
      <w:bookmarkEnd w:id="63"/>
    </w:p>
    <w:p w14:paraId="052175C2">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14:paraId="583CE42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文件。</w:t>
      </w:r>
    </w:p>
    <w:p w14:paraId="7594FD06">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4" w:name="_Toc27741"/>
      <w:bookmarkStart w:id="65" w:name="_Toc10405"/>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64"/>
      <w:bookmarkEnd w:id="65"/>
    </w:p>
    <w:p w14:paraId="5D0E55C1">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14:paraId="555E7320">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14:paraId="46DE190B">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63D5D153">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w:t>
      </w:r>
      <w:bookmarkStart w:id="136" w:name="_GoBack"/>
      <w:bookmarkEnd w:id="136"/>
      <w:r>
        <w:rPr>
          <w:rFonts w:hint="eastAsia" w:ascii="宋体" w:hAnsi="宋体" w:eastAsia="宋体" w:cs="宋体"/>
          <w:color w:val="auto"/>
          <w:sz w:val="22"/>
          <w:szCs w:val="22"/>
          <w:highlight w:val="none"/>
        </w:rPr>
        <w:t>或者履行合同义务不符合约定使得合同目的不能实现，履约保证金不予退还，给甲方造成的损失超过履约保证金数额的，还应当对超过部分予以赔偿。</w:t>
      </w:r>
    </w:p>
    <w:p w14:paraId="0A07E724">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14:paraId="4A532785">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6" w:name="_Toc29418"/>
      <w:bookmarkStart w:id="67" w:name="_Toc18030"/>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66"/>
      <w:bookmarkEnd w:id="67"/>
    </w:p>
    <w:p w14:paraId="58E94C3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14:paraId="7C481C1F">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14:paraId="0F5CB600">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14:paraId="237606A2">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14:paraId="3D80C402">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14:paraId="5BE29131">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8" w:name="_Toc30607"/>
      <w:bookmarkStart w:id="69" w:name="_Toc436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68"/>
      <w:bookmarkEnd w:id="69"/>
    </w:p>
    <w:p w14:paraId="582400CB">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0C10F0FA">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14:paraId="0A923879">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14:paraId="306CB157">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14:paraId="54B351C7">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14:paraId="125C0B11">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.5 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r>
        <w:rPr>
          <w:rFonts w:hint="eastAsia" w:ascii="宋体" w:hAnsi="宋体" w:eastAsia="宋体" w:cs="宋体"/>
          <w:color w:val="auto"/>
          <w:sz w:val="22"/>
          <w:szCs w:val="22"/>
          <w:highlight w:val="none"/>
        </w:rPr>
        <w:t>纳入国家税务总局失信名单。</w:t>
      </w:r>
    </w:p>
    <w:p w14:paraId="541FE129">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对于影响恶劣的严重违法失信行为，推送财政部纳入政府采购严重违法失信行为记录名单。</w:t>
      </w:r>
    </w:p>
    <w:p w14:paraId="30D544AB">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9.6 如果乙方在本项目实施过程中发生违反网络安全规定行为造成不良后果的，自甲方做出认定之日起三年内，税务系统各单位可以拒绝乙方参与税务系统政府采购活动。</w:t>
      </w:r>
    </w:p>
    <w:p w14:paraId="48EFCB84">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不良后果指造成数据失窃或丢失、敏感信息泄露、主要业务系统瘫痪等网络安全事件。</w:t>
      </w:r>
    </w:p>
    <w:p w14:paraId="3CBAFA47">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14:paraId="7A425D75">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0" w:name="_Toc22238"/>
      <w:bookmarkStart w:id="71" w:name="_Toc9396"/>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70"/>
      <w:bookmarkEnd w:id="71"/>
    </w:p>
    <w:p w14:paraId="2A96D32C">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14:paraId="29C814BB">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14:paraId="5AD0A649">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6A5EC802">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29E3D90E">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2" w:name="_Toc12476"/>
      <w:bookmarkStart w:id="73" w:name="_Toc378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72"/>
      <w:bookmarkEnd w:id="73"/>
    </w:p>
    <w:p w14:paraId="75D71BD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可以按合同约定的方式提起诉讼</w:t>
      </w:r>
      <w:r>
        <w:rPr>
          <w:rFonts w:hint="eastAsia" w:ascii="宋体" w:hAnsi="宋体" w:eastAsia="宋体" w:cs="宋体"/>
          <w:color w:val="auto"/>
          <w:sz w:val="22"/>
          <w:szCs w:val="22"/>
          <w:highlight w:val="none"/>
        </w:rPr>
        <w:t>。</w:t>
      </w:r>
    </w:p>
    <w:p w14:paraId="3E6A1590">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.1诉讼应向甲方所在地提起诉讼。</w:t>
      </w:r>
    </w:p>
    <w:p w14:paraId="78FFC64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.2诉讼费除人民法院另有判决外，应由败诉方负担。</w:t>
      </w:r>
    </w:p>
    <w:p w14:paraId="0E0B7E8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.3在诉讼期间，除正在进行诉讼部分外，本</w:t>
      </w:r>
      <w:r>
        <w:rPr>
          <w:rFonts w:hint="eastAsia" w:ascii="宋体" w:hAnsi="宋体" w:eastAsia="宋体" w:cs="宋体"/>
          <w:color w:val="auto"/>
          <w:sz w:val="22"/>
          <w:szCs w:val="22"/>
          <w:highlight w:val="none"/>
        </w:rPr>
        <w:t>合同的其它部分应继续执行。</w:t>
      </w:r>
    </w:p>
    <w:p w14:paraId="018F5F1E">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4" w:name="_Toc17450"/>
      <w:bookmarkStart w:id="75" w:name="_Toc709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74"/>
      <w:bookmarkEnd w:id="75"/>
    </w:p>
    <w:p w14:paraId="089EBA6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0BB490F0">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14:paraId="039B4308">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14:paraId="69D1691D">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14:paraId="0B4A92F2">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14:paraId="4A60E5F5">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14:paraId="39882205">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14:paraId="77D36F5F">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14:paraId="4F7C4717">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14:paraId="599F49A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14:paraId="687F4950">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14:paraId="33853930">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14:paraId="6B52AE02">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14:paraId="6D3B105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14:paraId="4DFB3C6B">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w:t>
      </w:r>
      <w:r>
        <w:rPr>
          <w:rFonts w:hint="eastAsia" w:ascii="宋体" w:hAnsi="宋体" w:cs="宋体"/>
          <w:color w:val="auto"/>
          <w:sz w:val="22"/>
          <w:szCs w:val="22"/>
          <w:highlight w:val="none"/>
          <w:lang w:val="en-US" w:eastAsia="zh-CN"/>
        </w:rPr>
        <w:t>向第三方</w:t>
      </w:r>
      <w:r>
        <w:rPr>
          <w:rFonts w:hint="eastAsia" w:ascii="宋体" w:hAnsi="宋体" w:eastAsia="宋体" w:cs="宋体"/>
          <w:color w:val="auto"/>
          <w:sz w:val="22"/>
          <w:szCs w:val="22"/>
          <w:highlight w:val="none"/>
        </w:rPr>
        <w:t>购买乙方未能提供的服务，乙方应对甲方购买类似服务所超出的费用负责。同时，乙方应继续执行合同中未终止的部分。</w:t>
      </w:r>
    </w:p>
    <w:p w14:paraId="1E39DF69">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6" w:name="_Toc29805"/>
      <w:bookmarkStart w:id="77" w:name="_Toc3225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76"/>
      <w:bookmarkEnd w:id="77"/>
    </w:p>
    <w:p w14:paraId="6371D87F">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14:paraId="0E72CE73">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14:paraId="1D180902">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8" w:name="_Toc21386"/>
      <w:bookmarkStart w:id="79" w:name="_Toc2563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78"/>
      <w:bookmarkEnd w:id="79"/>
    </w:p>
    <w:p w14:paraId="118C9019">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14:paraId="711DBDE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14:paraId="6D3229FE">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0" w:name="_Toc26374"/>
      <w:bookmarkStart w:id="81" w:name="_Toc82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80"/>
      <w:bookmarkEnd w:id="81"/>
    </w:p>
    <w:p w14:paraId="72B7CFC0">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14:paraId="6AA00CB1">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14:paraId="3FA8D31F">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14:paraId="1C31CB4D">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2" w:name="_Toc12870"/>
      <w:bookmarkStart w:id="83" w:name="_Toc1172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82"/>
      <w:bookmarkEnd w:id="83"/>
    </w:p>
    <w:p w14:paraId="2D1B35C4">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14:paraId="402B8109">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14:paraId="4A3852D0">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4" w:name="_Toc15170"/>
      <w:bookmarkStart w:id="85" w:name="_Toc23771"/>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84"/>
      <w:bookmarkEnd w:id="85"/>
    </w:p>
    <w:p w14:paraId="37DC84A7">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14:paraId="2991BAA6">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14:paraId="495E966C">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6" w:name="_Toc12419"/>
      <w:bookmarkStart w:id="87" w:name="_Toc11412"/>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86"/>
      <w:bookmarkEnd w:id="87"/>
    </w:p>
    <w:p w14:paraId="2F50B8CA">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14:paraId="0C593670">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14:paraId="5EF6B06E">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8" w:name="_Toc4664"/>
      <w:bookmarkStart w:id="89" w:name="_Toc1985"/>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88"/>
      <w:bookmarkEnd w:id="89"/>
    </w:p>
    <w:p w14:paraId="6DC33FA6">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14:paraId="0513EE4A">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0" w:name="_Toc11519"/>
      <w:bookmarkStart w:id="91" w:name="_Toc6527"/>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90"/>
      <w:bookmarkEnd w:id="91"/>
    </w:p>
    <w:p w14:paraId="297FF0E4">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14:paraId="32EE27BB">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pgSz w:w="11907" w:h="16839"/>
          <w:pgMar w:top="1440" w:right="1746" w:bottom="1440" w:left="1746" w:header="1148" w:footer="709" w:gutter="0"/>
          <w:pgNumType w:fmt="decimal"/>
          <w:cols w:space="720" w:num="1"/>
          <w:docGrid w:linePitch="360" w:charSpace="0"/>
        </w:sectPr>
      </w:pPr>
    </w:p>
    <w:p w14:paraId="78B4C124">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92" w:name="_Toc3171"/>
      <w:bookmarkStart w:id="93" w:name="_Toc30503"/>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招标（采购）文件及投标（响应）文件</w:t>
      </w:r>
      <w:r>
        <w:rPr>
          <w:rFonts w:hint="eastAsia" w:ascii="宋体" w:hAnsi="宋体" w:cs="宋体"/>
          <w:b/>
          <w:color w:val="auto"/>
          <w:sz w:val="24"/>
          <w:szCs w:val="24"/>
          <w:highlight w:val="none"/>
          <w:lang w:eastAsia="zh-CN"/>
        </w:rPr>
        <w:t>（如有必要，可另附）</w:t>
      </w:r>
      <w:bookmarkEnd w:id="92"/>
      <w:bookmarkEnd w:id="93"/>
    </w:p>
    <w:p w14:paraId="63C322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14:paraId="14D4C255">
      <w:pPr>
        <w:rPr>
          <w:rFonts w:hint="eastAsia" w:ascii="宋体" w:hAnsi="宋体" w:eastAsia="宋体" w:cs="宋体"/>
          <w:color w:val="auto"/>
          <w:sz w:val="24"/>
          <w:szCs w:val="24"/>
          <w:highlight w:val="none"/>
        </w:rPr>
      </w:pPr>
    </w:p>
    <w:p w14:paraId="5584CAD1">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079430E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94" w:name="_Toc132880668"/>
      <w:bookmarkStart w:id="95" w:name="_Toc22952"/>
      <w:r>
        <w:rPr>
          <w:rFonts w:hint="eastAsia" w:ascii="宋体" w:hAnsi="宋体" w:eastAsia="宋体" w:cs="宋体"/>
          <w:b/>
          <w:bCs/>
          <w:color w:val="auto"/>
          <w:sz w:val="28"/>
          <w:szCs w:val="28"/>
          <w:highlight w:val="none"/>
        </w:rPr>
        <w:t>第五章　响应文件格式</w:t>
      </w:r>
      <w:bookmarkEnd w:id="94"/>
      <w:bookmarkEnd w:id="95"/>
    </w:p>
    <w:p w14:paraId="5A82DAD6">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供应商必须按下列文本格式，如实提供具有法律效力的资格证明文件和真实有效的其他文件资料，任何不按下列文本格式提供或有实质性变更将由供应商承担风险。</w:t>
      </w:r>
    </w:p>
    <w:p w14:paraId="7EA9EE0A">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1.供应商应按照本章规定填写和提交全部格式文件以及其他有关资料，混乱的编排导致响应文件被误读或查找不到，后果由供应商承担。</w:t>
      </w:r>
    </w:p>
    <w:p w14:paraId="161251AC">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96" w:name="_Toc32247"/>
      <w:bookmarkStart w:id="97" w:name="_Toc32231"/>
      <w:r>
        <w:rPr>
          <w:rFonts w:hint="eastAsia" w:ascii="宋体" w:hAnsi="宋体" w:eastAsia="宋体" w:cs="宋体"/>
          <w:color w:val="auto"/>
          <w:sz w:val="24"/>
          <w:szCs w:val="24"/>
          <w:highlight w:val="none"/>
        </w:rPr>
        <w:t>2.所附表格中要求回答的全部问题和信息都必须正面回答。</w:t>
      </w:r>
      <w:bookmarkEnd w:id="96"/>
      <w:bookmarkEnd w:id="97"/>
    </w:p>
    <w:p w14:paraId="114D96F8">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3.资格声明文件的签字人应保证全部声明和问题的回答是真实的和准确的。</w:t>
      </w:r>
    </w:p>
    <w:p w14:paraId="16EB5BD9">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4.磋商小组将应用供应商提交的资料并根据自己的判断，决定供应商履行合同的合格性及能力。</w:t>
      </w:r>
    </w:p>
    <w:p w14:paraId="18708B9D">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98" w:name="_Toc13140"/>
      <w:bookmarkStart w:id="99" w:name="_Toc22828"/>
      <w:r>
        <w:rPr>
          <w:rFonts w:hint="eastAsia" w:ascii="宋体" w:hAnsi="宋体" w:eastAsia="宋体" w:cs="宋体"/>
          <w:color w:val="auto"/>
          <w:sz w:val="24"/>
          <w:szCs w:val="24"/>
          <w:highlight w:val="none"/>
        </w:rPr>
        <w:t>5.全部文件应按供应商须知中规定的语言提交。</w:t>
      </w:r>
      <w:bookmarkEnd w:id="98"/>
      <w:bookmarkEnd w:id="99"/>
    </w:p>
    <w:p w14:paraId="2303AC27">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6.以下格式文件为要求填写内容的固定格式，供应商不得擅自修改格式，其他未提供格式的文件和资料由供应商自行设计编制格式填写。</w:t>
      </w:r>
    </w:p>
    <w:p w14:paraId="0284BCFD">
      <w:pPr>
        <w:adjustRightInd w:val="0"/>
        <w:snapToGrid w:val="0"/>
        <w:spacing w:beforeLines="20" w:after="4" w:line="360" w:lineRule="auto"/>
        <w:ind w:firstLine="482" w:firstLineChars="200"/>
        <w:jc w:val="center"/>
        <w:rPr>
          <w:rFonts w:hint="eastAsia" w:ascii="宋体" w:hAnsi="宋体" w:eastAsia="宋体" w:cs="宋体"/>
          <w:b/>
          <w:bCs/>
          <w:color w:val="auto"/>
          <w:sz w:val="24"/>
          <w:szCs w:val="24"/>
          <w:highlight w:val="none"/>
        </w:rPr>
      </w:pPr>
    </w:p>
    <w:p w14:paraId="7E71D566">
      <w:pPr>
        <w:ind w:firstLine="482" w:firstLineChars="200"/>
        <w:jc w:val="center"/>
        <w:rPr>
          <w:rFonts w:hint="eastAsia" w:ascii="宋体" w:hAnsi="宋体" w:eastAsia="宋体" w:cs="宋体"/>
          <w:b/>
          <w:bCs/>
          <w:color w:val="auto"/>
          <w:sz w:val="24"/>
          <w:szCs w:val="24"/>
          <w:highlight w:val="none"/>
        </w:rPr>
      </w:pPr>
    </w:p>
    <w:p w14:paraId="4C74F2A3">
      <w:pPr>
        <w:rPr>
          <w:rFonts w:hint="eastAsia" w:ascii="宋体" w:hAnsi="宋体" w:eastAsia="宋体" w:cs="宋体"/>
          <w:color w:val="auto"/>
          <w:sz w:val="24"/>
          <w:szCs w:val="24"/>
          <w:highlight w:val="none"/>
        </w:rPr>
      </w:pPr>
    </w:p>
    <w:p w14:paraId="3A37C375">
      <w:pPr>
        <w:rPr>
          <w:rFonts w:hint="eastAsia" w:ascii="宋体" w:hAnsi="宋体" w:eastAsia="宋体" w:cs="宋体"/>
          <w:b/>
          <w:bCs/>
          <w:color w:val="auto"/>
          <w:sz w:val="24"/>
          <w:szCs w:val="24"/>
          <w:highlight w:val="none"/>
        </w:rPr>
      </w:pPr>
    </w:p>
    <w:p w14:paraId="62214BF0">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19307E7">
      <w:pPr>
        <w:spacing w:line="600" w:lineRule="auto"/>
        <w:jc w:val="center"/>
        <w:rPr>
          <w:rFonts w:hint="eastAsia" w:ascii="宋体" w:hAnsi="宋体" w:eastAsia="宋体" w:cs="宋体"/>
          <w:b/>
          <w:color w:val="auto"/>
          <w:kern w:val="0"/>
          <w:sz w:val="24"/>
          <w:szCs w:val="24"/>
          <w:highlight w:val="none"/>
        </w:rPr>
      </w:pPr>
    </w:p>
    <w:p w14:paraId="37B569C6">
      <w:pPr>
        <w:pStyle w:val="13"/>
        <w:rPr>
          <w:rFonts w:hint="eastAsia" w:ascii="宋体" w:hAnsi="宋体" w:eastAsia="宋体" w:cs="宋体"/>
          <w:b/>
          <w:color w:val="auto"/>
          <w:kern w:val="0"/>
          <w:sz w:val="24"/>
          <w:szCs w:val="24"/>
          <w:highlight w:val="none"/>
        </w:rPr>
      </w:pPr>
    </w:p>
    <w:p w14:paraId="02146BAA">
      <w:pPr>
        <w:rPr>
          <w:rFonts w:hint="eastAsia" w:ascii="宋体" w:hAnsi="宋体" w:eastAsia="宋体" w:cs="宋体"/>
          <w:color w:val="auto"/>
          <w:sz w:val="24"/>
          <w:szCs w:val="24"/>
          <w:highlight w:val="none"/>
        </w:rPr>
      </w:pPr>
    </w:p>
    <w:p w14:paraId="3C9B6714">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14:paraId="19AAE845">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14:paraId="419726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14:paraId="45D3310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14:paraId="3B02F39D">
      <w:pPr>
        <w:spacing w:line="360" w:lineRule="auto"/>
        <w:ind w:firstLine="640" w:firstLineChars="200"/>
        <w:jc w:val="center"/>
        <w:rPr>
          <w:rFonts w:hint="eastAsia" w:ascii="宋体" w:hAnsi="宋体" w:eastAsia="宋体" w:cs="宋体"/>
          <w:b w:val="0"/>
          <w:bCs/>
          <w:color w:val="auto"/>
          <w:kern w:val="0"/>
          <w:sz w:val="32"/>
          <w:szCs w:val="32"/>
          <w:highlight w:val="none"/>
        </w:rPr>
      </w:pPr>
    </w:p>
    <w:p w14:paraId="435452AF">
      <w:pPr>
        <w:pStyle w:val="13"/>
        <w:rPr>
          <w:rFonts w:hint="eastAsia" w:ascii="宋体" w:hAnsi="宋体" w:eastAsia="宋体" w:cs="宋体"/>
          <w:b w:val="0"/>
          <w:bCs/>
          <w:color w:val="auto"/>
          <w:kern w:val="0"/>
          <w:sz w:val="32"/>
          <w:szCs w:val="32"/>
          <w:highlight w:val="none"/>
        </w:rPr>
      </w:pPr>
    </w:p>
    <w:p w14:paraId="2183A808">
      <w:pPr>
        <w:rPr>
          <w:rFonts w:hint="eastAsia" w:ascii="宋体" w:hAnsi="宋体" w:eastAsia="宋体" w:cs="宋体"/>
          <w:color w:val="auto"/>
          <w:sz w:val="32"/>
          <w:szCs w:val="32"/>
          <w:highlight w:val="none"/>
        </w:rPr>
      </w:pPr>
    </w:p>
    <w:p w14:paraId="6E39C0E2">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14:paraId="020FDD74">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14:paraId="0F03302B">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14:paraId="4AC310B9">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14:paraId="59C552AC">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14:paraId="778F4FDE">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14:paraId="691A6B95">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14:paraId="40C7C523">
      <w:pPr>
        <w:adjustRightInd w:val="0"/>
        <w:snapToGrid w:val="0"/>
        <w:spacing w:after="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1-1法定代表人授权委托书</w:t>
      </w:r>
    </w:p>
    <w:p w14:paraId="7530D270">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(适用于授权代表参加磋商)</w:t>
      </w:r>
    </w:p>
    <w:p w14:paraId="64991D82">
      <w:pPr>
        <w:pStyle w:val="15"/>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14:paraId="5FA4EDFC">
      <w:pPr>
        <w:pStyle w:val="15"/>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2EED722F">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14:paraId="097BDF5B">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14:paraId="5314EE34">
      <w:pPr>
        <w:pStyle w:val="15"/>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14:paraId="2F8CD8DD">
      <w:pPr>
        <w:pStyle w:val="15"/>
        <w:adjustRightInd w:val="0"/>
        <w:snapToGrid w:val="0"/>
        <w:spacing w:line="360" w:lineRule="auto"/>
        <w:rPr>
          <w:rFonts w:hint="eastAsia" w:ascii="宋体" w:hAnsi="宋体" w:eastAsia="宋体" w:cs="宋体"/>
          <w:color w:val="auto"/>
          <w:sz w:val="24"/>
          <w:szCs w:val="24"/>
          <w:highlight w:val="none"/>
        </w:rPr>
      </w:pPr>
    </w:p>
    <w:tbl>
      <w:tblPr>
        <w:tblStyle w:val="29"/>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2ABA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459FC962">
            <w:pPr>
              <w:pStyle w:val="15"/>
              <w:adjustRightInd w:val="0"/>
              <w:snapToGrid w:val="0"/>
              <w:spacing w:line="360" w:lineRule="auto"/>
              <w:jc w:val="center"/>
              <w:rPr>
                <w:rFonts w:hint="eastAsia" w:ascii="宋体" w:hAnsi="宋体" w:eastAsia="宋体" w:cs="宋体"/>
                <w:color w:val="auto"/>
                <w:sz w:val="24"/>
                <w:szCs w:val="24"/>
                <w:highlight w:val="none"/>
              </w:rPr>
            </w:pPr>
          </w:p>
          <w:p w14:paraId="166EA641">
            <w:pPr>
              <w:pStyle w:val="15"/>
              <w:adjustRightInd w:val="0"/>
              <w:snapToGrid w:val="0"/>
              <w:spacing w:line="360" w:lineRule="auto"/>
              <w:jc w:val="center"/>
              <w:rPr>
                <w:rFonts w:hint="eastAsia" w:ascii="宋体" w:hAnsi="宋体" w:eastAsia="宋体" w:cs="宋体"/>
                <w:color w:val="auto"/>
                <w:sz w:val="24"/>
                <w:szCs w:val="24"/>
                <w:highlight w:val="none"/>
              </w:rPr>
            </w:pPr>
          </w:p>
          <w:p w14:paraId="13816BA6">
            <w:pPr>
              <w:pStyle w:val="15"/>
              <w:adjustRightInd w:val="0"/>
              <w:snapToGrid w:val="0"/>
              <w:spacing w:line="360" w:lineRule="auto"/>
              <w:jc w:val="center"/>
              <w:rPr>
                <w:rFonts w:hint="eastAsia" w:ascii="宋体" w:hAnsi="宋体" w:eastAsia="宋体" w:cs="宋体"/>
                <w:b/>
                <w:color w:val="auto"/>
                <w:sz w:val="24"/>
                <w:szCs w:val="24"/>
                <w:highlight w:val="none"/>
              </w:rPr>
            </w:pPr>
          </w:p>
          <w:p w14:paraId="48066EDC">
            <w:pPr>
              <w:pStyle w:val="1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14:paraId="700416C2">
            <w:pPr>
              <w:pStyle w:val="15"/>
              <w:adjustRightInd w:val="0"/>
              <w:snapToGrid w:val="0"/>
              <w:spacing w:line="360" w:lineRule="auto"/>
              <w:jc w:val="center"/>
              <w:rPr>
                <w:rFonts w:hint="eastAsia" w:ascii="宋体" w:hAnsi="宋体" w:eastAsia="宋体" w:cs="宋体"/>
                <w:color w:val="auto"/>
                <w:sz w:val="24"/>
                <w:szCs w:val="24"/>
                <w:highlight w:val="none"/>
              </w:rPr>
            </w:pPr>
          </w:p>
          <w:p w14:paraId="0FF78DFE">
            <w:pPr>
              <w:pStyle w:val="15"/>
              <w:adjustRightInd w:val="0"/>
              <w:snapToGrid w:val="0"/>
              <w:spacing w:line="360" w:lineRule="auto"/>
              <w:jc w:val="center"/>
              <w:rPr>
                <w:rFonts w:hint="eastAsia" w:ascii="宋体" w:hAnsi="宋体" w:eastAsia="宋体" w:cs="宋体"/>
                <w:color w:val="auto"/>
                <w:sz w:val="24"/>
                <w:szCs w:val="24"/>
                <w:highlight w:val="none"/>
              </w:rPr>
            </w:pPr>
          </w:p>
          <w:p w14:paraId="7DB56E81">
            <w:pPr>
              <w:pStyle w:val="15"/>
              <w:adjustRightInd w:val="0"/>
              <w:snapToGrid w:val="0"/>
              <w:spacing w:line="360" w:lineRule="auto"/>
              <w:jc w:val="center"/>
              <w:rPr>
                <w:rFonts w:hint="eastAsia" w:ascii="宋体" w:hAnsi="宋体" w:eastAsia="宋体" w:cs="宋体"/>
                <w:color w:val="auto"/>
                <w:sz w:val="24"/>
                <w:szCs w:val="24"/>
                <w:highlight w:val="none"/>
              </w:rPr>
            </w:pPr>
          </w:p>
        </w:tc>
      </w:tr>
    </w:tbl>
    <w:p w14:paraId="0A925CB7">
      <w:pPr>
        <w:pStyle w:val="15"/>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14:paraId="52634167">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14:paraId="66EE8325">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14:paraId="27C1AF1C">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14:paraId="6CCDA716">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14:paraId="026759E1">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14:paraId="57052916">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14:paraId="4326134F">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14:paraId="1743F42C">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14:paraId="3309D023">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14:paraId="7F94F9C6">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(适用于法定代表人参加磋商)</w:t>
      </w:r>
    </w:p>
    <w:p w14:paraId="29744530">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29"/>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7CC6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9" w:type="dxa"/>
            <w:noWrap/>
            <w:vAlign w:val="center"/>
          </w:tcPr>
          <w:p w14:paraId="729FFD85">
            <w:pPr>
              <w:pStyle w:val="15"/>
              <w:adjustRightInd w:val="0"/>
              <w:snapToGrid w:val="0"/>
              <w:spacing w:line="360" w:lineRule="auto"/>
              <w:jc w:val="center"/>
              <w:rPr>
                <w:rFonts w:hint="eastAsia" w:ascii="宋体" w:hAnsi="宋体" w:eastAsia="宋体" w:cs="宋体"/>
                <w:color w:val="auto"/>
                <w:sz w:val="24"/>
                <w:szCs w:val="24"/>
                <w:highlight w:val="none"/>
              </w:rPr>
            </w:pPr>
          </w:p>
          <w:p w14:paraId="5B8B33AD">
            <w:pPr>
              <w:pStyle w:val="15"/>
              <w:adjustRightInd w:val="0"/>
              <w:snapToGrid w:val="0"/>
              <w:spacing w:line="360" w:lineRule="auto"/>
              <w:jc w:val="center"/>
              <w:rPr>
                <w:rFonts w:hint="eastAsia" w:ascii="宋体" w:hAnsi="宋体" w:eastAsia="宋体" w:cs="宋体"/>
                <w:color w:val="auto"/>
                <w:sz w:val="24"/>
                <w:szCs w:val="24"/>
                <w:highlight w:val="none"/>
              </w:rPr>
            </w:pPr>
          </w:p>
          <w:p w14:paraId="5680E6D5">
            <w:pPr>
              <w:pStyle w:val="15"/>
              <w:adjustRightInd w:val="0"/>
              <w:snapToGrid w:val="0"/>
              <w:spacing w:line="360" w:lineRule="auto"/>
              <w:jc w:val="center"/>
              <w:rPr>
                <w:rFonts w:hint="eastAsia" w:ascii="宋体" w:hAnsi="宋体" w:eastAsia="宋体" w:cs="宋体"/>
                <w:color w:val="auto"/>
                <w:sz w:val="24"/>
                <w:szCs w:val="24"/>
                <w:highlight w:val="none"/>
              </w:rPr>
            </w:pPr>
          </w:p>
          <w:p w14:paraId="5CB1D32D">
            <w:pPr>
              <w:pStyle w:val="15"/>
              <w:adjustRightInd w:val="0"/>
              <w:snapToGrid w:val="0"/>
              <w:spacing w:line="360" w:lineRule="auto"/>
              <w:jc w:val="center"/>
              <w:rPr>
                <w:rFonts w:hint="eastAsia" w:ascii="宋体" w:hAnsi="宋体" w:eastAsia="宋体" w:cs="宋体"/>
                <w:color w:val="auto"/>
                <w:sz w:val="24"/>
                <w:szCs w:val="24"/>
                <w:highlight w:val="none"/>
              </w:rPr>
            </w:pPr>
          </w:p>
          <w:p w14:paraId="1FA35D7B">
            <w:pPr>
              <w:pStyle w:val="1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14:paraId="306A31C7">
            <w:pPr>
              <w:pStyle w:val="15"/>
              <w:adjustRightInd w:val="0"/>
              <w:snapToGrid w:val="0"/>
              <w:spacing w:line="360" w:lineRule="auto"/>
              <w:jc w:val="center"/>
              <w:rPr>
                <w:rFonts w:hint="eastAsia" w:ascii="宋体" w:hAnsi="宋体" w:eastAsia="宋体" w:cs="宋体"/>
                <w:color w:val="auto"/>
                <w:sz w:val="24"/>
                <w:szCs w:val="24"/>
                <w:highlight w:val="none"/>
              </w:rPr>
            </w:pPr>
          </w:p>
          <w:p w14:paraId="47173B6D">
            <w:pPr>
              <w:pStyle w:val="15"/>
              <w:adjustRightInd w:val="0"/>
              <w:snapToGrid w:val="0"/>
              <w:spacing w:line="360" w:lineRule="auto"/>
              <w:jc w:val="center"/>
              <w:rPr>
                <w:rFonts w:hint="eastAsia" w:ascii="宋体" w:hAnsi="宋体" w:eastAsia="宋体" w:cs="宋体"/>
                <w:color w:val="auto"/>
                <w:sz w:val="24"/>
                <w:szCs w:val="24"/>
                <w:highlight w:val="none"/>
              </w:rPr>
            </w:pPr>
          </w:p>
          <w:p w14:paraId="778AD862">
            <w:pPr>
              <w:pStyle w:val="15"/>
              <w:adjustRightInd w:val="0"/>
              <w:snapToGrid w:val="0"/>
              <w:spacing w:line="360" w:lineRule="auto"/>
              <w:jc w:val="center"/>
              <w:rPr>
                <w:rFonts w:hint="eastAsia" w:ascii="宋体" w:hAnsi="宋体" w:eastAsia="宋体" w:cs="宋体"/>
                <w:color w:val="auto"/>
                <w:sz w:val="24"/>
                <w:szCs w:val="24"/>
                <w:highlight w:val="none"/>
              </w:rPr>
            </w:pPr>
          </w:p>
          <w:p w14:paraId="02D4A2CB">
            <w:pPr>
              <w:pStyle w:val="15"/>
              <w:adjustRightInd w:val="0"/>
              <w:snapToGrid w:val="0"/>
              <w:spacing w:line="360" w:lineRule="auto"/>
              <w:jc w:val="center"/>
              <w:rPr>
                <w:rFonts w:hint="eastAsia" w:ascii="宋体" w:hAnsi="宋体" w:eastAsia="宋体" w:cs="宋体"/>
                <w:color w:val="auto"/>
                <w:sz w:val="24"/>
                <w:szCs w:val="24"/>
                <w:highlight w:val="none"/>
              </w:rPr>
            </w:pPr>
          </w:p>
        </w:tc>
      </w:tr>
    </w:tbl>
    <w:p w14:paraId="378A5328">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14:paraId="7B3B9897">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14:paraId="592AAD5D">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14:paraId="65A34CFC">
      <w:pPr>
        <w:pStyle w:val="15"/>
        <w:ind w:firstLine="480" w:firstLineChars="200"/>
        <w:rPr>
          <w:rFonts w:hint="eastAsia" w:ascii="宋体" w:hAnsi="宋体" w:eastAsia="宋体" w:cs="宋体"/>
          <w:color w:val="auto"/>
          <w:sz w:val="24"/>
          <w:szCs w:val="24"/>
          <w:highlight w:val="none"/>
        </w:rPr>
      </w:pPr>
    </w:p>
    <w:p w14:paraId="1A753206">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14:paraId="59734192">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(适用于自然人参加磋商)</w:t>
      </w:r>
    </w:p>
    <w:p w14:paraId="2B3B2873">
      <w:pPr>
        <w:pStyle w:val="15"/>
        <w:rPr>
          <w:rFonts w:hint="eastAsia" w:ascii="宋体" w:hAnsi="宋体" w:eastAsia="宋体" w:cs="宋体"/>
          <w:b w:val="0"/>
          <w:bCs w:val="0"/>
          <w:color w:val="auto"/>
          <w:sz w:val="24"/>
          <w:szCs w:val="24"/>
          <w:highlight w:val="none"/>
        </w:rPr>
      </w:pPr>
    </w:p>
    <w:p w14:paraId="1B98010C">
      <w:pPr>
        <w:pStyle w:val="1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498E40EB">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本授权书声明：我________(姓名、身份证号码)系自然人，现授权委托____________(姓名、身份证号码)以本人名义参加《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14:paraId="25FC50F8">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14:paraId="5B5F0215">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14:paraId="6FF3DECB">
      <w:pPr>
        <w:pStyle w:val="15"/>
        <w:spacing w:line="360" w:lineRule="auto"/>
        <w:ind w:firstLine="480" w:firstLineChars="200"/>
        <w:rPr>
          <w:rFonts w:hint="eastAsia" w:ascii="宋体" w:hAnsi="宋体" w:eastAsia="宋体" w:cs="宋体"/>
          <w:color w:val="auto"/>
          <w:sz w:val="24"/>
          <w:szCs w:val="24"/>
          <w:highlight w:val="none"/>
        </w:rPr>
      </w:pPr>
    </w:p>
    <w:p w14:paraId="28FBD7E2">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1CCC9FF1">
      <w:pPr>
        <w:pStyle w:val="15"/>
        <w:spacing w:line="360" w:lineRule="auto"/>
        <w:ind w:firstLine="480" w:firstLineChars="200"/>
        <w:rPr>
          <w:rFonts w:hint="eastAsia" w:ascii="宋体" w:hAnsi="宋体" w:eastAsia="宋体" w:cs="宋体"/>
          <w:color w:val="auto"/>
          <w:sz w:val="24"/>
          <w:szCs w:val="24"/>
          <w:highlight w:val="none"/>
        </w:rPr>
      </w:pPr>
    </w:p>
    <w:p w14:paraId="3B126E79">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65CA0FEF">
      <w:pPr>
        <w:pStyle w:val="15"/>
        <w:spacing w:line="360" w:lineRule="auto"/>
        <w:ind w:firstLine="480" w:firstLineChars="200"/>
        <w:rPr>
          <w:rFonts w:hint="eastAsia" w:ascii="宋体" w:hAnsi="宋体" w:eastAsia="宋体" w:cs="宋体"/>
          <w:color w:val="auto"/>
          <w:sz w:val="24"/>
          <w:szCs w:val="24"/>
          <w:highlight w:val="none"/>
        </w:rPr>
      </w:pPr>
    </w:p>
    <w:p w14:paraId="44E93C37">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14:paraId="0C876A6B">
      <w:pPr>
        <w:pStyle w:val="15"/>
        <w:spacing w:line="360" w:lineRule="auto"/>
        <w:ind w:firstLine="480" w:firstLineChars="200"/>
        <w:rPr>
          <w:rFonts w:hint="eastAsia" w:ascii="宋体" w:hAnsi="宋体" w:eastAsia="宋体" w:cs="宋体"/>
          <w:color w:val="auto"/>
          <w:sz w:val="24"/>
          <w:szCs w:val="24"/>
          <w:highlight w:val="none"/>
        </w:rPr>
      </w:pPr>
    </w:p>
    <w:p w14:paraId="4F816D5F">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14:paraId="44C9393E">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14:paraId="7ABC30C8">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14:paraId="0E2E0A14">
      <w:pPr>
        <w:pStyle w:val="15"/>
        <w:spacing w:line="360" w:lineRule="auto"/>
        <w:ind w:firstLine="480" w:firstLineChars="200"/>
        <w:rPr>
          <w:rFonts w:hint="eastAsia" w:ascii="宋体" w:hAnsi="宋体" w:eastAsia="宋体" w:cs="宋体"/>
          <w:color w:val="auto"/>
          <w:sz w:val="24"/>
          <w:szCs w:val="24"/>
          <w:highlight w:val="none"/>
        </w:rPr>
      </w:pPr>
    </w:p>
    <w:p w14:paraId="053F4091">
      <w:pPr>
        <w:pStyle w:val="15"/>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14:paraId="492B123A">
      <w:pPr>
        <w:pStyle w:val="15"/>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14:paraId="4FF63502">
      <w:pPr>
        <w:pStyle w:val="15"/>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5AED1CBB">
      <w:pPr>
        <w:pStyle w:val="15"/>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14:paraId="512EE0E3">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14:paraId="4B929A2C">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14:paraId="49A9B0BF">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6F4164F6">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C52D120">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8EA65FC">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174803B1">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14:paraId="1C227FF8">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14:paraId="3D4B771C">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14:paraId="4ACEE60B">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14:paraId="3365B8E7">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14:paraId="58D79017">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00" w:name="_Toc23619"/>
      <w:bookmarkStart w:id="101" w:name="_Toc27055"/>
      <w:r>
        <w:rPr>
          <w:rFonts w:hint="eastAsia" w:ascii="宋体" w:hAnsi="宋体" w:eastAsia="宋体" w:cs="宋体"/>
          <w:color w:val="auto"/>
          <w:sz w:val="24"/>
          <w:szCs w:val="24"/>
          <w:highlight w:val="none"/>
        </w:rPr>
        <w:t>6.完全理解贵方“最低报价不能作为成交的保证”的规定。</w:t>
      </w:r>
      <w:bookmarkEnd w:id="100"/>
      <w:bookmarkEnd w:id="101"/>
    </w:p>
    <w:p w14:paraId="13B652B0">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14:paraId="68BC7BD5">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14:paraId="00290359">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14:paraId="1B5A5CCB">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14:paraId="4A3EECC5">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14:paraId="0AF63520">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12.已知悉并承诺遵守《税务系统信息化服务商失信行为记录名单制度(试行) 》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政府采购活动的相关规定。</w:t>
      </w:r>
    </w:p>
    <w:p w14:paraId="57DD1F79">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13.已知悉并承诺遵守采购文件中关于供应链安全管理的全部要求。</w:t>
      </w:r>
    </w:p>
    <w:p w14:paraId="12344C19">
      <w:pPr>
        <w:pStyle w:val="39"/>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14:paraId="3724EED4">
      <w:pPr>
        <w:pStyle w:val="39"/>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14:paraId="79A6F638">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14:paraId="709859EA">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14:paraId="028837A3">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14:paraId="7988E428">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14:paraId="470B0ACE">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14:paraId="5A1FCCF2">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4F89EC16">
      <w:pPr>
        <w:pStyle w:val="39"/>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14:paraId="543B0261">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14:paraId="0599DBF7">
      <w:pPr>
        <w:ind w:firstLine="480" w:firstLineChars="200"/>
        <w:rPr>
          <w:rFonts w:hint="eastAsia" w:ascii="宋体" w:hAnsi="宋体" w:eastAsia="宋体" w:cs="宋体"/>
          <w:color w:val="auto"/>
          <w:sz w:val="24"/>
          <w:szCs w:val="24"/>
          <w:highlight w:val="none"/>
        </w:rPr>
      </w:pPr>
    </w:p>
    <w:p w14:paraId="6E2D5D94">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057D212F">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14:paraId="2B928726">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14:paraId="09D0445B">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02" w:name="_Toc32364"/>
      <w:bookmarkStart w:id="103" w:name="_Toc14016"/>
      <w:r>
        <w:rPr>
          <w:rFonts w:hint="eastAsia" w:ascii="宋体" w:hAnsi="宋体" w:eastAsia="宋体" w:cs="宋体"/>
          <w:b/>
          <w:bCs/>
          <w:color w:val="auto"/>
          <w:sz w:val="28"/>
          <w:szCs w:val="28"/>
          <w:highlight w:val="none"/>
        </w:rPr>
        <w:t>1.报价一览表（总报价表）</w:t>
      </w:r>
      <w:bookmarkEnd w:id="102"/>
      <w:bookmarkEnd w:id="103"/>
    </w:p>
    <w:p w14:paraId="074FF7F7">
      <w:pPr>
        <w:pStyle w:val="15"/>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14:paraId="00C2E3AF">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565EA7B">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9"/>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14:paraId="55FD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14:paraId="04F229E8">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650" w:type="dxa"/>
            <w:noWrap/>
            <w:vAlign w:val="center"/>
          </w:tcPr>
          <w:p w14:paraId="68C979CD">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423" w:type="dxa"/>
            <w:noWrap/>
            <w:vAlign w:val="center"/>
          </w:tcPr>
          <w:p w14:paraId="1A80B004">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价格小计</w:t>
            </w:r>
          </w:p>
        </w:tc>
      </w:tr>
      <w:tr w14:paraId="6C29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14:paraId="5AF75120">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650" w:type="dxa"/>
            <w:noWrap/>
            <w:vAlign w:val="center"/>
          </w:tcPr>
          <w:p w14:paraId="50AEF353">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国家税务总局福州市仓山区税务局涉税（费）服务采购项目</w:t>
            </w:r>
          </w:p>
        </w:tc>
        <w:tc>
          <w:tcPr>
            <w:tcW w:w="4423" w:type="dxa"/>
            <w:noWrap/>
            <w:vAlign w:val="center"/>
          </w:tcPr>
          <w:p w14:paraId="10B82AED">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14:paraId="7B40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14:paraId="33FEC7F1">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报价合计（小写）</w:t>
            </w:r>
          </w:p>
        </w:tc>
        <w:tc>
          <w:tcPr>
            <w:tcW w:w="4423" w:type="dxa"/>
            <w:noWrap/>
            <w:vAlign w:val="center"/>
          </w:tcPr>
          <w:p w14:paraId="6DFE3114">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14:paraId="2CC4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14:paraId="0574C192">
            <w:pPr>
              <w:adjustRightInd w:val="0"/>
              <w:snapToGrid w:val="0"/>
              <w:spacing w:beforeLines="20" w:afterLines="2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报价合计（大写）</w:t>
            </w:r>
          </w:p>
        </w:tc>
        <w:tc>
          <w:tcPr>
            <w:tcW w:w="4423" w:type="dxa"/>
            <w:noWrap/>
            <w:vAlign w:val="center"/>
          </w:tcPr>
          <w:p w14:paraId="2DD010B1">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14:paraId="3D8C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14:paraId="559B92DD">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423" w:type="dxa"/>
            <w:noWrap/>
            <w:vAlign w:val="center"/>
          </w:tcPr>
          <w:p w14:paraId="7561F9A7">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14:paraId="488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14:paraId="33D4753B">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423" w:type="dxa"/>
            <w:noWrap/>
            <w:vAlign w:val="center"/>
          </w:tcPr>
          <w:p w14:paraId="0104E50B">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14:paraId="28B8FC50">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096C524E">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14:paraId="5DE66E24">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14:paraId="4FE40245">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04" w:name="_Toc21660"/>
      <w:bookmarkStart w:id="105" w:name="_Toc10069"/>
      <w:r>
        <w:rPr>
          <w:rFonts w:hint="eastAsia" w:ascii="宋体" w:hAnsi="宋体" w:eastAsia="宋体" w:cs="宋体"/>
          <w:color w:val="auto"/>
          <w:sz w:val="24"/>
          <w:szCs w:val="24"/>
          <w:highlight w:val="none"/>
        </w:rPr>
        <w:t>3.供应商应根据《采购文件-技术部分》相关要求填报。</w:t>
      </w:r>
      <w:bookmarkEnd w:id="104"/>
      <w:bookmarkEnd w:id="105"/>
    </w:p>
    <w:p w14:paraId="15C13C2C">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14:paraId="3ABF2C70">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4F54C4">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EA360D4">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335D7A3C">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14:paraId="73582991">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06" w:name="_Toc11134"/>
      <w:bookmarkStart w:id="107" w:name="_Toc2415"/>
      <w:r>
        <w:rPr>
          <w:rFonts w:hint="eastAsia" w:ascii="宋体" w:hAnsi="宋体" w:eastAsia="宋体" w:cs="宋体"/>
          <w:b/>
          <w:bCs/>
          <w:color w:val="auto"/>
          <w:sz w:val="28"/>
          <w:szCs w:val="28"/>
          <w:highlight w:val="none"/>
        </w:rPr>
        <w:t>2.分项报价表</w:t>
      </w:r>
      <w:bookmarkEnd w:id="106"/>
      <w:bookmarkEnd w:id="107"/>
    </w:p>
    <w:p w14:paraId="088EE00D">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14:paraId="3FAD04F4">
      <w:pPr>
        <w:pStyle w:val="15"/>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14:paraId="4550BE51">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C6AAEFB">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9"/>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14:paraId="0BB6968F">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0BC87D7">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83" w:type="dxa"/>
            <w:tcBorders>
              <w:top w:val="single" w:color="auto" w:sz="4" w:space="0"/>
              <w:left w:val="nil"/>
              <w:bottom w:val="single" w:color="auto" w:sz="4" w:space="0"/>
              <w:right w:val="single" w:color="auto" w:sz="4" w:space="0"/>
            </w:tcBorders>
            <w:noWrap w:val="0"/>
            <w:vAlign w:val="center"/>
          </w:tcPr>
          <w:p w14:paraId="32499028">
            <w:pPr>
              <w:widowControl/>
              <w:spacing w:after="0" w:line="240" w:lineRule="auto"/>
              <w:ind w:left="-84" w:leftChars="-40" w:firstLine="94" w:firstLineChars="39"/>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岗位</w:t>
            </w:r>
          </w:p>
        </w:tc>
        <w:tc>
          <w:tcPr>
            <w:tcW w:w="992" w:type="dxa"/>
            <w:tcBorders>
              <w:top w:val="single" w:color="auto" w:sz="4" w:space="0"/>
              <w:left w:val="nil"/>
              <w:bottom w:val="single" w:color="auto" w:sz="4" w:space="0"/>
              <w:right w:val="single" w:color="auto" w:sz="4" w:space="0"/>
            </w:tcBorders>
            <w:noWrap w:val="0"/>
            <w:vAlign w:val="center"/>
          </w:tcPr>
          <w:p w14:paraId="0217180B">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3E53CD8">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9D054CD">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4C4DC9E">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A7D3D55">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1286568E">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14:paraId="2C107F9F">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643" w:type="dxa"/>
            <w:tcBorders>
              <w:top w:val="single" w:color="auto" w:sz="4" w:space="0"/>
              <w:left w:val="nil"/>
              <w:bottom w:val="single" w:color="auto" w:sz="4" w:space="0"/>
              <w:right w:val="single" w:color="auto" w:sz="4" w:space="0"/>
            </w:tcBorders>
            <w:noWrap w:val="0"/>
            <w:vAlign w:val="center"/>
          </w:tcPr>
          <w:p w14:paraId="0AF9166B">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4CE63F35">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7BF6EDF3">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3" w:type="dxa"/>
            <w:tcBorders>
              <w:top w:val="single" w:color="auto" w:sz="4" w:space="0"/>
              <w:left w:val="nil"/>
              <w:bottom w:val="single" w:color="auto" w:sz="4" w:space="0"/>
              <w:right w:val="single" w:color="auto" w:sz="4" w:space="0"/>
            </w:tcBorders>
            <w:noWrap w:val="0"/>
            <w:vAlign w:val="center"/>
          </w:tcPr>
          <w:p w14:paraId="3403336C">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导税服务</w:t>
            </w:r>
          </w:p>
        </w:tc>
        <w:tc>
          <w:tcPr>
            <w:tcW w:w="992" w:type="dxa"/>
            <w:tcBorders>
              <w:top w:val="single" w:color="auto" w:sz="4" w:space="0"/>
              <w:left w:val="nil"/>
              <w:bottom w:val="single" w:color="auto" w:sz="4" w:space="0"/>
              <w:right w:val="single" w:color="auto" w:sz="4" w:space="0"/>
            </w:tcBorders>
            <w:noWrap w:val="0"/>
            <w:vAlign w:val="center"/>
          </w:tcPr>
          <w:p w14:paraId="6AB1B054">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2353875">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F27DE5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61E513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ED940DC">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7068CA6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1B786CB9">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28AC092B">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7FE246A5">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3" w:type="dxa"/>
            <w:tcBorders>
              <w:top w:val="single" w:color="auto" w:sz="4" w:space="0"/>
              <w:left w:val="nil"/>
              <w:bottom w:val="single" w:color="auto" w:sz="4" w:space="0"/>
              <w:right w:val="single" w:color="auto" w:sz="4" w:space="0"/>
            </w:tcBorders>
            <w:noWrap w:val="0"/>
            <w:vAlign w:val="center"/>
          </w:tcPr>
          <w:p w14:paraId="36A44ABB">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自助办税（费）辅导服务</w:t>
            </w:r>
          </w:p>
        </w:tc>
        <w:tc>
          <w:tcPr>
            <w:tcW w:w="992" w:type="dxa"/>
            <w:tcBorders>
              <w:top w:val="single" w:color="auto" w:sz="4" w:space="0"/>
              <w:left w:val="nil"/>
              <w:bottom w:val="single" w:color="auto" w:sz="4" w:space="0"/>
              <w:right w:val="single" w:color="auto" w:sz="4" w:space="0"/>
            </w:tcBorders>
            <w:noWrap w:val="0"/>
            <w:vAlign w:val="center"/>
          </w:tcPr>
          <w:p w14:paraId="6107A228">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4A745F3">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0F2C8C4">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DDC260C">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9B8220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3381907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56D70E71">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6F42F38B">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3BDB402">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3" w:type="dxa"/>
            <w:tcBorders>
              <w:top w:val="single" w:color="auto" w:sz="4" w:space="0"/>
              <w:left w:val="nil"/>
              <w:bottom w:val="single" w:color="auto" w:sz="4" w:space="0"/>
              <w:right w:val="single" w:color="auto" w:sz="4" w:space="0"/>
            </w:tcBorders>
            <w:noWrap w:val="0"/>
            <w:vAlign w:val="center"/>
          </w:tcPr>
          <w:p w14:paraId="3E03B152">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税费咨询服务</w:t>
            </w:r>
          </w:p>
        </w:tc>
        <w:tc>
          <w:tcPr>
            <w:tcW w:w="992" w:type="dxa"/>
            <w:tcBorders>
              <w:top w:val="single" w:color="auto" w:sz="4" w:space="0"/>
              <w:left w:val="nil"/>
              <w:bottom w:val="single" w:color="auto" w:sz="4" w:space="0"/>
              <w:right w:val="single" w:color="auto" w:sz="4" w:space="0"/>
            </w:tcBorders>
            <w:noWrap w:val="0"/>
            <w:vAlign w:val="center"/>
          </w:tcPr>
          <w:p w14:paraId="72FC32B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884C5C2">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A35DD7B">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0A7BBD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DE3B49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048439A8">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7FC33E8">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798A3BCC">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noWrap w:val="0"/>
            <w:vAlign w:val="center"/>
          </w:tcPr>
          <w:p w14:paraId="453E0B94">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3" w:type="dxa"/>
            <w:tcBorders>
              <w:top w:val="nil"/>
              <w:left w:val="nil"/>
              <w:bottom w:val="single" w:color="auto" w:sz="4" w:space="0"/>
              <w:right w:val="single" w:color="auto" w:sz="4" w:space="0"/>
            </w:tcBorders>
            <w:noWrap w:val="0"/>
            <w:vAlign w:val="center"/>
          </w:tcPr>
          <w:p w14:paraId="271B9672">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涉税（费）</w:t>
            </w:r>
            <w:r>
              <w:rPr>
                <w:rFonts w:hint="eastAsia" w:ascii="宋体" w:hAnsi="宋体" w:eastAsia="宋体" w:cs="宋体"/>
                <w:color w:val="000000" w:themeColor="text1"/>
                <w:sz w:val="24"/>
                <w:szCs w:val="24"/>
                <w:lang w:val="en-US" w:eastAsia="zh-CN"/>
                <w14:textFill>
                  <w14:solidFill>
                    <w14:schemeClr w14:val="tx1"/>
                  </w14:solidFill>
                </w14:textFill>
              </w:rPr>
              <w:t>诉求</w:t>
            </w:r>
            <w:r>
              <w:rPr>
                <w:rFonts w:hint="eastAsia" w:ascii="宋体" w:hAnsi="宋体" w:eastAsia="宋体" w:cs="宋体"/>
                <w:color w:val="000000" w:themeColor="text1"/>
                <w:sz w:val="24"/>
                <w:szCs w:val="24"/>
                <w14:textFill>
                  <w14:solidFill>
                    <w14:schemeClr w14:val="tx1"/>
                  </w14:solidFill>
                </w14:textFill>
              </w:rPr>
              <w:t>服务</w:t>
            </w:r>
          </w:p>
        </w:tc>
        <w:tc>
          <w:tcPr>
            <w:tcW w:w="992" w:type="dxa"/>
            <w:tcBorders>
              <w:top w:val="nil"/>
              <w:left w:val="nil"/>
              <w:bottom w:val="single" w:color="auto" w:sz="4" w:space="0"/>
              <w:right w:val="single" w:color="auto" w:sz="4" w:space="0"/>
            </w:tcBorders>
            <w:noWrap w:val="0"/>
            <w:vAlign w:val="center"/>
          </w:tcPr>
          <w:p w14:paraId="0A8BD74F">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nil"/>
              <w:left w:val="single" w:color="auto" w:sz="4" w:space="0"/>
              <w:bottom w:val="single" w:color="auto" w:sz="4" w:space="0"/>
              <w:right w:val="single" w:color="auto" w:sz="4" w:space="0"/>
            </w:tcBorders>
            <w:noWrap w:val="0"/>
            <w:vAlign w:val="center"/>
          </w:tcPr>
          <w:p w14:paraId="11682603">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nil"/>
              <w:left w:val="single" w:color="auto" w:sz="4" w:space="0"/>
              <w:bottom w:val="single" w:color="auto" w:sz="4" w:space="0"/>
              <w:right w:val="single" w:color="auto" w:sz="4" w:space="0"/>
            </w:tcBorders>
            <w:noWrap w:val="0"/>
            <w:vAlign w:val="center"/>
          </w:tcPr>
          <w:p w14:paraId="784703FC">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nil"/>
              <w:left w:val="single" w:color="auto" w:sz="4" w:space="0"/>
              <w:bottom w:val="single" w:color="auto" w:sz="4" w:space="0"/>
              <w:right w:val="single" w:color="auto" w:sz="4" w:space="0"/>
            </w:tcBorders>
            <w:noWrap w:val="0"/>
            <w:vAlign w:val="center"/>
          </w:tcPr>
          <w:p w14:paraId="01476482">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nil"/>
              <w:left w:val="single" w:color="auto" w:sz="4" w:space="0"/>
              <w:bottom w:val="single" w:color="auto" w:sz="4" w:space="0"/>
              <w:right w:val="single" w:color="auto" w:sz="4" w:space="0"/>
            </w:tcBorders>
            <w:noWrap w:val="0"/>
            <w:vAlign w:val="center"/>
          </w:tcPr>
          <w:p w14:paraId="3D1A752E">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nil"/>
              <w:left w:val="single" w:color="auto" w:sz="4" w:space="0"/>
              <w:bottom w:val="single" w:color="auto" w:sz="4" w:space="0"/>
              <w:right w:val="single" w:color="auto" w:sz="4" w:space="0"/>
            </w:tcBorders>
            <w:noWrap w:val="0"/>
            <w:vAlign w:val="center"/>
          </w:tcPr>
          <w:p w14:paraId="100728FF">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nil"/>
              <w:left w:val="single" w:color="auto" w:sz="4" w:space="0"/>
              <w:bottom w:val="single" w:color="auto" w:sz="4" w:space="0"/>
              <w:right w:val="single" w:color="auto" w:sz="4" w:space="0"/>
            </w:tcBorders>
            <w:noWrap w:val="0"/>
            <w:vAlign w:val="center"/>
          </w:tcPr>
          <w:p w14:paraId="755C683F">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1629283F">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7D316476">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83" w:type="dxa"/>
            <w:tcBorders>
              <w:top w:val="single" w:color="auto" w:sz="4" w:space="0"/>
              <w:left w:val="nil"/>
              <w:bottom w:val="single" w:color="auto" w:sz="4" w:space="0"/>
              <w:right w:val="single" w:color="auto" w:sz="4" w:space="0"/>
            </w:tcBorders>
            <w:noWrap w:val="0"/>
            <w:vAlign w:val="center"/>
          </w:tcPr>
          <w:p w14:paraId="52D342B4">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文书内勤服务</w:t>
            </w:r>
          </w:p>
        </w:tc>
        <w:tc>
          <w:tcPr>
            <w:tcW w:w="992" w:type="dxa"/>
            <w:tcBorders>
              <w:top w:val="single" w:color="auto" w:sz="4" w:space="0"/>
              <w:left w:val="nil"/>
              <w:bottom w:val="single" w:color="auto" w:sz="4" w:space="0"/>
              <w:right w:val="single" w:color="auto" w:sz="4" w:space="0"/>
            </w:tcBorders>
            <w:noWrap w:val="0"/>
            <w:vAlign w:val="center"/>
          </w:tcPr>
          <w:p w14:paraId="23623B9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50F7F9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042568">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497D0EC">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4F8788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62F5487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5F26A524">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7D0F5025">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0F568484">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3" w:type="dxa"/>
            <w:tcBorders>
              <w:top w:val="single" w:color="auto" w:sz="4" w:space="0"/>
              <w:left w:val="nil"/>
              <w:bottom w:val="single" w:color="auto" w:sz="4" w:space="0"/>
              <w:right w:val="single" w:color="auto" w:sz="4" w:space="0"/>
            </w:tcBorders>
            <w:noWrap w:val="0"/>
            <w:vAlign w:val="center"/>
          </w:tcPr>
          <w:p w14:paraId="3644C58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17D190">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AB40760">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B5814CC">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E187E1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AE4ACAA">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7CCD6134">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27354C8">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0DEE7043">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noWrap w:val="0"/>
            <w:vAlign w:val="center"/>
          </w:tcPr>
          <w:p w14:paraId="4EB03CFA">
            <w:pPr>
              <w:tabs>
                <w:tab w:val="left" w:pos="425"/>
              </w:tabs>
              <w:snapToGrid w:val="0"/>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计</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F79996C">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44E564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66170D1E">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509615D3">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14:paraId="42D0F5C7">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664EA250">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14:paraId="7FBEEEEE">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2.本表中小计=数量×单价。</w:t>
      </w:r>
    </w:p>
    <w:p w14:paraId="38D42A75">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14:paraId="7BE52C90">
      <w:pPr>
        <w:pStyle w:val="15"/>
        <w:ind w:firstLine="480" w:firstLineChars="200"/>
        <w:rPr>
          <w:rFonts w:hint="eastAsia" w:ascii="宋体" w:hAnsi="宋体" w:eastAsia="宋体" w:cs="宋体"/>
          <w:color w:val="auto"/>
          <w:sz w:val="24"/>
          <w:szCs w:val="24"/>
          <w:highlight w:val="none"/>
        </w:rPr>
      </w:pPr>
    </w:p>
    <w:p w14:paraId="30CE4FF0">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FF3356B">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C715AD9">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5C2F0FC4">
      <w:pPr>
        <w:pStyle w:val="15"/>
        <w:spacing w:line="400" w:lineRule="exact"/>
        <w:ind w:firstLine="482"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14:paraId="01BECA40">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p>
    <w:p w14:paraId="6994E662">
      <w:pPr>
        <w:pStyle w:val="15"/>
        <w:spacing w:line="400" w:lineRule="exact"/>
        <w:ind w:firstLine="480" w:firstLineChars="200"/>
        <w:jc w:val="center"/>
        <w:rPr>
          <w:rFonts w:hint="eastAsia" w:hAnsi="宋体" w:cs="宋体"/>
          <w:color w:val="auto"/>
          <w:sz w:val="24"/>
          <w:szCs w:val="24"/>
        </w:rPr>
      </w:pPr>
    </w:p>
    <w:p w14:paraId="38459CE8">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12705F1">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9"/>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14:paraId="60E2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noWrap w:val="0"/>
            <w:vAlign w:val="center"/>
          </w:tcPr>
          <w:p w14:paraId="2DDE8642">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noWrap w:val="0"/>
            <w:vAlign w:val="center"/>
          </w:tcPr>
          <w:p w14:paraId="7BFC9277">
            <w:pPr>
              <w:pStyle w:val="15"/>
              <w:spacing w:line="400" w:lineRule="exact"/>
              <w:jc w:val="center"/>
              <w:rPr>
                <w:rFonts w:hint="eastAsia" w:hAnsi="宋体" w:cs="宋体"/>
                <w:color w:val="auto"/>
                <w:kern w:val="2"/>
                <w:sz w:val="24"/>
                <w:szCs w:val="24"/>
                <w:lang w:val="en-US" w:eastAsia="zh-CN"/>
              </w:rPr>
            </w:pPr>
          </w:p>
        </w:tc>
      </w:tr>
      <w:tr w14:paraId="1054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noWrap w:val="0"/>
            <w:vAlign w:val="center"/>
          </w:tcPr>
          <w:p w14:paraId="1AA88186">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noWrap w:val="0"/>
            <w:vAlign w:val="center"/>
          </w:tcPr>
          <w:p w14:paraId="2FE8454C">
            <w:pPr>
              <w:pStyle w:val="15"/>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14:paraId="10E3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noWrap w:val="0"/>
            <w:vAlign w:val="center"/>
          </w:tcPr>
          <w:p w14:paraId="644957B2">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14:paraId="0DC7A905">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noWrap w:val="0"/>
            <w:vAlign w:val="center"/>
          </w:tcPr>
          <w:p w14:paraId="1078CF9E">
            <w:pPr>
              <w:pStyle w:val="15"/>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14:paraId="24B4A242">
            <w:pPr>
              <w:pStyle w:val="15"/>
              <w:spacing w:line="400" w:lineRule="exact"/>
              <w:jc w:val="left"/>
              <w:rPr>
                <w:rFonts w:hint="eastAsia" w:hAnsi="宋体" w:cs="宋体"/>
                <w:color w:val="auto"/>
                <w:kern w:val="2"/>
                <w:sz w:val="24"/>
                <w:szCs w:val="24"/>
                <w:lang w:val="en-US" w:eastAsia="zh-CN"/>
              </w:rPr>
            </w:pPr>
          </w:p>
          <w:p w14:paraId="004654EF">
            <w:pPr>
              <w:pStyle w:val="15"/>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人民币大写：</w:t>
            </w:r>
            <w:r>
              <w:rPr>
                <w:rFonts w:hint="eastAsia" w:hAnsi="宋体" w:cs="宋体"/>
                <w:color w:val="auto"/>
                <w:kern w:val="2"/>
                <w:sz w:val="24"/>
                <w:szCs w:val="24"/>
                <w:u w:val="single"/>
                <w:lang w:val="en-US" w:eastAsia="zh-CN"/>
              </w:rPr>
              <w:t xml:space="preserve">                                      </w:t>
            </w:r>
          </w:p>
        </w:tc>
      </w:tr>
      <w:tr w14:paraId="3820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noWrap w:val="0"/>
            <w:vAlign w:val="center"/>
          </w:tcPr>
          <w:p w14:paraId="2A8F8DDA">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noWrap w:val="0"/>
            <w:vAlign w:val="center"/>
          </w:tcPr>
          <w:p w14:paraId="370C8547">
            <w:pPr>
              <w:pStyle w:val="15"/>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14:paraId="5E1D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noWrap w:val="0"/>
            <w:vAlign w:val="center"/>
          </w:tcPr>
          <w:p w14:paraId="26B11B40">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noWrap w:val="0"/>
            <w:vAlign w:val="center"/>
          </w:tcPr>
          <w:p w14:paraId="73C4CA01">
            <w:pPr>
              <w:pStyle w:val="15"/>
              <w:spacing w:line="400" w:lineRule="exact"/>
              <w:jc w:val="center"/>
              <w:rPr>
                <w:rFonts w:hint="eastAsia" w:hAnsi="宋体" w:cs="宋体"/>
                <w:color w:val="auto"/>
                <w:kern w:val="2"/>
                <w:sz w:val="24"/>
                <w:szCs w:val="24"/>
                <w:lang w:val="en-US" w:eastAsia="zh-CN"/>
              </w:rPr>
            </w:pPr>
          </w:p>
        </w:tc>
      </w:tr>
      <w:tr w14:paraId="7025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2665" w:type="dxa"/>
            <w:noWrap w:val="0"/>
            <w:vAlign w:val="center"/>
          </w:tcPr>
          <w:p w14:paraId="29518DB8">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磋商小组签字</w:t>
            </w:r>
          </w:p>
        </w:tc>
        <w:tc>
          <w:tcPr>
            <w:tcW w:w="6356" w:type="dxa"/>
            <w:noWrap w:val="0"/>
            <w:vAlign w:val="center"/>
          </w:tcPr>
          <w:p w14:paraId="0C2DBA14">
            <w:pPr>
              <w:pStyle w:val="15"/>
              <w:spacing w:line="400" w:lineRule="exact"/>
              <w:jc w:val="center"/>
              <w:rPr>
                <w:rFonts w:hint="eastAsia" w:hAnsi="宋体" w:cs="宋体"/>
                <w:color w:val="auto"/>
                <w:kern w:val="2"/>
                <w:sz w:val="24"/>
                <w:szCs w:val="24"/>
                <w:lang w:val="en-US" w:eastAsia="zh-CN"/>
              </w:rPr>
            </w:pPr>
          </w:p>
        </w:tc>
      </w:tr>
    </w:tbl>
    <w:p w14:paraId="42948DFE">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14:paraId="4A252AC0">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14:paraId="61C98E7B">
      <w:pPr>
        <w:pStyle w:val="15"/>
        <w:spacing w:line="400" w:lineRule="exact"/>
        <w:ind w:firstLine="480" w:firstLineChars="200"/>
        <w:rPr>
          <w:rFonts w:hint="eastAsia" w:hAnsi="宋体" w:cs="宋体"/>
          <w:color w:val="auto"/>
          <w:sz w:val="24"/>
          <w:szCs w:val="24"/>
        </w:rPr>
      </w:pPr>
    </w:p>
    <w:p w14:paraId="36F18101">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报价承诺书》由供应商在磋商现场依磋商情况填写，请加盖公章后带至磋商现场备填(不需装订在响应文件内)。</w:t>
      </w:r>
    </w:p>
    <w:p w14:paraId="40DA44BE">
      <w:pPr>
        <w:pStyle w:val="15"/>
        <w:spacing w:line="400" w:lineRule="exact"/>
        <w:ind w:firstLine="480" w:firstLineChars="200"/>
        <w:rPr>
          <w:rFonts w:hint="eastAsia" w:hAnsi="宋体" w:cs="宋体"/>
          <w:color w:val="auto"/>
          <w:sz w:val="24"/>
          <w:szCs w:val="24"/>
        </w:rPr>
      </w:pPr>
    </w:p>
    <w:p w14:paraId="6D3378F8">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14:paraId="37E33BB7">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14:paraId="4EA1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2F6C01AC">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14:paraId="041C946F">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14:paraId="33132551">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14:paraId="1798509B">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14:paraId="22D67AB3">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75F91967">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14:paraId="4E98100F">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14:paraId="40E7B0D9">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14:paraId="305BB9B5">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5BF6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672FB279">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14:paraId="17C8C775">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4D5C0FD2">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79027AC4">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08C93814">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134CD722">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1791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59941BA3">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14:paraId="75DF3AC8">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37362AA6">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113E358C">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26B17192">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190FDE85">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7043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2711A54B">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14:paraId="427D75EA">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1729901E">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2A4B400E">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3EED3617">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4C3EBBAE">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37B0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6AD08637">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14:paraId="5C1CB1AB">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756CC6BA">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696A8012">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4784C11A">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3306769B">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4313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791C3FF5">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14:paraId="1ED89774">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4FC45037">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1B8EFF56">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64A5B317">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30B8AECC">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14:paraId="6B6238F7">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5A58BC86">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14:paraId="4F87BFDD">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14:paraId="58547544">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08" w:name="_Toc22038"/>
      <w:bookmarkStart w:id="109" w:name="_Toc11302"/>
      <w:r>
        <w:rPr>
          <w:rFonts w:hint="eastAsia" w:ascii="宋体" w:hAnsi="宋体" w:eastAsia="宋体" w:cs="宋体"/>
          <w:color w:val="auto"/>
          <w:sz w:val="24"/>
          <w:szCs w:val="24"/>
          <w:highlight w:val="none"/>
        </w:rPr>
        <w:t>3.本表可扩展。</w:t>
      </w:r>
      <w:bookmarkEnd w:id="108"/>
      <w:bookmarkEnd w:id="109"/>
    </w:p>
    <w:p w14:paraId="109C03E2">
      <w:pPr>
        <w:topLinePunct/>
        <w:autoSpaceDE w:val="0"/>
        <w:autoSpaceDN w:val="0"/>
        <w:spacing w:line="500" w:lineRule="exact"/>
        <w:rPr>
          <w:rFonts w:hint="eastAsia" w:ascii="宋体" w:hAnsi="宋体" w:eastAsia="宋体" w:cs="宋体"/>
          <w:color w:val="auto"/>
          <w:sz w:val="24"/>
          <w:szCs w:val="24"/>
          <w:highlight w:val="none"/>
        </w:rPr>
      </w:pPr>
    </w:p>
    <w:p w14:paraId="294D9FA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598BD8F">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F385EF6">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5F0F1B89">
      <w:pPr>
        <w:rPr>
          <w:rFonts w:hint="eastAsia" w:ascii="宋体" w:hAnsi="宋体" w:eastAsia="宋体" w:cs="宋体"/>
          <w:b/>
          <w:bCs/>
          <w:color w:val="auto"/>
          <w:sz w:val="24"/>
          <w:szCs w:val="24"/>
          <w:highlight w:val="none"/>
        </w:rPr>
      </w:pPr>
    </w:p>
    <w:p w14:paraId="30669E27">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14:paraId="43B0D2E5">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14:paraId="76EF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7D7E51AA">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905" w:type="pct"/>
            <w:noWrap w:val="0"/>
            <w:vAlign w:val="center"/>
          </w:tcPr>
          <w:p w14:paraId="799F6F1B">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6E5BF7CF">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64" w:type="pct"/>
            <w:noWrap w:val="0"/>
            <w:vAlign w:val="center"/>
          </w:tcPr>
          <w:p w14:paraId="0EC983C2">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BDD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1740E26B">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905" w:type="pct"/>
            <w:noWrap w:val="0"/>
            <w:vAlign w:val="center"/>
          </w:tcPr>
          <w:p w14:paraId="661C7C50">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442B15AC">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64" w:type="pct"/>
            <w:noWrap w:val="0"/>
            <w:vAlign w:val="center"/>
          </w:tcPr>
          <w:p w14:paraId="30B90CC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6AD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7A81F40B">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905" w:type="pct"/>
            <w:noWrap w:val="0"/>
            <w:vAlign w:val="center"/>
          </w:tcPr>
          <w:p w14:paraId="629F117D">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5826D7CB">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64" w:type="pct"/>
            <w:noWrap w:val="0"/>
            <w:vAlign w:val="center"/>
          </w:tcPr>
          <w:p w14:paraId="469585EF">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A07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110797A1">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905" w:type="pct"/>
            <w:noWrap w:val="0"/>
            <w:vAlign w:val="center"/>
          </w:tcPr>
          <w:p w14:paraId="1DF4533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6101228C">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64" w:type="pct"/>
            <w:noWrap w:val="0"/>
            <w:vAlign w:val="center"/>
          </w:tcPr>
          <w:p w14:paraId="31EC24EF">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CA3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1D9227BB">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905" w:type="pct"/>
            <w:noWrap w:val="0"/>
            <w:vAlign w:val="center"/>
          </w:tcPr>
          <w:p w14:paraId="25CC7033">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29766C27">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64" w:type="pct"/>
            <w:noWrap w:val="0"/>
            <w:vAlign w:val="center"/>
          </w:tcPr>
          <w:p w14:paraId="3F21FFC9">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6E5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5B4F32D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3456" w:type="pct"/>
            <w:gridSpan w:val="3"/>
            <w:noWrap w:val="0"/>
            <w:vAlign w:val="center"/>
          </w:tcPr>
          <w:p w14:paraId="0AAADE10">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C16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2DE1EEEF">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3456" w:type="pct"/>
            <w:gridSpan w:val="3"/>
            <w:noWrap w:val="0"/>
            <w:vAlign w:val="center"/>
          </w:tcPr>
          <w:p w14:paraId="68B95C22">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B9E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7C04872C">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905" w:type="pct"/>
            <w:noWrap w:val="0"/>
            <w:vAlign w:val="center"/>
          </w:tcPr>
          <w:p w14:paraId="60C5193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986" w:type="pct"/>
            <w:noWrap w:val="0"/>
            <w:vAlign w:val="center"/>
          </w:tcPr>
          <w:p w14:paraId="694EDE4F">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64" w:type="pct"/>
            <w:noWrap w:val="0"/>
            <w:vAlign w:val="center"/>
          </w:tcPr>
          <w:p w14:paraId="3320E58F">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5D38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5B6B6562">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14:paraId="0E6C5F6C">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37D96A6C">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14:paraId="0FC4D13A">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A5B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7F863CB8">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14:paraId="50A388A7">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21ED585D">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14:paraId="0276CF1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C13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0554199B">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456" w:type="pct"/>
            <w:gridSpan w:val="3"/>
            <w:noWrap w:val="0"/>
            <w:vAlign w:val="center"/>
          </w:tcPr>
          <w:p w14:paraId="3B85B1AA">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46596F21">
      <w:pPr>
        <w:topLinePunct/>
        <w:autoSpaceDE w:val="0"/>
        <w:autoSpaceDN w:val="0"/>
        <w:spacing w:line="500" w:lineRule="exact"/>
        <w:rPr>
          <w:rFonts w:hint="eastAsia" w:ascii="宋体" w:hAnsi="宋体" w:eastAsia="宋体" w:cs="宋体"/>
          <w:color w:val="auto"/>
          <w:sz w:val="24"/>
          <w:szCs w:val="24"/>
          <w:highlight w:val="none"/>
        </w:rPr>
      </w:pPr>
    </w:p>
    <w:p w14:paraId="1E15A567">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BB98EA9">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980D092">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8E9E8A8">
      <w:pPr>
        <w:pStyle w:val="15"/>
        <w:ind w:firstLine="480" w:firstLineChars="200"/>
        <w:rPr>
          <w:rFonts w:hint="eastAsia" w:ascii="宋体" w:hAnsi="宋体" w:eastAsia="宋体" w:cs="宋体"/>
          <w:color w:val="auto"/>
          <w:sz w:val="24"/>
          <w:szCs w:val="24"/>
          <w:highlight w:val="none"/>
        </w:rPr>
      </w:pPr>
    </w:p>
    <w:p w14:paraId="20BBFCA6">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14:paraId="52AD944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13D969F8">
      <w:pPr>
        <w:spacing w:line="360" w:lineRule="auto"/>
        <w:ind w:firstLine="480" w:firstLineChars="200"/>
        <w:jc w:val="left"/>
        <w:rPr>
          <w:rFonts w:hint="eastAsia" w:ascii="宋体" w:hAnsi="宋体" w:eastAsia="宋体" w:cs="宋体"/>
          <w:color w:val="auto"/>
          <w:kern w:val="0"/>
          <w:sz w:val="24"/>
          <w:szCs w:val="24"/>
          <w:highlight w:val="none"/>
        </w:rPr>
      </w:pPr>
    </w:p>
    <w:p w14:paraId="39057E85">
      <w:pPr>
        <w:spacing w:line="360" w:lineRule="auto"/>
        <w:ind w:firstLine="480" w:firstLineChars="200"/>
        <w:jc w:val="left"/>
        <w:rPr>
          <w:rFonts w:hint="eastAsia" w:ascii="宋体" w:hAnsi="宋体" w:eastAsia="宋体" w:cs="宋体"/>
          <w:color w:val="auto"/>
          <w:kern w:val="0"/>
          <w:sz w:val="24"/>
          <w:szCs w:val="24"/>
          <w:highlight w:val="none"/>
        </w:rPr>
      </w:pPr>
    </w:p>
    <w:p w14:paraId="14791127">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14:paraId="51A98CA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4247081F">
      <w:pPr>
        <w:spacing w:line="360" w:lineRule="auto"/>
        <w:ind w:firstLine="480" w:firstLineChars="200"/>
        <w:jc w:val="left"/>
        <w:rPr>
          <w:rFonts w:hint="eastAsia" w:ascii="宋体" w:hAnsi="宋体" w:eastAsia="宋体" w:cs="宋体"/>
          <w:color w:val="auto"/>
          <w:kern w:val="0"/>
          <w:sz w:val="24"/>
          <w:szCs w:val="24"/>
          <w:highlight w:val="none"/>
        </w:rPr>
      </w:pPr>
    </w:p>
    <w:p w14:paraId="4B54F0AB">
      <w:pPr>
        <w:spacing w:line="360" w:lineRule="auto"/>
        <w:ind w:firstLine="480" w:firstLineChars="200"/>
        <w:jc w:val="left"/>
        <w:rPr>
          <w:rFonts w:hint="eastAsia" w:ascii="宋体" w:hAnsi="宋体" w:eastAsia="宋体" w:cs="宋体"/>
          <w:color w:val="auto"/>
          <w:kern w:val="0"/>
          <w:sz w:val="24"/>
          <w:szCs w:val="24"/>
          <w:highlight w:val="none"/>
        </w:rPr>
      </w:pPr>
    </w:p>
    <w:p w14:paraId="1B93700F">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14:paraId="3290951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66EC91B4">
      <w:pPr>
        <w:spacing w:line="360" w:lineRule="auto"/>
        <w:ind w:firstLine="480" w:firstLineChars="200"/>
        <w:jc w:val="left"/>
        <w:rPr>
          <w:rFonts w:hint="eastAsia" w:ascii="宋体" w:hAnsi="宋体" w:eastAsia="宋体" w:cs="宋体"/>
          <w:color w:val="auto"/>
          <w:kern w:val="0"/>
          <w:sz w:val="24"/>
          <w:szCs w:val="24"/>
          <w:highlight w:val="none"/>
        </w:rPr>
      </w:pPr>
    </w:p>
    <w:p w14:paraId="25DD984C">
      <w:pPr>
        <w:spacing w:line="360" w:lineRule="auto"/>
        <w:ind w:firstLine="480" w:firstLineChars="200"/>
        <w:jc w:val="left"/>
        <w:rPr>
          <w:rFonts w:hint="eastAsia" w:ascii="宋体" w:hAnsi="宋体" w:eastAsia="宋体" w:cs="宋体"/>
          <w:color w:val="auto"/>
          <w:kern w:val="0"/>
          <w:sz w:val="24"/>
          <w:szCs w:val="24"/>
          <w:highlight w:val="none"/>
        </w:rPr>
      </w:pPr>
    </w:p>
    <w:p w14:paraId="39E2FF0B">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具备履行合同所必需的设备和专业技术能力的声明函</w:t>
      </w:r>
    </w:p>
    <w:p w14:paraId="051362EB">
      <w:pPr>
        <w:pStyle w:val="15"/>
        <w:snapToGrid w:val="0"/>
        <w:spacing w:line="360" w:lineRule="auto"/>
        <w:rPr>
          <w:rFonts w:hint="eastAsia" w:ascii="宋体" w:hAnsi="宋体" w:eastAsia="宋体" w:cs="宋体"/>
          <w:color w:val="auto"/>
          <w:sz w:val="24"/>
          <w:szCs w:val="24"/>
          <w:highlight w:val="none"/>
        </w:rPr>
      </w:pPr>
    </w:p>
    <w:p w14:paraId="6F156AF3">
      <w:pPr>
        <w:pStyle w:val="15"/>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6CB7436D">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14:paraId="40BB8A4C">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14:paraId="5CB0F8ED">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14:paraId="2B58B65E">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14:paraId="7AE8BBA9">
      <w:pPr>
        <w:snapToGrid w:val="0"/>
        <w:spacing w:after="0" w:line="360" w:lineRule="auto"/>
        <w:ind w:firstLine="480" w:firstLineChars="200"/>
        <w:rPr>
          <w:rFonts w:hint="eastAsia" w:ascii="宋体" w:hAnsi="宋体" w:eastAsia="宋体" w:cs="宋体"/>
          <w:color w:val="auto"/>
          <w:sz w:val="24"/>
          <w:szCs w:val="24"/>
          <w:highlight w:val="none"/>
        </w:rPr>
      </w:pPr>
    </w:p>
    <w:p w14:paraId="6FC4024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9F7F553">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DF076F1">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56C5B418">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参加本次政府采购活动前三年内在经营活动中</w:t>
      </w:r>
    </w:p>
    <w:p w14:paraId="1B11939F">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14:paraId="3217CBCE">
      <w:pPr>
        <w:pStyle w:val="15"/>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14:paraId="070A0E21">
      <w:pPr>
        <w:pStyle w:val="15"/>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619C1525">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14:paraId="11F5BD63">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14:paraId="5B8F55DB">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01A9C0B">
      <w:pPr>
        <w:snapToGrid w:val="0"/>
        <w:spacing w:after="0" w:line="360" w:lineRule="auto"/>
        <w:ind w:firstLine="480" w:firstLineChars="200"/>
        <w:rPr>
          <w:rFonts w:hint="eastAsia" w:ascii="宋体" w:hAnsi="宋体" w:eastAsia="宋体" w:cs="宋体"/>
          <w:color w:val="auto"/>
          <w:sz w:val="24"/>
          <w:szCs w:val="24"/>
          <w:highlight w:val="none"/>
        </w:rPr>
      </w:pPr>
    </w:p>
    <w:p w14:paraId="3C13FB2C">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14:paraId="260E0821">
      <w:pPr>
        <w:snapToGrid w:val="0"/>
        <w:spacing w:after="0" w:line="360" w:lineRule="auto"/>
        <w:ind w:firstLine="480" w:firstLineChars="200"/>
        <w:rPr>
          <w:rFonts w:hint="eastAsia" w:ascii="宋体" w:hAnsi="宋体" w:eastAsia="宋体" w:cs="宋体"/>
          <w:color w:val="auto"/>
          <w:sz w:val="24"/>
          <w:szCs w:val="24"/>
          <w:highlight w:val="none"/>
        </w:rPr>
      </w:pPr>
    </w:p>
    <w:p w14:paraId="1F1B759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9AB45E1">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4D97D64">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2CFA64DE">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参加政府采购活动前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14:paraId="3E615205">
      <w:pPr>
        <w:widowControl/>
        <w:spacing w:after="0" w:line="240" w:lineRule="auto"/>
        <w:jc w:val="center"/>
        <w:rPr>
          <w:rFonts w:hint="eastAsia" w:ascii="宋体" w:hAnsi="宋体" w:eastAsia="宋体" w:cs="宋体"/>
          <w:color w:val="auto"/>
          <w:sz w:val="24"/>
          <w:szCs w:val="24"/>
          <w:highlight w:val="none"/>
        </w:rPr>
      </w:pPr>
    </w:p>
    <w:p w14:paraId="36432026">
      <w:pPr>
        <w:pStyle w:val="15"/>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08C27167">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14:paraId="34F946CB">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04ABC91">
      <w:pPr>
        <w:snapToGrid w:val="0"/>
        <w:spacing w:after="0" w:line="360" w:lineRule="auto"/>
        <w:ind w:firstLine="480" w:firstLineChars="200"/>
        <w:rPr>
          <w:rFonts w:hint="eastAsia" w:ascii="宋体" w:hAnsi="宋体" w:eastAsia="宋体" w:cs="宋体"/>
          <w:color w:val="auto"/>
          <w:sz w:val="24"/>
          <w:szCs w:val="24"/>
          <w:highlight w:val="none"/>
        </w:rPr>
      </w:pPr>
    </w:p>
    <w:p w14:paraId="125780B1">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14:paraId="6E45F867">
      <w:pPr>
        <w:snapToGrid w:val="0"/>
        <w:spacing w:after="0" w:line="360" w:lineRule="auto"/>
        <w:ind w:firstLine="480" w:firstLineChars="200"/>
        <w:rPr>
          <w:rFonts w:hint="eastAsia" w:ascii="宋体" w:hAnsi="宋体" w:eastAsia="宋体" w:cs="宋体"/>
          <w:color w:val="auto"/>
          <w:sz w:val="24"/>
          <w:szCs w:val="24"/>
          <w:highlight w:val="none"/>
        </w:rPr>
      </w:pPr>
    </w:p>
    <w:p w14:paraId="7895B778">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3780414">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1714C4F">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533DD158">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具备法律、行政法规规定的其他条件的证明材料</w:t>
      </w:r>
    </w:p>
    <w:p w14:paraId="0F55579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1BD21696">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14:paraId="1442671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14:paraId="6A0E66A5">
      <w:pPr>
        <w:widowControl/>
        <w:spacing w:after="0" w:line="360" w:lineRule="auto"/>
        <w:ind w:firstLine="480" w:firstLineChars="200"/>
        <w:jc w:val="left"/>
        <w:rPr>
          <w:rFonts w:hint="eastAsia" w:ascii="宋体" w:hAnsi="宋体" w:eastAsia="宋体" w:cs="宋体"/>
          <w:color w:val="auto"/>
          <w:kern w:val="0"/>
          <w:sz w:val="24"/>
          <w:szCs w:val="24"/>
          <w:highlight w:val="none"/>
        </w:rPr>
      </w:pPr>
    </w:p>
    <w:p w14:paraId="4C75C75E">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的</w:t>
      </w:r>
      <w:r>
        <w:rPr>
          <w:rFonts w:hint="eastAsia" w:hAnsi="宋体" w:cs="宋体"/>
          <w:i w:val="0"/>
          <w:iCs w:val="0"/>
          <w:color w:val="auto"/>
          <w:sz w:val="24"/>
          <w:szCs w:val="24"/>
          <w:highlight w:val="none"/>
          <w:u w:val="single"/>
          <w:lang w:eastAsia="zh-CN"/>
        </w:rPr>
        <w:t>国家税务总局福州市仓山区税务局涉税（费）服务采购项目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5CD7315D">
      <w:pPr>
        <w:pStyle w:val="15"/>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sz w:val="24"/>
          <w:szCs w:val="24"/>
          <w:highlight w:val="none"/>
        </w:rPr>
        <w:t>.</w:t>
      </w:r>
      <w:r>
        <w:rPr>
          <w:rFonts w:hint="eastAsia" w:hAnsi="宋体" w:cs="宋体"/>
          <w:i w:val="0"/>
          <w:iCs w:val="0"/>
          <w:color w:val="auto"/>
          <w:sz w:val="24"/>
          <w:szCs w:val="24"/>
          <w:highlight w:val="none"/>
          <w:u w:val="single"/>
          <w:lang w:eastAsia="zh-CN"/>
        </w:rPr>
        <w:t>国家税务总局福州市仓山区税务局涉税（费）服务采购项目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14:paraId="5BE660DA">
      <w:pPr>
        <w:pStyle w:val="15"/>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u w:val="single"/>
        </w:rPr>
        <w:t xml:space="preserve"> （标的名称）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14:paraId="51C500D8">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318BF">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B5714EF">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0D3F49E0">
      <w:pPr>
        <w:pStyle w:val="15"/>
        <w:snapToGrid w:val="0"/>
        <w:spacing w:line="360" w:lineRule="auto"/>
        <w:ind w:firstLine="480" w:firstLineChars="200"/>
        <w:rPr>
          <w:rFonts w:hint="eastAsia" w:ascii="宋体" w:hAnsi="宋体" w:eastAsia="宋体" w:cs="宋体"/>
          <w:color w:val="auto"/>
          <w:sz w:val="24"/>
          <w:szCs w:val="24"/>
          <w:highlight w:val="none"/>
        </w:rPr>
      </w:pPr>
    </w:p>
    <w:p w14:paraId="0E76816B">
      <w:pPr>
        <w:pStyle w:val="15"/>
        <w:snapToGrid w:val="0"/>
        <w:spacing w:line="360" w:lineRule="auto"/>
        <w:ind w:firstLine="480" w:firstLineChars="200"/>
        <w:rPr>
          <w:rFonts w:hint="eastAsia" w:ascii="宋体" w:hAnsi="宋体" w:eastAsia="宋体" w:cs="宋体"/>
          <w:color w:val="auto"/>
          <w:sz w:val="24"/>
          <w:szCs w:val="24"/>
          <w:highlight w:val="none"/>
        </w:rPr>
      </w:pPr>
    </w:p>
    <w:p w14:paraId="23BCF5DB">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100669C">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57A6089A">
      <w:pPr>
        <w:pStyle w:val="15"/>
        <w:snapToGrid w:val="0"/>
        <w:spacing w:line="360" w:lineRule="auto"/>
        <w:ind w:firstLine="480" w:firstLineChars="200"/>
        <w:rPr>
          <w:rFonts w:hint="eastAsia" w:ascii="宋体" w:hAnsi="宋体" w:eastAsia="宋体" w:cs="宋体"/>
          <w:color w:val="auto"/>
          <w:sz w:val="24"/>
          <w:szCs w:val="24"/>
          <w:highlight w:val="none"/>
        </w:rPr>
      </w:pPr>
    </w:p>
    <w:p w14:paraId="60BA4B0C">
      <w:pPr>
        <w:pStyle w:val="15"/>
        <w:snapToGrid w:val="0"/>
        <w:spacing w:line="360" w:lineRule="auto"/>
        <w:ind w:firstLine="480" w:firstLineChars="200"/>
        <w:rPr>
          <w:rFonts w:hint="eastAsia" w:ascii="宋体" w:hAnsi="宋体" w:eastAsia="宋体" w:cs="宋体"/>
          <w:color w:val="auto"/>
          <w:sz w:val="24"/>
          <w:szCs w:val="24"/>
          <w:highlight w:val="none"/>
        </w:rPr>
      </w:pPr>
    </w:p>
    <w:p w14:paraId="404CBE9A">
      <w:pPr>
        <w:widowControl/>
        <w:rPr>
          <w:rFonts w:hint="eastAsia" w:ascii="宋体" w:hAnsi="宋体" w:eastAsia="宋体" w:cs="宋体"/>
          <w:color w:val="auto"/>
          <w:sz w:val="24"/>
          <w:szCs w:val="24"/>
          <w:highlight w:val="none"/>
        </w:rPr>
      </w:pPr>
    </w:p>
    <w:p w14:paraId="72F4B7D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14:paraId="571561E5">
      <w:pPr>
        <w:pStyle w:val="15"/>
        <w:snapToGrid w:val="0"/>
        <w:spacing w:line="360" w:lineRule="auto"/>
        <w:ind w:firstLine="480" w:firstLineChars="200"/>
        <w:rPr>
          <w:rFonts w:hint="eastAsia" w:ascii="宋体" w:hAnsi="宋体" w:eastAsia="宋体" w:cs="宋体"/>
          <w:color w:val="auto"/>
          <w:sz w:val="24"/>
          <w:szCs w:val="24"/>
          <w:highlight w:val="none"/>
        </w:rPr>
      </w:pPr>
    </w:p>
    <w:p w14:paraId="359B0CCD">
      <w:pPr>
        <w:pStyle w:val="15"/>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10" w:name="_Toc5684"/>
      <w:bookmarkStart w:id="111" w:name="_Toc15089"/>
      <w:r>
        <w:rPr>
          <w:rFonts w:hint="eastAsia" w:ascii="宋体" w:hAnsi="宋体" w:eastAsia="宋体" w:cs="宋体"/>
          <w:b/>
          <w:bCs/>
          <w:color w:val="auto"/>
          <w:kern w:val="2"/>
          <w:sz w:val="32"/>
          <w:szCs w:val="32"/>
          <w:highlight w:val="none"/>
          <w:lang w:val="en-US" w:eastAsia="zh-CN" w:bidi="ar-SA"/>
        </w:rPr>
        <w:t>格式7  残疾人福利性单位声明函</w:t>
      </w:r>
      <w:bookmarkEnd w:id="110"/>
      <w:bookmarkEnd w:id="111"/>
    </w:p>
    <w:p w14:paraId="2C827DE4">
      <w:pPr>
        <w:spacing w:line="588" w:lineRule="exact"/>
        <w:rPr>
          <w:rFonts w:hint="eastAsia" w:ascii="宋体" w:hAnsi="宋体" w:eastAsia="宋体" w:cs="宋体"/>
          <w:b/>
          <w:color w:val="auto"/>
          <w:spacing w:val="6"/>
          <w:sz w:val="24"/>
          <w:szCs w:val="24"/>
          <w:highlight w:val="none"/>
        </w:rPr>
      </w:pPr>
    </w:p>
    <w:p w14:paraId="3125C42E">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01563EA">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F3C1201">
      <w:pPr>
        <w:spacing w:line="588" w:lineRule="exact"/>
        <w:ind w:firstLine="504" w:firstLineChars="200"/>
        <w:rPr>
          <w:rFonts w:hint="eastAsia" w:ascii="宋体" w:hAnsi="宋体" w:eastAsia="宋体" w:cs="宋体"/>
          <w:color w:val="auto"/>
          <w:spacing w:val="6"/>
          <w:sz w:val="24"/>
          <w:szCs w:val="24"/>
          <w:highlight w:val="none"/>
        </w:rPr>
      </w:pPr>
    </w:p>
    <w:p w14:paraId="4CEA1441">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4DCA82A">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72537FF2">
      <w:pPr>
        <w:topLinePunct/>
        <w:autoSpaceDE w:val="0"/>
        <w:autoSpaceDN w:val="0"/>
        <w:spacing w:line="460" w:lineRule="exact"/>
        <w:jc w:val="center"/>
        <w:rPr>
          <w:rFonts w:hint="eastAsia" w:ascii="宋体" w:hAnsi="宋体" w:eastAsia="宋体" w:cs="宋体"/>
          <w:color w:val="auto"/>
          <w:spacing w:val="6"/>
          <w:sz w:val="24"/>
          <w:szCs w:val="24"/>
          <w:highlight w:val="none"/>
        </w:rPr>
      </w:pPr>
    </w:p>
    <w:p w14:paraId="56800073">
      <w:pPr>
        <w:rPr>
          <w:rFonts w:hint="eastAsia" w:ascii="宋体" w:hAnsi="宋体" w:eastAsia="宋体" w:cs="宋体"/>
          <w:b/>
          <w:bCs/>
          <w:color w:val="auto"/>
          <w:sz w:val="24"/>
          <w:szCs w:val="24"/>
          <w:highlight w:val="none"/>
        </w:rPr>
      </w:pPr>
    </w:p>
    <w:p w14:paraId="0B318F0F">
      <w:pPr>
        <w:rPr>
          <w:rFonts w:hint="eastAsia" w:ascii="宋体" w:hAnsi="宋体" w:eastAsia="宋体" w:cs="宋体"/>
          <w:b/>
          <w:bCs/>
          <w:color w:val="auto"/>
          <w:sz w:val="24"/>
          <w:szCs w:val="24"/>
          <w:highlight w:val="none"/>
        </w:rPr>
      </w:pPr>
      <w:bookmarkStart w:id="112" w:name="_Toc1062827402"/>
      <w:bookmarkStart w:id="113" w:name="_Toc665197788"/>
      <w:bookmarkStart w:id="114" w:name="_Toc18814"/>
      <w:bookmarkStart w:id="115" w:name="_Toc989815653"/>
      <w:bookmarkStart w:id="116" w:name="_Toc579775874"/>
      <w:bookmarkStart w:id="117" w:name="_Toc315564887"/>
      <w:bookmarkStart w:id="118" w:name="_Toc2129800646"/>
      <w:bookmarkStart w:id="119" w:name="_Toc1093498656"/>
      <w:bookmarkStart w:id="120" w:name="_Toc240142232"/>
      <w:bookmarkStart w:id="121" w:name="_Toc1229686241"/>
      <w:r>
        <w:rPr>
          <w:rFonts w:hint="eastAsia" w:ascii="宋体" w:hAnsi="宋体" w:eastAsia="宋体" w:cs="宋体"/>
          <w:b/>
          <w:bCs/>
          <w:color w:val="auto"/>
          <w:sz w:val="24"/>
          <w:szCs w:val="24"/>
          <w:highlight w:val="none"/>
        </w:rPr>
        <w:br w:type="page"/>
      </w:r>
    </w:p>
    <w:p w14:paraId="3F519041">
      <w:pPr>
        <w:adjustRightInd w:val="0"/>
        <w:snapToGrid w:val="0"/>
        <w:spacing w:after="0" w:line="360" w:lineRule="auto"/>
        <w:jc w:val="center"/>
        <w:rPr>
          <w:rFonts w:hint="eastAsia" w:ascii="宋体" w:hAnsi="宋体" w:eastAsia="宋体" w:cs="宋体"/>
          <w:b/>
          <w:bCs/>
          <w:color w:val="auto"/>
          <w:sz w:val="24"/>
          <w:szCs w:val="24"/>
          <w:highlight w:val="none"/>
        </w:rPr>
      </w:pPr>
    </w:p>
    <w:p w14:paraId="46B8ACC8">
      <w:pPr>
        <w:spacing w:line="600" w:lineRule="auto"/>
        <w:jc w:val="center"/>
        <w:rPr>
          <w:rFonts w:hint="eastAsia" w:ascii="宋体" w:hAnsi="宋体" w:eastAsia="宋体" w:cs="宋体"/>
          <w:b/>
          <w:color w:val="auto"/>
          <w:kern w:val="0"/>
          <w:sz w:val="24"/>
          <w:szCs w:val="24"/>
          <w:highlight w:val="none"/>
        </w:rPr>
      </w:pPr>
    </w:p>
    <w:p w14:paraId="2D0E53D9">
      <w:pPr>
        <w:pStyle w:val="13"/>
        <w:rPr>
          <w:rFonts w:hint="eastAsia" w:ascii="宋体" w:hAnsi="宋体" w:eastAsia="宋体" w:cs="宋体"/>
          <w:b/>
          <w:color w:val="auto"/>
          <w:kern w:val="0"/>
          <w:sz w:val="24"/>
          <w:szCs w:val="24"/>
          <w:highlight w:val="none"/>
        </w:rPr>
      </w:pPr>
    </w:p>
    <w:p w14:paraId="7B70DF1F">
      <w:pPr>
        <w:rPr>
          <w:rFonts w:hint="eastAsia" w:ascii="宋体" w:hAnsi="宋体" w:eastAsia="宋体" w:cs="宋体"/>
          <w:color w:val="auto"/>
          <w:sz w:val="24"/>
          <w:szCs w:val="24"/>
          <w:highlight w:val="none"/>
        </w:rPr>
      </w:pPr>
    </w:p>
    <w:p w14:paraId="2C41BFD9">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14:paraId="1BEC35C0">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14:paraId="0D37C0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14:paraId="0E0B24A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14:paraId="5C1440BD">
      <w:pPr>
        <w:spacing w:line="360" w:lineRule="auto"/>
        <w:ind w:firstLine="640" w:firstLineChars="200"/>
        <w:jc w:val="center"/>
        <w:rPr>
          <w:rFonts w:hint="eastAsia" w:ascii="宋体" w:hAnsi="宋体" w:eastAsia="宋体" w:cs="宋体"/>
          <w:b w:val="0"/>
          <w:bCs/>
          <w:color w:val="auto"/>
          <w:kern w:val="0"/>
          <w:sz w:val="32"/>
          <w:szCs w:val="32"/>
          <w:highlight w:val="none"/>
        </w:rPr>
      </w:pPr>
    </w:p>
    <w:p w14:paraId="5D086DFB">
      <w:pPr>
        <w:pStyle w:val="13"/>
        <w:rPr>
          <w:rFonts w:hint="eastAsia" w:ascii="宋体" w:hAnsi="宋体" w:eastAsia="宋体" w:cs="宋体"/>
          <w:b w:val="0"/>
          <w:bCs/>
          <w:color w:val="auto"/>
          <w:kern w:val="0"/>
          <w:sz w:val="32"/>
          <w:szCs w:val="32"/>
          <w:highlight w:val="none"/>
        </w:rPr>
      </w:pPr>
    </w:p>
    <w:p w14:paraId="59E2B79D">
      <w:pPr>
        <w:rPr>
          <w:rFonts w:hint="eastAsia" w:ascii="宋体" w:hAnsi="宋体" w:eastAsia="宋体" w:cs="宋体"/>
          <w:color w:val="auto"/>
          <w:sz w:val="32"/>
          <w:szCs w:val="32"/>
          <w:highlight w:val="none"/>
        </w:rPr>
      </w:pPr>
    </w:p>
    <w:p w14:paraId="13726EB6">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14:paraId="3E05094F">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14:paraId="3374C99F">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14:paraId="1ED71933">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14:paraId="167B4317">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14:paraId="6FCB78E2">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14:paraId="062F28F4">
      <w:pPr>
        <w:spacing w:line="600" w:lineRule="auto"/>
        <w:jc w:val="center"/>
        <w:rPr>
          <w:rFonts w:hint="eastAsia" w:ascii="宋体" w:hAnsi="宋体" w:eastAsia="宋体" w:cs="宋体"/>
          <w:b/>
          <w:color w:val="auto"/>
          <w:kern w:val="0"/>
          <w:sz w:val="24"/>
          <w:szCs w:val="24"/>
          <w:highlight w:val="none"/>
        </w:rPr>
      </w:pPr>
    </w:p>
    <w:p w14:paraId="3CFFC357">
      <w:pPr>
        <w:pStyle w:val="13"/>
        <w:rPr>
          <w:rFonts w:hint="eastAsia" w:ascii="宋体" w:hAnsi="宋体" w:eastAsia="宋体" w:cs="宋体"/>
          <w:b/>
          <w:color w:val="auto"/>
          <w:kern w:val="0"/>
          <w:sz w:val="24"/>
          <w:szCs w:val="24"/>
          <w:highlight w:val="none"/>
        </w:rPr>
      </w:pPr>
    </w:p>
    <w:p w14:paraId="09EF726F">
      <w:pPr>
        <w:rPr>
          <w:rFonts w:hint="eastAsia" w:ascii="宋体" w:hAnsi="宋体" w:eastAsia="宋体" w:cs="宋体"/>
          <w:color w:val="auto"/>
          <w:sz w:val="24"/>
          <w:szCs w:val="24"/>
          <w:highlight w:val="none"/>
        </w:rPr>
      </w:pPr>
    </w:p>
    <w:p w14:paraId="290838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14:paraId="24A582D0">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29"/>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14:paraId="6169A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4C7E09D7">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vAlign w:val="top"/>
          </w:tcPr>
          <w:p w14:paraId="1FA61200">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14:paraId="7034F32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14:paraId="337C245C">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14:paraId="140D4D4F">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14:paraId="69B10ED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44BCFE74">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14:paraId="755EF0EB">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14:paraId="5A6BB489">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36FF5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4538ACDF">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14:paraId="1F5B9D9A">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33E3953D">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302A1C1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3D87CF71">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1473CF5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25220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68E8B54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14:paraId="23133830">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6DD7BBEA">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2AC2AFA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45A0B93C">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0FF91708">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22769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7C218A6">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14:paraId="100D677D">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567AC7DA">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74F5B3A8">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45FE296E">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1D3C5BE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3CD70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607524F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14:paraId="29D386BC">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1C94E7D0">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0B0B560B">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4306F3DE">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3BF716FC">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5C864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3D3D87A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14:paraId="1C368B1E">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14:paraId="5289915E">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14:paraId="4EB3A570">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3EE85076">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7332596E">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0D436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58BBA45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14:paraId="67ED16F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14:paraId="39CF6BF1">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14:paraId="1F5443A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259165EC">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0FAE1F70">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14:paraId="5C97B9EC">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28F5FCB4">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14:paraId="33250A48">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14:paraId="5E6C6FD9">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4CAD2EA9">
      <w:pPr>
        <w:pStyle w:val="40"/>
        <w:spacing w:after="156"/>
        <w:ind w:firstLine="400"/>
        <w:rPr>
          <w:rFonts w:hint="eastAsia" w:ascii="宋体" w:hAnsi="宋体" w:eastAsia="宋体" w:cs="宋体"/>
          <w:color w:val="auto"/>
          <w:sz w:val="24"/>
          <w:szCs w:val="24"/>
          <w:highlight w:val="none"/>
        </w:rPr>
      </w:pPr>
    </w:p>
    <w:p w14:paraId="57215E0C">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8BECF68">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0DF7613">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1E00DB01">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5A31ACF2">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14:paraId="25B3E988">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14:paraId="0B934AB1">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服务方案说明</w:t>
      </w:r>
    </w:p>
    <w:p w14:paraId="437751C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服务类项目供应商应根据第六章规定编写服务方案说明。服务方案说明包括但不限于：</w:t>
      </w:r>
    </w:p>
    <w:p w14:paraId="4F04F40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(1)服务目标、范围和任务；</w:t>
      </w:r>
    </w:p>
    <w:p w14:paraId="61C33A1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(2)服务方案；</w:t>
      </w:r>
    </w:p>
    <w:p w14:paraId="4103253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(3)服务团队组织安排计划；</w:t>
      </w:r>
    </w:p>
    <w:p w14:paraId="7F2CBED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(4)工作流程；</w:t>
      </w:r>
    </w:p>
    <w:p w14:paraId="4DA15E9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(5)进度计划及保证措施；</w:t>
      </w:r>
    </w:p>
    <w:p w14:paraId="6C69384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(6)质量保证措施；</w:t>
      </w:r>
    </w:p>
    <w:p w14:paraId="0E17254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(7)合理化建议；</w:t>
      </w:r>
    </w:p>
    <w:p w14:paraId="31259CD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w:t>
      </w:r>
    </w:p>
    <w:p w14:paraId="5E0E986E">
      <w:pPr>
        <w:spacing w:after="0" w:line="240" w:lineRule="auto"/>
        <w:ind w:firstLine="480" w:firstLineChars="200"/>
        <w:rPr>
          <w:rFonts w:hint="eastAsia" w:ascii="宋体" w:hAnsi="宋体" w:eastAsia="宋体" w:cs="宋体"/>
          <w:color w:val="auto"/>
          <w:sz w:val="24"/>
          <w:szCs w:val="24"/>
          <w:highlight w:val="none"/>
        </w:rPr>
      </w:pPr>
    </w:p>
    <w:p w14:paraId="6C7CC0AD">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实施方案</w:t>
      </w:r>
    </w:p>
    <w:p w14:paraId="18DCCF6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(示例略)</w:t>
      </w:r>
    </w:p>
    <w:p w14:paraId="090A2E7E">
      <w:pPr>
        <w:spacing w:after="0" w:line="240" w:lineRule="auto"/>
        <w:ind w:firstLine="480" w:firstLineChars="200"/>
        <w:rPr>
          <w:rFonts w:hint="eastAsia" w:ascii="宋体" w:hAnsi="宋体" w:eastAsia="宋体" w:cs="宋体"/>
          <w:color w:val="auto"/>
          <w:sz w:val="24"/>
          <w:szCs w:val="24"/>
          <w:highlight w:val="none"/>
        </w:rPr>
      </w:pPr>
    </w:p>
    <w:p w14:paraId="0D2FE225">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技术方案</w:t>
      </w:r>
    </w:p>
    <w:p w14:paraId="1811EF4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(示例略)</w:t>
      </w:r>
    </w:p>
    <w:p w14:paraId="094DDB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技术力量一览表</w:t>
      </w:r>
    </w:p>
    <w:tbl>
      <w:tblPr>
        <w:tblStyle w:val="29"/>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14:paraId="5A72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0BB9D99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14:paraId="46A0595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14:paraId="565599F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14:paraId="0D1349B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14:paraId="2DE902B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14:paraId="2085C62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14:paraId="62276C8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认证情况</w:t>
            </w:r>
          </w:p>
        </w:tc>
      </w:tr>
      <w:tr w14:paraId="674C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2FFEA880">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项目管理人员</w:t>
            </w:r>
          </w:p>
        </w:tc>
      </w:tr>
      <w:tr w14:paraId="0D67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100C0CE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067C2BE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5736585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5690E4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A1222C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55289B8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64C3C1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6DDA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18E576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78E8F3C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8BC48C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A2E559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732359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2050B6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7E5948C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2EC9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73A8FA8E">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lang w:eastAsia="zh-CN"/>
              </w:rPr>
            </w:pPr>
          </w:p>
        </w:tc>
      </w:tr>
      <w:tr w14:paraId="4877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106EC9D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59461B9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12BD7A7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2B4583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A7598A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0A0DA1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C4FE47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7A1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EC97C5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5948192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5C09F8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FB7887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9B7DF5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6CD05C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0D978D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12C9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7FDCD548">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cs="宋体"/>
                <w:b w:val="0"/>
                <w:bCs w:val="0"/>
                <w:color w:val="auto"/>
                <w:sz w:val="24"/>
                <w:szCs w:val="24"/>
                <w:highlight w:val="none"/>
                <w:lang w:val="en-US" w:eastAsia="zh-CN"/>
              </w:rPr>
              <w:t>项目团队其他</w:t>
            </w:r>
            <w:r>
              <w:rPr>
                <w:rFonts w:hint="eastAsia" w:ascii="宋体" w:hAnsi="宋体" w:eastAsia="宋体" w:cs="宋体"/>
                <w:b w:val="0"/>
                <w:bCs w:val="0"/>
                <w:color w:val="auto"/>
                <w:sz w:val="24"/>
                <w:szCs w:val="24"/>
                <w:highlight w:val="none"/>
              </w:rPr>
              <w:t>人员</w:t>
            </w:r>
          </w:p>
        </w:tc>
      </w:tr>
      <w:tr w14:paraId="191E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F71FB0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011B890D">
            <w:pPr>
              <w:keepNext w:val="0"/>
              <w:keepLines w:val="0"/>
              <w:pageBreakBefore w:val="0"/>
              <w:widowControl w:val="0"/>
              <w:kinsoku/>
              <w:wordWrap/>
              <w:overflowPunct/>
              <w:topLinePunct w:val="0"/>
              <w:autoSpaceDE/>
              <w:autoSpaceDN/>
              <w:bidi w:val="0"/>
              <w:adjustRightInd w:val="0"/>
              <w:snapToGrid/>
              <w:spacing w:after="0" w:line="400" w:lineRule="exact"/>
              <w:jc w:val="both"/>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B9F914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E9DBC7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B4EB67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E8AB27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347F58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AEC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300534F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4E28D63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AC74F9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C244B2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0AEA02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BF0E9F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DE5F79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073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016575B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noWrap/>
            <w:vAlign w:val="center"/>
          </w:tcPr>
          <w:p w14:paraId="6E3B40E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1729C6E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6AAAE2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9A86D6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27CA0EE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12A1009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1824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688F31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noWrap/>
            <w:vAlign w:val="center"/>
          </w:tcPr>
          <w:p w14:paraId="6547152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CDF07A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138B3C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9B1EFD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20D383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AA761E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5A4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AD833D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noWrap/>
            <w:vAlign w:val="center"/>
          </w:tcPr>
          <w:p w14:paraId="1EF12A7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4BA12C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9DEA5B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562900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5F6C3D7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6B3419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2B56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59B25C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356" w:type="dxa"/>
            <w:tcBorders>
              <w:top w:val="single" w:color="auto" w:sz="4" w:space="0"/>
              <w:left w:val="single" w:color="auto" w:sz="4" w:space="0"/>
              <w:bottom w:val="single" w:color="auto" w:sz="4" w:space="0"/>
              <w:right w:val="single" w:color="auto" w:sz="4" w:space="0"/>
            </w:tcBorders>
            <w:noWrap/>
            <w:vAlign w:val="center"/>
          </w:tcPr>
          <w:p w14:paraId="7516638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449A22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C38C88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970CD1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FFDA07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389FCFC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613A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4D38F6E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356" w:type="dxa"/>
            <w:tcBorders>
              <w:top w:val="single" w:color="auto" w:sz="4" w:space="0"/>
              <w:left w:val="single" w:color="auto" w:sz="4" w:space="0"/>
              <w:bottom w:val="single" w:color="auto" w:sz="4" w:space="0"/>
              <w:right w:val="single" w:color="auto" w:sz="4" w:space="0"/>
            </w:tcBorders>
            <w:noWrap/>
            <w:vAlign w:val="center"/>
          </w:tcPr>
          <w:p w14:paraId="000BA83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F9067C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F6F960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C5B4CE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340AA3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8E1C66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3422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C6E1B5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356" w:type="dxa"/>
            <w:tcBorders>
              <w:top w:val="single" w:color="auto" w:sz="4" w:space="0"/>
              <w:left w:val="single" w:color="auto" w:sz="4" w:space="0"/>
              <w:bottom w:val="single" w:color="auto" w:sz="4" w:space="0"/>
              <w:right w:val="single" w:color="auto" w:sz="4" w:space="0"/>
            </w:tcBorders>
            <w:noWrap/>
            <w:vAlign w:val="center"/>
          </w:tcPr>
          <w:p w14:paraId="28F96C0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6294D7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0F5D217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806924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50F6C7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3F5E8DC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24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0B3DBE1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7B0ABAD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2AA7F43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E3E20F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798EA8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682F96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7B3ADA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F03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3E2EBD46">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三、XX人员</w:t>
            </w:r>
          </w:p>
        </w:tc>
      </w:tr>
      <w:tr w14:paraId="6452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036C056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noWrap w:val="0"/>
            <w:vAlign w:val="center"/>
          </w:tcPr>
          <w:p w14:paraId="6F45CA0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14:paraId="6E9B3AD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14:paraId="3D79653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14:paraId="5BBD1A5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14:paraId="22DCB6A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14:paraId="17E552C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3DA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2C99740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noWrap w:val="0"/>
            <w:vAlign w:val="center"/>
          </w:tcPr>
          <w:p w14:paraId="07B3B59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14:paraId="3016B86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14:paraId="046CCDB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14:paraId="39702E1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14:paraId="06CB26A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14:paraId="0ED8024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4F40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829795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noWrap w:val="0"/>
            <w:vAlign w:val="center"/>
          </w:tcPr>
          <w:p w14:paraId="05C2781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14:paraId="5016E2F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14:paraId="37D5096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14:paraId="210D881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14:paraId="1B09B5E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14:paraId="59ED638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bl>
    <w:p w14:paraId="2755FDEE">
      <w:pPr>
        <w:topLinePunct/>
        <w:autoSpaceDE w:val="0"/>
        <w:autoSpaceDN w:val="0"/>
        <w:spacing w:line="460" w:lineRule="exact"/>
        <w:rPr>
          <w:rFonts w:hint="eastAsia" w:ascii="宋体" w:hAnsi="宋体" w:eastAsia="宋体" w:cs="宋体"/>
          <w:bCs/>
          <w:color w:val="auto"/>
          <w:w w:val="150"/>
          <w:sz w:val="24"/>
          <w:szCs w:val="24"/>
          <w:highlight w:val="green"/>
          <w:shd w:val="clear" w:color="auto" w:fill="FFFF00"/>
        </w:rPr>
      </w:pPr>
    </w:p>
    <w:p w14:paraId="70B8685B">
      <w:pPr>
        <w:topLinePunct/>
        <w:autoSpaceDE w:val="0"/>
        <w:autoSpaceDN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 xml:space="preserve"> 技术人员简历表</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14:paraId="5A61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360EC6B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8AAD66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308F75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DD7478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4DC83B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出生日期</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A3E29E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31F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5060AD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12C434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904B2C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CA27E7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6CFEBA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62BA23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10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11A5E1F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公司职务</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C60614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58516D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任职时间</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1C857B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FED3E9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本项目任职</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092DFD1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61C3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5EB8E2C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人员级别</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0348829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91F830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5F5B191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97C8DE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从事XXXX年限</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106103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F30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312AF8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noWrap w:val="0"/>
            <w:vAlign w:val="center"/>
          </w:tcPr>
          <w:p w14:paraId="583FB81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19ED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14:paraId="00792DB7">
            <w:pPr>
              <w:keepNext w:val="0"/>
              <w:keepLines w:val="0"/>
              <w:pageBreakBefore w:val="0"/>
              <w:widowControl w:val="0"/>
              <w:kinsoku/>
              <w:wordWrap/>
              <w:overflowPunct/>
              <w:topLinePunct w:val="0"/>
              <w:autoSpaceDE/>
              <w:autoSpaceDN/>
              <w:bidi w:val="0"/>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工作简历及主要业绩</w:t>
            </w:r>
          </w:p>
          <w:p w14:paraId="70281A04">
            <w:pPr>
              <w:keepNext w:val="0"/>
              <w:keepLines w:val="0"/>
              <w:pageBreakBefore w:val="0"/>
              <w:widowControl w:val="0"/>
              <w:kinsoku/>
              <w:wordWrap/>
              <w:overflowPunct/>
              <w:topLinePunct w:val="0"/>
              <w:autoSpaceDE/>
              <w:autoSpaceDN/>
              <w:bidi w:val="0"/>
              <w:adjustRightInd w:val="0"/>
              <w:snapToGrid/>
              <w:spacing w:after="0" w:line="400" w:lineRule="exact"/>
              <w:textAlignment w:val="auto"/>
              <w:rPr>
                <w:rFonts w:hint="eastAsia" w:ascii="宋体" w:hAnsi="宋体" w:eastAsia="宋体" w:cs="宋体"/>
                <w:color w:val="auto"/>
                <w:sz w:val="24"/>
                <w:szCs w:val="24"/>
                <w:highlight w:val="none"/>
              </w:rPr>
            </w:pPr>
          </w:p>
        </w:tc>
      </w:tr>
    </w:tbl>
    <w:p w14:paraId="217D8DFD">
      <w:pPr>
        <w:widowControl/>
        <w:spacing w:after="0" w:line="240" w:lineRule="auto"/>
        <w:jc w:val="left"/>
        <w:rPr>
          <w:rFonts w:hint="eastAsia" w:ascii="宋体" w:hAnsi="宋体" w:eastAsia="宋体" w:cs="宋体"/>
          <w:color w:val="auto"/>
          <w:sz w:val="24"/>
          <w:szCs w:val="24"/>
          <w:highlight w:val="none"/>
        </w:rPr>
      </w:pPr>
    </w:p>
    <w:p w14:paraId="2C7D40B8">
      <w:pPr>
        <w:pStyle w:val="39"/>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 xml:space="preserve"> 评标内容对应表</w:t>
      </w:r>
    </w:p>
    <w:p w14:paraId="30447806">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29"/>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14:paraId="1B55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noWrap w:val="0"/>
            <w:vAlign w:val="center"/>
          </w:tcPr>
          <w:p w14:paraId="76EB5868">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noWrap w:val="0"/>
            <w:vAlign w:val="center"/>
          </w:tcPr>
          <w:p w14:paraId="3F166835">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noWrap w:val="0"/>
            <w:vAlign w:val="center"/>
          </w:tcPr>
          <w:p w14:paraId="0EE74127">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noWrap w:val="0"/>
            <w:vAlign w:val="center"/>
          </w:tcPr>
          <w:p w14:paraId="22221D0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14:paraId="0CD8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noWrap w:val="0"/>
            <w:vAlign w:val="center"/>
          </w:tcPr>
          <w:p w14:paraId="4300BA87">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商务部分</w:t>
            </w:r>
          </w:p>
        </w:tc>
        <w:tc>
          <w:tcPr>
            <w:tcW w:w="1030" w:type="dxa"/>
            <w:noWrap w:val="0"/>
            <w:vAlign w:val="center"/>
          </w:tcPr>
          <w:p w14:paraId="7A80FE27">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1</w:t>
            </w:r>
          </w:p>
        </w:tc>
        <w:tc>
          <w:tcPr>
            <w:tcW w:w="3168" w:type="dxa"/>
            <w:noWrap w:val="0"/>
            <w:vAlign w:val="top"/>
          </w:tcPr>
          <w:p w14:paraId="7D1CE390">
            <w:pPr>
              <w:spacing w:line="440" w:lineRule="exact"/>
              <w:rPr>
                <w:rFonts w:hint="eastAsia" w:ascii="宋体" w:hAnsi="宋体" w:eastAsia="宋体" w:cs="宋体"/>
                <w:b/>
                <w:color w:val="auto"/>
                <w:sz w:val="24"/>
                <w:szCs w:val="24"/>
              </w:rPr>
            </w:pPr>
          </w:p>
        </w:tc>
        <w:tc>
          <w:tcPr>
            <w:tcW w:w="2738" w:type="dxa"/>
            <w:noWrap w:val="0"/>
            <w:vAlign w:val="top"/>
          </w:tcPr>
          <w:p w14:paraId="5452F8C1">
            <w:pPr>
              <w:spacing w:line="440" w:lineRule="exact"/>
              <w:rPr>
                <w:rFonts w:hint="eastAsia" w:ascii="宋体" w:hAnsi="宋体" w:eastAsia="宋体" w:cs="宋体"/>
                <w:b/>
                <w:color w:val="auto"/>
                <w:sz w:val="24"/>
                <w:szCs w:val="24"/>
              </w:rPr>
            </w:pPr>
          </w:p>
        </w:tc>
        <w:tc>
          <w:tcPr>
            <w:tcW w:w="1482" w:type="dxa"/>
            <w:noWrap w:val="0"/>
            <w:vAlign w:val="top"/>
          </w:tcPr>
          <w:p w14:paraId="3E795EF1">
            <w:pPr>
              <w:spacing w:line="440" w:lineRule="exact"/>
              <w:rPr>
                <w:rFonts w:hint="eastAsia" w:ascii="宋体" w:hAnsi="宋体" w:eastAsia="宋体" w:cs="宋体"/>
                <w:b/>
                <w:color w:val="auto"/>
                <w:sz w:val="24"/>
                <w:szCs w:val="24"/>
              </w:rPr>
            </w:pPr>
          </w:p>
        </w:tc>
      </w:tr>
      <w:tr w14:paraId="0972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7BE091EC">
            <w:pPr>
              <w:spacing w:line="440" w:lineRule="exact"/>
              <w:rPr>
                <w:rFonts w:hint="eastAsia" w:ascii="宋体" w:hAnsi="宋体" w:eastAsia="宋体" w:cs="宋体"/>
                <w:b/>
                <w:color w:val="auto"/>
                <w:sz w:val="24"/>
                <w:szCs w:val="24"/>
              </w:rPr>
            </w:pPr>
          </w:p>
        </w:tc>
        <w:tc>
          <w:tcPr>
            <w:tcW w:w="1030" w:type="dxa"/>
            <w:noWrap w:val="0"/>
            <w:vAlign w:val="center"/>
          </w:tcPr>
          <w:p w14:paraId="61868B8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2</w:t>
            </w:r>
          </w:p>
        </w:tc>
        <w:tc>
          <w:tcPr>
            <w:tcW w:w="3168" w:type="dxa"/>
            <w:noWrap w:val="0"/>
            <w:vAlign w:val="top"/>
          </w:tcPr>
          <w:p w14:paraId="6E3A233F">
            <w:pPr>
              <w:spacing w:line="440" w:lineRule="exact"/>
              <w:rPr>
                <w:rFonts w:hint="eastAsia" w:ascii="宋体" w:hAnsi="宋体" w:eastAsia="宋体" w:cs="宋体"/>
                <w:b/>
                <w:color w:val="auto"/>
                <w:sz w:val="24"/>
                <w:szCs w:val="24"/>
              </w:rPr>
            </w:pPr>
          </w:p>
        </w:tc>
        <w:tc>
          <w:tcPr>
            <w:tcW w:w="2738" w:type="dxa"/>
            <w:noWrap w:val="0"/>
            <w:vAlign w:val="top"/>
          </w:tcPr>
          <w:p w14:paraId="6C653867">
            <w:pPr>
              <w:spacing w:line="440" w:lineRule="exact"/>
              <w:rPr>
                <w:rFonts w:hint="eastAsia" w:ascii="宋体" w:hAnsi="宋体" w:eastAsia="宋体" w:cs="宋体"/>
                <w:b/>
                <w:color w:val="auto"/>
                <w:sz w:val="24"/>
                <w:szCs w:val="24"/>
              </w:rPr>
            </w:pPr>
          </w:p>
        </w:tc>
        <w:tc>
          <w:tcPr>
            <w:tcW w:w="1482" w:type="dxa"/>
            <w:noWrap w:val="0"/>
            <w:vAlign w:val="top"/>
          </w:tcPr>
          <w:p w14:paraId="69935801">
            <w:pPr>
              <w:spacing w:line="440" w:lineRule="exact"/>
              <w:rPr>
                <w:rFonts w:hint="eastAsia" w:ascii="宋体" w:hAnsi="宋体" w:eastAsia="宋体" w:cs="宋体"/>
                <w:b/>
                <w:color w:val="auto"/>
                <w:sz w:val="24"/>
                <w:szCs w:val="24"/>
              </w:rPr>
            </w:pPr>
          </w:p>
        </w:tc>
      </w:tr>
      <w:tr w14:paraId="53B1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24205D26">
            <w:pPr>
              <w:spacing w:line="440" w:lineRule="exact"/>
              <w:rPr>
                <w:rFonts w:hint="eastAsia" w:ascii="宋体" w:hAnsi="宋体" w:eastAsia="宋体" w:cs="宋体"/>
                <w:b/>
                <w:color w:val="auto"/>
                <w:sz w:val="24"/>
                <w:szCs w:val="24"/>
              </w:rPr>
            </w:pPr>
          </w:p>
        </w:tc>
        <w:tc>
          <w:tcPr>
            <w:tcW w:w="1030" w:type="dxa"/>
            <w:noWrap w:val="0"/>
            <w:vAlign w:val="center"/>
          </w:tcPr>
          <w:p w14:paraId="6AC2F2FD">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3168" w:type="dxa"/>
            <w:noWrap w:val="0"/>
            <w:vAlign w:val="top"/>
          </w:tcPr>
          <w:p w14:paraId="29D3B3E0">
            <w:pPr>
              <w:spacing w:line="440" w:lineRule="exact"/>
              <w:rPr>
                <w:rFonts w:hint="eastAsia" w:ascii="宋体" w:hAnsi="宋体" w:eastAsia="宋体" w:cs="宋体"/>
                <w:b/>
                <w:color w:val="auto"/>
                <w:sz w:val="24"/>
                <w:szCs w:val="24"/>
              </w:rPr>
            </w:pPr>
          </w:p>
        </w:tc>
        <w:tc>
          <w:tcPr>
            <w:tcW w:w="2738" w:type="dxa"/>
            <w:noWrap w:val="0"/>
            <w:vAlign w:val="top"/>
          </w:tcPr>
          <w:p w14:paraId="23DD39D9">
            <w:pPr>
              <w:spacing w:line="440" w:lineRule="exact"/>
              <w:rPr>
                <w:rFonts w:hint="eastAsia" w:ascii="宋体" w:hAnsi="宋体" w:eastAsia="宋体" w:cs="宋体"/>
                <w:b/>
                <w:color w:val="auto"/>
                <w:sz w:val="24"/>
                <w:szCs w:val="24"/>
              </w:rPr>
            </w:pPr>
          </w:p>
        </w:tc>
        <w:tc>
          <w:tcPr>
            <w:tcW w:w="1482" w:type="dxa"/>
            <w:noWrap w:val="0"/>
            <w:vAlign w:val="top"/>
          </w:tcPr>
          <w:p w14:paraId="3DD0E7BF">
            <w:pPr>
              <w:spacing w:line="440" w:lineRule="exact"/>
              <w:rPr>
                <w:rFonts w:hint="eastAsia" w:ascii="宋体" w:hAnsi="宋体" w:eastAsia="宋体" w:cs="宋体"/>
                <w:b/>
                <w:color w:val="auto"/>
                <w:sz w:val="24"/>
                <w:szCs w:val="24"/>
              </w:rPr>
            </w:pPr>
          </w:p>
        </w:tc>
      </w:tr>
      <w:tr w14:paraId="6B41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top"/>
          </w:tcPr>
          <w:p w14:paraId="78842377">
            <w:pPr>
              <w:spacing w:line="44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技术部分</w:t>
            </w:r>
          </w:p>
        </w:tc>
        <w:tc>
          <w:tcPr>
            <w:tcW w:w="1030" w:type="dxa"/>
            <w:noWrap w:val="0"/>
            <w:vAlign w:val="center"/>
          </w:tcPr>
          <w:p w14:paraId="7EB55523">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w:t>
            </w:r>
          </w:p>
        </w:tc>
        <w:tc>
          <w:tcPr>
            <w:tcW w:w="3168" w:type="dxa"/>
            <w:noWrap w:val="0"/>
            <w:vAlign w:val="top"/>
          </w:tcPr>
          <w:p w14:paraId="29B694A5">
            <w:pPr>
              <w:spacing w:line="440" w:lineRule="exact"/>
              <w:rPr>
                <w:rFonts w:hint="eastAsia" w:ascii="宋体" w:hAnsi="宋体" w:eastAsia="宋体" w:cs="宋体"/>
                <w:b/>
                <w:color w:val="auto"/>
                <w:sz w:val="24"/>
                <w:szCs w:val="24"/>
              </w:rPr>
            </w:pPr>
          </w:p>
        </w:tc>
        <w:tc>
          <w:tcPr>
            <w:tcW w:w="2738" w:type="dxa"/>
            <w:noWrap w:val="0"/>
            <w:vAlign w:val="top"/>
          </w:tcPr>
          <w:p w14:paraId="3DAF4DB9">
            <w:pPr>
              <w:spacing w:line="440" w:lineRule="exact"/>
              <w:rPr>
                <w:rFonts w:hint="eastAsia" w:ascii="宋体" w:hAnsi="宋体" w:eastAsia="宋体" w:cs="宋体"/>
                <w:b/>
                <w:color w:val="auto"/>
                <w:sz w:val="24"/>
                <w:szCs w:val="24"/>
              </w:rPr>
            </w:pPr>
          </w:p>
        </w:tc>
        <w:tc>
          <w:tcPr>
            <w:tcW w:w="1482" w:type="dxa"/>
            <w:noWrap w:val="0"/>
            <w:vAlign w:val="top"/>
          </w:tcPr>
          <w:p w14:paraId="73EAC62D">
            <w:pPr>
              <w:spacing w:line="440" w:lineRule="exact"/>
              <w:rPr>
                <w:rFonts w:hint="eastAsia" w:ascii="宋体" w:hAnsi="宋体" w:eastAsia="宋体" w:cs="宋体"/>
                <w:b/>
                <w:color w:val="auto"/>
                <w:sz w:val="24"/>
                <w:szCs w:val="24"/>
              </w:rPr>
            </w:pPr>
          </w:p>
        </w:tc>
      </w:tr>
      <w:tr w14:paraId="7AC6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7347FC71">
            <w:pPr>
              <w:spacing w:line="440" w:lineRule="exact"/>
              <w:rPr>
                <w:rFonts w:hint="eastAsia" w:ascii="宋体" w:hAnsi="宋体" w:eastAsia="宋体" w:cs="宋体"/>
                <w:b/>
                <w:color w:val="auto"/>
                <w:sz w:val="24"/>
                <w:szCs w:val="24"/>
              </w:rPr>
            </w:pPr>
          </w:p>
        </w:tc>
        <w:tc>
          <w:tcPr>
            <w:tcW w:w="1030" w:type="dxa"/>
            <w:noWrap w:val="0"/>
            <w:vAlign w:val="center"/>
          </w:tcPr>
          <w:p w14:paraId="1D7ABFB9">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2</w:t>
            </w:r>
          </w:p>
        </w:tc>
        <w:tc>
          <w:tcPr>
            <w:tcW w:w="3168" w:type="dxa"/>
            <w:noWrap w:val="0"/>
            <w:vAlign w:val="top"/>
          </w:tcPr>
          <w:p w14:paraId="6A4FA055">
            <w:pPr>
              <w:spacing w:line="440" w:lineRule="exact"/>
              <w:rPr>
                <w:rFonts w:hint="eastAsia" w:ascii="宋体" w:hAnsi="宋体" w:eastAsia="宋体" w:cs="宋体"/>
                <w:b/>
                <w:color w:val="auto"/>
                <w:sz w:val="24"/>
                <w:szCs w:val="24"/>
              </w:rPr>
            </w:pPr>
          </w:p>
        </w:tc>
        <w:tc>
          <w:tcPr>
            <w:tcW w:w="2738" w:type="dxa"/>
            <w:noWrap w:val="0"/>
            <w:vAlign w:val="top"/>
          </w:tcPr>
          <w:p w14:paraId="6A7B175D">
            <w:pPr>
              <w:spacing w:line="440" w:lineRule="exact"/>
              <w:rPr>
                <w:rFonts w:hint="eastAsia" w:ascii="宋体" w:hAnsi="宋体" w:eastAsia="宋体" w:cs="宋体"/>
                <w:b/>
                <w:color w:val="auto"/>
                <w:sz w:val="24"/>
                <w:szCs w:val="24"/>
              </w:rPr>
            </w:pPr>
          </w:p>
        </w:tc>
        <w:tc>
          <w:tcPr>
            <w:tcW w:w="1482" w:type="dxa"/>
            <w:noWrap w:val="0"/>
            <w:vAlign w:val="top"/>
          </w:tcPr>
          <w:p w14:paraId="39DEDE8C">
            <w:pPr>
              <w:spacing w:line="440" w:lineRule="exact"/>
              <w:rPr>
                <w:rFonts w:hint="eastAsia" w:ascii="宋体" w:hAnsi="宋体" w:eastAsia="宋体" w:cs="宋体"/>
                <w:b/>
                <w:color w:val="auto"/>
                <w:sz w:val="24"/>
                <w:szCs w:val="24"/>
              </w:rPr>
            </w:pPr>
          </w:p>
        </w:tc>
      </w:tr>
      <w:tr w14:paraId="2E68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5E6F81C7">
            <w:pPr>
              <w:spacing w:line="440" w:lineRule="exact"/>
              <w:rPr>
                <w:rFonts w:hint="eastAsia" w:ascii="宋体" w:hAnsi="宋体" w:eastAsia="宋体" w:cs="宋体"/>
                <w:b/>
                <w:color w:val="auto"/>
                <w:sz w:val="24"/>
                <w:szCs w:val="24"/>
              </w:rPr>
            </w:pPr>
          </w:p>
        </w:tc>
        <w:tc>
          <w:tcPr>
            <w:tcW w:w="1030" w:type="dxa"/>
            <w:noWrap w:val="0"/>
            <w:vAlign w:val="center"/>
          </w:tcPr>
          <w:p w14:paraId="34E2C3F9">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3168" w:type="dxa"/>
            <w:noWrap w:val="0"/>
            <w:vAlign w:val="top"/>
          </w:tcPr>
          <w:p w14:paraId="2302CA7C">
            <w:pPr>
              <w:spacing w:line="440" w:lineRule="exact"/>
              <w:rPr>
                <w:rFonts w:hint="eastAsia" w:ascii="宋体" w:hAnsi="宋体" w:eastAsia="宋体" w:cs="宋体"/>
                <w:b/>
                <w:color w:val="auto"/>
                <w:sz w:val="24"/>
                <w:szCs w:val="24"/>
              </w:rPr>
            </w:pPr>
          </w:p>
        </w:tc>
        <w:tc>
          <w:tcPr>
            <w:tcW w:w="2738" w:type="dxa"/>
            <w:noWrap w:val="0"/>
            <w:vAlign w:val="top"/>
          </w:tcPr>
          <w:p w14:paraId="1AC99029">
            <w:pPr>
              <w:spacing w:line="440" w:lineRule="exact"/>
              <w:rPr>
                <w:rFonts w:hint="eastAsia" w:ascii="宋体" w:hAnsi="宋体" w:eastAsia="宋体" w:cs="宋体"/>
                <w:b/>
                <w:color w:val="auto"/>
                <w:sz w:val="24"/>
                <w:szCs w:val="24"/>
              </w:rPr>
            </w:pPr>
          </w:p>
        </w:tc>
        <w:tc>
          <w:tcPr>
            <w:tcW w:w="1482" w:type="dxa"/>
            <w:noWrap w:val="0"/>
            <w:vAlign w:val="top"/>
          </w:tcPr>
          <w:p w14:paraId="2F1CE18B">
            <w:pPr>
              <w:spacing w:line="440" w:lineRule="exact"/>
              <w:rPr>
                <w:rFonts w:hint="eastAsia" w:ascii="宋体" w:hAnsi="宋体" w:eastAsia="宋体" w:cs="宋体"/>
                <w:b/>
                <w:color w:val="auto"/>
                <w:sz w:val="24"/>
                <w:szCs w:val="24"/>
              </w:rPr>
            </w:pPr>
          </w:p>
        </w:tc>
      </w:tr>
    </w:tbl>
    <w:p w14:paraId="57D8DFFD">
      <w:pPr>
        <w:spacing w:line="440" w:lineRule="exact"/>
        <w:rPr>
          <w:rFonts w:hint="eastAsia" w:ascii="宋体" w:hAnsi="宋体" w:eastAsia="宋体" w:cs="宋体"/>
          <w:color w:val="auto"/>
          <w:sz w:val="24"/>
          <w:szCs w:val="24"/>
        </w:rPr>
      </w:pPr>
    </w:p>
    <w:p w14:paraId="13A83BDB">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14:paraId="0D1ACE89">
      <w:pPr>
        <w:spacing w:line="440" w:lineRule="exact"/>
        <w:rPr>
          <w:rFonts w:hint="eastAsia" w:ascii="宋体" w:hAnsi="宋体" w:eastAsia="宋体" w:cs="宋体"/>
          <w:b/>
          <w:color w:val="auto"/>
          <w:sz w:val="24"/>
          <w:szCs w:val="24"/>
        </w:rPr>
      </w:pPr>
    </w:p>
    <w:p w14:paraId="2B92872A">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14947BA">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43B3E1E">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1DDA9063">
      <w:pPr>
        <w:pStyle w:val="3"/>
        <w:jc w:val="center"/>
        <w:rPr>
          <w:rFonts w:hint="eastAsia" w:ascii="宋体" w:hAnsi="宋体" w:cs="宋体"/>
          <w:b/>
          <w:color w:val="auto"/>
          <w:sz w:val="72"/>
          <w:szCs w:val="72"/>
        </w:rPr>
      </w:pPr>
      <w:r>
        <w:rPr>
          <w:rFonts w:hint="eastAsia" w:ascii="宋体" w:hAnsi="宋体" w:cs="宋体"/>
          <w:b/>
          <w:color w:val="auto"/>
          <w:sz w:val="72"/>
          <w:szCs w:val="72"/>
        </w:rPr>
        <w:br w:type="page"/>
      </w:r>
      <w:bookmarkStart w:id="122" w:name="_Toc24618"/>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r>
        <w:rPr>
          <w:rFonts w:hint="eastAsia" w:ascii="宋体" w:hAnsi="宋体" w:cs="宋体"/>
          <w:b/>
          <w:color w:val="auto"/>
          <w:sz w:val="72"/>
          <w:szCs w:val="72"/>
        </w:rPr>
        <w:br w:type="page"/>
      </w:r>
      <w:r>
        <w:rPr>
          <w:rFonts w:hint="eastAsia" w:ascii="宋体" w:hAnsi="宋体" w:cs="宋体"/>
          <w:b/>
          <w:color w:val="auto"/>
          <w:sz w:val="72"/>
          <w:szCs w:val="72"/>
        </w:rPr>
        <w:t>竞争性磋商文件</w:t>
      </w:r>
      <w:bookmarkEnd w:id="38"/>
      <w:bookmarkEnd w:id="122"/>
    </w:p>
    <w:p w14:paraId="74DB17E4">
      <w:pPr>
        <w:pStyle w:val="3"/>
        <w:jc w:val="center"/>
        <w:rPr>
          <w:rFonts w:hint="eastAsia" w:ascii="宋体" w:hAnsi="宋体" w:cs="宋体"/>
          <w:b/>
          <w:color w:val="auto"/>
          <w:sz w:val="72"/>
          <w:szCs w:val="72"/>
        </w:rPr>
      </w:pPr>
      <w:bookmarkStart w:id="123" w:name="_Toc4811"/>
      <w:bookmarkStart w:id="124" w:name="_Toc17751"/>
      <w:r>
        <w:rPr>
          <w:rFonts w:hint="eastAsia" w:ascii="宋体" w:hAnsi="宋体" w:cs="宋体"/>
          <w:b/>
          <w:color w:val="auto"/>
          <w:sz w:val="72"/>
          <w:szCs w:val="72"/>
        </w:rPr>
        <w:t>（</w:t>
      </w:r>
      <w:r>
        <w:rPr>
          <w:rFonts w:hint="eastAsia" w:ascii="宋体" w:hAnsi="宋体" w:cs="宋体"/>
          <w:b/>
          <w:color w:val="auto"/>
          <w:sz w:val="72"/>
          <w:szCs w:val="72"/>
          <w:lang w:val="en-US" w:eastAsia="zh-CN"/>
        </w:rPr>
        <w:t>技术</w:t>
      </w:r>
      <w:r>
        <w:rPr>
          <w:rFonts w:hint="eastAsia" w:ascii="宋体" w:hAnsi="宋体" w:cs="宋体"/>
          <w:b/>
          <w:color w:val="auto"/>
          <w:sz w:val="72"/>
          <w:szCs w:val="72"/>
        </w:rPr>
        <w:t>部分）</w:t>
      </w:r>
      <w:bookmarkEnd w:id="123"/>
      <w:bookmarkEnd w:id="124"/>
    </w:p>
    <w:p w14:paraId="6E4C9B03">
      <w:pPr>
        <w:pStyle w:val="15"/>
        <w:ind w:firstLine="1400" w:firstLineChars="500"/>
        <w:rPr>
          <w:rFonts w:hint="eastAsia" w:ascii="宋体" w:hAnsi="宋体" w:eastAsia="宋体" w:cs="宋体"/>
          <w:color w:val="auto"/>
          <w:kern w:val="0"/>
          <w:sz w:val="28"/>
          <w:szCs w:val="28"/>
        </w:rPr>
      </w:pPr>
    </w:p>
    <w:p w14:paraId="024C0207">
      <w:pPr>
        <w:bidi w:val="0"/>
        <w:rPr>
          <w:rFonts w:hint="eastAsia" w:ascii="宋体" w:hAnsi="宋体" w:eastAsia="宋体" w:cs="宋体"/>
          <w:color w:val="auto"/>
          <w:sz w:val="24"/>
          <w:szCs w:val="24"/>
          <w:highlight w:val="none"/>
        </w:rPr>
      </w:pPr>
    </w:p>
    <w:p w14:paraId="4E6E186C">
      <w:pPr>
        <w:pStyle w:val="7"/>
        <w:numPr>
          <w:ilvl w:val="0"/>
          <w:numId w:val="0"/>
        </w:numPr>
        <w:ind w:leftChars="200"/>
        <w:rPr>
          <w:rFonts w:hint="eastAsia"/>
          <w:color w:val="auto"/>
        </w:rPr>
      </w:pPr>
    </w:p>
    <w:p w14:paraId="49D1AD96">
      <w:pPr>
        <w:pStyle w:val="9"/>
        <w:rPr>
          <w:rFonts w:hint="eastAsia"/>
          <w:color w:val="auto"/>
        </w:rPr>
      </w:pPr>
    </w:p>
    <w:p w14:paraId="43CE7FD4">
      <w:pPr>
        <w:pStyle w:val="15"/>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国家税务总局福州市仓山区税务局涉税（费）服务采购项目</w:t>
      </w:r>
    </w:p>
    <w:p w14:paraId="2AB90C95">
      <w:pPr>
        <w:pStyle w:val="15"/>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ZXWT-2025-30-1</w:t>
      </w:r>
    </w:p>
    <w:p w14:paraId="7796ECCA">
      <w:pPr>
        <w:pStyle w:val="15"/>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国家税务总局福州市仓山区税务局</w:t>
      </w:r>
    </w:p>
    <w:p w14:paraId="561044FD">
      <w:pPr>
        <w:pStyle w:val="15"/>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14:paraId="0B86B8FF">
      <w:pPr>
        <w:topLinePunct/>
        <w:autoSpaceDE w:val="0"/>
        <w:autoSpaceDN w:val="0"/>
        <w:spacing w:line="460" w:lineRule="exact"/>
        <w:rPr>
          <w:rFonts w:hint="eastAsia" w:ascii="宋体" w:hAnsi="宋体" w:eastAsia="宋体" w:cs="宋体"/>
          <w:b/>
          <w:color w:val="auto"/>
          <w:sz w:val="24"/>
          <w:szCs w:val="24"/>
          <w:highlight w:val="none"/>
        </w:rPr>
      </w:pPr>
    </w:p>
    <w:p w14:paraId="7CD642A8">
      <w:pPr>
        <w:topLinePunct/>
        <w:autoSpaceDE w:val="0"/>
        <w:autoSpaceDN w:val="0"/>
        <w:spacing w:line="460" w:lineRule="exact"/>
        <w:jc w:val="center"/>
        <w:rPr>
          <w:rFonts w:hint="eastAsia" w:ascii="宋体" w:hAnsi="宋体" w:eastAsia="宋体" w:cs="宋体"/>
          <w:color w:val="auto"/>
          <w:sz w:val="24"/>
          <w:szCs w:val="24"/>
          <w:highlight w:val="none"/>
        </w:rPr>
      </w:pPr>
    </w:p>
    <w:p w14:paraId="2EC3FBBE">
      <w:pPr>
        <w:pStyle w:val="7"/>
        <w:numPr>
          <w:ilvl w:val="0"/>
          <w:numId w:val="0"/>
        </w:numPr>
        <w:ind w:leftChars="200"/>
        <w:rPr>
          <w:rFonts w:hint="eastAsia"/>
          <w:color w:val="auto"/>
        </w:rPr>
      </w:pPr>
    </w:p>
    <w:p w14:paraId="4A9A675C">
      <w:pPr>
        <w:pStyle w:val="10"/>
        <w:rPr>
          <w:rFonts w:hint="eastAsia"/>
          <w:color w:val="auto"/>
        </w:rPr>
      </w:pPr>
    </w:p>
    <w:p w14:paraId="4F47A177">
      <w:pPr>
        <w:topLinePunct/>
        <w:autoSpaceDE w:val="0"/>
        <w:autoSpaceDN w:val="0"/>
        <w:spacing w:line="160" w:lineRule="exact"/>
        <w:jc w:val="center"/>
        <w:rPr>
          <w:rFonts w:hint="eastAsia" w:ascii="宋体" w:hAnsi="宋体" w:eastAsia="宋体" w:cs="宋体"/>
          <w:color w:val="auto"/>
          <w:sz w:val="24"/>
          <w:szCs w:val="24"/>
          <w:highlight w:val="none"/>
        </w:rPr>
      </w:pPr>
    </w:p>
    <w:p w14:paraId="369EF1D6">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14:paraId="6D94256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27</w:t>
      </w:r>
      <w:r>
        <w:rPr>
          <w:rFonts w:hint="eastAsia" w:ascii="宋体" w:hAnsi="宋体" w:eastAsia="宋体" w:cs="宋体"/>
          <w:color w:val="auto"/>
          <w:sz w:val="28"/>
          <w:szCs w:val="28"/>
          <w:highlight w:val="none"/>
        </w:rPr>
        <w:t>日</w:t>
      </w:r>
    </w:p>
    <w:p w14:paraId="46E7D30F">
      <w:pPr>
        <w:topLinePunct/>
        <w:autoSpaceDE w:val="0"/>
        <w:autoSpaceDN w:val="0"/>
        <w:jc w:val="center"/>
        <w:rPr>
          <w:rFonts w:hint="eastAsia" w:ascii="宋体" w:hAnsi="宋体" w:eastAsia="宋体" w:cs="宋体"/>
          <w:b/>
          <w:bCs/>
          <w:color w:val="auto"/>
          <w:sz w:val="28"/>
          <w:szCs w:val="28"/>
          <w:highlight w:val="yellow"/>
        </w:rPr>
      </w:pPr>
      <w:r>
        <w:rPr>
          <w:rFonts w:hint="eastAsia" w:ascii="宋体" w:hAnsi="宋体" w:eastAsia="宋体" w:cs="宋体"/>
          <w:b w:val="0"/>
          <w:bCs/>
          <w:color w:val="auto"/>
          <w:sz w:val="24"/>
          <w:szCs w:val="24"/>
          <w:highlight w:val="none"/>
        </w:rPr>
        <w:br w:type="page"/>
      </w:r>
    </w:p>
    <w:p w14:paraId="2A4880A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color w:val="auto"/>
          <w:highlight w:val="none"/>
          <w:lang w:val="en-US" w:eastAsia="zh-CN"/>
        </w:rPr>
      </w:pPr>
      <w:bookmarkStart w:id="125" w:name="_Toc132880669"/>
      <w:bookmarkStart w:id="126" w:name="_Toc31314"/>
      <w:r>
        <w:rPr>
          <w:rFonts w:hint="eastAsia" w:ascii="宋体" w:hAnsi="宋体" w:eastAsia="宋体" w:cs="宋体"/>
          <w:b/>
          <w:bCs/>
          <w:color w:val="auto"/>
          <w:sz w:val="28"/>
          <w:szCs w:val="28"/>
          <w:highlight w:val="none"/>
        </w:rPr>
        <w:t>第六章  项目采购需求</w:t>
      </w:r>
      <w:bookmarkEnd w:id="125"/>
      <w:bookmarkEnd w:id="126"/>
      <w:bookmarkStart w:id="127" w:name="_Toc12903"/>
      <w:bookmarkStart w:id="128" w:name="_Toc132880670"/>
    </w:p>
    <w:bookmarkEnd w:id="127"/>
    <w:bookmarkEnd w:id="128"/>
    <w:p w14:paraId="65B63AB9">
      <w:pPr>
        <w:pStyle w:val="3"/>
        <w:keepNext w:val="0"/>
        <w:pageBreakBefore w:val="0"/>
        <w:kinsoku/>
        <w:wordWrap/>
        <w:overflowPunct/>
        <w:topLinePunct w:val="0"/>
        <w:autoSpaceDE/>
        <w:autoSpaceDN/>
        <w:bidi w:val="0"/>
        <w:adjustRightInd/>
        <w:snapToGrid/>
        <w:spacing w:before="0" w:beforeAutospacing="0" w:after="0" w:afterAutospacing="0" w:line="400" w:lineRule="exact"/>
        <w:ind w:firstLine="482"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36"/>
          <w:sz w:val="24"/>
          <w:szCs w:val="24"/>
          <w:lang w:val="en-US" w:eastAsia="zh-CN"/>
          <w14:textFill>
            <w14:solidFill>
              <w14:schemeClr w14:val="tx1"/>
            </w14:solidFill>
          </w14:textFill>
        </w:rPr>
        <w:t>1、</w:t>
      </w:r>
      <w:r>
        <w:rPr>
          <w:rFonts w:hint="eastAsia" w:ascii="宋体" w:hAnsi="宋体" w:eastAsia="宋体" w:cs="宋体"/>
          <w:color w:val="000000" w:themeColor="text1"/>
          <w:kern w:val="36"/>
          <w:sz w:val="24"/>
          <w:szCs w:val="24"/>
          <w:lang w:eastAsia="zh-CN"/>
          <w14:textFill>
            <w14:solidFill>
              <w14:schemeClr w14:val="tx1"/>
            </w14:solidFill>
          </w14:textFill>
        </w:rPr>
        <w:t>项目概述</w:t>
      </w:r>
    </w:p>
    <w:p w14:paraId="0ED8B063">
      <w:pPr>
        <w:pStyle w:val="4"/>
        <w:keepNext w:val="0"/>
        <w:pageBreakBefore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29" w:name="_Toc256000001"/>
      <w:r>
        <w:rPr>
          <w:rFonts w:hint="eastAsia" w:ascii="宋体" w:hAnsi="宋体" w:eastAsia="宋体" w:cs="宋体"/>
          <w:i w:val="0"/>
          <w:iCs w:val="0"/>
          <w:color w:val="000000" w:themeColor="text1"/>
          <w:sz w:val="24"/>
          <w:szCs w:val="24"/>
          <w:lang w:eastAsia="zh-CN"/>
          <w14:textFill>
            <w14:solidFill>
              <w14:schemeClr w14:val="tx1"/>
            </w14:solidFill>
          </w14:textFill>
        </w:rPr>
        <w:t>1.1项目背景</w:t>
      </w:r>
      <w:bookmarkEnd w:id="129"/>
    </w:p>
    <w:p w14:paraId="7D6631DF">
      <w:pPr>
        <w:pStyle w:val="49"/>
        <w:keepNext w:val="0"/>
        <w:pageBreakBefore w:val="0"/>
        <w:kinsoku/>
        <w:wordWrap/>
        <w:overflowPunct/>
        <w:topLinePunct w:val="0"/>
        <w:autoSpaceDE/>
        <w:autoSpaceDN/>
        <w:bidi w:val="0"/>
        <w:adjustRightInd/>
        <w:snapToGrid/>
        <w:spacing w:beforeAutospacing="0" w:afterAutospacing="0"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随着辖区内纳税人缴费人数量的增长，办税服务质量亟需进一步提质升级。为此，国家税务总局</w:t>
      </w:r>
      <w:r>
        <w:rPr>
          <w:rFonts w:hint="eastAsia" w:ascii="宋体" w:hAnsi="宋体" w:eastAsia="宋体" w:cs="宋体"/>
          <w:color w:val="000000" w:themeColor="text1"/>
          <w:sz w:val="24"/>
          <w:szCs w:val="24"/>
          <w:lang w:val="en-US" w:eastAsia="zh-CN"/>
          <w14:textFill>
            <w14:solidFill>
              <w14:schemeClr w14:val="tx1"/>
            </w14:solidFill>
          </w14:textFill>
        </w:rPr>
        <w:t>福州市仓山区</w:t>
      </w:r>
      <w:r>
        <w:rPr>
          <w:rFonts w:hint="eastAsia" w:ascii="宋体" w:hAnsi="宋体" w:eastAsia="宋体" w:cs="宋体"/>
          <w:color w:val="000000" w:themeColor="text1"/>
          <w:sz w:val="24"/>
          <w:szCs w:val="24"/>
          <w:lang w:eastAsia="zh-CN"/>
          <w14:textFill>
            <w14:solidFill>
              <w14:schemeClr w14:val="tx1"/>
            </w14:solidFill>
          </w14:textFill>
        </w:rPr>
        <w:t>税务</w:t>
      </w:r>
      <w:r>
        <w:rPr>
          <w:rFonts w:hint="eastAsia" w:ascii="宋体" w:hAnsi="宋体" w:eastAsia="宋体" w:cs="宋体"/>
          <w:color w:val="auto"/>
          <w:sz w:val="24"/>
          <w:szCs w:val="24"/>
          <w:lang w:eastAsia="zh-CN"/>
        </w:rPr>
        <w:t>局拟将涉税（费）服务项目（不少于</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个岗位需求）对外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，旨在提高纳税服务水平，展现国家税务总局</w:t>
      </w:r>
      <w:r>
        <w:rPr>
          <w:rFonts w:hint="eastAsia" w:ascii="宋体" w:hAnsi="宋体" w:eastAsia="宋体" w:cs="宋体"/>
          <w:color w:val="auto"/>
          <w:sz w:val="24"/>
          <w:szCs w:val="24"/>
          <w:lang w:val="en-US" w:eastAsia="zh-CN"/>
        </w:rPr>
        <w:t>福州市仓山区</w:t>
      </w:r>
      <w:r>
        <w:rPr>
          <w:rFonts w:hint="eastAsia" w:ascii="宋体" w:hAnsi="宋体" w:eastAsia="宋体" w:cs="宋体"/>
          <w:color w:val="auto"/>
          <w:sz w:val="24"/>
          <w:szCs w:val="24"/>
          <w:lang w:eastAsia="zh-CN"/>
        </w:rPr>
        <w:t>税务局机关良好的精神风貌。</w:t>
      </w:r>
    </w:p>
    <w:p w14:paraId="3910852B">
      <w:pPr>
        <w:pStyle w:val="4"/>
        <w:keepNext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sz w:val="24"/>
          <w:szCs w:val="24"/>
          <w:lang w:val="en-US" w:eastAsia="zh-CN"/>
        </w:rPr>
      </w:pPr>
      <w:bookmarkStart w:id="130" w:name="_Toc256000003"/>
      <w:r>
        <w:rPr>
          <w:rFonts w:hint="eastAsia" w:ascii="宋体" w:hAnsi="宋体" w:eastAsia="宋体" w:cs="宋体"/>
          <w:i w:val="0"/>
          <w:iCs w:val="0"/>
          <w:color w:val="auto"/>
          <w:sz w:val="24"/>
          <w:szCs w:val="24"/>
        </w:rPr>
        <w:t>1.2</w:t>
      </w:r>
      <w:bookmarkEnd w:id="130"/>
      <w:r>
        <w:rPr>
          <w:rFonts w:hint="eastAsia" w:ascii="宋体" w:hAnsi="宋体" w:eastAsia="宋体" w:cs="宋体"/>
          <w:i w:val="0"/>
          <w:iCs w:val="0"/>
          <w:color w:val="auto"/>
          <w:sz w:val="24"/>
          <w:szCs w:val="24"/>
          <w:lang w:val="en-US" w:eastAsia="zh-CN"/>
        </w:rPr>
        <w:t>采购内容</w:t>
      </w:r>
    </w:p>
    <w:tbl>
      <w:tblPr>
        <w:tblStyle w:val="51"/>
        <w:tblW w:w="8769" w:type="dxa"/>
        <w:tblInd w:w="15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
        <w:gridCol w:w="1050"/>
        <w:gridCol w:w="842"/>
        <w:gridCol w:w="3774"/>
        <w:gridCol w:w="1188"/>
        <w:gridCol w:w="969"/>
      </w:tblGrid>
      <w:tr w14:paraId="3B60B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trPr>
        <w:tc>
          <w:tcPr>
            <w:tcW w:w="946" w:type="dxa"/>
            <w:tcBorders>
              <w:tl2br w:val="nil"/>
              <w:tr2bl w:val="nil"/>
            </w:tcBorders>
            <w:tcMar>
              <w:top w:w="0" w:type="dxa"/>
              <w:left w:w="128" w:type="dxa"/>
              <w:bottom w:w="0" w:type="dxa"/>
              <w:right w:w="128" w:type="dxa"/>
            </w:tcMar>
            <w:vAlign w:val="center"/>
          </w:tcPr>
          <w:p w14:paraId="39426BFD">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采购包</w:t>
            </w:r>
          </w:p>
        </w:tc>
        <w:tc>
          <w:tcPr>
            <w:tcW w:w="1050" w:type="dxa"/>
            <w:tcBorders>
              <w:tl2br w:val="nil"/>
              <w:tr2bl w:val="nil"/>
            </w:tcBorders>
            <w:tcMar>
              <w:top w:w="0" w:type="dxa"/>
              <w:left w:w="118" w:type="dxa"/>
              <w:bottom w:w="0" w:type="dxa"/>
              <w:right w:w="128" w:type="dxa"/>
            </w:tcMar>
            <w:vAlign w:val="center"/>
          </w:tcPr>
          <w:p w14:paraId="2E4DFE58">
            <w:pPr>
              <w:pStyle w:val="50"/>
              <w:keepNext w:val="0"/>
              <w:pageBreakBefore w:val="0"/>
              <w:kinsoku/>
              <w:wordWrap/>
              <w:overflowPunct/>
              <w:topLinePunct w:val="0"/>
              <w:autoSpaceDE/>
              <w:autoSpaceDN/>
              <w:bidi w:val="0"/>
              <w:adjustRightInd/>
              <w:spacing w:before="240"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服务</w:t>
            </w:r>
            <w:r>
              <w:rPr>
                <w:rFonts w:hint="eastAsia" w:ascii="宋体" w:hAnsi="宋体" w:eastAsia="宋体" w:cs="宋体"/>
                <w:b/>
                <w:bCs/>
                <w:color w:val="auto"/>
                <w:sz w:val="24"/>
                <w:szCs w:val="24"/>
                <w:lang w:val="en-US" w:eastAsia="zh-CN"/>
              </w:rPr>
              <w:t xml:space="preserve">名称 </w:t>
            </w:r>
          </w:p>
        </w:tc>
        <w:tc>
          <w:tcPr>
            <w:tcW w:w="842" w:type="dxa"/>
            <w:tcBorders>
              <w:tl2br w:val="nil"/>
              <w:tr2bl w:val="nil"/>
            </w:tcBorders>
            <w:tcMar>
              <w:top w:w="0" w:type="dxa"/>
              <w:left w:w="123" w:type="dxa"/>
              <w:bottom w:w="0" w:type="dxa"/>
              <w:right w:w="128" w:type="dxa"/>
            </w:tcMar>
            <w:vAlign w:val="center"/>
          </w:tcPr>
          <w:p w14:paraId="7DC1EEFD">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岗位数量</w:t>
            </w:r>
          </w:p>
        </w:tc>
        <w:tc>
          <w:tcPr>
            <w:tcW w:w="3774" w:type="dxa"/>
            <w:tcBorders>
              <w:tl2br w:val="nil"/>
              <w:tr2bl w:val="nil"/>
            </w:tcBorders>
            <w:tcMar>
              <w:top w:w="0" w:type="dxa"/>
              <w:left w:w="123" w:type="dxa"/>
              <w:bottom w:w="0" w:type="dxa"/>
              <w:right w:w="128" w:type="dxa"/>
            </w:tcMar>
            <w:vAlign w:val="center"/>
          </w:tcPr>
          <w:p w14:paraId="5448D211">
            <w:pPr>
              <w:pStyle w:val="50"/>
              <w:keepNext w:val="0"/>
              <w:pageBreakBefore w:val="0"/>
              <w:kinsoku/>
              <w:wordWrap/>
              <w:overflowPunct/>
              <w:topLinePunct w:val="0"/>
              <w:autoSpaceDE/>
              <w:autoSpaceDN/>
              <w:bidi w:val="0"/>
              <w:adjustRightInd/>
              <w:spacing w:line="400" w:lineRule="exact"/>
              <w:ind w:right="62" w:firstLine="37"/>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采购内容及要求</w:t>
            </w:r>
          </w:p>
        </w:tc>
        <w:tc>
          <w:tcPr>
            <w:tcW w:w="1188" w:type="dxa"/>
            <w:tcBorders>
              <w:tl2br w:val="nil"/>
              <w:tr2bl w:val="nil"/>
            </w:tcBorders>
            <w:tcMar>
              <w:top w:w="0" w:type="dxa"/>
              <w:left w:w="123" w:type="dxa"/>
              <w:bottom w:w="0" w:type="dxa"/>
              <w:right w:w="128" w:type="dxa"/>
            </w:tcMar>
            <w:vAlign w:val="center"/>
          </w:tcPr>
          <w:p w14:paraId="2E74459B">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最高限价（</w:t>
            </w:r>
            <w:r>
              <w:rPr>
                <w:rFonts w:hint="eastAsia" w:ascii="宋体" w:hAnsi="宋体" w:eastAsia="宋体" w:cs="宋体"/>
                <w:b/>
                <w:bCs/>
                <w:color w:val="auto"/>
                <w:sz w:val="24"/>
                <w:szCs w:val="24"/>
                <w:lang w:val="en-US" w:eastAsia="zh-CN"/>
              </w:rPr>
              <w:t>万</w:t>
            </w:r>
            <w:r>
              <w:rPr>
                <w:rFonts w:hint="eastAsia" w:ascii="宋体" w:hAnsi="宋体" w:eastAsia="宋体" w:cs="宋体"/>
                <w:b/>
                <w:bCs/>
                <w:color w:val="auto"/>
                <w:sz w:val="24"/>
                <w:szCs w:val="24"/>
              </w:rPr>
              <w:t>元）</w:t>
            </w:r>
          </w:p>
        </w:tc>
        <w:tc>
          <w:tcPr>
            <w:tcW w:w="969" w:type="dxa"/>
            <w:tcBorders>
              <w:tl2br w:val="nil"/>
              <w:tr2bl w:val="nil"/>
            </w:tcBorders>
            <w:tcMar>
              <w:top w:w="0" w:type="dxa"/>
              <w:left w:w="123" w:type="dxa"/>
              <w:bottom w:w="0" w:type="dxa"/>
              <w:right w:w="128" w:type="dxa"/>
            </w:tcMar>
            <w:vAlign w:val="center"/>
          </w:tcPr>
          <w:p w14:paraId="781F8687">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服务期限</w:t>
            </w:r>
          </w:p>
        </w:tc>
      </w:tr>
      <w:tr w14:paraId="55DAB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46" w:type="dxa"/>
            <w:tcBorders>
              <w:tl2br w:val="nil"/>
              <w:tr2bl w:val="nil"/>
            </w:tcBorders>
            <w:tcMar>
              <w:top w:w="0" w:type="dxa"/>
              <w:left w:w="128" w:type="dxa"/>
              <w:bottom w:w="0" w:type="dxa"/>
              <w:right w:w="128" w:type="dxa"/>
            </w:tcMar>
            <w:vAlign w:val="center"/>
          </w:tcPr>
          <w:p w14:paraId="21109894">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050" w:type="dxa"/>
            <w:tcBorders>
              <w:tl2br w:val="nil"/>
              <w:tr2bl w:val="nil"/>
            </w:tcBorders>
            <w:tcMar>
              <w:top w:w="0" w:type="dxa"/>
              <w:left w:w="118" w:type="dxa"/>
              <w:bottom w:w="0" w:type="dxa"/>
              <w:right w:w="128" w:type="dxa"/>
            </w:tcMar>
            <w:vAlign w:val="center"/>
          </w:tcPr>
          <w:p w14:paraId="264CC664">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涉税（费）服务</w:t>
            </w:r>
            <w:r>
              <w:rPr>
                <w:rFonts w:hint="eastAsia" w:ascii="宋体" w:hAnsi="宋体" w:eastAsia="宋体" w:cs="宋体"/>
                <w:color w:val="auto"/>
                <w:sz w:val="24"/>
                <w:szCs w:val="24"/>
                <w:lang w:val="en-US" w:eastAsia="zh-CN"/>
              </w:rPr>
              <w:t>采购项目</w:t>
            </w:r>
          </w:p>
        </w:tc>
        <w:tc>
          <w:tcPr>
            <w:tcW w:w="842" w:type="dxa"/>
            <w:tcBorders>
              <w:tl2br w:val="nil"/>
              <w:tr2bl w:val="nil"/>
            </w:tcBorders>
            <w:tcMar>
              <w:top w:w="0" w:type="dxa"/>
              <w:left w:w="123" w:type="dxa"/>
              <w:bottom w:w="0" w:type="dxa"/>
              <w:right w:w="128" w:type="dxa"/>
            </w:tcMar>
            <w:vAlign w:val="center"/>
          </w:tcPr>
          <w:p w14:paraId="718891C5">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774" w:type="dxa"/>
            <w:tcBorders>
              <w:tl2br w:val="nil"/>
              <w:tr2bl w:val="nil"/>
            </w:tcBorders>
            <w:tcMar>
              <w:top w:w="0" w:type="dxa"/>
              <w:left w:w="123" w:type="dxa"/>
              <w:bottom w:w="0" w:type="dxa"/>
              <w:right w:w="128" w:type="dxa"/>
            </w:tcMar>
            <w:vAlign w:val="center"/>
          </w:tcPr>
          <w:p w14:paraId="2A99D2C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提供</w:t>
            </w:r>
            <w:r>
              <w:rPr>
                <w:rFonts w:hint="eastAsia" w:ascii="宋体" w:hAnsi="宋体" w:eastAsia="宋体" w:cs="宋体"/>
                <w:color w:val="auto"/>
                <w:sz w:val="24"/>
                <w:szCs w:val="24"/>
                <w:lang w:val="zh-CN"/>
              </w:rPr>
              <w:t>办税服务厅现场导税、接受咨询；辅导纳税人利用自助办税终端、</w:t>
            </w:r>
            <w:r>
              <w:rPr>
                <w:rFonts w:hint="eastAsia" w:ascii="宋体" w:hAnsi="宋体" w:eastAsia="宋体" w:cs="宋体"/>
                <w:color w:val="auto"/>
                <w:sz w:val="24"/>
                <w:szCs w:val="24"/>
                <w:lang w:val="en-US" w:eastAsia="zh-CN"/>
              </w:rPr>
              <w:t>自助办税区</w:t>
            </w:r>
            <w:r>
              <w:rPr>
                <w:rFonts w:hint="eastAsia" w:ascii="宋体" w:hAnsi="宋体" w:eastAsia="宋体" w:cs="宋体"/>
                <w:color w:val="auto"/>
                <w:sz w:val="24"/>
                <w:szCs w:val="24"/>
                <w:lang w:val="zh-CN"/>
              </w:rPr>
              <w:t>、手机进行自助办税、网上办税、掌上办税；区局税收业务咨询热线接答，12366远程座席接答；</w:t>
            </w:r>
            <w:r>
              <w:rPr>
                <w:rFonts w:hint="eastAsia" w:ascii="宋体" w:hAnsi="宋体" w:eastAsia="宋体" w:cs="宋体"/>
                <w:color w:val="auto"/>
                <w:sz w:val="24"/>
                <w:szCs w:val="24"/>
                <w:lang w:val="en-US" w:eastAsia="zh-CN"/>
              </w:rPr>
              <w:t>税费争议诉求事项接待、台账录入、咨询调解等；</w:t>
            </w:r>
            <w:r>
              <w:rPr>
                <w:rFonts w:hint="eastAsia" w:ascii="宋体" w:hAnsi="宋体" w:eastAsia="宋体" w:cs="宋体"/>
                <w:color w:val="auto"/>
                <w:sz w:val="24"/>
                <w:szCs w:val="24"/>
                <w:lang w:val="zh-CN"/>
              </w:rPr>
              <w:t>资料管理以及除总局规定办税服务厅编外人员授权负面清单以外的业务事项等辅助工作。</w:t>
            </w:r>
          </w:p>
        </w:tc>
        <w:tc>
          <w:tcPr>
            <w:tcW w:w="1188" w:type="dxa"/>
            <w:tcBorders>
              <w:tl2br w:val="nil"/>
              <w:tr2bl w:val="nil"/>
            </w:tcBorders>
            <w:tcMar>
              <w:top w:w="0" w:type="dxa"/>
              <w:left w:w="123" w:type="dxa"/>
              <w:bottom w:w="0" w:type="dxa"/>
              <w:right w:w="128" w:type="dxa"/>
            </w:tcMar>
            <w:vAlign w:val="center"/>
          </w:tcPr>
          <w:p w14:paraId="512A8F12">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SA"/>
              </w:rPr>
              <w:t>98</w:t>
            </w:r>
          </w:p>
        </w:tc>
        <w:tc>
          <w:tcPr>
            <w:tcW w:w="969" w:type="dxa"/>
            <w:tcBorders>
              <w:tl2br w:val="nil"/>
              <w:tr2bl w:val="nil"/>
            </w:tcBorders>
            <w:tcMar>
              <w:top w:w="0" w:type="dxa"/>
              <w:left w:w="123" w:type="dxa"/>
              <w:bottom w:w="0" w:type="dxa"/>
              <w:right w:w="128" w:type="dxa"/>
            </w:tcMar>
            <w:vAlign w:val="center"/>
          </w:tcPr>
          <w:p w14:paraId="77A5FAA8">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lang w:val="zh-CN" w:eastAsia="zh-CN" w:bidi="ar-SA"/>
              </w:rPr>
              <w:t>年</w:t>
            </w:r>
          </w:p>
        </w:tc>
      </w:tr>
    </w:tbl>
    <w:p w14:paraId="722D9F5A">
      <w:pPr>
        <w:pStyle w:val="6"/>
        <w:keepNext w:val="0"/>
        <w:pageBreakBefore w:val="0"/>
        <w:kinsoku/>
        <w:wordWrap/>
        <w:overflowPunct/>
        <w:topLinePunct w:val="0"/>
        <w:autoSpaceDE/>
        <w:autoSpaceDN/>
        <w:bidi w:val="0"/>
        <w:adjustRightInd/>
        <w:spacing w:before="0" w:after="0"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31" w:name="_Toc256000005"/>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项目实施</w:t>
      </w:r>
      <w:bookmarkEnd w:id="131"/>
      <w:r>
        <w:rPr>
          <w:rFonts w:hint="eastAsia" w:ascii="宋体" w:hAnsi="宋体" w:eastAsia="宋体" w:cs="宋体"/>
          <w:color w:val="000000" w:themeColor="text1"/>
          <w:sz w:val="24"/>
          <w:szCs w:val="24"/>
          <w:lang w:val="en-US" w:eastAsia="zh-CN"/>
          <w14:textFill>
            <w14:solidFill>
              <w14:schemeClr w14:val="tx1"/>
            </w14:solidFill>
          </w14:textFill>
        </w:rPr>
        <w:t>地点</w:t>
      </w:r>
    </w:p>
    <w:p w14:paraId="78DEC87E">
      <w:pPr>
        <w:keepNext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国家税务总局</w:t>
      </w:r>
      <w:r>
        <w:rPr>
          <w:rFonts w:hint="eastAsia" w:ascii="宋体" w:hAnsi="宋体" w:eastAsia="宋体" w:cs="宋体"/>
          <w:color w:val="000000" w:themeColor="text1"/>
          <w:sz w:val="24"/>
          <w:szCs w:val="24"/>
          <w:lang w:val="en-US" w:eastAsia="zh-CN"/>
          <w14:textFill>
            <w14:solidFill>
              <w14:schemeClr w14:val="tx1"/>
            </w14:solidFill>
          </w14:textFill>
        </w:rPr>
        <w:t>福州市仓山区</w:t>
      </w:r>
      <w:r>
        <w:rPr>
          <w:rFonts w:hint="eastAsia" w:ascii="宋体" w:hAnsi="宋体" w:eastAsia="宋体" w:cs="宋体"/>
          <w:color w:val="000000" w:themeColor="text1"/>
          <w:sz w:val="24"/>
          <w:szCs w:val="24"/>
          <w:lang w:eastAsia="zh-CN"/>
          <w14:textFill>
            <w14:solidFill>
              <w14:schemeClr w14:val="tx1"/>
            </w14:solidFill>
          </w14:textFill>
        </w:rPr>
        <w:t>税务局。</w:t>
      </w:r>
    </w:p>
    <w:p w14:paraId="7A9E67BD">
      <w:pPr>
        <w:pStyle w:val="2"/>
        <w:ind w:left="0" w:leftChars="0" w:firstLine="0" w:firstLine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1.4付款方式</w:t>
      </w:r>
    </w:p>
    <w:p w14:paraId="61EF041C">
      <w:pPr>
        <w:pStyle w:val="2"/>
        <w:ind w:left="0" w:leftChars="0" w:firstLine="480"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按月支付费用：采购人收到发票后15日之内支付成交人上个月的结算费用。采购人在服务期内进行岗位调整的,根据供应商对应岗位的投标报价据实结算。</w:t>
      </w:r>
    </w:p>
    <w:p w14:paraId="2236774F">
      <w:pPr>
        <w:pStyle w:val="3"/>
        <w:keepNext w:val="0"/>
        <w:pageBreakBefore w:val="0"/>
        <w:numPr>
          <w:ilvl w:val="0"/>
          <w:numId w:val="2"/>
        </w:numPr>
        <w:kinsoku/>
        <w:wordWrap/>
        <w:overflowPunct/>
        <w:topLinePunct w:val="0"/>
        <w:autoSpaceDE/>
        <w:autoSpaceDN/>
        <w:bidi w:val="0"/>
        <w:adjustRightInd/>
        <w:spacing w:before="0" w:after="0" w:line="400" w:lineRule="exact"/>
        <w:jc w:val="both"/>
        <w:textAlignment w:val="auto"/>
        <w:rPr>
          <w:rFonts w:hint="eastAsia" w:ascii="宋体" w:hAnsi="宋体" w:eastAsia="宋体" w:cs="宋体"/>
          <w:color w:val="000000" w:themeColor="text1"/>
          <w:kern w:val="36"/>
          <w:sz w:val="24"/>
          <w:szCs w:val="24"/>
          <w:lang w:val="en-US" w:eastAsia="zh-CN"/>
          <w14:textFill>
            <w14:solidFill>
              <w14:schemeClr w14:val="tx1"/>
            </w14:solidFill>
          </w14:textFill>
        </w:rPr>
      </w:pPr>
      <w:bookmarkStart w:id="132" w:name="_Toc256000014"/>
      <w:r>
        <w:rPr>
          <w:rFonts w:hint="eastAsia" w:ascii="宋体" w:hAnsi="宋体" w:eastAsia="宋体" w:cs="宋体"/>
          <w:color w:val="000000" w:themeColor="text1"/>
          <w:kern w:val="36"/>
          <w:sz w:val="24"/>
          <w:szCs w:val="24"/>
          <w:lang w:val="en-US" w:eastAsia="zh-CN"/>
          <w14:textFill>
            <w14:solidFill>
              <w14:schemeClr w14:val="tx1"/>
            </w14:solidFill>
          </w14:textFill>
        </w:rPr>
        <w:t>项目服务要求</w:t>
      </w:r>
    </w:p>
    <w:p w14:paraId="749914BD">
      <w:pPr>
        <w:keepNext w:val="0"/>
        <w:pageBreakBefore w:val="0"/>
        <w:kinsoku/>
        <w:wordWrap/>
        <w:overflowPunct/>
        <w:topLinePunct w:val="0"/>
        <w:autoSpaceDE/>
        <w:autoSpaceDN/>
        <w:bidi w:val="0"/>
        <w:adjustRightInd/>
        <w:spacing w:before="0" w:after="0"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lang w:eastAsia="zh-CN"/>
          <w14:textFill>
            <w14:solidFill>
              <w14:schemeClr w14:val="tx1"/>
            </w14:solidFill>
          </w14:textFill>
        </w:rPr>
        <w:t>成交人</w:t>
      </w:r>
      <w:r>
        <w:rPr>
          <w:rFonts w:hint="eastAsia"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color w:val="000000" w:themeColor="text1"/>
          <w:sz w:val="24"/>
          <w:szCs w:val="24"/>
          <w:lang w:eastAsia="zh-CN"/>
          <w14:textFill>
            <w14:solidFill>
              <w14:schemeClr w14:val="tx1"/>
            </w14:solidFill>
          </w14:textFill>
        </w:rPr>
        <w:t>为本项目配备项目经理和专职法务团队，并</w:t>
      </w:r>
      <w:r>
        <w:rPr>
          <w:rFonts w:hint="eastAsia" w:ascii="宋体" w:hAnsi="宋体" w:eastAsia="宋体" w:cs="宋体"/>
          <w:color w:val="000000" w:themeColor="text1"/>
          <w:sz w:val="24"/>
          <w:szCs w:val="24"/>
          <w14:textFill>
            <w14:solidFill>
              <w14:schemeClr w14:val="tx1"/>
            </w14:solidFill>
          </w14:textFill>
        </w:rPr>
        <w:t>向采购人提供项目</w:t>
      </w:r>
      <w:r>
        <w:rPr>
          <w:rFonts w:hint="eastAsia" w:ascii="宋体" w:hAnsi="宋体" w:eastAsia="宋体" w:cs="宋体"/>
          <w:color w:val="000000" w:themeColor="text1"/>
          <w:sz w:val="24"/>
          <w:szCs w:val="24"/>
          <w:lang w:eastAsia="zh-CN"/>
          <w14:textFill>
            <w14:solidFill>
              <w14:schemeClr w14:val="tx1"/>
            </w14:solidFill>
          </w14:textFill>
        </w:rPr>
        <w:t>经理</w:t>
      </w:r>
      <w:r>
        <w:rPr>
          <w:rFonts w:hint="eastAsia" w:ascii="宋体" w:hAnsi="宋体" w:eastAsia="宋体" w:cs="宋体"/>
          <w:color w:val="000000" w:themeColor="text1"/>
          <w:sz w:val="24"/>
          <w:szCs w:val="24"/>
          <w14:textFill>
            <w14:solidFill>
              <w14:schemeClr w14:val="tx1"/>
            </w14:solidFill>
          </w14:textFill>
        </w:rPr>
        <w:t>姓名、身份证及24小时服务电话。</w:t>
      </w:r>
    </w:p>
    <w:p w14:paraId="28C8217C">
      <w:pPr>
        <w:keepNext w:val="0"/>
        <w:pageBreakBefore w:val="0"/>
        <w:kinsoku/>
        <w:wordWrap/>
        <w:overflowPunct/>
        <w:topLinePunct w:val="0"/>
        <w:autoSpaceDE/>
        <w:autoSpaceDN/>
        <w:bidi w:val="0"/>
        <w:adjustRightInd/>
        <w:spacing w:before="0" w:after="0"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lang w:eastAsia="zh-CN"/>
          <w14:textFill>
            <w14:solidFill>
              <w14:schemeClr w14:val="tx1"/>
            </w14:solidFill>
          </w14:textFill>
        </w:rPr>
        <w:t>成交人为本项目配备的服务人员</w:t>
      </w:r>
      <w:r>
        <w:rPr>
          <w:rFonts w:hint="eastAsia" w:ascii="宋体" w:hAnsi="宋体" w:eastAsia="宋体" w:cs="宋体"/>
          <w:color w:val="000000" w:themeColor="text1"/>
          <w:sz w:val="24"/>
          <w:szCs w:val="24"/>
          <w14:textFill>
            <w14:solidFill>
              <w14:schemeClr w14:val="tx1"/>
            </w14:solidFill>
          </w14:textFill>
        </w:rPr>
        <w:t>不得</w:t>
      </w:r>
      <w:r>
        <w:rPr>
          <w:rFonts w:hint="eastAsia" w:ascii="宋体" w:hAnsi="宋体" w:eastAsia="宋体" w:cs="宋体"/>
          <w:color w:val="000000" w:themeColor="text1"/>
          <w:sz w:val="24"/>
          <w:szCs w:val="24"/>
          <w:lang w:eastAsia="zh-CN"/>
          <w14:textFill>
            <w14:solidFill>
              <w14:schemeClr w14:val="tx1"/>
            </w14:solidFill>
          </w14:textFill>
        </w:rPr>
        <w:t>有</w:t>
      </w:r>
      <w:r>
        <w:rPr>
          <w:rFonts w:hint="eastAsia" w:ascii="宋体" w:hAnsi="宋体" w:eastAsia="宋体" w:cs="宋体"/>
          <w:color w:val="000000" w:themeColor="text1"/>
          <w:sz w:val="24"/>
          <w:szCs w:val="24"/>
          <w14:textFill>
            <w14:solidFill>
              <w14:schemeClr w14:val="tx1"/>
            </w14:solidFill>
          </w14:textFill>
        </w:rPr>
        <w:t>涉赌、涉毒、涉黑以及任何的违法、违纪等不良记录。</w:t>
      </w:r>
      <w:r>
        <w:rPr>
          <w:rFonts w:hint="eastAsia" w:ascii="宋体" w:hAnsi="宋体" w:eastAsia="宋体" w:cs="宋体"/>
          <w:color w:val="000000" w:themeColor="text1"/>
          <w:sz w:val="24"/>
          <w:szCs w:val="24"/>
          <w:lang w:eastAsia="zh-CN"/>
          <w14:textFill>
            <w14:solidFill>
              <w14:schemeClr w14:val="tx1"/>
            </w14:solidFill>
          </w14:textFill>
        </w:rPr>
        <w:t>供应商成交后须</w:t>
      </w:r>
      <w:r>
        <w:rPr>
          <w:rFonts w:hint="eastAsia" w:ascii="宋体" w:hAnsi="宋体" w:eastAsia="宋体" w:cs="宋体"/>
          <w:color w:val="000000" w:themeColor="text1"/>
          <w:sz w:val="24"/>
          <w:szCs w:val="24"/>
          <w14:textFill>
            <w14:solidFill>
              <w14:schemeClr w14:val="tx1"/>
            </w14:solidFill>
          </w14:textFill>
        </w:rPr>
        <w:t>为采购人提供相应人员户籍所在地派出所出具的背景核查证明。</w:t>
      </w:r>
    </w:p>
    <w:p w14:paraId="325E2412">
      <w:pPr>
        <w:pStyle w:val="4"/>
        <w:keepNext w:val="0"/>
        <w:pageBreakBefore w:val="0"/>
        <w:kinsoku/>
        <w:wordWrap/>
        <w:overflowPunct/>
        <w:topLinePunct w:val="0"/>
        <w:autoSpaceDE/>
        <w:autoSpaceDN/>
        <w:bidi w:val="0"/>
        <w:adjustRightInd/>
        <w:spacing w:before="0" w:after="0" w:line="400" w:lineRule="exact"/>
        <w:ind w:firstLine="482"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33" w:name="_Toc256000019"/>
      <w:r>
        <w:rPr>
          <w:rFonts w:hint="eastAsia" w:ascii="宋体" w:hAnsi="宋体" w:eastAsia="宋体" w:cs="宋体"/>
          <w:i w:val="0"/>
          <w:iCs w:val="0"/>
          <w:color w:val="000000" w:themeColor="text1"/>
          <w:sz w:val="24"/>
          <w:szCs w:val="24"/>
          <w:lang w:val="en-US" w:eastAsia="zh-CN"/>
          <w14:textFill>
            <w14:solidFill>
              <w14:schemeClr w14:val="tx1"/>
            </w14:solidFill>
          </w14:textFill>
        </w:rPr>
        <w:t>2.3</w:t>
      </w:r>
      <w:r>
        <w:rPr>
          <w:rFonts w:hint="eastAsia" w:ascii="宋体" w:hAnsi="宋体" w:eastAsia="宋体" w:cs="宋体"/>
          <w:i w:val="0"/>
          <w:iCs w:val="0"/>
          <w:color w:val="000000" w:themeColor="text1"/>
          <w:sz w:val="24"/>
          <w:szCs w:val="24"/>
          <w:lang w:eastAsia="zh-CN"/>
          <w14:textFill>
            <w14:solidFill>
              <w14:schemeClr w14:val="tx1"/>
            </w14:solidFill>
          </w14:textFill>
        </w:rPr>
        <w:t>具体要求</w:t>
      </w:r>
      <w:bookmarkEnd w:id="133"/>
    </w:p>
    <w:tbl>
      <w:tblPr>
        <w:tblStyle w:val="52"/>
        <w:tblW w:w="478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713"/>
        <w:gridCol w:w="6870"/>
      </w:tblGrid>
      <w:tr w14:paraId="13BB6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14:paraId="5E9773D4">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岗</w:t>
            </w:r>
            <w:r>
              <w:rPr>
                <w:rFonts w:hint="eastAsia" w:ascii="宋体" w:hAnsi="宋体" w:eastAsia="宋体" w:cs="宋体"/>
                <w:b/>
                <w:bCs/>
                <w:color w:val="000000" w:themeColor="text1"/>
                <w:sz w:val="24"/>
                <w:szCs w:val="24"/>
                <w:lang w:eastAsia="zh-CN"/>
                <w14:textFill>
                  <w14:solidFill>
                    <w14:schemeClr w14:val="tx1"/>
                  </w14:solidFill>
                </w14:textFill>
              </w:rPr>
              <w:t>　</w:t>
            </w:r>
            <w:r>
              <w:rPr>
                <w:rFonts w:hint="eastAsia" w:ascii="宋体" w:hAnsi="宋体" w:eastAsia="宋体" w:cs="宋体"/>
                <w:b/>
                <w:bCs/>
                <w:color w:val="000000" w:themeColor="text1"/>
                <w:sz w:val="24"/>
                <w:szCs w:val="24"/>
                <w14:textFill>
                  <w14:solidFill>
                    <w14:schemeClr w14:val="tx1"/>
                  </w14:solidFill>
                </w14:textFill>
              </w:rPr>
              <w:t>位</w:t>
            </w:r>
          </w:p>
        </w:tc>
        <w:tc>
          <w:tcPr>
            <w:tcW w:w="4001" w:type="pct"/>
            <w:tcBorders>
              <w:tl2br w:val="nil"/>
              <w:tr2bl w:val="nil"/>
            </w:tcBorders>
            <w:tcMar>
              <w:top w:w="0" w:type="dxa"/>
              <w:left w:w="113" w:type="dxa"/>
              <w:bottom w:w="0" w:type="dxa"/>
              <w:right w:w="118" w:type="dxa"/>
            </w:tcMar>
            <w:vAlign w:val="center"/>
          </w:tcPr>
          <w:p w14:paraId="3B479BF9">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具体要求</w:t>
            </w:r>
          </w:p>
        </w:tc>
      </w:tr>
      <w:tr w14:paraId="488F7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jc w:val="center"/>
        </w:trPr>
        <w:tc>
          <w:tcPr>
            <w:tcW w:w="998" w:type="pct"/>
            <w:tcBorders>
              <w:tl2br w:val="nil"/>
              <w:tr2bl w:val="nil"/>
            </w:tcBorders>
            <w:tcMar>
              <w:top w:w="0" w:type="dxa"/>
              <w:left w:w="113" w:type="dxa"/>
              <w:bottom w:w="0" w:type="dxa"/>
              <w:right w:w="118" w:type="dxa"/>
            </w:tcMar>
            <w:vAlign w:val="center"/>
          </w:tcPr>
          <w:p w14:paraId="7652DC0D">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导税服务</w:t>
            </w:r>
          </w:p>
        </w:tc>
        <w:tc>
          <w:tcPr>
            <w:tcW w:w="4001" w:type="pct"/>
            <w:vMerge w:val="restart"/>
            <w:tcBorders>
              <w:tl2br w:val="nil"/>
              <w:tr2bl w:val="nil"/>
            </w:tcBorders>
            <w:tcMar>
              <w:top w:w="0" w:type="dxa"/>
              <w:left w:w="113" w:type="dxa"/>
              <w:bottom w:w="0" w:type="dxa"/>
              <w:right w:w="118" w:type="dxa"/>
            </w:tcMar>
            <w:vAlign w:val="center"/>
          </w:tcPr>
          <w:p w14:paraId="56DB1ED5">
            <w:pPr>
              <w:pStyle w:val="53"/>
              <w:keepNext w:val="0"/>
              <w:pageBreakBefore w:val="0"/>
              <w:kinsoku/>
              <w:wordWrap/>
              <w:overflowPunct/>
              <w:topLinePunct w:val="0"/>
              <w:autoSpaceDE/>
              <w:autoSpaceDN/>
              <w:bidi w:val="0"/>
              <w:adjustRightInd/>
              <w:spacing w:line="400" w:lineRule="exact"/>
              <w:ind w:right="281"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①具有中华人民共和国国籍，拥护中华人民共和国宪法，拥护中国共产党领导和社会主义制度，自觉维护国家和单位利益，遵纪守法，自觉遵守和执行各项规章制度、职工行为规范，供应商</w:t>
            </w:r>
            <w:r>
              <w:rPr>
                <w:rFonts w:hint="eastAsia" w:ascii="宋体" w:hAnsi="宋体" w:eastAsia="宋体" w:cs="宋体"/>
                <w:color w:val="000000" w:themeColor="text1"/>
                <w:sz w:val="24"/>
                <w:szCs w:val="24"/>
                <w:lang w:val="en-US" w:eastAsia="zh-CN"/>
                <w14:textFill>
                  <w14:solidFill>
                    <w14:schemeClr w14:val="tx1"/>
                  </w14:solidFill>
                </w14:textFill>
              </w:rPr>
              <w:t>成交后</w:t>
            </w:r>
            <w:r>
              <w:rPr>
                <w:rFonts w:hint="eastAsia" w:ascii="宋体" w:hAnsi="宋体" w:eastAsia="宋体" w:cs="宋体"/>
                <w:color w:val="000000" w:themeColor="text1"/>
                <w:sz w:val="24"/>
                <w:szCs w:val="24"/>
                <w:lang w:eastAsia="zh-CN"/>
                <w14:textFill>
                  <w14:solidFill>
                    <w14:schemeClr w14:val="tx1"/>
                  </w14:solidFill>
                </w14:textFill>
              </w:rPr>
              <w:t>需提供服务人员的户籍所在地派出所出具的无犯罪记录证明；</w:t>
            </w:r>
          </w:p>
          <w:p w14:paraId="2441154E">
            <w:pPr>
              <w:pStyle w:val="53"/>
              <w:keepNext w:val="0"/>
              <w:pageBreakBefore w:val="0"/>
              <w:kinsoku/>
              <w:wordWrap/>
              <w:overflowPunct/>
              <w:topLinePunct w:val="0"/>
              <w:autoSpaceDE/>
              <w:autoSpaceDN/>
              <w:bidi w:val="0"/>
              <w:adjustRightInd/>
              <w:spacing w:line="400" w:lineRule="exact"/>
              <w:ind w:right="281"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②熟练使用办公软件，如Word进行文字录入、文档排版等操作，使用Excel进行数据录入、表格制作等。</w:t>
            </w:r>
          </w:p>
          <w:p w14:paraId="102A7789">
            <w:pPr>
              <w:pStyle w:val="53"/>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③身体健康，品行良好，思想端正，具有较强的语言表达能力、良好的沟通能力、思维反应能力、记忆能力、心理承受能力和学习能力；</w:t>
            </w:r>
          </w:p>
          <w:p w14:paraId="2BFA1A42">
            <w:pPr>
              <w:pStyle w:val="53"/>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④服从领导听从指挥，具备较强的服务意识、安全防范意识、保密意识；</w:t>
            </w:r>
          </w:p>
          <w:p w14:paraId="51980766">
            <w:pPr>
              <w:pStyle w:val="53"/>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⑤爱岗敬业，能吃苦耐劳，具备良好的团队精神。</w:t>
            </w:r>
          </w:p>
        </w:tc>
      </w:tr>
      <w:tr w14:paraId="22719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14:paraId="244635C2">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自助办税（费）辅导服务</w:t>
            </w:r>
          </w:p>
        </w:tc>
        <w:tc>
          <w:tcPr>
            <w:tcW w:w="4001" w:type="pct"/>
            <w:vMerge w:val="continue"/>
            <w:tcBorders>
              <w:tl2br w:val="nil"/>
              <w:tr2bl w:val="nil"/>
            </w:tcBorders>
            <w:tcMar>
              <w:top w:w="0" w:type="dxa"/>
              <w:left w:w="113" w:type="dxa"/>
              <w:bottom w:w="0" w:type="dxa"/>
              <w:right w:w="118" w:type="dxa"/>
            </w:tcMar>
            <w:vAlign w:val="center"/>
          </w:tcPr>
          <w:p w14:paraId="698829A7">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3A2E6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14:paraId="01985D07">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税费咨询服务</w:t>
            </w:r>
          </w:p>
        </w:tc>
        <w:tc>
          <w:tcPr>
            <w:tcW w:w="4001" w:type="pct"/>
            <w:vMerge w:val="continue"/>
            <w:tcBorders>
              <w:tl2br w:val="nil"/>
              <w:tr2bl w:val="nil"/>
            </w:tcBorders>
            <w:tcMar>
              <w:top w:w="0" w:type="dxa"/>
              <w:left w:w="113" w:type="dxa"/>
              <w:bottom w:w="0" w:type="dxa"/>
              <w:right w:w="118" w:type="dxa"/>
            </w:tcMar>
            <w:vAlign w:val="center"/>
          </w:tcPr>
          <w:p w14:paraId="4B357553">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7E40B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14:paraId="59670888">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涉税（费）</w:t>
            </w:r>
            <w:r>
              <w:rPr>
                <w:rFonts w:hint="eastAsia" w:ascii="宋体" w:hAnsi="宋体" w:eastAsia="宋体" w:cs="宋体"/>
                <w:color w:val="000000" w:themeColor="text1"/>
                <w:sz w:val="24"/>
                <w:szCs w:val="24"/>
                <w:lang w:val="en-US" w:eastAsia="zh-CN"/>
                <w14:textFill>
                  <w14:solidFill>
                    <w14:schemeClr w14:val="tx1"/>
                  </w14:solidFill>
                </w14:textFill>
              </w:rPr>
              <w:t>诉求</w:t>
            </w:r>
            <w:r>
              <w:rPr>
                <w:rFonts w:hint="eastAsia" w:ascii="宋体" w:hAnsi="宋体" w:eastAsia="宋体" w:cs="宋体"/>
                <w:color w:val="000000" w:themeColor="text1"/>
                <w:sz w:val="24"/>
                <w:szCs w:val="24"/>
                <w14:textFill>
                  <w14:solidFill>
                    <w14:schemeClr w14:val="tx1"/>
                  </w14:solidFill>
                </w14:textFill>
              </w:rPr>
              <w:t>服务</w:t>
            </w:r>
          </w:p>
        </w:tc>
        <w:tc>
          <w:tcPr>
            <w:tcW w:w="4001" w:type="pct"/>
            <w:vMerge w:val="continue"/>
            <w:tcBorders>
              <w:tl2br w:val="nil"/>
              <w:tr2bl w:val="nil"/>
            </w:tcBorders>
            <w:tcMar>
              <w:top w:w="0" w:type="dxa"/>
              <w:left w:w="113" w:type="dxa"/>
              <w:bottom w:w="0" w:type="dxa"/>
              <w:right w:w="118" w:type="dxa"/>
            </w:tcMar>
            <w:vAlign w:val="center"/>
          </w:tcPr>
          <w:p w14:paraId="74271A7C">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7757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14:paraId="7E4440D0">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文书内勤服务</w:t>
            </w:r>
          </w:p>
        </w:tc>
        <w:tc>
          <w:tcPr>
            <w:tcW w:w="4001" w:type="pct"/>
            <w:vMerge w:val="continue"/>
            <w:tcBorders>
              <w:tl2br w:val="nil"/>
              <w:tr2bl w:val="nil"/>
            </w:tcBorders>
            <w:tcMar>
              <w:top w:w="0" w:type="dxa"/>
              <w:left w:w="113" w:type="dxa"/>
              <w:bottom w:w="0" w:type="dxa"/>
              <w:right w:w="118" w:type="dxa"/>
            </w:tcMar>
            <w:vAlign w:val="center"/>
          </w:tcPr>
          <w:p w14:paraId="08C2A387">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200C14B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说明:</w:t>
      </w:r>
      <w:r>
        <w:rPr>
          <w:rFonts w:hint="eastAsia" w:ascii="宋体" w:hAnsi="宋体" w:eastAsia="宋体" w:cs="宋体"/>
          <w:color w:val="000000" w:themeColor="text1"/>
          <w:sz w:val="24"/>
          <w:szCs w:val="24"/>
          <w14:textFill>
            <w14:solidFill>
              <w14:schemeClr w14:val="tx1"/>
            </w14:solidFill>
          </w14:textFill>
        </w:rPr>
        <w:t>采购人在服务期内进行岗位调整</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对应岗位的投标报价据实结算。</w:t>
      </w:r>
    </w:p>
    <w:p w14:paraId="29D13D9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lang w:eastAsia="zh-CN"/>
          <w14:textFill>
            <w14:solidFill>
              <w14:schemeClr w14:val="tx1"/>
            </w14:solidFill>
          </w14:textFill>
        </w:rPr>
        <w:t>供应商应为服务岗位人员定制工作服，每人夏季服装两套</w:t>
      </w:r>
      <w:r>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秋季服装两套。</w:t>
      </w:r>
    </w:p>
    <w:p w14:paraId="0A55CFB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2.5服务态度：成交人为本项目配备的岗位人员应具备良好的服务态度，包括但不限于礼貌、耐心、细致等，与服务对象能进行良好的沟通，流畅应对各类涉税咨询，主动回应服务对象的需求和要求。</w:t>
      </w:r>
    </w:p>
    <w:p w14:paraId="3E6C0BE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2.6服务效率：</w:t>
      </w:r>
    </w:p>
    <w:p w14:paraId="4540424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能提供足够数量的服务人员，满足采购人的需求；②成交人应确保员工的培训和考核，保障服务质量，并遵守相关的法规和标准；③提供的服务人员应服从领导指挥，具备较强的服务意识、心理承受能力和学习能力，具有一定问题分析能力，能快速响应服务对象的诉求。④服务人员应遵循着装管理办法（含制服、头发等仪容仪表要求，相关费用由成交人负责），不迟到、早退，不无故离岗。</w:t>
      </w:r>
    </w:p>
    <w:p w14:paraId="7ED81EA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2.7服务质量监控：</w:t>
      </w:r>
    </w:p>
    <w:p w14:paraId="673EEEB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成交人应建立健全服务质量监控机制；②成交人定期对服务人员服务质量进行评估，向采购人提交评估报告，收集意见和反馈，及时改进服务；③采购人有权要求成交人提供服务质量报告和相关数据，以确保服务符合标准和要求；④建立投诉处理机制，及时对投诉进行处理并改进。</w:t>
      </w:r>
    </w:p>
    <w:p w14:paraId="4FF7C54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2.8服务保障</w:t>
      </w:r>
    </w:p>
    <w:p w14:paraId="2D9CDE4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①服务人员变动或请假离岗连续超过3天的，成交人应及时提供替代人选，确保提供不间断的服务；②服务人员应遵循保密规定，不得外传采购人涉密信息。</w:t>
      </w:r>
    </w:p>
    <w:p w14:paraId="4EDFC7E8">
      <w:pPr>
        <w:pStyle w:val="3"/>
        <w:keepNext w:val="0"/>
        <w:pageBreakBefore w:val="0"/>
        <w:numPr>
          <w:ilvl w:val="0"/>
          <w:numId w:val="0"/>
        </w:numPr>
        <w:kinsoku/>
        <w:wordWrap/>
        <w:overflowPunct/>
        <w:topLinePunct w:val="0"/>
        <w:autoSpaceDE/>
        <w:autoSpaceDN/>
        <w:bidi w:val="0"/>
        <w:adjustRightInd/>
        <w:spacing w:before="0" w:after="0" w:line="400" w:lineRule="exact"/>
        <w:ind w:firstLine="482" w:firstLineChars="200"/>
        <w:jc w:val="both"/>
        <w:textAlignment w:val="auto"/>
        <w:rPr>
          <w:rFonts w:hint="eastAsia" w:ascii="宋体" w:hAnsi="宋体" w:eastAsia="宋体" w:cs="宋体"/>
          <w:color w:val="000000" w:themeColor="text1"/>
          <w:kern w:val="36"/>
          <w:sz w:val="24"/>
          <w:szCs w:val="24"/>
          <w:lang w:val="en-US" w:eastAsia="zh-CN"/>
          <w14:textFill>
            <w14:solidFill>
              <w14:schemeClr w14:val="tx1"/>
            </w14:solidFill>
          </w14:textFill>
        </w:rPr>
      </w:pPr>
      <w:r>
        <w:rPr>
          <w:rFonts w:hint="eastAsia" w:ascii="宋体" w:hAnsi="宋体" w:eastAsia="宋体" w:cs="宋体"/>
          <w:color w:val="000000" w:themeColor="text1"/>
          <w:kern w:val="36"/>
          <w:sz w:val="24"/>
          <w:szCs w:val="24"/>
          <w:lang w:val="en-US" w:eastAsia="zh-CN"/>
          <w14:textFill>
            <w14:solidFill>
              <w14:schemeClr w14:val="tx1"/>
            </w14:solidFill>
          </w14:textFill>
        </w:rPr>
        <w:t>3、其他要求</w:t>
      </w:r>
    </w:p>
    <w:bookmarkEnd w:id="132"/>
    <w:p w14:paraId="675BBBD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3.1本项目不允许供应商以任何名义和理由进行转包，如有发现，采购人有权单方终止合同，视为供应商违约，供应商违约对采购人造成损失的，需另行支付相应的赔偿。</w:t>
      </w:r>
    </w:p>
    <w:p w14:paraId="037691A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合同期间，供应商提供服务岗位人员应保持相对稳定，若供应商服务无法达到采购人要求，采购人有权终止合同。供应商安排的服务人员如非因采购人要求更换而换人的，应当提前一个月向采购人报告，并确保再次安排的服务人员需满足采购人服务需求。</w:t>
      </w:r>
    </w:p>
    <w:p w14:paraId="35BF7D4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供应商必须对采购项目的所有内容进行响应，投标报价包括服务期限内的所有费用；供应商分项报价须列出各项费用的计算相关标准及依据，包括但不限于列明人员薪酬、管理费用等所涉及的各细项费用。供应商应充分评估服务期内发生的所有费用并合理报价，各项费用不管是否在供应商报价书中单列，均视为报价总价中已包括该费用。 </w:t>
      </w:r>
    </w:p>
    <w:p w14:paraId="5F2DD76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3.4由于项目存在服务内容变更的可能性，因此应允许采购人对服务范围等方面的适度调整，成交人应该充分估计和接受因上述调整给自身带来的计划变更及损失，不得以任何理由拒绝。</w:t>
      </w:r>
    </w:p>
    <w:p w14:paraId="21A6C4E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3.5服务人员的工作时间应严格按国家有关法律、法规要求标准执行，因工作原因产生的加班（含节假日加班）应严格按照国家有关法律、法规要求的标准由成交人支付给员工加班费。</w:t>
      </w:r>
    </w:p>
    <w:p w14:paraId="30BE06B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3.6供应商应与服务人员建立劳动关系，并签订书面劳动合同，同时应确保所有服务人员的工资不得低于福建建福州市的最低工资标准。</w:t>
      </w:r>
    </w:p>
    <w:p w14:paraId="67AEE3B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3.7服务人员在采购人工作期间发生工伤、职业病、死亡等安全事故的，其责任及相应的赔偿由供应商承担，并负责办理工伤保险理赔手续和保险金的发放。</w:t>
      </w:r>
    </w:p>
    <w:p w14:paraId="5DDE229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3.8供应商提供的服务人员因执行工作任务造成第三方损害应承担的赔偿责任，善后补偿、赔偿责任由供应商承担。</w:t>
      </w:r>
    </w:p>
    <w:p w14:paraId="36ADEB71">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3.9</w:t>
      </w:r>
      <w:r>
        <w:rPr>
          <w:rFonts w:hint="eastAsia" w:ascii="宋体" w:hAnsi="宋体" w:eastAsia="宋体" w:cs="宋体"/>
          <w:color w:val="000000" w:themeColor="text1"/>
          <w:sz w:val="24"/>
          <w:szCs w:val="24"/>
          <w:lang w:eastAsia="zh-CN"/>
          <w14:textFill>
            <w14:solidFill>
              <w14:schemeClr w14:val="tx1"/>
            </w14:solidFill>
          </w14:textFill>
        </w:rPr>
        <w:t>采购人对以下情形，有权提出撤换服务人员的要求，供应商应按采购人要求进行撤换，并在采购人指定时间内完成（一般为5日内）：</w:t>
      </w:r>
    </w:p>
    <w:p w14:paraId="51D27B20">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（1）严重影响税务形象，被有关部门通报的；</w:t>
      </w:r>
    </w:p>
    <w:p w14:paraId="6F93A8F7">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（2）在一个工作年度内，被投诉三次以上的（含三次）；</w:t>
      </w:r>
    </w:p>
    <w:p w14:paraId="3ADB2D4C">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（3）因个人身体原因，不适合服务岗位的；</w:t>
      </w:r>
    </w:p>
    <w:p w14:paraId="4FD8286D">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（4）不胜任岗位需求，不服从管理的；</w:t>
      </w:r>
    </w:p>
    <w:p w14:paraId="535A9DBB">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（5）其它影响工作的情形。</w:t>
      </w:r>
    </w:p>
    <w:p w14:paraId="462D303C">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3.10</w:t>
      </w:r>
      <w:r>
        <w:rPr>
          <w:rFonts w:hint="eastAsia" w:ascii="宋体" w:hAnsi="宋体" w:eastAsia="宋体" w:cs="宋体"/>
          <w:color w:val="000000" w:themeColor="text1"/>
          <w:sz w:val="24"/>
          <w:szCs w:val="24"/>
          <w:lang w:eastAsia="zh-CN"/>
          <w14:textFill>
            <w14:solidFill>
              <w14:schemeClr w14:val="tx1"/>
            </w14:solidFill>
          </w14:textFill>
        </w:rPr>
        <w:t>供应商应保守采购人单位的工作秘密，包括但不限于文件、数据等信息，不得泄露给任何第三方，包括其提供的服务人员以外的个人或组织。供应商应按要求与所有服务人员签订保密协议和网络安全承诺书，同时定期进行网络安全、数据安全及相关保密安全培训。</w:t>
      </w:r>
    </w:p>
    <w:p w14:paraId="233505FF">
      <w:pPr>
        <w:pStyle w:val="54"/>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未明确的其它约定事项或条款，待采购人与成交人签订合同时，由双方协商订立。</w:t>
      </w:r>
      <w:bookmarkStart w:id="134" w:name="_Toc256000017"/>
    </w:p>
    <w:p w14:paraId="08C754D0">
      <w:pPr>
        <w:pStyle w:val="3"/>
        <w:keepNext w:val="0"/>
        <w:pageBreakBefore w:val="0"/>
        <w:kinsoku/>
        <w:wordWrap/>
        <w:overflowPunct/>
        <w:topLinePunct w:val="0"/>
        <w:autoSpaceDE/>
        <w:autoSpaceDN/>
        <w:bidi w:val="0"/>
        <w:adjustRightInd/>
        <w:spacing w:before="0" w:after="0"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bookmarkStart w:id="135" w:name="_Toc256000022"/>
      <w:r>
        <w:rPr>
          <w:rFonts w:hint="eastAsia" w:ascii="宋体" w:hAnsi="宋体" w:eastAsia="宋体" w:cs="宋体"/>
          <w:color w:val="000000" w:themeColor="text1"/>
          <w:kern w:val="36"/>
          <w:sz w:val="24"/>
          <w:szCs w:val="24"/>
          <w:lang w:val="en-US" w:eastAsia="zh-CN"/>
          <w14:textFill>
            <w14:solidFill>
              <w14:schemeClr w14:val="tx1"/>
            </w14:solidFill>
          </w14:textFill>
        </w:rPr>
        <w:t>4、验收考核</w:t>
      </w:r>
      <w:r>
        <w:rPr>
          <w:rFonts w:hint="eastAsia" w:ascii="宋体" w:hAnsi="宋体" w:eastAsia="宋体" w:cs="宋体"/>
          <w:color w:val="000000" w:themeColor="text1"/>
          <w:kern w:val="36"/>
          <w:sz w:val="24"/>
          <w:szCs w:val="24"/>
          <w14:textFill>
            <w14:solidFill>
              <w14:schemeClr w14:val="tx1"/>
            </w14:solidFill>
          </w14:textFill>
        </w:rPr>
        <w:t>要求</w:t>
      </w:r>
      <w:bookmarkEnd w:id="135"/>
      <w:r>
        <w:rPr>
          <w:rFonts w:hint="eastAsia" w:ascii="宋体" w:hAnsi="宋体" w:eastAsia="宋体" w:cs="宋体"/>
          <w:color w:val="000000" w:themeColor="text1"/>
          <w:sz w:val="24"/>
          <w:szCs w:val="24"/>
          <w14:textFill>
            <w14:solidFill>
              <w14:schemeClr w14:val="tx1"/>
            </w14:solidFill>
          </w14:textFill>
        </w:rPr>
        <w:t> </w:t>
      </w:r>
    </w:p>
    <w:tbl>
      <w:tblPr>
        <w:tblStyle w:val="52"/>
        <w:tblW w:w="0" w:type="auto"/>
        <w:tblInd w:w="253" w:type="dxa"/>
        <w:tblLayout w:type="autofit"/>
        <w:tblCellMar>
          <w:top w:w="0" w:type="dxa"/>
          <w:left w:w="0" w:type="dxa"/>
          <w:bottom w:w="0" w:type="dxa"/>
          <w:right w:w="0" w:type="dxa"/>
        </w:tblCellMar>
      </w:tblPr>
      <w:tblGrid>
        <w:gridCol w:w="2033"/>
        <w:gridCol w:w="1282"/>
        <w:gridCol w:w="5400"/>
      </w:tblGrid>
      <w:tr w14:paraId="5F071992">
        <w:tblPrEx>
          <w:tblCellMar>
            <w:top w:w="0" w:type="dxa"/>
            <w:left w:w="0" w:type="dxa"/>
            <w:bottom w:w="0" w:type="dxa"/>
            <w:right w:w="0" w:type="dxa"/>
          </w:tblCellMar>
        </w:tblPrEx>
        <w:tc>
          <w:tcPr>
            <w:tcW w:w="2098"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tcPr>
          <w:p w14:paraId="736B8DBE">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考核项目名称</w:t>
            </w:r>
          </w:p>
        </w:tc>
        <w:tc>
          <w:tcPr>
            <w:tcW w:w="1315" w:type="dxa"/>
            <w:tcBorders>
              <w:top w:val="single" w:color="000000" w:sz="8" w:space="0"/>
              <w:bottom w:val="single" w:color="000000" w:sz="8" w:space="0"/>
              <w:right w:val="single" w:color="000000" w:sz="8" w:space="0"/>
            </w:tcBorders>
            <w:tcMar>
              <w:top w:w="0" w:type="dxa"/>
              <w:left w:w="113" w:type="dxa"/>
              <w:bottom w:w="0" w:type="dxa"/>
              <w:right w:w="118" w:type="dxa"/>
            </w:tcMar>
          </w:tcPr>
          <w:p w14:paraId="1819EF43">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5592" w:type="dxa"/>
            <w:tcBorders>
              <w:top w:val="single" w:color="000000" w:sz="8" w:space="0"/>
              <w:bottom w:val="single" w:color="000000" w:sz="8" w:space="0"/>
              <w:right w:val="single" w:color="000000" w:sz="8" w:space="0"/>
            </w:tcBorders>
            <w:tcMar>
              <w:top w:w="0" w:type="dxa"/>
              <w:left w:w="113" w:type="dxa"/>
              <w:bottom w:w="0" w:type="dxa"/>
              <w:right w:w="118" w:type="dxa"/>
            </w:tcMar>
          </w:tcPr>
          <w:p w14:paraId="09B72C6B">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细则</w:t>
            </w:r>
          </w:p>
        </w:tc>
      </w:tr>
      <w:tr w14:paraId="3DC1D233">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7956F201">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人员要求</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14:paraId="55446E2F">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10分</w:t>
            </w:r>
          </w:p>
        </w:tc>
        <w:tc>
          <w:tcPr>
            <w:tcW w:w="5592" w:type="dxa"/>
            <w:tcBorders>
              <w:bottom w:val="single" w:color="000000" w:sz="8" w:space="0"/>
              <w:right w:val="single" w:color="000000" w:sz="8" w:space="0"/>
            </w:tcBorders>
            <w:tcMar>
              <w:top w:w="0" w:type="dxa"/>
              <w:left w:w="113" w:type="dxa"/>
              <w:bottom w:w="0" w:type="dxa"/>
              <w:right w:w="118" w:type="dxa"/>
            </w:tcMar>
          </w:tcPr>
          <w:p w14:paraId="5C64FCDE">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①成交人需严格按采购人的要求提供服务，所安排人员未满足采购人服务需求的，每人次扣</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分。</w:t>
            </w:r>
          </w:p>
          <w:p w14:paraId="294DEE49">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②成交人需对新服务人员进行思想素质、职业技能、安全防范及各项规章制度的培训，无培训及培训不合格，每人次扣2分。</w:t>
            </w:r>
          </w:p>
          <w:p w14:paraId="6FEE9EF4">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③成交人需在新服务人员入职前完善各项资料和相关手续，明确劳动关系和签署相关法律文件，未按要求完善，每人次扣 </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w:t>
            </w:r>
          </w:p>
        </w:tc>
      </w:tr>
      <w:tr w14:paraId="7D38487F">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70D42614">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日常管理</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14:paraId="56856F3B">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20分</w:t>
            </w:r>
          </w:p>
        </w:tc>
        <w:tc>
          <w:tcPr>
            <w:tcW w:w="5592" w:type="dxa"/>
            <w:tcBorders>
              <w:bottom w:val="single" w:color="000000" w:sz="8" w:space="0"/>
              <w:right w:val="single" w:color="000000" w:sz="8" w:space="0"/>
            </w:tcBorders>
            <w:tcMar>
              <w:top w:w="0" w:type="dxa"/>
              <w:left w:w="113" w:type="dxa"/>
              <w:bottom w:w="0" w:type="dxa"/>
              <w:right w:w="118" w:type="dxa"/>
            </w:tcMar>
          </w:tcPr>
          <w:p w14:paraId="43A5648E">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成交人负责对服务人员日常管理，包括对员工的考勤、工作纪律等，未按要求管理的，每人次扣2分。凡有迟到、早退、旷工等情况的，成交人应如实记录，并按月提供考勤表，作为考核的依据。服务人员变动或请假离岗连续超过</w:t>
            </w:r>
            <w:r>
              <w:rPr>
                <w:rFonts w:hint="eastAsia" w:ascii="宋体" w:hAnsi="宋体" w:eastAsia="宋体" w:cs="宋体"/>
                <w:color w:val="000000" w:themeColor="text1"/>
                <w:sz w:val="24"/>
                <w:szCs w:val="24"/>
                <w:lang w:val="en-US" w:eastAsia="zh-CN"/>
                <w14:textFill>
                  <w14:solidFill>
                    <w14:schemeClr w14:val="tx1"/>
                  </w14:solidFill>
                </w14:textFill>
              </w:rPr>
              <w:t>3天</w:t>
            </w:r>
            <w:r>
              <w:rPr>
                <w:rFonts w:hint="eastAsia" w:ascii="宋体" w:hAnsi="宋体" w:eastAsia="宋体" w:cs="宋体"/>
                <w:color w:val="000000" w:themeColor="text1"/>
                <w:sz w:val="24"/>
                <w:szCs w:val="24"/>
                <w:lang w:eastAsia="zh-CN"/>
                <w14:textFill>
                  <w14:solidFill>
                    <w14:schemeClr w14:val="tx1"/>
                  </w14:solidFill>
                </w14:textFill>
              </w:rPr>
              <w:t>的，成交人需及时安排人员替换，确保满足采购人的服务需求。</w:t>
            </w:r>
          </w:p>
          <w:p w14:paraId="06F4A48D">
            <w:pPr>
              <w:pStyle w:val="49"/>
              <w:keepNext w:val="0"/>
              <w:pageBreakBefore w:val="0"/>
              <w:kinsoku/>
              <w:wordWrap/>
              <w:overflowPunct/>
              <w:topLinePunct w:val="0"/>
              <w:autoSpaceDE/>
              <w:autoSpaceDN/>
              <w:bidi w:val="0"/>
              <w:adjustRightInd/>
              <w:spacing w:before="240"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②成交人安排的服务人员需服从采购人就服务内容提出的合理要求。</w:t>
            </w:r>
            <w:r>
              <w:rPr>
                <w:rFonts w:hint="eastAsia" w:ascii="宋体" w:hAnsi="宋体" w:eastAsia="宋体" w:cs="宋体"/>
                <w:color w:val="000000" w:themeColor="text1"/>
                <w:sz w:val="24"/>
                <w:szCs w:val="24"/>
                <w14:textFill>
                  <w14:solidFill>
                    <w14:schemeClr w14:val="tx1"/>
                  </w14:solidFill>
                </w14:textFill>
              </w:rPr>
              <w:t>否则每人次扣2分。</w:t>
            </w:r>
          </w:p>
        </w:tc>
      </w:tr>
      <w:tr w14:paraId="2E9D0791">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7274F766">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服务质量与服务态度</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14:paraId="3900AB05">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50分</w:t>
            </w:r>
          </w:p>
        </w:tc>
        <w:tc>
          <w:tcPr>
            <w:tcW w:w="5592" w:type="dxa"/>
            <w:tcBorders>
              <w:bottom w:val="single" w:color="000000" w:sz="8" w:space="0"/>
              <w:right w:val="single" w:color="000000" w:sz="8" w:space="0"/>
            </w:tcBorders>
            <w:tcMar>
              <w:top w:w="0" w:type="dxa"/>
              <w:left w:w="113" w:type="dxa"/>
              <w:bottom w:w="0" w:type="dxa"/>
              <w:right w:w="118" w:type="dxa"/>
            </w:tcMar>
          </w:tcPr>
          <w:p w14:paraId="763C848A">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①成交人安排的服务人员需认真对待及时完成服务内容，未按要求提供服务的，每人次扣2分。</w:t>
            </w:r>
          </w:p>
          <w:p w14:paraId="289AF4BB">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②成交人安排的服务人员，若发生吃拿卡要的现象，一经查实，每人次扣15分。</w:t>
            </w:r>
          </w:p>
          <w:p w14:paraId="03A08CEB">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③成交人提供的服务人员，被采购人或接受服务方投诉的，经核实属服务人员的责任，每人次扣3分。</w:t>
            </w:r>
          </w:p>
          <w:p w14:paraId="60823F56">
            <w:pPr>
              <w:pStyle w:val="49"/>
              <w:keepNext w:val="0"/>
              <w:pageBreakBefore w:val="0"/>
              <w:shd w:val="clear" w:color="auto" w:fill="FFFFFF"/>
              <w:kinsoku/>
              <w:wordWrap/>
              <w:overflowPunct/>
              <w:topLinePunct w:val="0"/>
              <w:autoSpaceDE/>
              <w:autoSpaceDN/>
              <w:bidi w:val="0"/>
              <w:adjustRightInd/>
              <w:spacing w:before="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④成交人提供的服务人员，服务过程中出现一般错误的，每人次扣1分;出现重大错误的，每人次扣10分。</w:t>
            </w:r>
          </w:p>
        </w:tc>
      </w:tr>
      <w:tr w14:paraId="057022DD">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144D9DBB">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服务保障</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14:paraId="140230EC">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20分</w:t>
            </w:r>
          </w:p>
        </w:tc>
        <w:tc>
          <w:tcPr>
            <w:tcW w:w="5592" w:type="dxa"/>
            <w:tcBorders>
              <w:bottom w:val="single" w:color="000000" w:sz="8" w:space="0"/>
              <w:right w:val="single" w:color="000000" w:sz="8" w:space="0"/>
            </w:tcBorders>
            <w:tcMar>
              <w:top w:w="0" w:type="dxa"/>
              <w:left w:w="113" w:type="dxa"/>
              <w:bottom w:w="0" w:type="dxa"/>
              <w:right w:w="118" w:type="dxa"/>
            </w:tcMar>
          </w:tcPr>
          <w:p w14:paraId="5A42C0A6">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①成交人负责定期对服务人员进行培训，如劳动保障法律法规、心理常识教育、员工手册学习及相关业务培训等，负责服务人员社保政策咨询服务。</w:t>
            </w:r>
          </w:p>
          <w:p w14:paraId="577B86F4">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②成交人负责服务人员工伤、工亡保险等事务办理，并承担全部责任与费用。</w:t>
            </w:r>
          </w:p>
          <w:p w14:paraId="70227ACA">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③成交人负责服务人员的劳动争议调解、仲裁、诉讼处理，办理工亡员工善后事务处理、理赔谈判等，并承担前述全部费用。</w:t>
            </w:r>
          </w:p>
          <w:p w14:paraId="2E6C837E">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④成交人为服务人员出具相关证明:如收入证明、在职离职证明、参保证明等。</w:t>
            </w:r>
          </w:p>
          <w:p w14:paraId="2A2F8866">
            <w:pPr>
              <w:pStyle w:val="49"/>
              <w:keepNext w:val="0"/>
              <w:pageBreakBefore w:val="0"/>
              <w:kinsoku/>
              <w:wordWrap/>
              <w:overflowPunct/>
              <w:topLinePunct w:val="0"/>
              <w:autoSpaceDE/>
              <w:autoSpaceDN/>
              <w:bidi w:val="0"/>
              <w:adjustRightInd/>
              <w:spacing w:before="240" w:line="400" w:lineRule="exact"/>
              <w:ind w:right="62" w:firstLine="48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成交人前述对服务人员的服务保障内容是确保对采购人服务的基础，以上每项为未办理或未及时办理，每人次扣3分。</w:t>
            </w:r>
          </w:p>
        </w:tc>
      </w:tr>
    </w:tbl>
    <w:p w14:paraId="240F7535">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b/>
          <w:bCs/>
          <w:color w:val="000000" w:themeColor="text1"/>
          <w:sz w:val="24"/>
          <w:szCs w:val="24"/>
          <w:lang w:eastAsia="zh-CN"/>
          <w14:textFill>
            <w14:solidFill>
              <w14:schemeClr w14:val="tx1"/>
            </w14:solidFill>
          </w14:textFill>
        </w:rPr>
        <w:t>注：</w:t>
      </w:r>
      <w:r>
        <w:rPr>
          <w:rFonts w:hint="eastAsia" w:ascii="宋体" w:hAnsi="宋体" w:eastAsia="宋体" w:cs="宋体"/>
          <w:color w:val="000000" w:themeColor="text1"/>
          <w:sz w:val="24"/>
          <w:szCs w:val="24"/>
          <w:lang w:eastAsia="zh-CN"/>
          <w14:textFill>
            <w14:solidFill>
              <w14:schemeClr w14:val="tx1"/>
            </w14:solidFill>
          </w14:textFill>
        </w:rPr>
        <w:t>考核验收采取每月不定期随机抽查的形式，验收</w:t>
      </w:r>
      <w:r>
        <w:rPr>
          <w:rFonts w:hint="eastAsia" w:ascii="宋体" w:hAnsi="宋体" w:eastAsia="宋体" w:cs="宋体"/>
          <w:color w:val="000000" w:themeColor="text1"/>
          <w:sz w:val="24"/>
          <w:szCs w:val="24"/>
          <w:lang w:val="en-US" w:eastAsia="zh-CN"/>
          <w14:textFill>
            <w14:solidFill>
              <w14:schemeClr w14:val="tx1"/>
            </w14:solidFill>
          </w14:textFill>
        </w:rPr>
        <w:t>考核</w:t>
      </w:r>
      <w:r>
        <w:rPr>
          <w:rFonts w:hint="eastAsia" w:ascii="宋体" w:hAnsi="宋体" w:eastAsia="宋体" w:cs="宋体"/>
          <w:color w:val="000000" w:themeColor="text1"/>
          <w:sz w:val="24"/>
          <w:szCs w:val="24"/>
          <w:lang w:eastAsia="zh-CN"/>
          <w14:textFill>
            <w14:solidFill>
              <w14:schemeClr w14:val="tx1"/>
            </w14:solidFill>
          </w14:textFill>
        </w:rPr>
        <w:t>时间跨度为每月1日至每月最后一日。依据考核细则的要求，对成交人就本项目各项服务方面进行抽查，对违反要求的进行扣分。</w:t>
      </w:r>
    </w:p>
    <w:p w14:paraId="3FE9CB7A">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考核细则由采购人负责解释，并有权根据实际服务需求进行调整，调整后的服务内容送达成交人，成交人应当及时调整。</w:t>
      </w:r>
    </w:p>
    <w:p w14:paraId="2F3DF35E">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1.月考核分</w:t>
      </w:r>
    </w:p>
    <w:p w14:paraId="01FA3D21">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（1）月考核分为90分（含）以上的为合格，全额拨款。</w:t>
      </w:r>
    </w:p>
    <w:p w14:paraId="6DED9006">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（2）月考核分为90分以下每少1分扣款1000元。</w:t>
      </w:r>
    </w:p>
    <w:p w14:paraId="37523E55">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（3）月考核分数为85分以下的为不合格，85分以下每少1分扣款2000元。</w:t>
      </w:r>
    </w:p>
    <w:p w14:paraId="74110CA0">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（4）月考核分数为75分以下的，扣减当月费用￥：</w:t>
      </w:r>
      <w:r>
        <w:rPr>
          <w:rFonts w:hint="eastAsia" w:ascii="宋体" w:hAnsi="宋体" w:eastAsia="宋体" w:cs="宋体"/>
          <w:color w:val="000000" w:themeColor="text1"/>
          <w:sz w:val="24"/>
          <w:szCs w:val="24"/>
          <w:lang w:val="en-US" w:eastAsia="zh-CN"/>
          <w14:textFill>
            <w14:solidFill>
              <w14:schemeClr w14:val="tx1"/>
            </w14:solidFill>
          </w14:textFill>
        </w:rPr>
        <w:t>20000</w:t>
      </w:r>
      <w:r>
        <w:rPr>
          <w:rFonts w:hint="eastAsia" w:ascii="宋体" w:hAnsi="宋体" w:eastAsia="宋体" w:cs="宋体"/>
          <w:color w:val="000000" w:themeColor="text1"/>
          <w:sz w:val="24"/>
          <w:szCs w:val="24"/>
          <w:lang w:eastAsia="zh-CN"/>
          <w14:textFill>
            <w14:solidFill>
              <w14:schemeClr w14:val="tx1"/>
            </w14:solidFill>
          </w14:textFill>
        </w:rPr>
        <w:t>元。</w:t>
      </w:r>
    </w:p>
    <w:p w14:paraId="4319BC43">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2.分数不合格的，采购人暂停支付当月服务费用并通知成交人，成交人于采购人通知之日起30日内查找原因立即整改，待采购人重新验收合格后才能支付当月服务费用。合同期内累计二个月考核分数在75分（含75分）以下的予以解除合同。</w:t>
      </w:r>
    </w:p>
    <w:bookmarkEnd w:id="134"/>
    <w:p w14:paraId="70474A31">
      <w:pPr>
        <w:pStyle w:val="3"/>
        <w:keepNext w:val="0"/>
        <w:pageBreakBefore w:val="0"/>
        <w:kinsoku/>
        <w:wordWrap/>
        <w:overflowPunct/>
        <w:topLinePunct w:val="0"/>
        <w:autoSpaceDE/>
        <w:autoSpaceDN/>
        <w:bidi w:val="0"/>
        <w:adjustRightInd/>
        <w:spacing w:before="0" w:after="0"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kern w:val="36"/>
          <w:sz w:val="24"/>
          <w:szCs w:val="24"/>
          <w:lang w:val="en-US" w:eastAsia="zh-CN"/>
          <w14:textFill>
            <w14:solidFill>
              <w14:schemeClr w14:val="tx1"/>
            </w14:solidFill>
          </w14:textFill>
        </w:rPr>
        <w:t>违约要求</w:t>
      </w:r>
    </w:p>
    <w:p w14:paraId="795A57EF">
      <w:pPr>
        <w:pStyle w:val="55"/>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w:t>
      </w:r>
      <w:r>
        <w:rPr>
          <w:rFonts w:hint="eastAsia" w:ascii="宋体" w:hAnsi="宋体" w:eastAsia="宋体" w:cs="宋体"/>
          <w:color w:val="000000" w:themeColor="text1"/>
          <w:sz w:val="24"/>
          <w:szCs w:val="24"/>
          <w:lang w:eastAsia="zh-CN"/>
          <w14:textFill>
            <w14:solidFill>
              <w14:schemeClr w14:val="tx1"/>
            </w14:solidFill>
          </w14:textFill>
        </w:rPr>
        <w:t>成交人不得以任何名义和理由将该项目进行转包，如有发现，采购人有权单方解除合同，并要求成交人支付合同总价款的10%作为违约金。</w:t>
      </w:r>
    </w:p>
    <w:p w14:paraId="2FAB543C">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w:t>
      </w:r>
      <w:r>
        <w:rPr>
          <w:rFonts w:hint="eastAsia" w:ascii="宋体" w:hAnsi="宋体" w:eastAsia="宋体" w:cs="宋体"/>
          <w:color w:val="000000" w:themeColor="text1"/>
          <w:sz w:val="24"/>
          <w:szCs w:val="24"/>
          <w:lang w:eastAsia="zh-CN"/>
          <w14:textFill>
            <w14:solidFill>
              <w14:schemeClr w14:val="tx1"/>
            </w14:solidFill>
          </w14:textFill>
        </w:rPr>
        <w:t>合同签订后，成交人应提供符合岗位条件及数量的服务人员为采购人开展服务，采购人不定期抽查成交人投入的岗位数量，如果抽查时发现岗位数量少于采购人需求的数量，除扣除缺少岗位人数工资外，采购人可以按缺少岗位数量每人每个工作日100元扣除当月合同款。</w:t>
      </w:r>
    </w:p>
    <w:p w14:paraId="560B9F81">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ascii="宋体" w:hAnsi="宋体" w:eastAsia="宋体" w:cs="宋体"/>
          <w:color w:val="000000" w:themeColor="text1"/>
          <w:sz w:val="24"/>
          <w:szCs w:val="24"/>
          <w:lang w:eastAsia="zh-CN"/>
          <w14:textFill>
            <w14:solidFill>
              <w14:schemeClr w14:val="tx1"/>
            </w14:solidFill>
          </w14:textFill>
        </w:rPr>
        <w:t>成交人如未按照要求在规定时间内配齐符合条件及数量的服务人员，每逾期1个工作日，成交人应向采购人支付合同总价款的千分之一作为违约金，若逾期超过15个工作日，采购人有权单方面解除合同。</w:t>
      </w:r>
    </w:p>
    <w:p w14:paraId="77922518">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w:t>
      </w:r>
      <w:r>
        <w:rPr>
          <w:rFonts w:hint="eastAsia" w:ascii="宋体" w:hAnsi="宋体" w:eastAsia="宋体" w:cs="宋体"/>
          <w:color w:val="000000" w:themeColor="text1"/>
          <w:sz w:val="24"/>
          <w:szCs w:val="24"/>
          <w:lang w:eastAsia="zh-CN"/>
          <w14:textFill>
            <w14:solidFill>
              <w14:schemeClr w14:val="tx1"/>
            </w14:solidFill>
          </w14:textFill>
        </w:rPr>
        <w:t xml:space="preserve">成交人未履行服务响应承诺，每发现一次未按要求履行的情况，扣成交人当月合同款金额×（承诺得分-实际得分）×1%。 </w:t>
      </w:r>
    </w:p>
    <w:p w14:paraId="50F2F22F">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w:t>
      </w:r>
      <w:r>
        <w:rPr>
          <w:rFonts w:hint="eastAsia" w:ascii="宋体" w:hAnsi="宋体" w:eastAsia="宋体" w:cs="宋体"/>
          <w:color w:val="000000" w:themeColor="text1"/>
          <w:sz w:val="24"/>
          <w:szCs w:val="24"/>
          <w:lang w:eastAsia="zh-CN"/>
          <w14:textFill>
            <w14:solidFill>
              <w14:schemeClr w14:val="tx1"/>
            </w14:solidFill>
          </w14:textFill>
        </w:rPr>
        <w:t>服务人员违反采购人的保密制度和安全管理制度，采购人有权要求成交人立即撤换有关服务人员，同时成交人应及时采取有效措施防止损失的进一步扩大，成交人应将对泄密人员的处理意见于3个工作日内报采购人，由此给采购人造成利益损害的，成交人应承担相关法律责任。每违反一次，成交人应按照当年合同总价款的5%承担违约金并赔偿采购人因此受到的损失；当年度累计出现三次及以上的，采购人有权单方面解除合同，并要求成交人支付当年合同总价款的10%作为违约金。成交人的保密义务不因合同的解除、终止或失效而失去效力。</w:t>
      </w:r>
    </w:p>
    <w:p w14:paraId="10D0E55F">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5.6</w:t>
      </w:r>
      <w:r>
        <w:rPr>
          <w:rFonts w:hint="eastAsia" w:ascii="宋体" w:hAnsi="宋体" w:eastAsia="宋体" w:cs="宋体"/>
          <w:color w:val="000000" w:themeColor="text1"/>
          <w:sz w:val="24"/>
          <w:szCs w:val="24"/>
          <w:lang w:eastAsia="zh-CN"/>
          <w14:textFill>
            <w14:solidFill>
              <w14:schemeClr w14:val="tx1"/>
            </w14:solidFill>
          </w14:textFill>
        </w:rPr>
        <w:t>成交人提供的服务人员在工作中出现严重违反国家法律法规、地方法规、采购人单位的规章制度的要求，造成采购人经济损失或负面影响的，采购人有权要求成交人立即撤换有关服务人员。每违反一次，成交人应按照当年合同总价款的千分之一支付违约金并赔偿采购人因此受到的损失。</w:t>
      </w:r>
    </w:p>
    <w:p w14:paraId="6753C995">
      <w:pPr>
        <w:pStyle w:val="56"/>
        <w:keepNext w:val="0"/>
        <w:pageBreakBefore w:val="0"/>
        <w:shd w:val="clear" w:color="auto" w:fill="FFFFFF"/>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5.7</w:t>
      </w:r>
      <w:r>
        <w:rPr>
          <w:rFonts w:hint="eastAsia" w:ascii="宋体" w:hAnsi="宋体" w:eastAsia="宋体" w:cs="宋体"/>
          <w:color w:val="000000" w:themeColor="text1"/>
          <w:sz w:val="24"/>
          <w:szCs w:val="24"/>
          <w:lang w:eastAsia="zh-CN"/>
          <w14:textFill>
            <w14:solidFill>
              <w14:schemeClr w14:val="tx1"/>
            </w14:solidFill>
          </w14:textFill>
        </w:rPr>
        <w:t>服务期满后，成交人要做好服务外包合同衔接期的平稳过渡工作，并全面配合下一轮中标机构在规定时间内做好交接工作。过渡期间拒不配合的，扣除合同总价款的10%作为违约金。</w:t>
      </w:r>
    </w:p>
    <w:p w14:paraId="64A8E8EE">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5.8</w:t>
      </w:r>
      <w:r>
        <w:rPr>
          <w:rFonts w:hint="eastAsia" w:ascii="宋体" w:hAnsi="宋体" w:eastAsia="宋体" w:cs="宋体"/>
          <w:color w:val="000000" w:themeColor="text1"/>
          <w:sz w:val="24"/>
          <w:szCs w:val="24"/>
          <w:lang w:eastAsia="zh-CN"/>
          <w14:textFill>
            <w14:solidFill>
              <w14:schemeClr w14:val="tx1"/>
            </w14:solidFill>
          </w14:textFill>
        </w:rPr>
        <w:t>如遇自然灾害、战争、上级行政机关政策要求、重大政策性调整等不可抗力因素必须服从调整需要或者终止合同的，采购人有权单方面解除合同，采购人与成交人之间的合同自采购人书面解除合同寄送至成交人营业执照上的住所地址时解除，若无人签收，则文书退回之日视为送达之日。</w:t>
      </w:r>
    </w:p>
    <w:p w14:paraId="03260C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5.9</w:t>
      </w:r>
      <w:r>
        <w:rPr>
          <w:rFonts w:hint="eastAsia" w:ascii="宋体" w:hAnsi="宋体" w:eastAsia="宋体" w:cs="宋体"/>
          <w:color w:val="000000" w:themeColor="text1"/>
          <w:sz w:val="24"/>
          <w:szCs w:val="24"/>
          <w:lang w:eastAsia="zh-CN"/>
          <w14:textFill>
            <w14:solidFill>
              <w14:schemeClr w14:val="tx1"/>
            </w14:solidFill>
          </w14:textFill>
        </w:rPr>
        <w:t>成交人违约，应按照约定支付违约金，并赔偿采购人支出的诉讼或仲裁费、律师费、公证费、鉴定费等维权费用。因本协议产生的纠纷，提交采购人所在地有管辖权的法院诉讼，成交人同意其营业执照上的住所地址为其指定的文件送达与诉讼、仲裁等法律文书的送达地址。</w:t>
      </w: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etaPlusLF">
    <w:altName w:val="Segoe Print"/>
    <w:panose1 w:val="00000000000000000000"/>
    <w:charset w:val="00"/>
    <w:family w:val="auto"/>
    <w:pitch w:val="default"/>
    <w:sig w:usb0="00000000" w:usb1="00000000" w:usb2="00000000" w:usb3="00000000" w:csb0="00000097"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0A4C">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550E70">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70550E70">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D30C">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60DB0B">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1460DB0B">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D4C1">
    <w:pPr>
      <w:pStyle w:val="17"/>
      <w:framePr w:wrap="around" w:vAnchor="text" w:hAnchor="margin" w:xAlign="center" w:y="1"/>
      <w:rPr>
        <w:rStyle w:val="33"/>
      </w:rPr>
    </w:pPr>
    <w:r>
      <w:fldChar w:fldCharType="begin"/>
    </w:r>
    <w:r>
      <w:rPr>
        <w:rStyle w:val="33"/>
      </w:rPr>
      <w:instrText xml:space="preserve">PAGE  </w:instrText>
    </w:r>
    <w:r>
      <w:fldChar w:fldCharType="end"/>
    </w:r>
  </w:p>
  <w:p w14:paraId="215882C6">
    <w:pPr>
      <w:pStyle w:val="17"/>
    </w:pPr>
  </w:p>
  <w:p w14:paraId="0CA6AFDE"/>
  <w:p w14:paraId="2D613D48"/>
  <w:p w14:paraId="10279FEB"/>
  <w:p w14:paraId="222D5545"/>
  <w:p w14:paraId="6A301C87"/>
  <w:p w14:paraId="0C7A948A"/>
  <w:p w14:paraId="175BAB09"/>
  <w:p w14:paraId="2B09EB0B"/>
  <w:p w14:paraId="7F494020"/>
  <w:p w14:paraId="507BA758"/>
  <w:p w14:paraId="4E51E4BC"/>
  <w:p w14:paraId="5D6715E1"/>
  <w:p w14:paraId="2166F03C"/>
  <w:p w14:paraId="4BC91D3C"/>
  <w:p w14:paraId="63FE1523"/>
  <w:p w14:paraId="253517FF"/>
  <w:p w14:paraId="5BD995D1"/>
  <w:p w14:paraId="445AEFA6"/>
  <w:p w14:paraId="68DE99CE"/>
  <w:p w14:paraId="0F9D9DD0"/>
  <w:p w14:paraId="2ED3D093"/>
  <w:p w14:paraId="548BD34E"/>
  <w:p w14:paraId="563CDE97"/>
  <w:p w14:paraId="5B75D475"/>
  <w:p w14:paraId="6966BE6E"/>
  <w:p w14:paraId="11D18B48"/>
  <w:p w14:paraId="05D93E2B"/>
  <w:p w14:paraId="4F960C65"/>
  <w:p w14:paraId="78CCBACF"/>
  <w:p w14:paraId="4BBFD3DF"/>
  <w:p w14:paraId="4208311B"/>
  <w:p w14:paraId="49846AB1"/>
  <w:p w14:paraId="612D509B"/>
  <w:p w14:paraId="597EE642"/>
  <w:p w14:paraId="222E41D0"/>
  <w:p w14:paraId="3443643C"/>
  <w:p w14:paraId="73FDA4D7"/>
  <w:p w14:paraId="1D1E9BB4"/>
  <w:p w14:paraId="1FAC97C2"/>
  <w:p w14:paraId="1DCB96E6"/>
  <w:p w14:paraId="3FA0EE2C"/>
  <w:p w14:paraId="4FF3BBB1"/>
  <w:p w14:paraId="780D4AC4"/>
  <w:p w14:paraId="3DE525A1"/>
  <w:p w14:paraId="36F705BC"/>
  <w:p w14:paraId="00A9A5BC"/>
  <w:p w14:paraId="324765BF"/>
  <w:p w14:paraId="15075BFC"/>
  <w:p w14:paraId="1B557F83"/>
  <w:p w14:paraId="6086444F"/>
  <w:p w14:paraId="7E2CDD8E"/>
  <w:p w14:paraId="2512F4C5"/>
  <w:p w14:paraId="431318B0"/>
  <w:p w14:paraId="5168A4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CAD6F">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F0F190">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4CF0F190">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9E2E9"/>
  <w:p w14:paraId="7F22B98B"/>
  <w:p w14:paraId="16FD281F"/>
  <w:p w14:paraId="2FF55A44"/>
  <w:p w14:paraId="18BE43B5"/>
  <w:p w14:paraId="5ADD5112"/>
  <w:p w14:paraId="5F2F74D3"/>
  <w:p w14:paraId="1D633256"/>
  <w:p w14:paraId="3C2DC14C"/>
  <w:p w14:paraId="6190AF32"/>
  <w:p w14:paraId="253EBB9C"/>
  <w:p w14:paraId="5BC91597"/>
  <w:p w14:paraId="45A49BCC"/>
  <w:p w14:paraId="5D545ECA"/>
  <w:p w14:paraId="14ABD0D0"/>
  <w:p w14:paraId="7A35591D"/>
  <w:p w14:paraId="5D1C19B0"/>
  <w:p w14:paraId="6B972E79"/>
  <w:p w14:paraId="1B409AC1"/>
  <w:p w14:paraId="05DCBA0B"/>
  <w:p w14:paraId="501B0933"/>
  <w:p w14:paraId="17720378"/>
  <w:p w14:paraId="395ADE17"/>
  <w:p w14:paraId="36602DFE"/>
  <w:p w14:paraId="524A0330"/>
  <w:p w14:paraId="5A05FFAC"/>
  <w:p w14:paraId="4447A21B"/>
  <w:p w14:paraId="2E6967BB"/>
  <w:p w14:paraId="4D003060"/>
  <w:p w14:paraId="41F7770B"/>
  <w:p w14:paraId="67328715"/>
  <w:p w14:paraId="20A18974"/>
  <w:p w14:paraId="5E587DDD"/>
  <w:p w14:paraId="02F1EE3F"/>
  <w:p w14:paraId="6F7153CA"/>
  <w:p w14:paraId="2693BBC1"/>
  <w:p w14:paraId="3E7065A4"/>
  <w:p w14:paraId="31A9123D"/>
  <w:p w14:paraId="28459BFA"/>
  <w:p w14:paraId="755F1B89"/>
  <w:p w14:paraId="096BEC63"/>
  <w:p w14:paraId="5F3DCE61"/>
  <w:p w14:paraId="4991DF4C"/>
  <w:p w14:paraId="1EE434B6"/>
  <w:p w14:paraId="6DDB5F4A"/>
  <w:p w14:paraId="2B839CF1"/>
  <w:p w14:paraId="011C1675"/>
  <w:p w14:paraId="7667906A"/>
  <w:p w14:paraId="1F6DD9D4"/>
  <w:p w14:paraId="7B8BDB49"/>
  <w:p w14:paraId="5A9FDB2C"/>
  <w:p w14:paraId="565808F4"/>
  <w:p w14:paraId="25718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121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95B24"/>
    <w:multiLevelType w:val="singleLevel"/>
    <w:tmpl w:val="A1195B24"/>
    <w:lvl w:ilvl="0" w:tentative="0">
      <w:start w:val="2"/>
      <w:numFmt w:val="decimal"/>
      <w:suff w:val="nothing"/>
      <w:lvlText w:val="%1、"/>
      <w:lvlJc w:val="left"/>
    </w:lvl>
  </w:abstractNum>
  <w:abstractNum w:abstractNumId="1">
    <w:nsid w:val="418DC410"/>
    <w:multiLevelType w:val="singleLevel"/>
    <w:tmpl w:val="418DC410"/>
    <w:lvl w:ilvl="0" w:tentative="0">
      <w:start w:val="1"/>
      <w:numFmt w:val="decimal"/>
      <w:pStyle w:val="8"/>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89a6e010-2d44-48ff-9fa5-81c90fc158c7"/>
  </w:docVars>
  <w:rsids>
    <w:rsidRoot w:val="00000000"/>
    <w:rsid w:val="00124D16"/>
    <w:rsid w:val="001F7F7E"/>
    <w:rsid w:val="00634488"/>
    <w:rsid w:val="00936276"/>
    <w:rsid w:val="00C14B91"/>
    <w:rsid w:val="012D1688"/>
    <w:rsid w:val="013052AA"/>
    <w:rsid w:val="01D86637"/>
    <w:rsid w:val="01DD11F5"/>
    <w:rsid w:val="01E0373D"/>
    <w:rsid w:val="0224300A"/>
    <w:rsid w:val="02902A6D"/>
    <w:rsid w:val="02924A37"/>
    <w:rsid w:val="02B475B0"/>
    <w:rsid w:val="0335576D"/>
    <w:rsid w:val="037D0DA7"/>
    <w:rsid w:val="03824AAC"/>
    <w:rsid w:val="03E2006E"/>
    <w:rsid w:val="040D758B"/>
    <w:rsid w:val="04131BA8"/>
    <w:rsid w:val="042B5143"/>
    <w:rsid w:val="045B2BCC"/>
    <w:rsid w:val="047D1717"/>
    <w:rsid w:val="049A4077"/>
    <w:rsid w:val="04A15406"/>
    <w:rsid w:val="04BF5DB3"/>
    <w:rsid w:val="04C63BD8"/>
    <w:rsid w:val="04F574FF"/>
    <w:rsid w:val="050F05C1"/>
    <w:rsid w:val="051D01F9"/>
    <w:rsid w:val="057B067D"/>
    <w:rsid w:val="05F85B6E"/>
    <w:rsid w:val="060774EA"/>
    <w:rsid w:val="06913258"/>
    <w:rsid w:val="06B07B82"/>
    <w:rsid w:val="06FD0BBC"/>
    <w:rsid w:val="07040256"/>
    <w:rsid w:val="0721282E"/>
    <w:rsid w:val="07342561"/>
    <w:rsid w:val="076F6FBB"/>
    <w:rsid w:val="07991AC0"/>
    <w:rsid w:val="079E7F01"/>
    <w:rsid w:val="081449F9"/>
    <w:rsid w:val="0898267C"/>
    <w:rsid w:val="08C36927"/>
    <w:rsid w:val="08DA08BA"/>
    <w:rsid w:val="091B0441"/>
    <w:rsid w:val="09401BE1"/>
    <w:rsid w:val="094333A8"/>
    <w:rsid w:val="09510A7C"/>
    <w:rsid w:val="096C5132"/>
    <w:rsid w:val="09CA66CE"/>
    <w:rsid w:val="09E33DCA"/>
    <w:rsid w:val="09F9539C"/>
    <w:rsid w:val="0A27015B"/>
    <w:rsid w:val="0A304E58"/>
    <w:rsid w:val="0A530F50"/>
    <w:rsid w:val="0A8D27DE"/>
    <w:rsid w:val="0ABC39D2"/>
    <w:rsid w:val="0ACC6D0D"/>
    <w:rsid w:val="0AD41C47"/>
    <w:rsid w:val="0ADF4592"/>
    <w:rsid w:val="0AF02450"/>
    <w:rsid w:val="0B3F3282"/>
    <w:rsid w:val="0B5D195B"/>
    <w:rsid w:val="0B654503"/>
    <w:rsid w:val="0BD03763"/>
    <w:rsid w:val="0BE34A57"/>
    <w:rsid w:val="0C6B6E73"/>
    <w:rsid w:val="0C7D0506"/>
    <w:rsid w:val="0CA21D1B"/>
    <w:rsid w:val="0CE74EA1"/>
    <w:rsid w:val="0CF3732E"/>
    <w:rsid w:val="0D194323"/>
    <w:rsid w:val="0D1A741A"/>
    <w:rsid w:val="0D4903E8"/>
    <w:rsid w:val="0D6E42F3"/>
    <w:rsid w:val="0D8A34B8"/>
    <w:rsid w:val="0D96694A"/>
    <w:rsid w:val="0DB00748"/>
    <w:rsid w:val="0DBF4B4E"/>
    <w:rsid w:val="0DC27C32"/>
    <w:rsid w:val="0E0E7B83"/>
    <w:rsid w:val="0E213113"/>
    <w:rsid w:val="0E715E49"/>
    <w:rsid w:val="0E7E1417"/>
    <w:rsid w:val="0EC75A69"/>
    <w:rsid w:val="0EF9473A"/>
    <w:rsid w:val="0F0A5C76"/>
    <w:rsid w:val="0F1C699B"/>
    <w:rsid w:val="0FAC491B"/>
    <w:rsid w:val="0FC06ED2"/>
    <w:rsid w:val="0FD85A54"/>
    <w:rsid w:val="0FEF53FB"/>
    <w:rsid w:val="10340294"/>
    <w:rsid w:val="105B30F1"/>
    <w:rsid w:val="10612472"/>
    <w:rsid w:val="108F6A5A"/>
    <w:rsid w:val="10A9762F"/>
    <w:rsid w:val="10B46161"/>
    <w:rsid w:val="10F56DD4"/>
    <w:rsid w:val="11196324"/>
    <w:rsid w:val="11380EA0"/>
    <w:rsid w:val="11427629"/>
    <w:rsid w:val="11553800"/>
    <w:rsid w:val="118539B9"/>
    <w:rsid w:val="124F16C1"/>
    <w:rsid w:val="12650510"/>
    <w:rsid w:val="126975C3"/>
    <w:rsid w:val="12764506"/>
    <w:rsid w:val="1287490F"/>
    <w:rsid w:val="12B55B84"/>
    <w:rsid w:val="12BD6CF7"/>
    <w:rsid w:val="12EF1A32"/>
    <w:rsid w:val="13076BFB"/>
    <w:rsid w:val="13517FF7"/>
    <w:rsid w:val="137133DE"/>
    <w:rsid w:val="13AD7CBC"/>
    <w:rsid w:val="13D6315D"/>
    <w:rsid w:val="14171240"/>
    <w:rsid w:val="14A3624C"/>
    <w:rsid w:val="14FC60B6"/>
    <w:rsid w:val="152C35F9"/>
    <w:rsid w:val="15353DDC"/>
    <w:rsid w:val="155E1D5B"/>
    <w:rsid w:val="156E4DA1"/>
    <w:rsid w:val="158929F6"/>
    <w:rsid w:val="15A07014"/>
    <w:rsid w:val="1623221F"/>
    <w:rsid w:val="16421E79"/>
    <w:rsid w:val="165C118C"/>
    <w:rsid w:val="165D68C3"/>
    <w:rsid w:val="16B80B15"/>
    <w:rsid w:val="16E92044"/>
    <w:rsid w:val="172B0B5F"/>
    <w:rsid w:val="172F6E5D"/>
    <w:rsid w:val="172F7842"/>
    <w:rsid w:val="1767428D"/>
    <w:rsid w:val="18131F69"/>
    <w:rsid w:val="185302ED"/>
    <w:rsid w:val="18575DED"/>
    <w:rsid w:val="189D389E"/>
    <w:rsid w:val="19185CD4"/>
    <w:rsid w:val="195E16BF"/>
    <w:rsid w:val="19831B12"/>
    <w:rsid w:val="19916771"/>
    <w:rsid w:val="199B570B"/>
    <w:rsid w:val="19A66F03"/>
    <w:rsid w:val="19C07C84"/>
    <w:rsid w:val="1A0F6C1A"/>
    <w:rsid w:val="1A1D1E6A"/>
    <w:rsid w:val="1A262A10"/>
    <w:rsid w:val="1A2E706A"/>
    <w:rsid w:val="1A385A6D"/>
    <w:rsid w:val="1A5255B1"/>
    <w:rsid w:val="1A8A0842"/>
    <w:rsid w:val="1AED4FBA"/>
    <w:rsid w:val="1B501C36"/>
    <w:rsid w:val="1B8756CA"/>
    <w:rsid w:val="1BE418C7"/>
    <w:rsid w:val="1C49522F"/>
    <w:rsid w:val="1C624076"/>
    <w:rsid w:val="1C625E8F"/>
    <w:rsid w:val="1C9D1FFD"/>
    <w:rsid w:val="1C9D512C"/>
    <w:rsid w:val="1CD961B0"/>
    <w:rsid w:val="1D086921"/>
    <w:rsid w:val="1D127003"/>
    <w:rsid w:val="1D2642A2"/>
    <w:rsid w:val="1D3505EC"/>
    <w:rsid w:val="1D36039F"/>
    <w:rsid w:val="1D8A53D5"/>
    <w:rsid w:val="1D9C08F7"/>
    <w:rsid w:val="1DEB7BDC"/>
    <w:rsid w:val="1DEF2C3F"/>
    <w:rsid w:val="1E065784"/>
    <w:rsid w:val="1E110AAE"/>
    <w:rsid w:val="1E276C97"/>
    <w:rsid w:val="1E297E7C"/>
    <w:rsid w:val="1E314019"/>
    <w:rsid w:val="1E326C77"/>
    <w:rsid w:val="1E3429EF"/>
    <w:rsid w:val="1E3C6ED2"/>
    <w:rsid w:val="1E3D7C2C"/>
    <w:rsid w:val="1E605592"/>
    <w:rsid w:val="1FC33BE4"/>
    <w:rsid w:val="20F76668"/>
    <w:rsid w:val="212E6EB9"/>
    <w:rsid w:val="21582E98"/>
    <w:rsid w:val="21626FF0"/>
    <w:rsid w:val="21983295"/>
    <w:rsid w:val="226D6AA8"/>
    <w:rsid w:val="227069BF"/>
    <w:rsid w:val="22954F1C"/>
    <w:rsid w:val="22D66761"/>
    <w:rsid w:val="23005595"/>
    <w:rsid w:val="231F6A45"/>
    <w:rsid w:val="233A0E7B"/>
    <w:rsid w:val="23751ADF"/>
    <w:rsid w:val="23A10440"/>
    <w:rsid w:val="23F1071B"/>
    <w:rsid w:val="2468430B"/>
    <w:rsid w:val="25186BC6"/>
    <w:rsid w:val="251D43AD"/>
    <w:rsid w:val="25270E21"/>
    <w:rsid w:val="254D37F4"/>
    <w:rsid w:val="256A4F48"/>
    <w:rsid w:val="26261F5F"/>
    <w:rsid w:val="263A491A"/>
    <w:rsid w:val="268C786C"/>
    <w:rsid w:val="26D22DCF"/>
    <w:rsid w:val="26F23447"/>
    <w:rsid w:val="26F471BF"/>
    <w:rsid w:val="27027B2E"/>
    <w:rsid w:val="272E1AD7"/>
    <w:rsid w:val="27535103"/>
    <w:rsid w:val="27E7113F"/>
    <w:rsid w:val="27EF027C"/>
    <w:rsid w:val="28165840"/>
    <w:rsid w:val="281E30AB"/>
    <w:rsid w:val="287A6993"/>
    <w:rsid w:val="289E6B98"/>
    <w:rsid w:val="28A04ED3"/>
    <w:rsid w:val="28BB61E6"/>
    <w:rsid w:val="29057B0C"/>
    <w:rsid w:val="29163C7F"/>
    <w:rsid w:val="296A07EA"/>
    <w:rsid w:val="29C16A0B"/>
    <w:rsid w:val="2A0C4820"/>
    <w:rsid w:val="2A105854"/>
    <w:rsid w:val="2A111E36"/>
    <w:rsid w:val="2A1C74B2"/>
    <w:rsid w:val="2A3B7451"/>
    <w:rsid w:val="2A5744DB"/>
    <w:rsid w:val="2A577B8D"/>
    <w:rsid w:val="2B2E7A6E"/>
    <w:rsid w:val="2B404781"/>
    <w:rsid w:val="2B4101B8"/>
    <w:rsid w:val="2B696830"/>
    <w:rsid w:val="2B8F5708"/>
    <w:rsid w:val="2BEF1E49"/>
    <w:rsid w:val="2C0559CB"/>
    <w:rsid w:val="2C1B476C"/>
    <w:rsid w:val="2C25135A"/>
    <w:rsid w:val="2C8608B9"/>
    <w:rsid w:val="2CDF446E"/>
    <w:rsid w:val="2CDF621C"/>
    <w:rsid w:val="2D2D25FE"/>
    <w:rsid w:val="2D367DBD"/>
    <w:rsid w:val="2D7746A6"/>
    <w:rsid w:val="2D800808"/>
    <w:rsid w:val="2D855015"/>
    <w:rsid w:val="2D9E60D7"/>
    <w:rsid w:val="2DD35D80"/>
    <w:rsid w:val="2E0979F4"/>
    <w:rsid w:val="2E70537D"/>
    <w:rsid w:val="2EBF00B3"/>
    <w:rsid w:val="2F6628DC"/>
    <w:rsid w:val="2F6B65A7"/>
    <w:rsid w:val="2F7754DD"/>
    <w:rsid w:val="2F7A5541"/>
    <w:rsid w:val="2F8337D6"/>
    <w:rsid w:val="2FA8516F"/>
    <w:rsid w:val="2FC305C0"/>
    <w:rsid w:val="30010B15"/>
    <w:rsid w:val="30054645"/>
    <w:rsid w:val="30185CCC"/>
    <w:rsid w:val="30215B55"/>
    <w:rsid w:val="302E3742"/>
    <w:rsid w:val="3034062C"/>
    <w:rsid w:val="30B3181E"/>
    <w:rsid w:val="30C6397A"/>
    <w:rsid w:val="31177BD5"/>
    <w:rsid w:val="31252C6C"/>
    <w:rsid w:val="314444BE"/>
    <w:rsid w:val="31BD45C7"/>
    <w:rsid w:val="321E77E6"/>
    <w:rsid w:val="322841C1"/>
    <w:rsid w:val="32A01F1E"/>
    <w:rsid w:val="32A221C5"/>
    <w:rsid w:val="32E14A9C"/>
    <w:rsid w:val="32FF3174"/>
    <w:rsid w:val="331108DD"/>
    <w:rsid w:val="333B34C9"/>
    <w:rsid w:val="33527747"/>
    <w:rsid w:val="33582884"/>
    <w:rsid w:val="33AD2BD0"/>
    <w:rsid w:val="33C7466E"/>
    <w:rsid w:val="33D61160"/>
    <w:rsid w:val="340E3279"/>
    <w:rsid w:val="340F5638"/>
    <w:rsid w:val="342235BE"/>
    <w:rsid w:val="34346E4D"/>
    <w:rsid w:val="34580754"/>
    <w:rsid w:val="3485672A"/>
    <w:rsid w:val="34980548"/>
    <w:rsid w:val="354632DC"/>
    <w:rsid w:val="35642908"/>
    <w:rsid w:val="35A53185"/>
    <w:rsid w:val="35B7678E"/>
    <w:rsid w:val="35D11B70"/>
    <w:rsid w:val="36496DE4"/>
    <w:rsid w:val="36C77154"/>
    <w:rsid w:val="36F76C4D"/>
    <w:rsid w:val="37222F49"/>
    <w:rsid w:val="373602E2"/>
    <w:rsid w:val="37461371"/>
    <w:rsid w:val="375D2B5F"/>
    <w:rsid w:val="37611E7D"/>
    <w:rsid w:val="37863E63"/>
    <w:rsid w:val="37A020E5"/>
    <w:rsid w:val="37AB38CA"/>
    <w:rsid w:val="37BC7885"/>
    <w:rsid w:val="37E666B0"/>
    <w:rsid w:val="38267DA4"/>
    <w:rsid w:val="384D3CF2"/>
    <w:rsid w:val="38514471"/>
    <w:rsid w:val="38602622"/>
    <w:rsid w:val="387E5179"/>
    <w:rsid w:val="38935C71"/>
    <w:rsid w:val="39331DC9"/>
    <w:rsid w:val="394D0F3D"/>
    <w:rsid w:val="3962445C"/>
    <w:rsid w:val="39642E69"/>
    <w:rsid w:val="39AA1A47"/>
    <w:rsid w:val="39FE7D95"/>
    <w:rsid w:val="3A5C6756"/>
    <w:rsid w:val="3A62434D"/>
    <w:rsid w:val="3A6C39BB"/>
    <w:rsid w:val="3A723312"/>
    <w:rsid w:val="3BE42422"/>
    <w:rsid w:val="3C2C7FB3"/>
    <w:rsid w:val="3C4936B2"/>
    <w:rsid w:val="3C59493B"/>
    <w:rsid w:val="3D2B057A"/>
    <w:rsid w:val="3D4F538F"/>
    <w:rsid w:val="3D820C29"/>
    <w:rsid w:val="3D8D6CC9"/>
    <w:rsid w:val="3DA9265A"/>
    <w:rsid w:val="3DEB2C72"/>
    <w:rsid w:val="3DFD29A6"/>
    <w:rsid w:val="3E1C47FE"/>
    <w:rsid w:val="3E701D54"/>
    <w:rsid w:val="3E9C09D1"/>
    <w:rsid w:val="3ED63997"/>
    <w:rsid w:val="3EDE7B8A"/>
    <w:rsid w:val="3EFB5137"/>
    <w:rsid w:val="3F702A77"/>
    <w:rsid w:val="3FB1342C"/>
    <w:rsid w:val="3FB13A48"/>
    <w:rsid w:val="3FBA180C"/>
    <w:rsid w:val="3FBD32CD"/>
    <w:rsid w:val="3FC96FE3"/>
    <w:rsid w:val="3FEA1E48"/>
    <w:rsid w:val="3FF1682D"/>
    <w:rsid w:val="401133A3"/>
    <w:rsid w:val="402C3D57"/>
    <w:rsid w:val="40411F10"/>
    <w:rsid w:val="40774FC4"/>
    <w:rsid w:val="40BF3F42"/>
    <w:rsid w:val="40E165AE"/>
    <w:rsid w:val="40F736DC"/>
    <w:rsid w:val="411A4E32"/>
    <w:rsid w:val="412E1EDF"/>
    <w:rsid w:val="41CF5EAE"/>
    <w:rsid w:val="4208730F"/>
    <w:rsid w:val="423A2F5F"/>
    <w:rsid w:val="424C79A5"/>
    <w:rsid w:val="429D7C3C"/>
    <w:rsid w:val="432A1125"/>
    <w:rsid w:val="43321338"/>
    <w:rsid w:val="4346094B"/>
    <w:rsid w:val="4352109E"/>
    <w:rsid w:val="43747DE7"/>
    <w:rsid w:val="43955508"/>
    <w:rsid w:val="443C3945"/>
    <w:rsid w:val="44472BCC"/>
    <w:rsid w:val="448A3F42"/>
    <w:rsid w:val="44A2581D"/>
    <w:rsid w:val="44AC2A30"/>
    <w:rsid w:val="453B6B56"/>
    <w:rsid w:val="45486BFC"/>
    <w:rsid w:val="45742769"/>
    <w:rsid w:val="4602765B"/>
    <w:rsid w:val="46252A99"/>
    <w:rsid w:val="466B2BA2"/>
    <w:rsid w:val="46D47A5D"/>
    <w:rsid w:val="46E11CFC"/>
    <w:rsid w:val="47021D0D"/>
    <w:rsid w:val="473016F6"/>
    <w:rsid w:val="47741147"/>
    <w:rsid w:val="47AA594C"/>
    <w:rsid w:val="47B02837"/>
    <w:rsid w:val="482A213A"/>
    <w:rsid w:val="485853A8"/>
    <w:rsid w:val="487877F8"/>
    <w:rsid w:val="489F114E"/>
    <w:rsid w:val="48DA5DBD"/>
    <w:rsid w:val="49465201"/>
    <w:rsid w:val="4970701E"/>
    <w:rsid w:val="49BA14B8"/>
    <w:rsid w:val="4A365988"/>
    <w:rsid w:val="4A657B03"/>
    <w:rsid w:val="4AA047C0"/>
    <w:rsid w:val="4ACE3700"/>
    <w:rsid w:val="4AE83552"/>
    <w:rsid w:val="4B09426C"/>
    <w:rsid w:val="4B6577C5"/>
    <w:rsid w:val="4B683D72"/>
    <w:rsid w:val="4B823380"/>
    <w:rsid w:val="4BA6467C"/>
    <w:rsid w:val="4BB15521"/>
    <w:rsid w:val="4BFA0524"/>
    <w:rsid w:val="4C4F4680"/>
    <w:rsid w:val="4CC74B2D"/>
    <w:rsid w:val="4CE33A94"/>
    <w:rsid w:val="4CF86289"/>
    <w:rsid w:val="4CFF45DE"/>
    <w:rsid w:val="4D0D7549"/>
    <w:rsid w:val="4D1C13E2"/>
    <w:rsid w:val="4D92059A"/>
    <w:rsid w:val="4DA97542"/>
    <w:rsid w:val="4DBA5D92"/>
    <w:rsid w:val="4DE374C2"/>
    <w:rsid w:val="4DEF5FB2"/>
    <w:rsid w:val="4E294664"/>
    <w:rsid w:val="4E2F3344"/>
    <w:rsid w:val="4E381C20"/>
    <w:rsid w:val="4E9B0E76"/>
    <w:rsid w:val="4EF70F4D"/>
    <w:rsid w:val="4F166011"/>
    <w:rsid w:val="4F2B1620"/>
    <w:rsid w:val="4F367AC5"/>
    <w:rsid w:val="4F76490F"/>
    <w:rsid w:val="4FF04118"/>
    <w:rsid w:val="50650662"/>
    <w:rsid w:val="50BC1CBA"/>
    <w:rsid w:val="50D37CC2"/>
    <w:rsid w:val="5153094C"/>
    <w:rsid w:val="51571AC4"/>
    <w:rsid w:val="51DF2696"/>
    <w:rsid w:val="51EE0B2B"/>
    <w:rsid w:val="521368F9"/>
    <w:rsid w:val="521C7446"/>
    <w:rsid w:val="52642870"/>
    <w:rsid w:val="52851158"/>
    <w:rsid w:val="52A35472"/>
    <w:rsid w:val="52C43A4A"/>
    <w:rsid w:val="52D675F5"/>
    <w:rsid w:val="53373E0C"/>
    <w:rsid w:val="5362532D"/>
    <w:rsid w:val="536315A2"/>
    <w:rsid w:val="53807561"/>
    <w:rsid w:val="53842339"/>
    <w:rsid w:val="538D7DC6"/>
    <w:rsid w:val="54B043D5"/>
    <w:rsid w:val="54E56216"/>
    <w:rsid w:val="54FE4194"/>
    <w:rsid w:val="554C11A0"/>
    <w:rsid w:val="557E60A6"/>
    <w:rsid w:val="55A3516F"/>
    <w:rsid w:val="55A710C4"/>
    <w:rsid w:val="56474D13"/>
    <w:rsid w:val="56902DE6"/>
    <w:rsid w:val="56B608E9"/>
    <w:rsid w:val="56F24C1A"/>
    <w:rsid w:val="56F27A24"/>
    <w:rsid w:val="57460F48"/>
    <w:rsid w:val="57806831"/>
    <w:rsid w:val="57C96FA8"/>
    <w:rsid w:val="57E84079"/>
    <w:rsid w:val="583A2891"/>
    <w:rsid w:val="58871392"/>
    <w:rsid w:val="58BF6D7E"/>
    <w:rsid w:val="58ED38EB"/>
    <w:rsid w:val="59487E7E"/>
    <w:rsid w:val="594A4899"/>
    <w:rsid w:val="59975605"/>
    <w:rsid w:val="5A025174"/>
    <w:rsid w:val="5A0923CC"/>
    <w:rsid w:val="5A203F0F"/>
    <w:rsid w:val="5A3C3A68"/>
    <w:rsid w:val="5A4E632B"/>
    <w:rsid w:val="5A905E1F"/>
    <w:rsid w:val="5B02690F"/>
    <w:rsid w:val="5B2259DD"/>
    <w:rsid w:val="5B234C47"/>
    <w:rsid w:val="5BB756DE"/>
    <w:rsid w:val="5BFB3AD0"/>
    <w:rsid w:val="5C4D3E66"/>
    <w:rsid w:val="5C502CD5"/>
    <w:rsid w:val="5C7B120D"/>
    <w:rsid w:val="5C9A11AC"/>
    <w:rsid w:val="5D5A0361"/>
    <w:rsid w:val="5D5E2ADB"/>
    <w:rsid w:val="5D7B00ED"/>
    <w:rsid w:val="5DA65D3F"/>
    <w:rsid w:val="5DAB78D0"/>
    <w:rsid w:val="5E13627E"/>
    <w:rsid w:val="5E484F5D"/>
    <w:rsid w:val="5F0A5107"/>
    <w:rsid w:val="5F322057"/>
    <w:rsid w:val="5F351B48"/>
    <w:rsid w:val="5FD62FB0"/>
    <w:rsid w:val="601654D5"/>
    <w:rsid w:val="608D2202"/>
    <w:rsid w:val="60E170B6"/>
    <w:rsid w:val="613320B7"/>
    <w:rsid w:val="6155074D"/>
    <w:rsid w:val="61AD3C17"/>
    <w:rsid w:val="61F555BE"/>
    <w:rsid w:val="62141908"/>
    <w:rsid w:val="62345AB8"/>
    <w:rsid w:val="62A0377C"/>
    <w:rsid w:val="62A32961"/>
    <w:rsid w:val="630F26B0"/>
    <w:rsid w:val="632B6F6F"/>
    <w:rsid w:val="63676BEB"/>
    <w:rsid w:val="63A63014"/>
    <w:rsid w:val="63BE595B"/>
    <w:rsid w:val="63FC03BF"/>
    <w:rsid w:val="644E6121"/>
    <w:rsid w:val="645804F2"/>
    <w:rsid w:val="645B3DFE"/>
    <w:rsid w:val="64B70842"/>
    <w:rsid w:val="659770B8"/>
    <w:rsid w:val="65CE72E4"/>
    <w:rsid w:val="65EA3213"/>
    <w:rsid w:val="660303B6"/>
    <w:rsid w:val="6642102A"/>
    <w:rsid w:val="6643057B"/>
    <w:rsid w:val="66560D21"/>
    <w:rsid w:val="668A4527"/>
    <w:rsid w:val="66F27700"/>
    <w:rsid w:val="673920B8"/>
    <w:rsid w:val="674C3ED2"/>
    <w:rsid w:val="679413D5"/>
    <w:rsid w:val="67C075ED"/>
    <w:rsid w:val="67E1286C"/>
    <w:rsid w:val="67EE6D37"/>
    <w:rsid w:val="68184B4C"/>
    <w:rsid w:val="68190914"/>
    <w:rsid w:val="682816DB"/>
    <w:rsid w:val="68364B4E"/>
    <w:rsid w:val="686D7CF2"/>
    <w:rsid w:val="688C50C8"/>
    <w:rsid w:val="68C006D4"/>
    <w:rsid w:val="691E4361"/>
    <w:rsid w:val="697175FF"/>
    <w:rsid w:val="698D0391"/>
    <w:rsid w:val="69CA13F4"/>
    <w:rsid w:val="69CE52E6"/>
    <w:rsid w:val="69F820EF"/>
    <w:rsid w:val="6A1F55DC"/>
    <w:rsid w:val="6A2C3B47"/>
    <w:rsid w:val="6A2F53C6"/>
    <w:rsid w:val="6A3C6480"/>
    <w:rsid w:val="6A6F7879"/>
    <w:rsid w:val="6AFE45F0"/>
    <w:rsid w:val="6B244066"/>
    <w:rsid w:val="6C256E6C"/>
    <w:rsid w:val="6C3C2767"/>
    <w:rsid w:val="6C5C0714"/>
    <w:rsid w:val="6C7F2654"/>
    <w:rsid w:val="6CD70FC1"/>
    <w:rsid w:val="6CE81868"/>
    <w:rsid w:val="6CFB2A09"/>
    <w:rsid w:val="6D3A7005"/>
    <w:rsid w:val="6D761CA9"/>
    <w:rsid w:val="6DE80D4D"/>
    <w:rsid w:val="6E1D01E8"/>
    <w:rsid w:val="6E280154"/>
    <w:rsid w:val="6E763D12"/>
    <w:rsid w:val="6EFA2466"/>
    <w:rsid w:val="6EFF79D2"/>
    <w:rsid w:val="6F121862"/>
    <w:rsid w:val="6F35524C"/>
    <w:rsid w:val="6F7B5355"/>
    <w:rsid w:val="6FA66085"/>
    <w:rsid w:val="6FBB727C"/>
    <w:rsid w:val="6FF611BD"/>
    <w:rsid w:val="70231548"/>
    <w:rsid w:val="7035375F"/>
    <w:rsid w:val="704F058F"/>
    <w:rsid w:val="706C6A24"/>
    <w:rsid w:val="70CC53D1"/>
    <w:rsid w:val="70FC5D5F"/>
    <w:rsid w:val="71157B57"/>
    <w:rsid w:val="71A52B5D"/>
    <w:rsid w:val="71BC3A02"/>
    <w:rsid w:val="720F6228"/>
    <w:rsid w:val="723C62EB"/>
    <w:rsid w:val="727644F9"/>
    <w:rsid w:val="728E2A0C"/>
    <w:rsid w:val="73092C77"/>
    <w:rsid w:val="73726B40"/>
    <w:rsid w:val="73813691"/>
    <w:rsid w:val="74581611"/>
    <w:rsid w:val="74A311D9"/>
    <w:rsid w:val="7524274C"/>
    <w:rsid w:val="756949EA"/>
    <w:rsid w:val="764D5DFB"/>
    <w:rsid w:val="765D7381"/>
    <w:rsid w:val="770374F5"/>
    <w:rsid w:val="773F1043"/>
    <w:rsid w:val="77846CDF"/>
    <w:rsid w:val="778D20C9"/>
    <w:rsid w:val="7866427B"/>
    <w:rsid w:val="786A41B8"/>
    <w:rsid w:val="78782D79"/>
    <w:rsid w:val="788F1E71"/>
    <w:rsid w:val="78FE7F71"/>
    <w:rsid w:val="790E6A01"/>
    <w:rsid w:val="79110227"/>
    <w:rsid w:val="796B7990"/>
    <w:rsid w:val="7A6A4943"/>
    <w:rsid w:val="7A6B4218"/>
    <w:rsid w:val="7AAB0E79"/>
    <w:rsid w:val="7AB636E5"/>
    <w:rsid w:val="7ADE6D11"/>
    <w:rsid w:val="7AE07C8F"/>
    <w:rsid w:val="7AEF4E49"/>
    <w:rsid w:val="7B160627"/>
    <w:rsid w:val="7B205002"/>
    <w:rsid w:val="7B711D02"/>
    <w:rsid w:val="7B7A3ACB"/>
    <w:rsid w:val="7BB045D8"/>
    <w:rsid w:val="7BB51BEE"/>
    <w:rsid w:val="7BC04649"/>
    <w:rsid w:val="7BDD2EF3"/>
    <w:rsid w:val="7C0E12FE"/>
    <w:rsid w:val="7C7B5CFE"/>
    <w:rsid w:val="7C8A41BB"/>
    <w:rsid w:val="7D4A280A"/>
    <w:rsid w:val="7D935010"/>
    <w:rsid w:val="7DB60C46"/>
    <w:rsid w:val="7DBA3473"/>
    <w:rsid w:val="7DEA7A4F"/>
    <w:rsid w:val="7DEB50B3"/>
    <w:rsid w:val="7E0C70D4"/>
    <w:rsid w:val="7E26761A"/>
    <w:rsid w:val="7E4A7A99"/>
    <w:rsid w:val="7E4D4360"/>
    <w:rsid w:val="7E9A1CEA"/>
    <w:rsid w:val="7E9D7499"/>
    <w:rsid w:val="7EEE0574"/>
    <w:rsid w:val="7EF053B6"/>
    <w:rsid w:val="7F201A88"/>
    <w:rsid w:val="7F517E80"/>
    <w:rsid w:val="7F547A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line="400" w:lineRule="atLeast"/>
      <w:ind w:left="280" w:rightChars="134" w:firstLine="497" w:firstLineChars="0"/>
    </w:pPr>
    <w:rPr>
      <w:rFonts w:ascii="宋体" w:hAnsi="宋体" w:eastAsia="楷体_GB2312"/>
      <w:sz w:val="24"/>
      <w:szCs w:val="20"/>
    </w:rPr>
  </w:style>
  <w:style w:type="paragraph" w:styleId="8">
    <w:name w:val="List Number 2"/>
    <w:basedOn w:val="1"/>
    <w:qFormat/>
    <w:uiPriority w:val="0"/>
    <w:pPr>
      <w:numPr>
        <w:ilvl w:val="0"/>
        <w:numId w:val="1"/>
      </w:numPr>
    </w:pPr>
  </w:style>
  <w:style w:type="paragraph" w:styleId="9">
    <w:name w:val="Normal (Web)"/>
    <w:basedOn w:val="1"/>
    <w:next w:val="1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qFormat/>
    <w:uiPriority w:val="0"/>
    <w:pPr>
      <w:jc w:val="left"/>
    </w:pPr>
  </w:style>
  <w:style w:type="paragraph" w:styleId="13">
    <w:name w:val="Body Text"/>
    <w:basedOn w:val="1"/>
    <w:next w:val="1"/>
    <w:qFormat/>
    <w:uiPriority w:val="1"/>
    <w:rPr>
      <w:b/>
      <w:szCs w:val="24"/>
    </w:rPr>
  </w:style>
  <w:style w:type="paragraph" w:styleId="14">
    <w:name w:val="Body Text Indent"/>
    <w:basedOn w:val="1"/>
    <w:next w:val="1"/>
    <w:qFormat/>
    <w:uiPriority w:val="0"/>
    <w:pPr>
      <w:spacing w:after="120"/>
      <w:ind w:left="420" w:leftChars="200"/>
    </w:pPr>
  </w:style>
  <w:style w:type="paragraph" w:styleId="15">
    <w:name w:val="Plain Text"/>
    <w:basedOn w:val="1"/>
    <w:unhideWhenUsed/>
    <w:qFormat/>
    <w:uiPriority w:val="99"/>
    <w:rPr>
      <w:rFonts w:ascii="宋体" w:hAnsi="Courier New" w:eastAsia="宋体" w:cs="Courier New"/>
      <w:szCs w:val="21"/>
    </w:rPr>
  </w:style>
  <w:style w:type="paragraph" w:styleId="16">
    <w:name w:val="Body Text Indent 2"/>
    <w:basedOn w:val="1"/>
    <w:qFormat/>
    <w:uiPriority w:val="0"/>
    <w:pPr>
      <w:spacing w:line="360" w:lineRule="auto"/>
      <w:ind w:firstLine="480" w:firstLineChars="200"/>
      <w:jc w:val="left"/>
    </w:pPr>
    <w:rPr>
      <w:rFonts w:hAnsi="Arial Narrow"/>
      <w:sz w:val="24"/>
      <w:szCs w:val="21"/>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Body Text 2"/>
    <w:basedOn w:val="1"/>
    <w:unhideWhenUsed/>
    <w:qFormat/>
    <w:uiPriority w:val="99"/>
    <w:pPr>
      <w:spacing w:after="120" w:line="480" w:lineRule="auto"/>
    </w:pPr>
  </w:style>
  <w:style w:type="paragraph" w:styleId="2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4">
    <w:name w:val="Body Text First Indent 2"/>
    <w:basedOn w:val="14"/>
    <w:next w:val="25"/>
    <w:qFormat/>
    <w:uiPriority w:val="99"/>
    <w:pPr>
      <w:tabs>
        <w:tab w:val="left" w:pos="4606"/>
      </w:tabs>
      <w:ind w:firstLine="420"/>
    </w:pPr>
  </w:style>
  <w:style w:type="paragraph" w:customStyle="1" w:styleId="25">
    <w:name w:val="样式 标题 3 + (中文) 黑体 小四 非加粗 段前: 7.8 磅 段后: 0 磅 行距: 固定值 20 磅_0"/>
    <w:basedOn w:val="26"/>
    <w:qFormat/>
    <w:uiPriority w:val="0"/>
    <w:pPr>
      <w:spacing w:before="0" w:after="0" w:line="400" w:lineRule="exact"/>
    </w:pPr>
    <w:rPr>
      <w:rFonts w:ascii="Times New Roman" w:hAnsi="Times New Roman" w:eastAsia="黑体" w:cs="宋体"/>
      <w:b w:val="0"/>
      <w:bCs w:val="0"/>
      <w:sz w:val="21"/>
      <w:szCs w:val="20"/>
    </w:rPr>
  </w:style>
  <w:style w:type="paragraph" w:customStyle="1" w:styleId="26">
    <w:name w:val="标题 3_0"/>
    <w:basedOn w:val="27"/>
    <w:next w:val="28"/>
    <w:qFormat/>
    <w:uiPriority w:val="0"/>
    <w:pPr>
      <w:keepNext/>
      <w:keepLines/>
      <w:spacing w:before="260" w:after="260" w:line="416" w:lineRule="auto"/>
      <w:outlineLvl w:val="2"/>
    </w:pPr>
    <w:rPr>
      <w:rFonts w:ascii="Calibri" w:hAnsi="Calibri"/>
      <w:b/>
      <w:bCs/>
      <w:sz w:val="32"/>
      <w:szCs w:val="32"/>
    </w:rPr>
  </w:style>
  <w:style w:type="paragraph" w:customStyle="1" w:styleId="27">
    <w:name w:val="正文_0"/>
    <w:next w:val="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1"/>
    <w:next w:val="24"/>
    <w:qFormat/>
    <w:uiPriority w:val="0"/>
    <w:pPr>
      <w:widowControl w:val="0"/>
      <w:jc w:val="both"/>
    </w:pPr>
    <w:rPr>
      <w:rFonts w:ascii="Times New Roman" w:hAnsi="Times New Roman" w:eastAsia="宋体" w:cs="Times New Roman"/>
      <w:kern w:val="2"/>
      <w:sz w:val="21"/>
      <w:szCs w:val="22"/>
      <w:lang w:val="en-US" w:eastAsia="zh-CN" w:bidi="ar-SA"/>
    </w:rPr>
  </w:style>
  <w:style w:type="table" w:styleId="30">
    <w:name w:val="Table Grid"/>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99"/>
  </w:style>
  <w:style w:type="character" w:styleId="34">
    <w:name w:val="Hyperlink"/>
    <w:unhideWhenUsed/>
    <w:qFormat/>
    <w:uiPriority w:val="99"/>
    <w:rPr>
      <w:color w:val="0000FF"/>
      <w:u w:val="single"/>
    </w:rPr>
  </w:style>
  <w:style w:type="paragraph" w:customStyle="1" w:styleId="35">
    <w:name w:val="Fließtext"/>
    <w:basedOn w:val="1"/>
    <w:qFormat/>
    <w:uiPriority w:val="99"/>
    <w:pPr>
      <w:overflowPunct w:val="0"/>
      <w:autoSpaceDE w:val="0"/>
      <w:autoSpaceDN w:val="0"/>
      <w:adjustRightInd w:val="0"/>
      <w:textAlignment w:val="baseline"/>
    </w:pPr>
    <w:rPr>
      <w:kern w:val="28"/>
      <w:szCs w:val="20"/>
    </w:rPr>
  </w:style>
  <w:style w:type="paragraph" w:customStyle="1" w:styleId="36">
    <w:name w:val="首行缩进"/>
    <w:basedOn w:val="1"/>
    <w:qFormat/>
    <w:uiPriority w:val="0"/>
    <w:pPr>
      <w:ind w:firstLine="480" w:firstLineChars="200"/>
    </w:pPr>
    <w:rPr>
      <w:lang w:val="zh-CN"/>
    </w:rPr>
  </w:style>
  <w:style w:type="paragraph" w:customStyle="1" w:styleId="37">
    <w:name w:val="正文（缩进）"/>
    <w:basedOn w:val="1"/>
    <w:qFormat/>
    <w:uiPriority w:val="99"/>
    <w:pPr>
      <w:spacing w:before="156" w:after="156"/>
      <w:ind w:firstLine="480"/>
    </w:pPr>
  </w:style>
  <w:style w:type="paragraph" w:customStyle="1" w:styleId="38">
    <w:name w:val="null3"/>
    <w:qFormat/>
    <w:uiPriority w:val="0"/>
    <w:rPr>
      <w:rFonts w:hint="eastAsia" w:ascii="Calibri" w:hAnsi="Calibri" w:eastAsia="宋体" w:cs="Times New Roman"/>
      <w:lang w:val="en-US" w:eastAsia="zh-CN" w:bidi="ar-SA"/>
    </w:rPr>
  </w:style>
  <w:style w:type="paragraph" w:customStyle="1" w:styleId="39">
    <w:name w:val="样式1"/>
    <w:basedOn w:val="1"/>
    <w:qFormat/>
    <w:uiPriority w:val="0"/>
    <w:pPr>
      <w:jc w:val="center"/>
    </w:pPr>
    <w:rPr>
      <w:rFonts w:eastAsia="方正大标宋简体"/>
      <w:sz w:val="52"/>
    </w:rPr>
  </w:style>
  <w:style w:type="paragraph" w:customStyle="1" w:styleId="40">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1">
    <w:name w:val="edittexttarea"/>
    <w:basedOn w:val="31"/>
    <w:qFormat/>
    <w:uiPriority w:val="0"/>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7">
    <w:name w:val="List Paragraph"/>
    <w:basedOn w:val="1"/>
    <w:qFormat/>
    <w:uiPriority w:val="0"/>
    <w:pPr>
      <w:widowControl/>
      <w:ind w:firstLine="420" w:firstLineChars="200"/>
      <w:jc w:val="left"/>
    </w:pPr>
    <w:rPr>
      <w:rFonts w:ascii="MetaPlusLF" w:hAnsi="MetaPlusLF" w:cs="Times New Roman"/>
      <w:snapToGrid/>
      <w:sz w:val="20"/>
      <w:szCs w:val="20"/>
      <w:lang w:val="de-DE" w:eastAsia="de-DE"/>
    </w:rPr>
  </w:style>
  <w:style w:type="paragraph" w:customStyle="1" w:styleId="48">
    <w:name w:val="p0"/>
    <w:basedOn w:val="1"/>
    <w:qFormat/>
    <w:uiPriority w:val="0"/>
    <w:pPr>
      <w:widowControl/>
    </w:pPr>
    <w:rPr>
      <w:kern w:val="0"/>
      <w:sz w:val="20"/>
      <w:szCs w:val="21"/>
    </w:rPr>
  </w:style>
  <w:style w:type="paragraph" w:customStyle="1" w:styleId="49">
    <w:name w:val="MsoNormal"/>
    <w:basedOn w:val="1"/>
    <w:qFormat/>
    <w:uiPriority w:val="0"/>
  </w:style>
  <w:style w:type="paragraph" w:customStyle="1" w:styleId="50">
    <w:name w:val="MsoNormal0"/>
    <w:basedOn w:val="1"/>
    <w:qFormat/>
    <w:uiPriority w:val="0"/>
  </w:style>
  <w:style w:type="table" w:customStyle="1" w:styleId="51">
    <w:name w:val="MsoNormalTable0"/>
    <w:basedOn w:val="29"/>
    <w:qFormat/>
    <w:uiPriority w:val="0"/>
    <w:tblPr>
      <w:tblCellMar>
        <w:top w:w="0" w:type="dxa"/>
        <w:left w:w="108" w:type="dxa"/>
        <w:bottom w:w="0" w:type="dxa"/>
        <w:right w:w="108" w:type="dxa"/>
      </w:tblCellMar>
    </w:tblPr>
  </w:style>
  <w:style w:type="table" w:customStyle="1" w:styleId="52">
    <w:name w:val="MsoNormalTable"/>
    <w:basedOn w:val="29"/>
    <w:qFormat/>
    <w:uiPriority w:val="0"/>
    <w:tblPr>
      <w:tblCellMar>
        <w:top w:w="0" w:type="dxa"/>
        <w:left w:w="108" w:type="dxa"/>
        <w:bottom w:w="0" w:type="dxa"/>
        <w:right w:w="108" w:type="dxa"/>
      </w:tblCellMar>
    </w:tblPr>
  </w:style>
  <w:style w:type="paragraph" w:customStyle="1" w:styleId="53">
    <w:name w:val="MsoBodyText"/>
    <w:basedOn w:val="1"/>
    <w:qFormat/>
    <w:uiPriority w:val="0"/>
  </w:style>
  <w:style w:type="paragraph" w:customStyle="1" w:styleId="54">
    <w:name w:val="MsoBodyTextFirstIndent20"/>
    <w:basedOn w:val="1"/>
    <w:qFormat/>
    <w:uiPriority w:val="0"/>
  </w:style>
  <w:style w:type="paragraph" w:customStyle="1" w:styleId="55">
    <w:name w:val="MsoListParagraph"/>
    <w:basedOn w:val="1"/>
    <w:qFormat/>
    <w:uiPriority w:val="0"/>
  </w:style>
  <w:style w:type="paragraph" w:customStyle="1" w:styleId="56">
    <w:name w:val="MsoBodyTextFirstIndent2"/>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5746</Words>
  <Characters>6498</Characters>
  <Lines>0</Lines>
  <Paragraphs>0</Paragraphs>
  <TotalTime>5</TotalTime>
  <ScaleCrop>false</ScaleCrop>
  <LinksUpToDate>false</LinksUpToDate>
  <CharactersWithSpaces>6586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2024-06-04T12:42:00Z</dcterms:created>
  <dc:creator>Administrator</dc:creator>
  <cp:lastModifiedBy>苏xy</cp:lastModifiedBy>
  <dcterms:modified xsi:type="dcterms:W3CDTF">2025-05-08T09:30:12Z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4AF6EF6A44D341ABA9B197AF73994E17_13</vt:lpwstr>
  </property>
  <property fmtid="{D5CDD505-2E9C-101B-9397-08002B2CF9AE}" pid="4" name="KSOTemplateDocerSaveRecord">
    <vt:lpwstr>eyJoZGlkIjoiMTliODU4MmJmMmUyNzAxMDg4OGY0OWJlZWZlNzViYmQiLCJ1c2VySWQiOiI0MTI1MjcxMTQifQ==</vt:lpwstr>
  </property>
</Properties>
</file>