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编码:ZH35010320250037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统一社会信用代码/纳税人识号:91350103MA31UJM769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122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纳税人名称:福州艾润贸易有限公司                                </w:t>
      </w:r>
      <w:r>
        <w:rPr>
          <w:rFonts w:ascii="SimSun" w:hAnsi="SimSun" w:eastAsia="SimSun" w:cs="SimSun"/>
          <w:sz w:val="24"/>
          <w:szCs w:val="24"/>
        </w:rPr>
        <w:t xml:space="preserve">                               金额单位：元至角分</w:t>
      </w:r>
    </w:p>
    <w:p>
      <w:pPr>
        <w:spacing w:before="61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1866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5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8"/>
              </w:rPr>
              <w:t>2021–07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163332.82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163332.82</w:t>
            </w:r>
          </w:p>
        </w:tc>
        <w:tc>
          <w:tcPr>
            <w:tcW w:w="1534" w:type="dxa"/>
            <w:vAlign w:val="top"/>
          </w:tcPr>
          <w:p>
            <w:pPr>
              <w:ind w:left="113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163332.82</w:t>
            </w:r>
          </w:p>
        </w:tc>
        <w:tc>
          <w:tcPr>
            <w:tcW w:w="1075" w:type="dxa"/>
            <w:vAlign w:val="top"/>
          </w:tcPr>
          <w:p>
            <w:pPr>
              <w:ind w:left="117" w:right="8" w:firstLine="1"/>
              <w:spacing w:before="209" w:line="277" w:lineRule="auto"/>
              <w:jc w:val="both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不予退税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3"/>
              </w:rPr>
              <w:t>复函编号：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33609830</w:t>
            </w:r>
          </w:p>
          <w:p>
            <w:pPr>
              <w:ind w:left="111" w:right="106" w:firstLine="2"/>
              <w:spacing w:before="49" w:line="3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02025090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40002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19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163332.82</w:t>
            </w:r>
          </w:p>
        </w:tc>
        <w:tc>
          <w:tcPr>
            <w:tcW w:w="1464" w:type="dxa"/>
            <w:vAlign w:val="top"/>
          </w:tcPr>
          <w:p>
            <w:pPr>
              <w:ind w:left="120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163332.82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23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163332.82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E8E8619CD111402DB767225D68E508F6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2025-09-17T10:18:29</vt:filetime>
  </property>
</Properties>
</file>