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9"/>
        <w:rPr>
          <w:rFonts w:hint="eastAsia" w:ascii="宋体" w:hAnsi="宋体" w:eastAsia="宋体" w:cs="宋体"/>
          <w:b/>
          <w:color w:val="auto"/>
          <w:sz w:val="24"/>
          <w:szCs w:val="24"/>
        </w:rPr>
      </w:pPr>
    </w:p>
    <w:p>
      <w:pPr>
        <w:pStyle w:val="3"/>
        <w:jc w:val="center"/>
        <w:rPr>
          <w:rFonts w:hint="eastAsia" w:ascii="宋体" w:hAnsi="宋体" w:cs="宋体"/>
          <w:b/>
          <w:color w:val="auto"/>
          <w:sz w:val="72"/>
          <w:szCs w:val="72"/>
        </w:rPr>
      </w:pPr>
      <w:bookmarkStart w:id="0" w:name="_Toc29271"/>
      <w:bookmarkStart w:id="1" w:name="_Toc5043"/>
      <w:r>
        <w:rPr>
          <w:rFonts w:hint="eastAsia" w:ascii="宋体" w:hAnsi="宋体" w:cs="宋体"/>
          <w:b/>
          <w:color w:val="auto"/>
          <w:sz w:val="72"/>
          <w:szCs w:val="72"/>
        </w:rPr>
        <w:t>竞争性磋商文件</w:t>
      </w:r>
      <w:bookmarkEnd w:id="0"/>
      <w:bookmarkEnd w:id="1"/>
    </w:p>
    <w:p>
      <w:pPr>
        <w:pStyle w:val="3"/>
        <w:jc w:val="center"/>
        <w:rPr>
          <w:rFonts w:hint="eastAsia" w:ascii="宋体" w:hAnsi="宋体" w:cs="宋体"/>
          <w:b/>
          <w:color w:val="auto"/>
          <w:sz w:val="72"/>
          <w:szCs w:val="72"/>
        </w:rPr>
      </w:pPr>
      <w:bookmarkStart w:id="2" w:name="_Toc14781"/>
      <w:bookmarkStart w:id="3" w:name="_Toc32452"/>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6"/>
        <w:ind w:firstLine="0" w:firstLineChars="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bookmarkStart w:id="4" w:name="OLE_LINK1"/>
      <w:r>
        <w:rPr>
          <w:rFonts w:hint="eastAsia" w:hAnsi="宋体" w:cs="宋体"/>
          <w:color w:val="auto"/>
          <w:kern w:val="0"/>
          <w:sz w:val="28"/>
          <w:szCs w:val="28"/>
          <w:u w:val="single"/>
          <w:lang w:eastAsia="zh-CN"/>
        </w:rPr>
        <w:t>国家税务总局永泰县税务局2026年物业管理服务采购项目</w:t>
      </w:r>
    </w:p>
    <w:bookmarkEnd w:id="4"/>
    <w:p>
      <w:pPr>
        <w:pStyle w:val="16"/>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ZXWT-2025-501</w:t>
      </w:r>
    </w:p>
    <w:p>
      <w:pPr>
        <w:pStyle w:val="16"/>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国家税务总局永泰县税务局</w:t>
      </w:r>
    </w:p>
    <w:p>
      <w:pPr>
        <w:pStyle w:val="16"/>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pStyle w:val="7"/>
        <w:numPr>
          <w:ilvl w:val="0"/>
          <w:numId w:val="0"/>
        </w:numPr>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国家税务总局永泰县税务局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24</w:t>
      </w:r>
      <w:r>
        <w:rPr>
          <w:rFonts w:hint="eastAsia" w:ascii="宋体" w:hAnsi="宋体" w:eastAsia="宋体" w:cs="宋体"/>
          <w:color w:val="auto"/>
          <w:sz w:val="28"/>
          <w:szCs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bookmarkStart w:id="153" w:name="_GoBack"/>
      <w:bookmarkEnd w:id="153"/>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5" w:name="_Toc12643"/>
      <w:bookmarkStart w:id="6" w:name="_Toc132880655"/>
      <w:r>
        <w:rPr>
          <w:rFonts w:hint="eastAsia" w:ascii="宋体" w:hAnsi="宋体" w:eastAsia="宋体" w:cs="宋体"/>
          <w:b/>
          <w:bCs/>
          <w:color w:val="auto"/>
          <w:sz w:val="28"/>
          <w:szCs w:val="28"/>
          <w:highlight w:val="none"/>
        </w:rPr>
        <w:t>第一章  磋商邀请</w:t>
      </w:r>
      <w:bookmarkEnd w:id="5"/>
      <w:bookmarkEnd w:id="6"/>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bookmarkStart w:id="7" w:name="OLE_LINK8"/>
      <w:r>
        <w:rPr>
          <w:rFonts w:hint="eastAsia" w:ascii="宋体" w:hAnsi="宋体" w:cs="宋体"/>
          <w:color w:val="auto"/>
          <w:sz w:val="24"/>
          <w:szCs w:val="24"/>
          <w:highlight w:val="none"/>
          <w:u w:val="single"/>
          <w:lang w:eastAsia="zh-CN"/>
        </w:rPr>
        <w:t>国家税务总局永泰县税务局</w:t>
      </w:r>
      <w:bookmarkEnd w:id="7"/>
      <w:r>
        <w:rPr>
          <w:rFonts w:hint="eastAsia" w:ascii="宋体" w:hAnsi="宋体" w:cs="宋体"/>
          <w:color w:val="auto"/>
          <w:sz w:val="24"/>
          <w:szCs w:val="24"/>
          <w:highlight w:val="none"/>
          <w:u w:val="single"/>
          <w:lang w:eastAsia="zh-CN"/>
        </w:rPr>
        <w:t>2026年物业管理服务采购项目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bookmarkStart w:id="8" w:name="OLE_LINK6"/>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bookmarkEnd w:id="8"/>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bookmarkStart w:id="9" w:name="_Toc16149"/>
      <w:bookmarkStart w:id="10" w:name="_Toc27898"/>
      <w:r>
        <w:rPr>
          <w:rFonts w:hint="eastAsia" w:ascii="宋体" w:hAnsi="宋体" w:eastAsia="宋体" w:cs="宋体"/>
          <w:b/>
          <w:bCs/>
          <w:color w:val="auto"/>
          <w:sz w:val="24"/>
          <w:szCs w:val="24"/>
          <w:highlight w:val="none"/>
        </w:rPr>
        <w:t>一、项目基本情况</w:t>
      </w:r>
      <w:bookmarkEnd w:id="9"/>
      <w:bookmarkEnd w:id="10"/>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bookmarkStart w:id="11" w:name="OLE_LINK7"/>
      <w:r>
        <w:rPr>
          <w:rFonts w:hint="eastAsia" w:ascii="宋体" w:hAnsi="宋体" w:cs="宋体"/>
          <w:color w:val="auto"/>
          <w:sz w:val="24"/>
          <w:szCs w:val="24"/>
          <w:highlight w:val="none"/>
          <w:lang w:eastAsia="zh-CN"/>
        </w:rPr>
        <w:t>ZXWT-2025-501</w:t>
      </w:r>
      <w:bookmarkEnd w:id="11"/>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bookmarkStart w:id="12" w:name="OLE_LINK5"/>
      <w:r>
        <w:rPr>
          <w:rFonts w:hint="eastAsia" w:ascii="宋体" w:hAnsi="宋体" w:cs="宋体"/>
          <w:color w:val="auto"/>
          <w:sz w:val="24"/>
          <w:szCs w:val="24"/>
          <w:highlight w:val="none"/>
          <w:lang w:eastAsia="zh-CN"/>
        </w:rPr>
        <w:t>国家税务总局永泰县税务局2026年物业管理服务采购项目</w:t>
      </w:r>
      <w:bookmarkEnd w:id="12"/>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27</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27</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6"/>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2"/>
        <w:gridCol w:w="1917"/>
        <w:gridCol w:w="850"/>
        <w:gridCol w:w="1400"/>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072"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采购包</w:t>
            </w:r>
          </w:p>
        </w:tc>
        <w:tc>
          <w:tcPr>
            <w:tcW w:w="1917"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项目名称</w:t>
            </w:r>
          </w:p>
        </w:tc>
        <w:tc>
          <w:tcPr>
            <w:tcW w:w="85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服务期限</w:t>
            </w:r>
          </w:p>
        </w:tc>
        <w:tc>
          <w:tcPr>
            <w:tcW w:w="140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预算金额（万元）</w:t>
            </w:r>
          </w:p>
        </w:tc>
        <w:tc>
          <w:tcPr>
            <w:tcW w:w="3716"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highlight w:val="none"/>
              </w:rPr>
            </w:pPr>
            <w:r>
              <w:rPr>
                <w:rFonts w:hint="eastAsia" w:ascii="宋体" w:hAnsi="宋体"/>
                <w:color w:val="auto"/>
                <w:highlight w:val="none"/>
              </w:rPr>
              <w:t>简要</w:t>
            </w:r>
            <w:r>
              <w:rPr>
                <w:rFonts w:hint="eastAsia"/>
                <w:color w:val="auto"/>
                <w:highlight w:val="none"/>
                <w:lang w:val="en-US" w:eastAsia="zh-CN"/>
              </w:rPr>
              <w:t>技术</w:t>
            </w:r>
            <w:r>
              <w:rPr>
                <w:rFonts w:hint="eastAsia" w:ascii="宋体" w:hAnsi="宋体"/>
                <w:color w:val="auto"/>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1072"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w:t>
            </w:r>
          </w:p>
        </w:tc>
        <w:tc>
          <w:tcPr>
            <w:tcW w:w="1917"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olor w:val="auto"/>
                <w:highlight w:val="none"/>
                <w:lang w:val="en-US" w:eastAsia="zh-CN"/>
              </w:rPr>
            </w:pPr>
            <w:r>
              <w:rPr>
                <w:rFonts w:hint="eastAsia" w:ascii="宋体" w:hAnsi="宋体" w:cs="宋体"/>
                <w:color w:val="auto"/>
                <w:sz w:val="24"/>
                <w:szCs w:val="24"/>
                <w:highlight w:val="none"/>
                <w:lang w:eastAsia="zh-CN"/>
              </w:rPr>
              <w:t>国家税务总局永泰县税务局2026年物业管理服务采购项目</w:t>
            </w:r>
          </w:p>
        </w:tc>
        <w:tc>
          <w:tcPr>
            <w:tcW w:w="85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1年</w:t>
            </w:r>
          </w:p>
        </w:tc>
        <w:tc>
          <w:tcPr>
            <w:tcW w:w="140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color w:val="auto"/>
                <w:highlight w:val="none"/>
                <w:lang w:val="en-US" w:eastAsia="zh-CN"/>
              </w:rPr>
            </w:pPr>
            <w:r>
              <w:rPr>
                <w:rFonts w:hint="eastAsia"/>
                <w:color w:val="auto"/>
                <w:highlight w:val="none"/>
                <w:lang w:val="en-US" w:eastAsia="zh-CN"/>
              </w:rPr>
              <w:t>27</w:t>
            </w:r>
          </w:p>
        </w:tc>
        <w:tc>
          <w:tcPr>
            <w:tcW w:w="3716"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color w:val="auto"/>
                <w:highlight w:val="none"/>
                <w:lang w:val="en-US" w:eastAsia="zh-CN"/>
              </w:rPr>
            </w:pPr>
            <w:r>
              <w:rPr>
                <w:rFonts w:hint="eastAsia" w:ascii="宋体" w:hAnsi="宋体" w:eastAsia="宋体" w:cs="宋体"/>
                <w:color w:val="auto"/>
                <w:kern w:val="2"/>
                <w:sz w:val="24"/>
                <w:szCs w:val="24"/>
                <w:lang w:val="en-US" w:eastAsia="zh-CN" w:bidi="ar-SA"/>
              </w:rPr>
              <w:t>服务内容包括龙峰园（县局）办公楼保洁、南湖（第二税务分局、樟城分局）办公楼保洁等</w:t>
            </w:r>
            <w:r>
              <w:rPr>
                <w:rFonts w:hint="eastAsia"/>
                <w:color w:val="auto"/>
                <w:highlight w:val="none"/>
                <w:lang w:val="en-US" w:eastAsia="zh-CN"/>
              </w:rPr>
              <w:t>，具体详见磋商文件第六章“项目采购需求”。</w:t>
            </w:r>
          </w:p>
        </w:tc>
      </w:tr>
    </w:tbl>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bookmarkStart w:id="13"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13"/>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bookmarkStart w:id="14" w:name="_Toc21862"/>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w:t>
      </w:r>
      <w:r>
        <w:rPr>
          <w:rFonts w:hint="eastAsia" w:ascii="宋体" w:hAnsi="宋体" w:cs="宋体"/>
          <w:color w:val="auto"/>
          <w:kern w:val="2"/>
          <w:sz w:val="24"/>
          <w:szCs w:val="24"/>
          <w:highlight w:val="none"/>
          <w:lang w:val="en-US" w:eastAsia="zh-CN" w:bidi="ar-SA"/>
        </w:rPr>
        <w:t>2024年度</w:t>
      </w:r>
      <w:r>
        <w:rPr>
          <w:rFonts w:hint="eastAsia" w:ascii="宋体" w:hAnsi="宋体" w:eastAsia="宋体" w:cs="宋体"/>
          <w:color w:val="auto"/>
          <w:kern w:val="2"/>
          <w:sz w:val="24"/>
          <w:szCs w:val="24"/>
          <w:highlight w:val="none"/>
          <w:lang w:val="en-US" w:eastAsia="zh-CN" w:bidi="ar-SA"/>
        </w:rPr>
        <w:t>的财务报告（须提供加盖会计师事务所公章及注册会计师签章的扫描件或复印件）；没有经审计的财务报告的，可以提供银行出具的资信证明】；</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月以来不少于1个月依法缴纳税收（不包括个人所得税）的相关材料；若为提交响应文件截止时间的当月成立的供应商，视同满足本项资格条件要求；</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)参加采购活动前三年内在经营活动中没有重大违法记录的书面声明；</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)参加采购活动前三年内无行贿犯罪记录的书面声明；</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.落实政府采购政策需满足的资格要求：本项目专门面向中小企业采购。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.本项目不接受联合体</w:t>
      </w:r>
      <w:r>
        <w:rPr>
          <w:rFonts w:hint="eastAsia" w:ascii="宋体" w:hAnsi="宋体" w:cs="宋体"/>
          <w:color w:val="auto"/>
          <w:kern w:val="2"/>
          <w:sz w:val="24"/>
          <w:szCs w:val="24"/>
          <w:highlight w:val="none"/>
          <w:lang w:val="en-US" w:eastAsia="zh-CN" w:bidi="ar-SA"/>
        </w:rPr>
        <w:t>报价</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14"/>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31</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2：30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5：30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登记表》；通过邮件方式获取磋商文件者须按照本公司《获取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bookmarkStart w:id="15" w:name="_Toc24999"/>
      <w:r>
        <w:rPr>
          <w:rFonts w:hint="eastAsia" w:ascii="宋体" w:hAnsi="宋体" w:eastAsia="宋体" w:cs="宋体"/>
          <w:b/>
          <w:bCs/>
          <w:color w:val="auto"/>
          <w:sz w:val="24"/>
          <w:szCs w:val="24"/>
          <w:highlight w:val="none"/>
        </w:rPr>
        <w:t>四、响应文件提交</w:t>
      </w:r>
      <w:bookmarkEnd w:id="15"/>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6</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bookmarkStart w:id="16" w:name="_Toc22727"/>
      <w:r>
        <w:rPr>
          <w:rFonts w:hint="eastAsia" w:ascii="宋体" w:hAnsi="宋体" w:eastAsia="宋体" w:cs="宋体"/>
          <w:b/>
          <w:bCs/>
          <w:color w:val="auto"/>
          <w:sz w:val="24"/>
          <w:szCs w:val="24"/>
          <w:highlight w:val="none"/>
        </w:rPr>
        <w:t>五、开启</w:t>
      </w:r>
      <w:bookmarkEnd w:id="16"/>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bookmarkStart w:id="17" w:name="OLE_LINK9"/>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6</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bookmarkEnd w:id="17"/>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bookmarkStart w:id="18" w:name="_Toc30955"/>
      <w:r>
        <w:rPr>
          <w:rFonts w:hint="eastAsia" w:ascii="宋体" w:hAnsi="宋体" w:eastAsia="宋体" w:cs="宋体"/>
          <w:b/>
          <w:bCs/>
          <w:color w:val="auto"/>
          <w:sz w:val="24"/>
          <w:szCs w:val="24"/>
          <w:highlight w:val="none"/>
        </w:rPr>
        <w:t>六、公告期限</w:t>
      </w:r>
      <w:bookmarkEnd w:id="18"/>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color w:val="auto"/>
          <w:sz w:val="24"/>
          <w:szCs w:val="24"/>
          <w:highlight w:val="none"/>
          <w:u w:val="none"/>
          <w:lang w:val="en-US" w:eastAsia="zh-CN"/>
        </w:rPr>
      </w:pPr>
      <w:bookmarkStart w:id="19"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19"/>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outlineLvl w:val="1"/>
        <w:rPr>
          <w:rFonts w:hint="eastAsia" w:ascii="宋体" w:hAnsi="宋体" w:eastAsia="宋体" w:cs="宋体"/>
          <w:b/>
          <w:bCs/>
          <w:color w:val="auto"/>
          <w:sz w:val="24"/>
          <w:szCs w:val="24"/>
          <w:highlight w:val="none"/>
        </w:rPr>
      </w:pPr>
      <w:bookmarkStart w:id="20" w:name="_Toc10471"/>
      <w:r>
        <w:rPr>
          <w:rFonts w:hint="eastAsia" w:ascii="宋体" w:hAnsi="宋体" w:eastAsia="宋体" w:cs="宋体"/>
          <w:b/>
          <w:bCs/>
          <w:color w:val="auto"/>
          <w:sz w:val="24"/>
          <w:szCs w:val="24"/>
          <w:highlight w:val="none"/>
        </w:rPr>
        <w:t>八、凡对本次采购提出询问，请按以下方式联系。</w:t>
      </w:r>
      <w:bookmarkEnd w:id="20"/>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pStyle w:val="16"/>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bookmarkStart w:id="21" w:name="OLE_LINK2"/>
      <w:r>
        <w:rPr>
          <w:rFonts w:hint="eastAsia" w:hAnsi="宋体" w:cs="宋体"/>
          <w:color w:val="auto"/>
          <w:sz w:val="24"/>
          <w:szCs w:val="24"/>
          <w:lang w:eastAsia="zh-CN"/>
        </w:rPr>
        <w:t>国家税务总局永泰县税务局</w:t>
      </w:r>
      <w:bookmarkEnd w:id="21"/>
      <w:r>
        <w:rPr>
          <w:rFonts w:hint="eastAsia" w:ascii="宋体" w:hAnsi="宋体" w:eastAsia="宋体" w:cs="宋体"/>
          <w:color w:val="auto"/>
          <w:sz w:val="24"/>
          <w:szCs w:val="24"/>
        </w:rPr>
        <w:t>　　　　　</w:t>
      </w:r>
    </w:p>
    <w:p>
      <w:pPr>
        <w:pStyle w:val="16"/>
        <w:spacing w:line="500" w:lineRule="exact"/>
        <w:ind w:firstLine="480" w:firstLineChars="200"/>
        <w:rPr>
          <w:rFonts w:hint="eastAsia" w:hAnsi="宋体" w:cs="宋体"/>
          <w:color w:val="auto"/>
          <w:sz w:val="24"/>
          <w:szCs w:val="24"/>
          <w:lang w:eastAsia="zh-CN"/>
        </w:rPr>
      </w:pPr>
      <w:r>
        <w:rPr>
          <w:rFonts w:hint="eastAsia" w:ascii="宋体" w:hAnsi="宋体" w:eastAsia="宋体" w:cs="宋体"/>
          <w:color w:val="auto"/>
          <w:sz w:val="24"/>
          <w:szCs w:val="24"/>
        </w:rPr>
        <w:t>地址</w:t>
      </w:r>
      <w:r>
        <w:rPr>
          <w:rFonts w:hint="eastAsia" w:hAnsi="宋体" w:cs="宋体"/>
          <w:color w:val="auto"/>
          <w:sz w:val="24"/>
          <w:szCs w:val="24"/>
          <w:lang w:eastAsia="zh-CN"/>
        </w:rPr>
        <w:t>：福建省福州市永泰县城峰镇龙峰园48号　　　　　　　</w:t>
      </w:r>
    </w:p>
    <w:p>
      <w:pPr>
        <w:pStyle w:val="16"/>
        <w:spacing w:line="50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联系方式：</w:t>
      </w:r>
      <w:r>
        <w:rPr>
          <w:rFonts w:hint="eastAsia" w:hAnsi="宋体" w:cs="宋体"/>
          <w:color w:val="auto"/>
          <w:sz w:val="24"/>
          <w:szCs w:val="24"/>
          <w:lang w:val="en-US" w:eastAsia="zh-CN"/>
        </w:rPr>
        <w:t xml:space="preserve">何先生 </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电话：0591-24833678</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2" w:name="_Toc132880656"/>
      <w:bookmarkStart w:id="23" w:name="_Toc5752"/>
      <w:r>
        <w:rPr>
          <w:rFonts w:hint="eastAsia" w:ascii="宋体" w:hAnsi="宋体" w:eastAsia="宋体" w:cs="宋体"/>
          <w:b/>
          <w:bCs/>
          <w:color w:val="auto"/>
          <w:sz w:val="28"/>
          <w:szCs w:val="28"/>
          <w:highlight w:val="none"/>
        </w:rPr>
        <w:t>第二章　供应商须知</w:t>
      </w:r>
      <w:bookmarkEnd w:id="22"/>
      <w:bookmarkEnd w:id="2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4" w:name="_Toc132880657"/>
      <w:r>
        <w:rPr>
          <w:rFonts w:hint="eastAsia" w:ascii="宋体" w:hAnsi="宋体" w:eastAsia="宋体" w:cs="宋体"/>
          <w:b/>
          <w:bCs/>
          <w:color w:val="auto"/>
          <w:sz w:val="28"/>
          <w:szCs w:val="28"/>
          <w:highlight w:val="none"/>
        </w:rPr>
        <w:t>供应商须知前附表</w:t>
      </w:r>
      <w:bookmarkEnd w:id="24"/>
    </w:p>
    <w:tbl>
      <w:tblPr>
        <w:tblStyle w:val="2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国家税务总局永泰县税务局2026年物业管理服务采购项目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27</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项目最高限价：27万元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hAnsi="宋体" w:cs="宋体"/>
                <w:color w:val="auto"/>
                <w:sz w:val="24"/>
                <w:szCs w:val="24"/>
                <w:lang w:eastAsia="zh-CN"/>
              </w:rPr>
              <w:t>国家税务总局永泰县税务局</w:t>
            </w:r>
            <w:r>
              <w:rPr>
                <w:rFonts w:hint="eastAsia" w:ascii="宋体" w:hAnsi="宋体" w:eastAsia="宋体" w:cs="宋体"/>
                <w:color w:val="auto"/>
                <w:sz w:val="24"/>
                <w:szCs w:val="24"/>
              </w:rPr>
              <w:t>　　　　　</w:t>
            </w:r>
          </w:p>
          <w:p>
            <w:pPr>
              <w:pStyle w:val="16"/>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hAnsi="宋体" w:cs="宋体"/>
                <w:color w:val="auto"/>
                <w:sz w:val="24"/>
                <w:szCs w:val="24"/>
                <w:lang w:eastAsia="zh-CN"/>
              </w:rPr>
              <w:t>福建省福州市永泰县城峰镇龙峰园48号　</w:t>
            </w:r>
            <w:r>
              <w:rPr>
                <w:rFonts w:hint="eastAsia" w:ascii="宋体" w:hAnsi="宋体" w:eastAsia="宋体" w:cs="宋体"/>
                <w:color w:val="auto"/>
                <w:sz w:val="24"/>
                <w:szCs w:val="24"/>
              </w:rPr>
              <w:t>　　　　　　</w:t>
            </w:r>
          </w:p>
          <w:p>
            <w:pPr>
              <w:pStyle w:val="16"/>
              <w:spacing w:line="50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rPr>
              <w:t>联系方式：</w:t>
            </w:r>
            <w:r>
              <w:rPr>
                <w:rFonts w:hint="eastAsia" w:hAnsi="宋体" w:cs="宋体"/>
                <w:color w:val="auto"/>
                <w:sz w:val="24"/>
                <w:szCs w:val="24"/>
                <w:lang w:val="en-US" w:eastAsia="zh-CN"/>
              </w:rPr>
              <w:t>何</w:t>
            </w:r>
            <w:r>
              <w:rPr>
                <w:rFonts w:hint="eastAsia" w:ascii="宋体" w:hAnsi="宋体" w:eastAsia="宋体" w:cs="宋体"/>
                <w:color w:val="auto"/>
                <w:sz w:val="24"/>
                <w:szCs w:val="24"/>
                <w:lang w:val="en-US" w:eastAsia="zh-CN"/>
              </w:rPr>
              <w:t>先生</w:t>
            </w:r>
            <w:r>
              <w:rPr>
                <w:rFonts w:hint="eastAsia" w:hAnsi="宋体" w:cs="宋体"/>
                <w:color w:val="auto"/>
                <w:sz w:val="24"/>
                <w:szCs w:val="24"/>
                <w:lang w:val="en-US" w:eastAsia="zh-CN"/>
              </w:rPr>
              <w:t>，</w:t>
            </w:r>
            <w:r>
              <w:rPr>
                <w:rFonts w:hint="eastAsia" w:ascii="宋体" w:hAnsi="宋体" w:eastAsia="宋体" w:cs="宋体"/>
                <w:color w:val="auto"/>
                <w:sz w:val="24"/>
                <w:szCs w:val="24"/>
              </w:rPr>
              <w:t>0591-24833678</w:t>
            </w:r>
            <w:r>
              <w:rPr>
                <w:rFonts w:hint="eastAsia" w:hAnsi="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val="en-US" w:eastAsia="zh-CN"/>
              </w:rPr>
              <w:t>为服务类项目，对应的中小企业划分标准所属行业为“</w:t>
            </w:r>
            <w:r>
              <w:rPr>
                <w:rFonts w:hint="eastAsia" w:hAnsi="宋体" w:cs="宋体"/>
                <w:b/>
                <w:bCs/>
                <w:color w:val="auto"/>
                <w:sz w:val="24"/>
                <w:szCs w:val="24"/>
                <w:lang w:val="en-US" w:eastAsia="zh-CN"/>
              </w:rPr>
              <w:t>物业管理</w:t>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国家税务总局福建省税务局（福州市-永泰县）</w:t>
            </w:r>
            <w:r>
              <w:rPr>
                <w:rFonts w:hint="eastAsia" w:ascii="宋体" w:hAnsi="宋体" w:eastAsia="宋体" w:cs="宋体"/>
                <w:bCs/>
                <w:color w:val="auto"/>
                <w:sz w:val="24"/>
                <w:szCs w:val="24"/>
                <w:highlight w:val="none"/>
              </w:rPr>
              <w:t>http://fujian.chinatax.gov.cn/fzsswj/qxxxgk/yt/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31</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至</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登记表》；通过邮件方式获取磋商文件者须按照本公司《获取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cs="宋体"/>
                <w:snapToGrid w:val="0"/>
                <w:color w:val="auto"/>
                <w:sz w:val="24"/>
                <w:szCs w:val="24"/>
                <w:lang w:val="en-US" w:eastAsia="zh-CN"/>
              </w:rPr>
              <w:t>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年内无行贿犯罪记录的书面声明；</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6</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6</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根据《关于政府采购支持监狱企业发展有关问题的通知》（财库〔2014〕68号），监狱企业视同小型、微型企业，按照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根据《关于促进残疾人就业政府采购政策的通知》（财库〔2017〕141号），残疾人福利性单位视同小型、微型企业，按照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国家税务总局永泰县税务局</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扫描件</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提供签字、盖章后的扫描件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其他补充事项</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其他补充事项：</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特别提示：本表与</w:t>
            </w:r>
            <w:r>
              <w:rPr>
                <w:rFonts w:hint="eastAsia" w:ascii="宋体" w:hAnsi="宋体" w:eastAsia="宋体" w:cs="宋体"/>
                <w:color w:val="auto"/>
                <w:sz w:val="24"/>
                <w:szCs w:val="24"/>
                <w:highlight w:val="none"/>
                <w:u w:val="none"/>
                <w:lang w:val="en-US" w:eastAsia="zh-CN"/>
              </w:rPr>
              <w:t>竞争性磋商</w:t>
            </w:r>
            <w:r>
              <w:rPr>
                <w:rFonts w:hint="eastAsia" w:ascii="宋体" w:hAnsi="宋体" w:eastAsia="宋体" w:cs="宋体"/>
                <w:color w:val="auto"/>
                <w:sz w:val="24"/>
                <w:szCs w:val="24"/>
                <w:highlight w:val="none"/>
                <w:u w:val="none"/>
                <w:lang w:eastAsia="zh-CN"/>
              </w:rPr>
              <w:t>文件</w:t>
            </w:r>
            <w:r>
              <w:rPr>
                <w:rFonts w:hint="eastAsia" w:ascii="宋体" w:hAnsi="宋体" w:eastAsia="宋体" w:cs="宋体"/>
                <w:color w:val="auto"/>
                <w:sz w:val="24"/>
                <w:szCs w:val="24"/>
                <w:highlight w:val="none"/>
                <w:u w:val="none"/>
              </w:rPr>
              <w:t>对应章节的内容若不一致，以本表为准。</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25" w:name="_Toc27846"/>
      <w:bookmarkStart w:id="26" w:name="_Toc132880658"/>
      <w:r>
        <w:rPr>
          <w:rFonts w:hint="eastAsia" w:ascii="宋体" w:hAnsi="宋体" w:eastAsia="宋体" w:cs="宋体"/>
          <w:b/>
          <w:bCs/>
          <w:color w:val="auto"/>
          <w:sz w:val="24"/>
          <w:szCs w:val="24"/>
          <w:highlight w:val="none"/>
        </w:rPr>
        <w:t>一、总则</w:t>
      </w:r>
      <w:bookmarkEnd w:id="25"/>
      <w:bookmarkEnd w:id="26"/>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国家税务总局永泰县税务局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国家税务总局永泰县税务局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27" w:name="_Toc132880659"/>
      <w:bookmarkStart w:id="28" w:name="_Toc9293"/>
      <w:r>
        <w:rPr>
          <w:rFonts w:hint="eastAsia" w:ascii="宋体" w:hAnsi="宋体" w:eastAsia="宋体" w:cs="宋体"/>
          <w:b/>
          <w:bCs/>
          <w:color w:val="auto"/>
          <w:sz w:val="24"/>
          <w:szCs w:val="24"/>
          <w:highlight w:val="none"/>
        </w:rPr>
        <w:t>二、采购文件</w:t>
      </w:r>
      <w:bookmarkEnd w:id="27"/>
      <w:bookmarkEnd w:id="28"/>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29" w:name="_Toc18450"/>
      <w:bookmarkStart w:id="30" w:name="_Toc132880660"/>
      <w:r>
        <w:rPr>
          <w:rFonts w:hint="eastAsia" w:ascii="宋体" w:hAnsi="宋体" w:eastAsia="宋体" w:cs="宋体"/>
          <w:b/>
          <w:bCs/>
          <w:color w:val="auto"/>
          <w:sz w:val="24"/>
          <w:szCs w:val="24"/>
          <w:highlight w:val="none"/>
        </w:rPr>
        <w:t>三、响应文件</w:t>
      </w:r>
      <w:bookmarkEnd w:id="29"/>
      <w:bookmarkEnd w:id="30"/>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1" w:name="_Toc20651"/>
      <w:bookmarkStart w:id="32" w:name="_Toc132880661"/>
      <w:r>
        <w:rPr>
          <w:rFonts w:hint="eastAsia" w:ascii="宋体" w:hAnsi="宋体" w:eastAsia="宋体" w:cs="宋体"/>
          <w:b/>
          <w:bCs/>
          <w:color w:val="auto"/>
          <w:sz w:val="24"/>
          <w:szCs w:val="24"/>
          <w:highlight w:val="none"/>
        </w:rPr>
        <w:t>四、响应文件递交</w:t>
      </w:r>
      <w:bookmarkEnd w:id="31"/>
      <w:bookmarkEnd w:id="32"/>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3" w:name="_Toc132880662"/>
      <w:bookmarkStart w:id="34" w:name="_Toc8791"/>
      <w:r>
        <w:rPr>
          <w:rFonts w:hint="eastAsia" w:ascii="宋体" w:hAnsi="宋体" w:eastAsia="宋体" w:cs="宋体"/>
          <w:b/>
          <w:bCs/>
          <w:color w:val="auto"/>
          <w:sz w:val="24"/>
          <w:szCs w:val="24"/>
          <w:highlight w:val="none"/>
        </w:rPr>
        <w:t>五、磋商与评审</w:t>
      </w:r>
      <w:bookmarkEnd w:id="33"/>
      <w:bookmarkEnd w:id="34"/>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5" w:name="_Toc21852"/>
      <w:bookmarkStart w:id="36" w:name="_Toc132880663"/>
      <w:r>
        <w:rPr>
          <w:rFonts w:hint="eastAsia" w:ascii="宋体" w:hAnsi="宋体" w:eastAsia="宋体" w:cs="宋体"/>
          <w:b/>
          <w:bCs/>
          <w:color w:val="auto"/>
          <w:sz w:val="24"/>
          <w:szCs w:val="24"/>
          <w:highlight w:val="none"/>
        </w:rPr>
        <w:t>六、成交和合同</w:t>
      </w:r>
      <w:bookmarkEnd w:id="35"/>
      <w:bookmarkEnd w:id="36"/>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7" w:name="_Toc132880664"/>
      <w:bookmarkStart w:id="38" w:name="_Toc17635"/>
      <w:r>
        <w:rPr>
          <w:rFonts w:hint="eastAsia" w:ascii="宋体" w:hAnsi="宋体" w:eastAsia="宋体" w:cs="宋体"/>
          <w:b/>
          <w:bCs/>
          <w:color w:val="auto"/>
          <w:sz w:val="24"/>
          <w:szCs w:val="24"/>
          <w:highlight w:val="none"/>
        </w:rPr>
        <w:t>七、询问和质疑</w:t>
      </w:r>
      <w:bookmarkEnd w:id="37"/>
      <w:bookmarkEnd w:id="38"/>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1" w:firstLineChars="200"/>
        <w:textAlignment w:val="auto"/>
        <w:outlineLvl w:val="1"/>
        <w:rPr>
          <w:rFonts w:hint="eastAsia" w:ascii="宋体" w:hAnsi="宋体" w:eastAsia="宋体" w:cs="宋体"/>
          <w:b/>
          <w:bCs/>
          <w:color w:val="auto"/>
          <w:sz w:val="24"/>
          <w:szCs w:val="24"/>
          <w:highlight w:val="none"/>
        </w:rPr>
      </w:pPr>
      <w:bookmarkStart w:id="39" w:name="_Toc6779"/>
      <w:bookmarkStart w:id="40" w:name="_Toc132880665"/>
      <w:r>
        <w:rPr>
          <w:rFonts w:hint="eastAsia" w:ascii="宋体" w:hAnsi="宋体" w:eastAsia="宋体" w:cs="宋体"/>
          <w:b/>
          <w:bCs/>
          <w:color w:val="auto"/>
          <w:sz w:val="24"/>
          <w:szCs w:val="24"/>
          <w:highlight w:val="none"/>
        </w:rPr>
        <w:t>八、其他</w:t>
      </w:r>
      <w:bookmarkEnd w:id="39"/>
      <w:bookmarkEnd w:id="40"/>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1"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1" w:name="_Toc13151"/>
      <w:bookmarkStart w:id="42" w:name="_Toc132880666"/>
      <w:r>
        <w:rPr>
          <w:rFonts w:hint="eastAsia" w:ascii="宋体" w:hAnsi="宋体" w:eastAsia="宋体" w:cs="宋体"/>
          <w:b/>
          <w:bCs/>
          <w:color w:val="auto"/>
          <w:sz w:val="28"/>
          <w:szCs w:val="28"/>
          <w:highlight w:val="none"/>
        </w:rPr>
        <w:t>第三章  评审方法及标准</w:t>
      </w:r>
      <w:bookmarkEnd w:id="41"/>
    </w:p>
    <w:p>
      <w:pPr>
        <w:keepNext w:val="0"/>
        <w:keepLines w:val="0"/>
        <w:pageBreakBefore w:val="0"/>
        <w:kinsoku/>
        <w:wordWrap/>
        <w:overflowPunct/>
        <w:topLinePunct/>
        <w:autoSpaceDE w:val="0"/>
        <w:autoSpaceDN w:val="0"/>
        <w:bidi w:val="0"/>
        <w:adjustRightInd w:val="0"/>
        <w:snapToGrid w:val="0"/>
        <w:spacing w:after="0" w:line="400" w:lineRule="exact"/>
        <w:ind w:firstLine="481" w:firstLineChars="200"/>
        <w:textAlignment w:val="auto"/>
        <w:outlineLvl w:val="1"/>
        <w:rPr>
          <w:rFonts w:hint="eastAsia" w:ascii="宋体" w:hAnsi="宋体" w:eastAsia="宋体" w:cs="宋体"/>
          <w:b/>
          <w:color w:val="auto"/>
          <w:sz w:val="24"/>
          <w:szCs w:val="24"/>
          <w:highlight w:val="none"/>
        </w:rPr>
      </w:pPr>
      <w:bookmarkStart w:id="43" w:name="_Toc18715"/>
      <w:r>
        <w:rPr>
          <w:rFonts w:hint="eastAsia" w:ascii="宋体" w:hAnsi="宋体" w:eastAsia="宋体" w:cs="宋体"/>
          <w:b/>
          <w:color w:val="auto"/>
          <w:sz w:val="24"/>
          <w:szCs w:val="24"/>
          <w:highlight w:val="none"/>
        </w:rPr>
        <w:t>1.评审方法</w:t>
      </w:r>
      <w:bookmarkEnd w:id="43"/>
    </w:p>
    <w:p>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00" w:lineRule="exact"/>
        <w:ind w:firstLine="481" w:firstLineChars="200"/>
        <w:textAlignment w:val="auto"/>
        <w:outlineLvl w:val="1"/>
        <w:rPr>
          <w:rFonts w:hint="eastAsia" w:ascii="宋体" w:hAnsi="宋体" w:eastAsia="宋体" w:cs="宋体"/>
          <w:b/>
          <w:color w:val="auto"/>
          <w:sz w:val="24"/>
          <w:szCs w:val="24"/>
          <w:highlight w:val="none"/>
        </w:rPr>
      </w:pPr>
      <w:bookmarkStart w:id="44" w:name="_Toc7770"/>
      <w:r>
        <w:rPr>
          <w:rFonts w:hint="eastAsia" w:ascii="宋体" w:hAnsi="宋体" w:eastAsia="宋体" w:cs="宋体"/>
          <w:b/>
          <w:color w:val="auto"/>
          <w:sz w:val="24"/>
          <w:szCs w:val="24"/>
          <w:highlight w:val="none"/>
        </w:rPr>
        <w:t>2.评分标准</w:t>
      </w:r>
      <w:bookmarkEnd w:id="44"/>
    </w:p>
    <w:p>
      <w:pPr>
        <w:tabs>
          <w:tab w:val="center" w:pos="4890"/>
        </w:tabs>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进行评分，综合评分法是指响应文件满足采购文件全部实质性要求，且按照评审因素的量化指标评审得分最高的供应商为成交候选供应商的评审方法。评审因素主要内容如下表。</w:t>
      </w:r>
    </w:p>
    <w:p>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分。</w:t>
      </w:r>
    </w:p>
    <w:p>
      <w:pPr>
        <w:spacing w:line="400" w:lineRule="exact"/>
        <w:ind w:firstLine="354" w:firstLineChars="147"/>
        <w:rPr>
          <w:rFonts w:ascii="宋体" w:hAnsi="宋体" w:cs="宋体"/>
          <w:b/>
          <w:color w:val="auto"/>
          <w:kern w:val="1"/>
          <w:sz w:val="24"/>
          <w:szCs w:val="24"/>
        </w:rPr>
      </w:pPr>
      <w:r>
        <w:rPr>
          <w:rFonts w:hint="eastAsia" w:ascii="宋体" w:hAnsi="宋体" w:cs="宋体"/>
          <w:b/>
          <w:color w:val="auto"/>
          <w:kern w:val="1"/>
          <w:sz w:val="24"/>
          <w:szCs w:val="24"/>
        </w:rPr>
        <w:t>各部</w:t>
      </w:r>
      <w:r>
        <w:rPr>
          <w:rFonts w:hint="eastAsia" w:ascii="宋体" w:hAnsi="宋体" w:cs="宋体"/>
          <w:b/>
          <w:color w:val="auto"/>
          <w:kern w:val="1"/>
          <w:sz w:val="24"/>
          <w:szCs w:val="24"/>
          <w:lang w:val="en-US" w:eastAsia="zh-CN"/>
        </w:rPr>
        <w:t>分</w:t>
      </w:r>
      <w:r>
        <w:rPr>
          <w:rFonts w:hint="eastAsia" w:ascii="宋体" w:hAnsi="宋体" w:cs="宋体"/>
          <w:b/>
          <w:color w:val="auto"/>
          <w:kern w:val="1"/>
          <w:sz w:val="24"/>
          <w:szCs w:val="24"/>
        </w:rPr>
        <w:t>评分分值分布如下：</w:t>
      </w:r>
    </w:p>
    <w:p>
      <w:pPr>
        <w:pStyle w:val="16"/>
        <w:spacing w:line="400" w:lineRule="exact"/>
        <w:ind w:firstLine="480" w:firstLineChars="200"/>
        <w:rPr>
          <w:rFonts w:hAnsi="宋体" w:cs="宋体"/>
          <w:color w:val="auto"/>
          <w:sz w:val="24"/>
          <w:szCs w:val="24"/>
        </w:rPr>
      </w:pPr>
      <w:r>
        <w:rPr>
          <w:rFonts w:hint="eastAsia" w:hAnsi="宋体" w:cs="宋体"/>
          <w:color w:val="auto"/>
          <w:sz w:val="24"/>
          <w:szCs w:val="24"/>
          <w:lang w:val="en-US" w:eastAsia="zh-CN"/>
        </w:rPr>
        <w:t>A</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75</w:t>
      </w:r>
      <w:r>
        <w:rPr>
          <w:rFonts w:hint="eastAsia" w:hAnsi="宋体" w:cs="宋体"/>
          <w:color w:val="auto"/>
          <w:sz w:val="24"/>
          <w:szCs w:val="24"/>
        </w:rPr>
        <w:t>分</w:t>
      </w: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15</w:t>
      </w:r>
      <w:r>
        <w:rPr>
          <w:rFonts w:hint="eastAsia" w:hAnsi="宋体" w:cs="宋体"/>
          <w:color w:val="auto"/>
          <w:sz w:val="24"/>
          <w:szCs w:val="24"/>
        </w:rPr>
        <w:t>分</w:t>
      </w: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C</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10</w:t>
      </w:r>
      <w:r>
        <w:rPr>
          <w:rFonts w:hint="eastAsia" w:hAnsi="宋体" w:cs="宋体"/>
          <w:color w:val="auto"/>
          <w:sz w:val="24"/>
          <w:szCs w:val="24"/>
        </w:rPr>
        <w:t>分</w:t>
      </w:r>
    </w:p>
    <w:p>
      <w:pPr>
        <w:keepNext w:val="0"/>
        <w:keepLines w:val="0"/>
        <w:pageBreakBefore w:val="0"/>
        <w:kinsoku/>
        <w:wordWrap/>
        <w:overflowPunct/>
        <w:topLinePunct/>
        <w:autoSpaceDE w:val="0"/>
        <w:autoSpaceDN w:val="0"/>
        <w:bidi w:val="0"/>
        <w:spacing w:after="0" w:line="400" w:lineRule="exact"/>
        <w:ind w:firstLine="240"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6"/>
        <w:tblW w:w="9502" w:type="dxa"/>
        <w:tblInd w:w="-39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2"/>
        <w:gridCol w:w="1305"/>
        <w:gridCol w:w="6654"/>
        <w:gridCol w:w="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52" w:type="dxa"/>
            <w:tcBorders>
              <w:top w:val="single" w:color="auto" w:sz="4" w:space="0"/>
              <w:left w:val="single" w:color="auto" w:sz="4" w:space="0"/>
              <w:bottom w:val="single" w:color="auto" w:sz="4" w:space="0"/>
              <w:right w:val="single" w:color="auto" w:sz="4" w:space="0"/>
            </w:tcBorders>
            <w:shd w:val="clear" w:color="auto" w:fill="4F81BD"/>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305" w:type="dxa"/>
            <w:tcBorders>
              <w:top w:val="single" w:color="auto" w:sz="4" w:space="0"/>
              <w:left w:val="single" w:color="auto" w:sz="4" w:space="0"/>
              <w:bottom w:val="single" w:color="auto" w:sz="4" w:space="0"/>
              <w:right w:val="single" w:color="auto" w:sz="4" w:space="0"/>
            </w:tcBorders>
            <w:shd w:val="clear" w:color="auto" w:fill="4F81BD"/>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6654" w:type="dxa"/>
            <w:tcBorders>
              <w:top w:val="single" w:color="auto" w:sz="4" w:space="0"/>
              <w:left w:val="single" w:color="auto" w:sz="4" w:space="0"/>
              <w:bottom w:val="single" w:color="auto" w:sz="4" w:space="0"/>
              <w:right w:val="single" w:color="auto" w:sz="4" w:space="0"/>
            </w:tcBorders>
            <w:shd w:val="clear" w:color="auto" w:fill="4F81BD"/>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评审细则</w:t>
            </w:r>
          </w:p>
        </w:tc>
        <w:tc>
          <w:tcPr>
            <w:tcW w:w="791" w:type="dxa"/>
            <w:tcBorders>
              <w:top w:val="single" w:color="auto" w:sz="4" w:space="0"/>
              <w:left w:val="single" w:color="auto" w:sz="4" w:space="0"/>
              <w:bottom w:val="single" w:color="auto" w:sz="4" w:space="0"/>
              <w:right w:val="single" w:color="auto" w:sz="4" w:space="0"/>
            </w:tcBorders>
            <w:shd w:val="clear" w:color="auto" w:fill="4F81BD"/>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trPr>
        <w:tc>
          <w:tcPr>
            <w:tcW w:w="9502" w:type="dxa"/>
            <w:gridSpan w:val="4"/>
            <w:tcBorders>
              <w:top w:val="single" w:color="auto" w:sz="4" w:space="0"/>
            </w:tcBorders>
            <w:shd w:val="clear" w:color="auto" w:fill="B8CCE4"/>
            <w:vAlign w:val="center"/>
          </w:tcPr>
          <w:p>
            <w:pPr>
              <w:spacing w:line="44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技术部分（满分</w:t>
            </w:r>
            <w:r>
              <w:rPr>
                <w:rFonts w:hint="eastAsia" w:ascii="宋体" w:hAnsi="宋体" w:cs="宋体"/>
                <w:b/>
                <w:bCs/>
                <w:color w:val="auto"/>
                <w:kern w:val="0"/>
                <w:sz w:val="24"/>
                <w:szCs w:val="24"/>
                <w:highlight w:val="none"/>
                <w:lang w:val="en-US" w:eastAsia="zh-CN"/>
              </w:rPr>
              <w:t>75</w:t>
            </w:r>
            <w:r>
              <w:rPr>
                <w:rFonts w:hint="eastAsia" w:ascii="宋体" w:hAnsi="宋体" w:cs="宋体"/>
                <w:b/>
                <w:bCs/>
                <w:color w:val="auto"/>
                <w:kern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A1</w:t>
            </w:r>
          </w:p>
        </w:tc>
        <w:tc>
          <w:tcPr>
            <w:tcW w:w="1305"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响应情况</w:t>
            </w:r>
          </w:p>
        </w:tc>
        <w:tc>
          <w:tcPr>
            <w:tcW w:w="6654" w:type="dxa"/>
            <w:vAlign w:val="center"/>
          </w:tcPr>
          <w:p>
            <w:pPr>
              <w:spacing w:line="440" w:lineRule="exact"/>
              <w:jc w:val="left"/>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根据供应商对磋商文件第六章项目采购需求“</w:t>
            </w:r>
            <w:r>
              <w:rPr>
                <w:rFonts w:hint="eastAsia" w:ascii="宋体" w:hAnsi="宋体" w:eastAsia="宋体" w:cs="宋体"/>
                <w:color w:val="auto"/>
                <w:kern w:val="0"/>
                <w:sz w:val="24"/>
                <w:szCs w:val="24"/>
                <w:highlight w:val="none"/>
                <w:lang w:val="en-US" w:eastAsia="zh-CN"/>
              </w:rPr>
              <w:t>二、项目服务需求</w:t>
            </w:r>
            <w:r>
              <w:rPr>
                <w:rFonts w:hint="eastAsia" w:ascii="宋体" w:hAnsi="宋体" w:eastAsia="宋体" w:cs="宋体"/>
                <w:color w:val="auto"/>
                <w:kern w:val="0"/>
                <w:sz w:val="24"/>
                <w:szCs w:val="24"/>
                <w:highlight w:val="none"/>
              </w:rPr>
              <w:t xml:space="preserve"> ”的响应情况，由磋商小组进行评分。以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标示的内容</w:t>
            </w:r>
            <w:r>
              <w:rPr>
                <w:rFonts w:hint="eastAsia" w:ascii="宋体" w:hAnsi="宋体" w:eastAsia="宋体" w:cs="宋体"/>
                <w:color w:val="auto"/>
                <w:kern w:val="0"/>
                <w:sz w:val="24"/>
                <w:szCs w:val="24"/>
                <w:highlight w:val="none"/>
                <w:lang w:val="en-US" w:eastAsia="zh-CN"/>
              </w:rPr>
              <w:t>为</w:t>
            </w:r>
            <w:r>
              <w:rPr>
                <w:rFonts w:hint="eastAsia" w:ascii="宋体" w:hAnsi="宋体" w:eastAsia="宋体" w:cs="宋体"/>
                <w:color w:val="auto"/>
                <w:kern w:val="0"/>
                <w:sz w:val="24"/>
                <w:szCs w:val="24"/>
                <w:highlight w:val="none"/>
              </w:rPr>
              <w:t>为不允许负偏离的实质性要求，</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有任一项负偏离的，按无效</w:t>
            </w:r>
            <w:r>
              <w:rPr>
                <w:rFonts w:hint="eastAsia" w:ascii="宋体" w:hAnsi="宋体" w:eastAsia="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rPr>
              <w:t>处理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标示的内容共</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项，承诺服务事项中量化指标优于磋商文件基本要求的，每项得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分。</w:t>
            </w:r>
          </w:p>
        </w:tc>
        <w:tc>
          <w:tcPr>
            <w:tcW w:w="791" w:type="dxa"/>
            <w:vAlign w:val="center"/>
          </w:tcPr>
          <w:p>
            <w:pPr>
              <w:spacing w:line="4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A2</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整体目标、管理模式和服务理念等情况</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根据供应商针对本项目制定的物业管理的整体目标、管理模式和服务理念及服务预期效果等情况，由磋商小组进行评分：方案合理可行，符合项目实际，可操作性强的得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分；方案基本合理可行，符合项目实际，具有较强的可操作性，不足部分不影响项目实施的得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分；未提供相关内容或方案存在明显问题不可行的不得分。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A3</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保洁服务方案</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根据供应商针对本项目制定的</w:t>
            </w:r>
            <w:bookmarkStart w:id="45" w:name="OLE_LINK3"/>
            <w:r>
              <w:rPr>
                <w:rFonts w:hint="eastAsia" w:ascii="宋体" w:hAnsi="宋体" w:cs="宋体"/>
                <w:color w:val="auto"/>
                <w:sz w:val="24"/>
                <w:szCs w:val="24"/>
                <w:highlight w:val="none"/>
              </w:rPr>
              <w:t>保洁服务方案</w:t>
            </w:r>
            <w:bookmarkEnd w:id="45"/>
            <w:r>
              <w:rPr>
                <w:rFonts w:hint="eastAsia" w:ascii="宋体" w:hAnsi="宋体" w:eastAsia="宋体" w:cs="宋体"/>
                <w:color w:val="auto"/>
                <w:sz w:val="24"/>
                <w:szCs w:val="24"/>
                <w:highlight w:val="none"/>
              </w:rPr>
              <w:t>：包含但不限于日常保洁、周期性专项保洁、深度清洁、应急保洁</w:t>
            </w:r>
            <w:r>
              <w:rPr>
                <w:rFonts w:hint="eastAsia" w:ascii="宋体" w:hAnsi="宋体" w:cs="宋体"/>
                <w:color w:val="auto"/>
                <w:sz w:val="24"/>
                <w:szCs w:val="24"/>
                <w:highlight w:val="none"/>
              </w:rPr>
              <w:t>等，根据方案的合理性和可操作性由磋商小组进行评分；方案合理可行，符合项目实际，可操作性强的得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分；方案基本合理可行，符合项目实际，具有较强的可操作性，不足部分不影响项目实施的得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分；未提供相关内容或方案存在明显不足的不得分。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A4</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设施设备维护方案</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针对本项目制定的设施设备维护管理，考核和协调方案：包含但不限于人员和时间安排、质量标准等。根据方案的合理性和可操作性由磋商小组进行评分：方案合理可行，符合项目实际，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分；方案基本合理可行，符合项目实际，具有较强的可操作性，不足部分不影响项目实施的得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分；未提供相关内容或方案存在明显不足的不得分。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A5</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物资配备</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根据供应商针对本项目提供的物资配备情况（该物资配备须与项目服务相关）由磋商小组进行评分：物资配备合理可行，符合项目实际，可操作性强的得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分；物资配备基本合理可行，符合项目实际，具有较强的可操作性，不足部分不影响项目实施的得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分；未提供相关内容或物资配备存在明显不足的不得分。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A6</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档案管理方案</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根据供应商针对本项目制定的档案管理方案：包含但不限于档案的收集、标识、保存、借阅、移交等，根据方案的合理性和可操作性由磋商小组进行评分：方案合理可行，符合项目实际，可操作性强的得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分；方案基本合理可行，符合项目实际，具有较强的可操作性，不足部分不影响项目实施的得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分；未提供相关内容或方案存在明显不足的不得分。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A7</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突发事件应急保障预案</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根据供应商制定的突发事件应急保障预案：包含但不限于地震、台风、暴雨等自然灾害、传染病疫情以及意外伤亡等，根据方案的合理性和可操作性由磋商小组进行评分：方案合理可行，可操作性强的得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分；方案基本合理可行，具有较强的可操作性，不足部分不影响项目实施的得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分；未提供相关内容或方案存在明显不足的不得分。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A8</w:t>
            </w:r>
          </w:p>
        </w:tc>
        <w:tc>
          <w:tcPr>
            <w:tcW w:w="1305" w:type="dxa"/>
            <w:vAlign w:val="center"/>
          </w:tcPr>
          <w:p>
            <w:pPr>
              <w:spacing w:line="44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过渡交接方案</w:t>
            </w:r>
          </w:p>
        </w:tc>
        <w:tc>
          <w:tcPr>
            <w:tcW w:w="6654" w:type="dxa"/>
            <w:vAlign w:val="center"/>
          </w:tcPr>
          <w:p>
            <w:pPr>
              <w:widowControl/>
              <w:spacing w:line="440" w:lineRule="exact"/>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根据供应商制定的过渡交接方案：包含但不限于本项目服务保障人员的岗位设置、岗位职责以及交接内容等，确保人员过渡稳定，根据方案的合理性和可操作性由磋商小组进行评分：方案合理可行，符合项目实际，可操作性强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分；方案基本合理可行，符合项目实际，具有较强的可操作性，不足部分不影响项目实施的得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分；未提供相关内容或方案存在明显不足的不得分。</w:t>
            </w:r>
          </w:p>
        </w:tc>
        <w:tc>
          <w:tcPr>
            <w:tcW w:w="791" w:type="dxa"/>
            <w:vAlign w:val="center"/>
          </w:tcPr>
          <w:p>
            <w:pPr>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trPr>
        <w:tc>
          <w:tcPr>
            <w:tcW w:w="9502" w:type="dxa"/>
            <w:gridSpan w:val="4"/>
            <w:vAlign w:val="center"/>
          </w:tcPr>
          <w:p>
            <w:pPr>
              <w:pStyle w:val="51"/>
              <w:spacing w:line="440" w:lineRule="exact"/>
              <w:ind w:firstLine="0"/>
              <w:rPr>
                <w:rFonts w:hint="eastAsia" w:ascii="宋体" w:hAnsi="宋体" w:eastAsia="宋体"/>
                <w:color w:val="auto"/>
                <w:spacing w:val="-2"/>
                <w:sz w:val="24"/>
                <w:szCs w:val="24"/>
                <w:highlight w:val="none"/>
                <w:lang w:eastAsia="zh-CN"/>
              </w:rPr>
            </w:pPr>
            <w:r>
              <w:rPr>
                <w:rFonts w:hint="eastAsia" w:ascii="宋体" w:hAnsi="宋体"/>
                <w:color w:val="auto"/>
                <w:spacing w:val="-2"/>
                <w:sz w:val="24"/>
                <w:szCs w:val="24"/>
                <w:highlight w:val="none"/>
              </w:rPr>
              <w:t>各供应商的技术部分得分A=A1+A2+A3+A4+A5+A6+A7+A8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9502" w:type="dxa"/>
            <w:gridSpan w:val="4"/>
            <w:shd w:val="clear" w:color="auto" w:fill="B8CCE4"/>
            <w:vAlign w:val="center"/>
          </w:tcPr>
          <w:p>
            <w:pPr>
              <w:spacing w:line="44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商务部分（满分</w:t>
            </w:r>
            <w:r>
              <w:rPr>
                <w:rFonts w:hint="eastAsia" w:ascii="宋体" w:hAnsi="宋体" w:cs="宋体"/>
                <w:b/>
                <w:bCs/>
                <w:color w:val="auto"/>
                <w:kern w:val="0"/>
                <w:sz w:val="24"/>
                <w:szCs w:val="24"/>
                <w:highlight w:val="none"/>
                <w:lang w:val="en-US" w:eastAsia="zh-CN"/>
              </w:rPr>
              <w:t>15</w:t>
            </w:r>
            <w:r>
              <w:rPr>
                <w:rFonts w:hint="eastAsia" w:ascii="宋体" w:hAnsi="宋体" w:cs="宋体"/>
                <w:b/>
                <w:bCs/>
                <w:color w:val="auto"/>
                <w:kern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B1</w:t>
            </w:r>
          </w:p>
        </w:tc>
        <w:tc>
          <w:tcPr>
            <w:tcW w:w="1305" w:type="dxa"/>
            <w:tcBorders>
              <w:left w:val="single" w:color="auto" w:sz="4" w:space="0"/>
              <w:right w:val="single" w:color="auto" w:sz="4" w:space="0"/>
            </w:tcBorders>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业务管理人员</w:t>
            </w:r>
          </w:p>
        </w:tc>
        <w:tc>
          <w:tcPr>
            <w:tcW w:w="6654" w:type="dxa"/>
            <w:tcBorders>
              <w:left w:val="single" w:color="auto" w:sz="4" w:space="0"/>
              <w:right w:val="single" w:color="auto" w:sz="4" w:space="0"/>
            </w:tcBorders>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供应商拟投入本项目的项目</w:t>
            </w:r>
            <w:r>
              <w:rPr>
                <w:rFonts w:hint="eastAsia" w:ascii="宋体" w:hAnsi="宋体" w:eastAsia="宋体" w:cs="宋体"/>
                <w:color w:val="auto"/>
                <w:sz w:val="24"/>
                <w:szCs w:val="24"/>
                <w:highlight w:val="none"/>
                <w:lang w:val="en-US" w:eastAsia="zh-CN"/>
              </w:rPr>
              <w:t>业务管理人员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同</w:t>
            </w:r>
          </w:p>
          <w:p>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类项目管理经验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需提供承诺函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的得2分</w:t>
            </w:r>
            <w:r>
              <w:rPr>
                <w:rFonts w:hint="eastAsia" w:ascii="宋体" w:hAnsi="宋体" w:eastAsia="宋体" w:cs="宋体"/>
                <w:color w:val="auto"/>
                <w:sz w:val="24"/>
                <w:szCs w:val="24"/>
                <w:highlight w:val="none"/>
              </w:rPr>
              <w:t>。</w:t>
            </w:r>
          </w:p>
          <w:p>
            <w:pPr>
              <w:spacing w:line="440" w:lineRule="exact"/>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注：供应商</w:t>
            </w:r>
            <w:r>
              <w:rPr>
                <w:rFonts w:hint="eastAsia" w:ascii="宋体" w:hAnsi="宋体" w:eastAsia="宋体" w:cs="宋体"/>
                <w:color w:val="auto"/>
                <w:sz w:val="24"/>
                <w:szCs w:val="24"/>
                <w:highlight w:val="none"/>
              </w:rPr>
              <w:t>需提供</w:t>
            </w:r>
            <w:r>
              <w:rPr>
                <w:rFonts w:hint="eastAsia" w:ascii="宋体" w:hAnsi="宋体" w:eastAsia="宋体" w:cs="宋体"/>
                <w:color w:val="auto"/>
                <w:sz w:val="24"/>
                <w:szCs w:val="24"/>
                <w:highlight w:val="none"/>
                <w:lang w:val="en-US" w:eastAsia="zh-CN"/>
              </w:rPr>
              <w:t>该人员有效身份证复印件、同类项目管理经验承诺函，</w:t>
            </w:r>
            <w:r>
              <w:rPr>
                <w:rFonts w:hint="eastAsia" w:ascii="宋体" w:hAnsi="宋体" w:eastAsia="宋体" w:cs="宋体"/>
                <w:color w:val="auto"/>
                <w:sz w:val="24"/>
                <w:szCs w:val="24"/>
                <w:highlight w:val="none"/>
              </w:rPr>
              <w:t>否则不得分。</w:t>
            </w:r>
          </w:p>
        </w:tc>
        <w:tc>
          <w:tcPr>
            <w:tcW w:w="791" w:type="dxa"/>
            <w:tcBorders>
              <w:left w:val="single" w:color="auto" w:sz="4" w:space="0"/>
            </w:tcBorders>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color w:val="auto"/>
                <w:sz w:val="24"/>
                <w:szCs w:val="24"/>
                <w:highlight w:val="none"/>
              </w:rPr>
              <w:t>B2</w:t>
            </w:r>
          </w:p>
        </w:tc>
        <w:tc>
          <w:tcPr>
            <w:tcW w:w="1305" w:type="dxa"/>
            <w:tcBorders>
              <w:left w:val="single" w:color="auto" w:sz="4" w:space="0"/>
              <w:right w:val="single" w:color="auto" w:sz="4" w:space="0"/>
            </w:tcBorders>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color w:val="auto"/>
                <w:sz w:val="24"/>
                <w:szCs w:val="24"/>
                <w:highlight w:val="none"/>
              </w:rPr>
              <w:t>项目业绩</w:t>
            </w:r>
          </w:p>
        </w:tc>
        <w:tc>
          <w:tcPr>
            <w:tcW w:w="6654" w:type="dxa"/>
            <w:tcBorders>
              <w:left w:val="single" w:color="auto" w:sz="4" w:space="0"/>
              <w:right w:val="single" w:color="auto" w:sz="4" w:space="0"/>
            </w:tcBorders>
            <w:vAlign w:val="center"/>
          </w:tcPr>
          <w:p>
            <w:pPr>
              <w:widowControl/>
              <w:spacing w:line="440" w:lineRule="exact"/>
              <w:jc w:val="left"/>
              <w:rPr>
                <w:rFonts w:ascii="宋体" w:hAnsi="宋体" w:cs="宋体"/>
                <w:b/>
                <w:bCs/>
                <w:color w:val="auto"/>
                <w:kern w:val="0"/>
                <w:sz w:val="24"/>
                <w:szCs w:val="24"/>
                <w:highlight w:val="none"/>
              </w:rPr>
            </w:pPr>
            <w:r>
              <w:rPr>
                <w:rFonts w:hint="default" w:ascii="宋体" w:hAnsi="宋体" w:eastAsia="宋体" w:cs="宋体"/>
                <w:snapToGrid w:val="0"/>
                <w:color w:val="auto"/>
                <w:kern w:val="0"/>
                <w:sz w:val="24"/>
                <w:szCs w:val="24"/>
                <w:highlight w:val="none"/>
                <w:lang w:val="en-US" w:eastAsia="en-US" w:bidi="ar-SA"/>
              </w:rPr>
              <w:t>根据</w:t>
            </w:r>
            <w:r>
              <w:rPr>
                <w:rFonts w:hint="eastAsia" w:ascii="宋体" w:hAnsi="宋体" w:cs="宋体"/>
                <w:snapToGrid w:val="0"/>
                <w:color w:val="auto"/>
                <w:kern w:val="0"/>
                <w:sz w:val="24"/>
                <w:szCs w:val="24"/>
                <w:highlight w:val="none"/>
                <w:lang w:val="en-US" w:eastAsia="zh-CN" w:bidi="ar-SA"/>
              </w:rPr>
              <w:t>供应商</w:t>
            </w:r>
            <w:r>
              <w:rPr>
                <w:rFonts w:hint="default" w:ascii="宋体" w:hAnsi="宋体" w:eastAsia="宋体" w:cs="宋体"/>
                <w:snapToGrid w:val="0"/>
                <w:color w:val="auto"/>
                <w:kern w:val="0"/>
                <w:sz w:val="24"/>
                <w:szCs w:val="24"/>
                <w:highlight w:val="none"/>
                <w:lang w:val="en-US" w:eastAsia="en-US" w:bidi="ar-SA"/>
              </w:rPr>
              <w:t>提供的自202</w:t>
            </w:r>
            <w:r>
              <w:rPr>
                <w:rFonts w:hint="eastAsia" w:ascii="宋体" w:hAnsi="宋体" w:cs="宋体"/>
                <w:snapToGrid w:val="0"/>
                <w:color w:val="auto"/>
                <w:kern w:val="0"/>
                <w:sz w:val="24"/>
                <w:szCs w:val="24"/>
                <w:highlight w:val="none"/>
                <w:lang w:val="en-US" w:eastAsia="zh-CN" w:bidi="ar-SA"/>
              </w:rPr>
              <w:t>3</w:t>
            </w:r>
            <w:r>
              <w:rPr>
                <w:rFonts w:hint="default" w:ascii="宋体" w:hAnsi="宋体" w:eastAsia="宋体" w:cs="宋体"/>
                <w:snapToGrid w:val="0"/>
                <w:color w:val="auto"/>
                <w:kern w:val="0"/>
                <w:sz w:val="24"/>
                <w:szCs w:val="24"/>
                <w:highlight w:val="none"/>
                <w:lang w:val="en-US" w:eastAsia="en-US" w:bidi="ar-SA"/>
              </w:rPr>
              <w:t>年1月1日至</w:t>
            </w:r>
            <w:r>
              <w:rPr>
                <w:rFonts w:hint="eastAsia" w:ascii="宋体" w:hAnsi="宋体" w:cs="宋体"/>
                <w:snapToGrid w:val="0"/>
                <w:color w:val="auto"/>
                <w:kern w:val="0"/>
                <w:sz w:val="24"/>
                <w:szCs w:val="24"/>
                <w:highlight w:val="none"/>
                <w:lang w:val="en-US" w:eastAsia="zh-CN" w:bidi="ar-SA"/>
              </w:rPr>
              <w:t>提交响应文件截止时间</w:t>
            </w:r>
            <w:r>
              <w:rPr>
                <w:rFonts w:hint="default" w:ascii="宋体" w:hAnsi="宋体" w:eastAsia="宋体" w:cs="宋体"/>
                <w:snapToGrid w:val="0"/>
                <w:color w:val="auto"/>
                <w:kern w:val="0"/>
                <w:sz w:val="24"/>
                <w:szCs w:val="24"/>
                <w:highlight w:val="none"/>
                <w:lang w:val="en-US" w:eastAsia="en-US" w:bidi="ar-SA"/>
              </w:rPr>
              <w:t>(日期以</w:t>
            </w:r>
            <w:r>
              <w:rPr>
                <w:rFonts w:hint="eastAsia" w:ascii="宋体" w:hAnsi="宋体" w:cs="宋体"/>
                <w:snapToGrid w:val="0"/>
                <w:color w:val="auto"/>
                <w:kern w:val="0"/>
                <w:sz w:val="24"/>
                <w:szCs w:val="24"/>
                <w:highlight w:val="none"/>
                <w:lang w:val="en-US" w:eastAsia="zh-CN" w:bidi="ar-SA"/>
              </w:rPr>
              <w:t>合同签订时间</w:t>
            </w:r>
            <w:r>
              <w:rPr>
                <w:rFonts w:hint="default" w:ascii="宋体" w:hAnsi="宋体" w:eastAsia="宋体" w:cs="宋体"/>
                <w:snapToGrid w:val="0"/>
                <w:color w:val="auto"/>
                <w:kern w:val="0"/>
                <w:sz w:val="24"/>
                <w:szCs w:val="24"/>
                <w:highlight w:val="none"/>
                <w:lang w:val="en-US" w:eastAsia="en-US" w:bidi="ar-SA"/>
              </w:rPr>
              <w:t>为准</w:t>
            </w:r>
            <w:r>
              <w:rPr>
                <w:rFonts w:hint="default" w:ascii="宋体" w:hAnsi="宋体" w:cs="宋体"/>
                <w:snapToGrid w:val="0"/>
                <w:color w:val="auto"/>
                <w:kern w:val="0"/>
                <w:sz w:val="24"/>
                <w:szCs w:val="24"/>
                <w:highlight w:val="none"/>
                <w:lang w:val="en-US" w:eastAsia="en-US" w:bidi="ar-SA"/>
              </w:rPr>
              <w:t>)，</w:t>
            </w:r>
            <w:r>
              <w:rPr>
                <w:rFonts w:hint="eastAsia" w:ascii="宋体" w:hAnsi="宋体" w:cs="宋体"/>
                <w:snapToGrid w:val="0"/>
                <w:color w:val="auto"/>
                <w:kern w:val="0"/>
                <w:sz w:val="24"/>
                <w:szCs w:val="24"/>
                <w:highlight w:val="none"/>
                <w:lang w:val="en-US" w:eastAsia="zh-CN" w:bidi="ar-SA"/>
              </w:rPr>
              <w:t>正在履行或</w:t>
            </w:r>
            <w:r>
              <w:rPr>
                <w:rFonts w:hint="default" w:ascii="宋体" w:hAnsi="宋体" w:cs="宋体"/>
                <w:snapToGrid w:val="0"/>
                <w:color w:val="auto"/>
                <w:kern w:val="0"/>
                <w:sz w:val="24"/>
                <w:szCs w:val="24"/>
                <w:highlight w:val="none"/>
                <w:lang w:val="en-US" w:eastAsia="en-US" w:bidi="ar-SA"/>
              </w:rPr>
              <w:t>已完成的</w:t>
            </w:r>
            <w:r>
              <w:rPr>
                <w:rFonts w:hint="eastAsia" w:ascii="宋体" w:hAnsi="宋体" w:cs="宋体"/>
                <w:snapToGrid w:val="0"/>
                <w:color w:val="auto"/>
                <w:kern w:val="0"/>
                <w:sz w:val="24"/>
                <w:szCs w:val="24"/>
                <w:highlight w:val="none"/>
                <w:lang w:val="en-US" w:eastAsia="zh-CN" w:bidi="ar-SA"/>
              </w:rPr>
              <w:t>同类</w:t>
            </w:r>
            <w:r>
              <w:rPr>
                <w:rFonts w:hint="default" w:ascii="宋体" w:hAnsi="宋体" w:cs="宋体"/>
                <w:snapToGrid w:val="0"/>
                <w:color w:val="auto"/>
                <w:kern w:val="0"/>
                <w:sz w:val="24"/>
                <w:szCs w:val="24"/>
                <w:highlight w:val="none"/>
                <w:lang w:val="en-US" w:eastAsia="en-US" w:bidi="ar-SA"/>
              </w:rPr>
              <w:t>服务项目业绩（</w:t>
            </w:r>
            <w:r>
              <w:rPr>
                <w:rFonts w:hint="eastAsia" w:ascii="宋体" w:hAnsi="宋体" w:cs="宋体"/>
                <w:snapToGrid w:val="0"/>
                <w:color w:val="auto"/>
                <w:kern w:val="0"/>
                <w:sz w:val="24"/>
                <w:szCs w:val="24"/>
                <w:highlight w:val="none"/>
                <w:lang w:val="en-US" w:eastAsia="zh-CN" w:bidi="ar-SA"/>
              </w:rPr>
              <w:t>合同</w:t>
            </w:r>
            <w:r>
              <w:rPr>
                <w:rFonts w:hint="default" w:ascii="宋体" w:hAnsi="宋体" w:cs="宋体"/>
                <w:snapToGrid w:val="0"/>
                <w:color w:val="auto"/>
                <w:kern w:val="0"/>
                <w:sz w:val="24"/>
                <w:szCs w:val="24"/>
                <w:highlight w:val="none"/>
                <w:lang w:val="en-US" w:eastAsia="en-US" w:bidi="ar-SA"/>
              </w:rPr>
              <w:t>服务内容</w:t>
            </w:r>
            <w:r>
              <w:rPr>
                <w:rFonts w:hint="eastAsia" w:ascii="宋体" w:hAnsi="宋体" w:cs="宋体"/>
                <w:snapToGrid w:val="0"/>
                <w:color w:val="auto"/>
                <w:kern w:val="0"/>
                <w:sz w:val="24"/>
                <w:szCs w:val="24"/>
                <w:highlight w:val="none"/>
                <w:lang w:val="en-US" w:eastAsia="zh-CN" w:bidi="ar-SA"/>
              </w:rPr>
              <w:t>至少</w:t>
            </w:r>
            <w:r>
              <w:rPr>
                <w:rFonts w:hint="default" w:ascii="宋体" w:hAnsi="宋体" w:cs="宋体"/>
                <w:snapToGrid w:val="0"/>
                <w:color w:val="auto"/>
                <w:kern w:val="0"/>
                <w:sz w:val="24"/>
                <w:szCs w:val="24"/>
                <w:highlight w:val="none"/>
                <w:lang w:val="en-US" w:eastAsia="en-US" w:bidi="ar-SA"/>
              </w:rPr>
              <w:t>包含卫生保洁</w:t>
            </w:r>
            <w:r>
              <w:rPr>
                <w:rFonts w:hint="eastAsia" w:ascii="宋体" w:hAnsi="宋体" w:cs="宋体"/>
                <w:snapToGrid w:val="0"/>
                <w:color w:val="auto"/>
                <w:kern w:val="0"/>
                <w:sz w:val="24"/>
                <w:szCs w:val="24"/>
                <w:highlight w:val="none"/>
                <w:lang w:val="en-US" w:eastAsia="zh-CN" w:bidi="ar-SA"/>
              </w:rPr>
              <w:t>内容</w:t>
            </w:r>
            <w:r>
              <w:rPr>
                <w:rFonts w:hint="default" w:ascii="宋体" w:hAnsi="宋体" w:cs="宋体"/>
                <w:snapToGrid w:val="0"/>
                <w:color w:val="auto"/>
                <w:kern w:val="0"/>
                <w:sz w:val="24"/>
                <w:szCs w:val="24"/>
                <w:highlight w:val="none"/>
                <w:lang w:val="en-US" w:eastAsia="en-US" w:bidi="ar-SA"/>
              </w:rPr>
              <w:t>）</w:t>
            </w:r>
            <w:r>
              <w:rPr>
                <w:rFonts w:hint="eastAsia" w:ascii="宋体" w:hAnsi="宋体" w:cs="宋体"/>
                <w:snapToGrid w:val="0"/>
                <w:color w:val="auto"/>
                <w:kern w:val="0"/>
                <w:sz w:val="24"/>
                <w:szCs w:val="24"/>
                <w:highlight w:val="none"/>
                <w:lang w:val="en-US" w:eastAsia="zh-CN" w:bidi="ar-SA"/>
              </w:rPr>
              <w:t>，</w:t>
            </w:r>
            <w:r>
              <w:rPr>
                <w:rFonts w:hint="default" w:ascii="宋体" w:hAnsi="宋体" w:cs="宋体"/>
                <w:snapToGrid w:val="0"/>
                <w:color w:val="auto"/>
                <w:kern w:val="0"/>
                <w:sz w:val="24"/>
                <w:szCs w:val="24"/>
                <w:highlight w:val="none"/>
                <w:lang w:val="en-US" w:eastAsia="en-US" w:bidi="ar-SA"/>
              </w:rPr>
              <w:t>每提供1份得</w:t>
            </w:r>
            <w:r>
              <w:rPr>
                <w:rFonts w:hint="eastAsia" w:ascii="宋体" w:hAnsi="宋体" w:cs="宋体"/>
                <w:snapToGrid w:val="0"/>
                <w:color w:val="auto"/>
                <w:kern w:val="0"/>
                <w:sz w:val="24"/>
                <w:szCs w:val="24"/>
                <w:highlight w:val="none"/>
                <w:lang w:val="en-US" w:eastAsia="zh-CN" w:bidi="ar-SA"/>
              </w:rPr>
              <w:t>2</w:t>
            </w:r>
            <w:r>
              <w:rPr>
                <w:rFonts w:hint="default" w:ascii="宋体" w:hAnsi="宋体" w:cs="宋体"/>
                <w:snapToGrid w:val="0"/>
                <w:color w:val="auto"/>
                <w:kern w:val="0"/>
                <w:sz w:val="24"/>
                <w:szCs w:val="24"/>
                <w:highlight w:val="none"/>
                <w:lang w:val="en-US" w:eastAsia="en-US" w:bidi="ar-SA"/>
              </w:rPr>
              <w:t>分，满分</w:t>
            </w:r>
            <w:r>
              <w:rPr>
                <w:rFonts w:hint="eastAsia" w:ascii="宋体" w:hAnsi="宋体" w:cs="宋体"/>
                <w:snapToGrid w:val="0"/>
                <w:color w:val="auto"/>
                <w:kern w:val="0"/>
                <w:sz w:val="24"/>
                <w:szCs w:val="24"/>
                <w:highlight w:val="none"/>
                <w:lang w:val="en-US" w:eastAsia="zh-CN" w:bidi="ar-SA"/>
              </w:rPr>
              <w:t>6</w:t>
            </w:r>
            <w:r>
              <w:rPr>
                <w:rFonts w:hint="default" w:ascii="宋体" w:hAnsi="宋体" w:cs="宋体"/>
                <w:snapToGrid w:val="0"/>
                <w:color w:val="auto"/>
                <w:kern w:val="0"/>
                <w:sz w:val="24"/>
                <w:szCs w:val="24"/>
                <w:highlight w:val="none"/>
                <w:lang w:val="en-US" w:eastAsia="en-US" w:bidi="ar-SA"/>
              </w:rPr>
              <w:t>分。须提供该业绩项目的中标</w:t>
            </w:r>
            <w:r>
              <w:rPr>
                <w:rFonts w:hint="eastAsia" w:ascii="宋体" w:hAnsi="宋体" w:cs="宋体"/>
                <w:snapToGrid w:val="0"/>
                <w:color w:val="auto"/>
                <w:kern w:val="0"/>
                <w:sz w:val="24"/>
                <w:szCs w:val="24"/>
                <w:highlight w:val="none"/>
                <w:lang w:val="en-US" w:eastAsia="zh-CN" w:bidi="ar-SA"/>
              </w:rPr>
              <w:t>/成交</w:t>
            </w:r>
            <w:r>
              <w:rPr>
                <w:rFonts w:hint="default" w:ascii="宋体" w:hAnsi="宋体" w:cs="宋体"/>
                <w:snapToGrid w:val="0"/>
                <w:color w:val="auto"/>
                <w:kern w:val="0"/>
                <w:sz w:val="24"/>
                <w:szCs w:val="24"/>
                <w:highlight w:val="none"/>
                <w:lang w:val="en-US" w:eastAsia="en-US" w:bidi="ar-SA"/>
              </w:rPr>
              <w:t>公告（提供相关网站中标</w:t>
            </w:r>
            <w:r>
              <w:rPr>
                <w:rFonts w:hint="eastAsia" w:ascii="宋体" w:hAnsi="宋体" w:cs="宋体"/>
                <w:snapToGrid w:val="0"/>
                <w:color w:val="auto"/>
                <w:kern w:val="0"/>
                <w:sz w:val="24"/>
                <w:szCs w:val="24"/>
                <w:highlight w:val="none"/>
                <w:lang w:val="en-US" w:eastAsia="zh-CN" w:bidi="ar-SA"/>
              </w:rPr>
              <w:t>/成交</w:t>
            </w:r>
            <w:r>
              <w:rPr>
                <w:rFonts w:hint="default" w:ascii="宋体" w:hAnsi="宋体" w:cs="宋体"/>
                <w:snapToGrid w:val="0"/>
                <w:color w:val="auto"/>
                <w:kern w:val="0"/>
                <w:sz w:val="24"/>
                <w:szCs w:val="24"/>
                <w:highlight w:val="none"/>
                <w:lang w:val="en-US" w:eastAsia="en-US" w:bidi="ar-SA"/>
              </w:rPr>
              <w:t>公告的下载网页并注明网址）、中标</w:t>
            </w:r>
            <w:r>
              <w:rPr>
                <w:rFonts w:hint="eastAsia" w:ascii="宋体" w:hAnsi="宋体" w:cs="宋体"/>
                <w:snapToGrid w:val="0"/>
                <w:color w:val="auto"/>
                <w:kern w:val="0"/>
                <w:sz w:val="24"/>
                <w:szCs w:val="24"/>
                <w:highlight w:val="none"/>
                <w:lang w:val="en-US" w:eastAsia="zh-CN" w:bidi="ar-SA"/>
              </w:rPr>
              <w:t>/成交</w:t>
            </w:r>
            <w:r>
              <w:rPr>
                <w:rFonts w:hint="default" w:ascii="宋体" w:hAnsi="宋体" w:cs="宋体"/>
                <w:snapToGrid w:val="0"/>
                <w:color w:val="auto"/>
                <w:kern w:val="0"/>
                <w:sz w:val="24"/>
                <w:szCs w:val="24"/>
                <w:highlight w:val="none"/>
                <w:lang w:val="en-US" w:eastAsia="en-US" w:bidi="ar-SA"/>
              </w:rPr>
              <w:t>通知书复印件、采购合同文本复印件，以及能够证明该业绩项目已经采购人验收合格的相关证明文件复印件</w:t>
            </w:r>
            <w:r>
              <w:rPr>
                <w:rFonts w:hint="eastAsia" w:ascii="宋体" w:hAnsi="宋体" w:cs="宋体"/>
                <w:snapToGrid w:val="0"/>
                <w:color w:val="auto"/>
                <w:kern w:val="0"/>
                <w:sz w:val="24"/>
                <w:szCs w:val="24"/>
                <w:highlight w:val="none"/>
                <w:lang w:val="en-US" w:eastAsia="zh-CN" w:bidi="ar-SA"/>
              </w:rPr>
              <w:t>（正在履行的可提供阶段性验收合格</w:t>
            </w:r>
            <w:r>
              <w:rPr>
                <w:rFonts w:hint="default" w:ascii="宋体" w:hAnsi="宋体" w:cs="宋体"/>
                <w:snapToGrid w:val="0"/>
                <w:color w:val="auto"/>
                <w:kern w:val="0"/>
                <w:sz w:val="24"/>
                <w:szCs w:val="24"/>
                <w:highlight w:val="none"/>
                <w:lang w:val="en-US" w:eastAsia="en-US" w:bidi="ar-SA"/>
              </w:rPr>
              <w:t>的相关证明文件</w:t>
            </w:r>
            <w:r>
              <w:rPr>
                <w:rFonts w:hint="eastAsia" w:ascii="宋体" w:hAnsi="宋体" w:cs="宋体"/>
                <w:snapToGrid w:val="0"/>
                <w:color w:val="auto"/>
                <w:kern w:val="0"/>
                <w:sz w:val="24"/>
                <w:szCs w:val="24"/>
                <w:highlight w:val="none"/>
                <w:lang w:val="en-US" w:eastAsia="zh-CN" w:bidi="ar-SA"/>
              </w:rPr>
              <w:t>也可提供</w:t>
            </w:r>
            <w:r>
              <w:rPr>
                <w:rFonts w:hint="eastAsia" w:ascii="宋体" w:hAnsi="宋体" w:cs="宋体"/>
                <w:snapToGrid w:val="0"/>
                <w:color w:val="auto"/>
                <w:kern w:val="0"/>
                <w:sz w:val="24"/>
                <w:szCs w:val="24"/>
                <w:highlight w:val="none"/>
                <w:lang w:val="en-US" w:eastAsia="zh-CN"/>
              </w:rPr>
              <w:t>合同期内任意一个月发票或转账凭证</w:t>
            </w:r>
            <w:r>
              <w:rPr>
                <w:rFonts w:hint="eastAsia" w:ascii="宋体" w:hAnsi="宋体" w:cs="宋体"/>
                <w:snapToGrid w:val="0"/>
                <w:color w:val="auto"/>
                <w:kern w:val="0"/>
                <w:sz w:val="24"/>
                <w:szCs w:val="24"/>
                <w:highlight w:val="none"/>
                <w:lang w:val="en-US" w:eastAsia="zh-CN" w:bidi="ar-SA"/>
              </w:rPr>
              <w:t>）作</w:t>
            </w:r>
            <w:r>
              <w:rPr>
                <w:rFonts w:hint="default" w:ascii="宋体" w:hAnsi="宋体" w:cs="宋体"/>
                <w:snapToGrid w:val="0"/>
                <w:color w:val="auto"/>
                <w:kern w:val="0"/>
                <w:sz w:val="24"/>
                <w:szCs w:val="24"/>
                <w:highlight w:val="none"/>
                <w:lang w:val="en-US" w:eastAsia="en-US" w:bidi="ar-SA"/>
              </w:rPr>
              <w:t>为评分依据，不满足或未提供则不得分。</w:t>
            </w:r>
          </w:p>
        </w:tc>
        <w:tc>
          <w:tcPr>
            <w:tcW w:w="791" w:type="dxa"/>
            <w:tcBorders>
              <w:left w:val="single" w:color="auto" w:sz="4" w:space="0"/>
            </w:tcBorders>
            <w:vAlign w:val="center"/>
          </w:tcPr>
          <w:p>
            <w:pPr>
              <w:spacing w:line="440" w:lineRule="exact"/>
              <w:jc w:val="center"/>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spacing w:line="44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rPr>
              <w:t>B</w:t>
            </w:r>
            <w:r>
              <w:rPr>
                <w:rFonts w:hint="eastAsia" w:ascii="宋体" w:hAnsi="宋体" w:cs="宋体"/>
                <w:color w:val="auto"/>
                <w:sz w:val="24"/>
                <w:szCs w:val="24"/>
                <w:highlight w:val="none"/>
                <w:lang w:val="en-US" w:eastAsia="zh-CN"/>
              </w:rPr>
              <w:t>3</w:t>
            </w:r>
          </w:p>
        </w:tc>
        <w:tc>
          <w:tcPr>
            <w:tcW w:w="1305" w:type="dxa"/>
            <w:tcBorders>
              <w:left w:val="single" w:color="auto" w:sz="4" w:space="0"/>
              <w:right w:val="single" w:color="auto" w:sz="4" w:space="0"/>
            </w:tcBorders>
            <w:vAlign w:val="center"/>
          </w:tcPr>
          <w:p>
            <w:pPr>
              <w:spacing w:line="44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满意度</w:t>
            </w:r>
          </w:p>
        </w:tc>
        <w:tc>
          <w:tcPr>
            <w:tcW w:w="6654" w:type="dxa"/>
            <w:tcBorders>
              <w:left w:val="single" w:color="auto" w:sz="4" w:space="0"/>
              <w:right w:val="single" w:color="auto" w:sz="4" w:space="0"/>
            </w:tcBorders>
            <w:vAlign w:val="center"/>
          </w:tcPr>
          <w:p>
            <w:pPr>
              <w:widowControl/>
              <w:spacing w:line="440" w:lineRule="exact"/>
              <w:jc w:val="left"/>
              <w:rPr>
                <w:rFonts w:hint="default" w:ascii="宋体" w:hAnsi="宋体" w:eastAsia="宋体" w:cs="宋体"/>
                <w:b/>
                <w:bCs/>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根据</w:t>
            </w:r>
            <w:r>
              <w:rPr>
                <w:rFonts w:hint="eastAsia" w:ascii="宋体" w:hAnsi="宋体" w:eastAsia="宋体" w:cs="宋体"/>
                <w:snapToGrid w:val="0"/>
                <w:color w:val="auto"/>
                <w:kern w:val="0"/>
                <w:sz w:val="24"/>
                <w:szCs w:val="24"/>
                <w:highlight w:val="none"/>
                <w:lang w:val="en-US" w:eastAsia="zh-CN" w:bidi="ar-SA"/>
              </w:rPr>
              <w:t>供应商</w:t>
            </w:r>
            <w:r>
              <w:rPr>
                <w:rFonts w:hint="eastAsia" w:ascii="宋体" w:hAnsi="宋体" w:eastAsia="宋体" w:cs="宋体"/>
                <w:snapToGrid w:val="0"/>
                <w:color w:val="auto"/>
                <w:kern w:val="0"/>
                <w:sz w:val="24"/>
                <w:szCs w:val="24"/>
                <w:highlight w:val="none"/>
                <w:lang w:val="en-US" w:eastAsia="en-US" w:bidi="ar-SA"/>
              </w:rPr>
              <w:t>提供的自202</w:t>
            </w:r>
            <w:r>
              <w:rPr>
                <w:rFonts w:hint="eastAsia" w:ascii="宋体" w:hAnsi="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年1月1日起至本次</w:t>
            </w:r>
            <w:r>
              <w:rPr>
                <w:rFonts w:hint="eastAsia" w:ascii="宋体" w:hAnsi="宋体" w:cs="宋体"/>
                <w:snapToGrid w:val="0"/>
                <w:color w:val="auto"/>
                <w:kern w:val="0"/>
                <w:sz w:val="24"/>
                <w:szCs w:val="24"/>
                <w:highlight w:val="none"/>
                <w:lang w:val="en-US" w:eastAsia="zh-CN" w:bidi="ar-SA"/>
              </w:rPr>
              <w:t>提交响应文件截止时间</w:t>
            </w:r>
            <w:r>
              <w:rPr>
                <w:rFonts w:hint="eastAsia" w:ascii="宋体" w:hAnsi="宋体" w:eastAsia="宋体" w:cs="宋体"/>
                <w:snapToGrid w:val="0"/>
                <w:color w:val="auto"/>
                <w:kern w:val="0"/>
                <w:sz w:val="24"/>
                <w:szCs w:val="24"/>
                <w:highlight w:val="none"/>
                <w:lang w:val="en-US" w:eastAsia="en-US" w:bidi="ar-SA"/>
              </w:rPr>
              <w:t>止</w:t>
            </w:r>
            <w:r>
              <w:rPr>
                <w:rFonts w:hint="default" w:ascii="宋体" w:hAnsi="宋体" w:eastAsia="宋体" w:cs="宋体"/>
                <w:snapToGrid w:val="0"/>
                <w:color w:val="auto"/>
                <w:kern w:val="0"/>
                <w:sz w:val="24"/>
                <w:szCs w:val="24"/>
                <w:highlight w:val="none"/>
                <w:lang w:val="en-US" w:eastAsia="en-US" w:bidi="ar-SA"/>
              </w:rPr>
              <w:t>(日期以</w:t>
            </w:r>
            <w:r>
              <w:rPr>
                <w:rFonts w:hint="eastAsia" w:ascii="宋体" w:hAnsi="宋体" w:cs="宋体"/>
                <w:snapToGrid w:val="0"/>
                <w:color w:val="auto"/>
                <w:kern w:val="0"/>
                <w:sz w:val="24"/>
                <w:szCs w:val="24"/>
                <w:highlight w:val="none"/>
                <w:lang w:val="en-US" w:eastAsia="zh-CN" w:bidi="ar-SA"/>
              </w:rPr>
              <w:t>合同签订时间</w:t>
            </w:r>
            <w:r>
              <w:rPr>
                <w:rFonts w:hint="default" w:ascii="宋体" w:hAnsi="宋体" w:eastAsia="宋体" w:cs="宋体"/>
                <w:snapToGrid w:val="0"/>
                <w:color w:val="auto"/>
                <w:kern w:val="0"/>
                <w:sz w:val="24"/>
                <w:szCs w:val="24"/>
                <w:highlight w:val="none"/>
                <w:lang w:val="en-US" w:eastAsia="en-US" w:bidi="ar-SA"/>
              </w:rPr>
              <w:t>为准)</w:t>
            </w:r>
            <w:r>
              <w:rPr>
                <w:rFonts w:hint="eastAsia" w:ascii="宋体" w:hAnsi="宋体" w:eastAsia="宋体" w:cs="宋体"/>
                <w:snapToGrid w:val="0"/>
                <w:color w:val="auto"/>
                <w:kern w:val="0"/>
                <w:sz w:val="24"/>
                <w:szCs w:val="24"/>
                <w:highlight w:val="none"/>
                <w:lang w:val="en-US" w:eastAsia="en-US" w:bidi="ar-SA"/>
              </w:rPr>
              <w:t>，正在履行或已完成的</w:t>
            </w:r>
            <w:r>
              <w:rPr>
                <w:rFonts w:hint="eastAsia" w:ascii="宋体" w:hAnsi="宋体" w:eastAsia="宋体" w:cs="宋体"/>
                <w:snapToGrid w:val="0"/>
                <w:color w:val="auto"/>
                <w:kern w:val="0"/>
                <w:sz w:val="24"/>
                <w:szCs w:val="24"/>
                <w:highlight w:val="none"/>
                <w:lang w:val="en-US" w:eastAsia="zh-CN" w:bidi="ar-SA"/>
              </w:rPr>
              <w:t>同类</w:t>
            </w:r>
            <w:r>
              <w:rPr>
                <w:rFonts w:hint="eastAsia" w:ascii="宋体" w:hAnsi="宋体" w:eastAsia="宋体" w:cs="宋体"/>
                <w:snapToGrid w:val="0"/>
                <w:color w:val="auto"/>
                <w:kern w:val="0"/>
                <w:sz w:val="24"/>
                <w:szCs w:val="24"/>
                <w:highlight w:val="none"/>
                <w:lang w:val="en-US" w:eastAsia="en-US" w:bidi="ar-SA"/>
              </w:rPr>
              <w:t>服务项目业绩（</w:t>
            </w:r>
            <w:r>
              <w:rPr>
                <w:rFonts w:hint="eastAsia" w:ascii="宋体" w:hAnsi="宋体" w:cs="宋体"/>
                <w:snapToGrid w:val="0"/>
                <w:color w:val="auto"/>
                <w:kern w:val="0"/>
                <w:sz w:val="24"/>
                <w:szCs w:val="24"/>
                <w:highlight w:val="none"/>
                <w:lang w:val="en-US" w:eastAsia="zh-CN" w:bidi="ar-SA"/>
              </w:rPr>
              <w:t>合同</w:t>
            </w:r>
            <w:r>
              <w:rPr>
                <w:rFonts w:hint="default" w:ascii="宋体" w:hAnsi="宋体" w:cs="宋体"/>
                <w:snapToGrid w:val="0"/>
                <w:color w:val="auto"/>
                <w:kern w:val="0"/>
                <w:sz w:val="24"/>
                <w:szCs w:val="24"/>
                <w:highlight w:val="none"/>
                <w:lang w:val="en-US" w:eastAsia="en-US" w:bidi="ar-SA"/>
              </w:rPr>
              <w:t>服务内容</w:t>
            </w:r>
            <w:r>
              <w:rPr>
                <w:rFonts w:hint="eastAsia" w:ascii="宋体" w:hAnsi="宋体" w:cs="宋体"/>
                <w:snapToGrid w:val="0"/>
                <w:color w:val="auto"/>
                <w:kern w:val="0"/>
                <w:sz w:val="24"/>
                <w:szCs w:val="24"/>
                <w:highlight w:val="none"/>
                <w:lang w:val="en-US" w:eastAsia="zh-CN" w:bidi="ar-SA"/>
              </w:rPr>
              <w:t>至少</w:t>
            </w:r>
            <w:r>
              <w:rPr>
                <w:rFonts w:hint="default" w:ascii="宋体" w:hAnsi="宋体" w:cs="宋体"/>
                <w:snapToGrid w:val="0"/>
                <w:color w:val="auto"/>
                <w:kern w:val="0"/>
                <w:sz w:val="24"/>
                <w:szCs w:val="24"/>
                <w:highlight w:val="none"/>
                <w:lang w:val="en-US" w:eastAsia="en-US" w:bidi="ar-SA"/>
              </w:rPr>
              <w:t>包含卫生保洁</w:t>
            </w:r>
            <w:r>
              <w:rPr>
                <w:rFonts w:hint="eastAsia" w:ascii="宋体" w:hAnsi="宋体" w:cs="宋体"/>
                <w:snapToGrid w:val="0"/>
                <w:color w:val="auto"/>
                <w:kern w:val="0"/>
                <w:sz w:val="24"/>
                <w:szCs w:val="24"/>
                <w:highlight w:val="none"/>
                <w:lang w:val="en-US" w:eastAsia="zh-CN" w:bidi="ar-SA"/>
              </w:rPr>
              <w:t>内容</w:t>
            </w:r>
            <w:r>
              <w:rPr>
                <w:rFonts w:hint="eastAsia" w:ascii="宋体" w:hAnsi="宋体" w:eastAsia="宋体" w:cs="宋体"/>
                <w:snapToGrid w:val="0"/>
                <w:color w:val="auto"/>
                <w:kern w:val="0"/>
                <w:sz w:val="24"/>
                <w:szCs w:val="24"/>
                <w:highlight w:val="none"/>
                <w:lang w:val="en-US" w:eastAsia="en-US" w:bidi="ar-SA"/>
              </w:rPr>
              <w:t>）的满意度情况进行评议，由采购人提供的得满分或者满意或者优(或者同等评</w:t>
            </w:r>
            <w:r>
              <w:rPr>
                <w:rFonts w:hint="eastAsia" w:ascii="宋体" w:hAnsi="宋体" w:cs="宋体"/>
                <w:snapToGrid w:val="0"/>
                <w:color w:val="auto"/>
                <w:kern w:val="0"/>
                <w:sz w:val="24"/>
                <w:szCs w:val="24"/>
                <w:highlight w:val="none"/>
                <w:lang w:val="en-US" w:eastAsia="zh-CN" w:bidi="ar-SA"/>
              </w:rPr>
              <w:t>价</w:t>
            </w:r>
            <w:r>
              <w:rPr>
                <w:rFonts w:hint="eastAsia" w:ascii="宋体" w:hAnsi="宋体" w:eastAsia="宋体" w:cs="宋体"/>
                <w:snapToGrid w:val="0"/>
                <w:color w:val="auto"/>
                <w:kern w:val="0"/>
                <w:sz w:val="24"/>
                <w:szCs w:val="24"/>
                <w:highlight w:val="none"/>
                <w:lang w:val="en-US" w:eastAsia="en-US" w:bidi="ar-SA"/>
              </w:rPr>
              <w:t>)的用户满意度评价报告，每提供1份得</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分，满分</w:t>
            </w: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分。 须提供用户满意度评价证明材料、合同复印件并加盖公章。未提供或提供不全的不得分。</w:t>
            </w:r>
          </w:p>
        </w:tc>
        <w:tc>
          <w:tcPr>
            <w:tcW w:w="791" w:type="dxa"/>
            <w:tcBorders>
              <w:left w:val="single" w:color="auto" w:sz="4" w:space="0"/>
            </w:tcBorders>
            <w:vAlign w:val="center"/>
          </w:tcPr>
          <w:p>
            <w:pPr>
              <w:spacing w:line="44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spacing w:line="440" w:lineRule="exact"/>
              <w:jc w:val="center"/>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B4</w:t>
            </w:r>
          </w:p>
        </w:tc>
        <w:tc>
          <w:tcPr>
            <w:tcW w:w="1305" w:type="dxa"/>
            <w:tcBorders>
              <w:left w:val="single" w:color="auto" w:sz="4" w:space="0"/>
              <w:right w:val="single" w:color="auto" w:sz="4" w:space="0"/>
            </w:tcBorders>
            <w:vAlign w:val="center"/>
          </w:tcPr>
          <w:p>
            <w:pPr>
              <w:spacing w:line="440" w:lineRule="exact"/>
              <w:jc w:val="center"/>
              <w:rPr>
                <w:rFonts w:ascii="宋体" w:hAnsi="宋体" w:cs="宋体"/>
                <w:b/>
                <w:bCs/>
                <w:color w:val="auto"/>
                <w:kern w:val="0"/>
                <w:sz w:val="24"/>
                <w:szCs w:val="24"/>
                <w:highlight w:val="none"/>
              </w:rPr>
            </w:pPr>
            <w:r>
              <w:rPr>
                <w:rFonts w:hint="eastAsia" w:ascii="宋体" w:hAnsi="宋体" w:cs="宋体"/>
                <w:color w:val="auto"/>
                <w:sz w:val="24"/>
                <w:szCs w:val="24"/>
                <w:highlight w:val="none"/>
              </w:rPr>
              <w:t>保险</w:t>
            </w:r>
          </w:p>
        </w:tc>
        <w:tc>
          <w:tcPr>
            <w:tcW w:w="6654" w:type="dxa"/>
            <w:tcBorders>
              <w:left w:val="single" w:color="auto" w:sz="4" w:space="0"/>
              <w:right w:val="single" w:color="auto" w:sz="4" w:space="0"/>
            </w:tcBorders>
            <w:vAlign w:val="center"/>
          </w:tcPr>
          <w:p>
            <w:pPr>
              <w:spacing w:line="440" w:lineRule="exact"/>
              <w:jc w:val="left"/>
              <w:rPr>
                <w:rFonts w:ascii="宋体" w:hAnsi="宋体" w:cs="宋体"/>
                <w:b/>
                <w:bCs/>
                <w:color w:val="auto"/>
                <w:kern w:val="0"/>
                <w:sz w:val="24"/>
                <w:szCs w:val="24"/>
                <w:highlight w:val="none"/>
              </w:rPr>
            </w:pPr>
            <w:r>
              <w:rPr>
                <w:rFonts w:hint="eastAsia" w:ascii="宋体" w:hAnsi="宋体" w:cs="宋体"/>
                <w:snapToGrid w:val="0"/>
                <w:color w:val="auto"/>
                <w:spacing w:val="2"/>
                <w:kern w:val="0"/>
                <w:sz w:val="24"/>
                <w:szCs w:val="24"/>
                <w:highlight w:val="none"/>
                <w:lang w:val="en-US" w:eastAsia="zh-CN" w:bidi="ar-SA"/>
              </w:rPr>
              <w:t>供应商承诺成交后为本项目所有人员</w:t>
            </w:r>
            <w:r>
              <w:rPr>
                <w:rFonts w:hint="eastAsia" w:ascii="宋体" w:hAnsi="宋体" w:eastAsia="宋体" w:cs="宋体"/>
                <w:snapToGrid w:val="0"/>
                <w:color w:val="auto"/>
                <w:spacing w:val="2"/>
                <w:kern w:val="0"/>
                <w:sz w:val="24"/>
                <w:szCs w:val="24"/>
                <w:highlight w:val="none"/>
                <w:lang w:val="en-US" w:eastAsia="en-US" w:bidi="ar-SA"/>
              </w:rPr>
              <w:t>购买人身意外保险情况(个人意外险或雇主责任险)进行评议：人员伤残死亡赔付限额</w:t>
            </w:r>
            <w:r>
              <w:rPr>
                <w:rFonts w:hint="eastAsia" w:ascii="宋体" w:hAnsi="宋体" w:cs="宋体"/>
                <w:snapToGrid w:val="0"/>
                <w:color w:val="auto"/>
                <w:spacing w:val="2"/>
                <w:kern w:val="0"/>
                <w:sz w:val="24"/>
                <w:szCs w:val="24"/>
                <w:highlight w:val="none"/>
                <w:lang w:val="en-US" w:eastAsia="zh-CN" w:bidi="ar-SA"/>
              </w:rPr>
              <w:t>均</w:t>
            </w:r>
            <w:r>
              <w:rPr>
                <w:rFonts w:hint="eastAsia" w:ascii="宋体" w:hAnsi="宋体" w:eastAsia="宋体" w:cs="宋体"/>
                <w:snapToGrid w:val="0"/>
                <w:color w:val="auto"/>
                <w:spacing w:val="2"/>
                <w:kern w:val="0"/>
                <w:sz w:val="24"/>
                <w:szCs w:val="24"/>
                <w:highlight w:val="none"/>
                <w:lang w:val="en-US" w:eastAsia="en-US" w:bidi="ar-SA"/>
              </w:rPr>
              <w:t>达到</w:t>
            </w:r>
            <w:r>
              <w:rPr>
                <w:rFonts w:hint="eastAsia" w:ascii="宋体" w:hAnsi="宋体" w:eastAsia="宋体" w:cs="宋体"/>
                <w:snapToGrid w:val="0"/>
                <w:color w:val="auto"/>
                <w:spacing w:val="2"/>
                <w:kern w:val="0"/>
                <w:sz w:val="24"/>
                <w:szCs w:val="24"/>
                <w:highlight w:val="none"/>
                <w:lang w:val="en-US" w:eastAsia="zh-CN" w:bidi="ar-SA"/>
              </w:rPr>
              <w:t>50</w:t>
            </w:r>
            <w:r>
              <w:rPr>
                <w:rFonts w:hint="eastAsia" w:ascii="宋体" w:hAnsi="宋体" w:eastAsia="宋体" w:cs="宋体"/>
                <w:snapToGrid w:val="0"/>
                <w:color w:val="auto"/>
                <w:spacing w:val="2"/>
                <w:kern w:val="0"/>
                <w:sz w:val="24"/>
                <w:szCs w:val="24"/>
                <w:highlight w:val="none"/>
                <w:lang w:val="en-US" w:eastAsia="en-US" w:bidi="ar-SA"/>
              </w:rPr>
              <w:t>万(含6</w:t>
            </w:r>
            <w:r>
              <w:rPr>
                <w:rFonts w:hint="eastAsia" w:ascii="宋体" w:hAnsi="宋体" w:cs="宋体"/>
                <w:snapToGrid w:val="0"/>
                <w:color w:val="auto"/>
                <w:spacing w:val="2"/>
                <w:kern w:val="0"/>
                <w:sz w:val="24"/>
                <w:szCs w:val="24"/>
                <w:highlight w:val="none"/>
                <w:lang w:val="en-US" w:eastAsia="zh-CN" w:bidi="ar-SA"/>
              </w:rPr>
              <w:t>0</w:t>
            </w:r>
            <w:r>
              <w:rPr>
                <w:rFonts w:hint="eastAsia" w:ascii="宋体" w:hAnsi="宋体" w:eastAsia="宋体" w:cs="宋体"/>
                <w:snapToGrid w:val="0"/>
                <w:color w:val="auto"/>
                <w:spacing w:val="2"/>
                <w:kern w:val="0"/>
                <w:sz w:val="24"/>
                <w:szCs w:val="24"/>
                <w:highlight w:val="none"/>
                <w:lang w:val="en-US" w:eastAsia="en-US" w:bidi="ar-SA"/>
              </w:rPr>
              <w:t>万)至</w:t>
            </w:r>
            <w:r>
              <w:rPr>
                <w:rFonts w:hint="eastAsia" w:ascii="宋体" w:hAnsi="宋体" w:eastAsia="宋体" w:cs="宋体"/>
                <w:snapToGrid w:val="0"/>
                <w:color w:val="auto"/>
                <w:spacing w:val="2"/>
                <w:kern w:val="0"/>
                <w:sz w:val="24"/>
                <w:szCs w:val="24"/>
                <w:highlight w:val="none"/>
                <w:lang w:val="en-US" w:eastAsia="zh-CN" w:bidi="ar-SA"/>
              </w:rPr>
              <w:t>60</w:t>
            </w:r>
            <w:r>
              <w:rPr>
                <w:rFonts w:hint="eastAsia" w:ascii="宋体" w:hAnsi="宋体" w:eastAsia="宋体" w:cs="宋体"/>
                <w:snapToGrid w:val="0"/>
                <w:color w:val="auto"/>
                <w:spacing w:val="2"/>
                <w:kern w:val="0"/>
                <w:sz w:val="24"/>
                <w:szCs w:val="24"/>
                <w:highlight w:val="none"/>
                <w:lang w:val="en-US" w:eastAsia="en-US" w:bidi="ar-SA"/>
              </w:rPr>
              <w:t>万</w:t>
            </w:r>
            <w:r>
              <w:rPr>
                <w:rFonts w:hint="eastAsia" w:ascii="宋体" w:hAnsi="宋体" w:cs="宋体"/>
                <w:snapToGrid w:val="0"/>
                <w:color w:val="auto"/>
                <w:spacing w:val="2"/>
                <w:kern w:val="0"/>
                <w:sz w:val="24"/>
                <w:szCs w:val="24"/>
                <w:highlight w:val="none"/>
                <w:lang w:val="en-US" w:eastAsia="zh-CN" w:bidi="ar-SA"/>
              </w:rPr>
              <w:t>以下</w:t>
            </w:r>
            <w:r>
              <w:rPr>
                <w:rFonts w:hint="eastAsia" w:ascii="宋体" w:hAnsi="宋体" w:eastAsia="宋体" w:cs="宋体"/>
                <w:snapToGrid w:val="0"/>
                <w:color w:val="auto"/>
                <w:spacing w:val="2"/>
                <w:kern w:val="0"/>
                <w:sz w:val="24"/>
                <w:szCs w:val="24"/>
                <w:highlight w:val="none"/>
                <w:lang w:val="en-US" w:eastAsia="en-US" w:bidi="ar-SA"/>
              </w:rPr>
              <w:t>的得1分，人员伤残死亡赔付限额</w:t>
            </w:r>
            <w:r>
              <w:rPr>
                <w:rFonts w:hint="eastAsia" w:ascii="宋体" w:hAnsi="宋体" w:cs="宋体"/>
                <w:snapToGrid w:val="0"/>
                <w:color w:val="auto"/>
                <w:spacing w:val="2"/>
                <w:kern w:val="0"/>
                <w:sz w:val="24"/>
                <w:szCs w:val="24"/>
                <w:highlight w:val="none"/>
                <w:lang w:val="en-US" w:eastAsia="zh-CN" w:bidi="ar-SA"/>
              </w:rPr>
              <w:t>均</w:t>
            </w:r>
            <w:r>
              <w:rPr>
                <w:rFonts w:hint="eastAsia" w:ascii="宋体" w:hAnsi="宋体" w:eastAsia="宋体" w:cs="宋体"/>
                <w:snapToGrid w:val="0"/>
                <w:color w:val="auto"/>
                <w:spacing w:val="2"/>
                <w:kern w:val="0"/>
                <w:sz w:val="24"/>
                <w:szCs w:val="24"/>
                <w:highlight w:val="none"/>
                <w:lang w:val="en-US" w:eastAsia="en-US" w:bidi="ar-SA"/>
              </w:rPr>
              <w:t>达到</w:t>
            </w:r>
            <w:r>
              <w:rPr>
                <w:rFonts w:hint="eastAsia" w:ascii="宋体" w:hAnsi="宋体" w:eastAsia="宋体" w:cs="宋体"/>
                <w:snapToGrid w:val="0"/>
                <w:color w:val="auto"/>
                <w:spacing w:val="2"/>
                <w:kern w:val="0"/>
                <w:sz w:val="24"/>
                <w:szCs w:val="24"/>
                <w:highlight w:val="none"/>
                <w:lang w:val="en-US" w:eastAsia="zh-CN" w:bidi="ar-SA"/>
              </w:rPr>
              <w:t>60</w:t>
            </w:r>
            <w:r>
              <w:rPr>
                <w:rFonts w:hint="eastAsia" w:ascii="宋体" w:hAnsi="宋体" w:eastAsia="宋体" w:cs="宋体"/>
                <w:snapToGrid w:val="0"/>
                <w:color w:val="auto"/>
                <w:spacing w:val="2"/>
                <w:kern w:val="0"/>
                <w:sz w:val="24"/>
                <w:szCs w:val="24"/>
                <w:highlight w:val="none"/>
                <w:lang w:val="en-US" w:eastAsia="en-US" w:bidi="ar-SA"/>
              </w:rPr>
              <w:t>万(含</w:t>
            </w:r>
            <w:r>
              <w:rPr>
                <w:rFonts w:hint="eastAsia" w:ascii="宋体" w:hAnsi="宋体" w:eastAsia="宋体" w:cs="宋体"/>
                <w:snapToGrid w:val="0"/>
                <w:color w:val="auto"/>
                <w:spacing w:val="2"/>
                <w:kern w:val="0"/>
                <w:sz w:val="24"/>
                <w:szCs w:val="24"/>
                <w:highlight w:val="none"/>
                <w:lang w:val="en-US" w:eastAsia="zh-CN" w:bidi="ar-SA"/>
              </w:rPr>
              <w:t>60</w:t>
            </w:r>
            <w:r>
              <w:rPr>
                <w:rFonts w:hint="eastAsia" w:ascii="宋体" w:hAnsi="宋体" w:eastAsia="宋体" w:cs="宋体"/>
                <w:snapToGrid w:val="0"/>
                <w:color w:val="auto"/>
                <w:spacing w:val="2"/>
                <w:kern w:val="0"/>
                <w:sz w:val="24"/>
                <w:szCs w:val="24"/>
                <w:highlight w:val="none"/>
                <w:lang w:val="en-US" w:eastAsia="en-US" w:bidi="ar-SA"/>
              </w:rPr>
              <w:t>万)至</w:t>
            </w:r>
            <w:r>
              <w:rPr>
                <w:rFonts w:hint="eastAsia" w:ascii="宋体" w:hAnsi="宋体" w:eastAsia="宋体" w:cs="宋体"/>
                <w:snapToGrid w:val="0"/>
                <w:color w:val="auto"/>
                <w:spacing w:val="2"/>
                <w:kern w:val="0"/>
                <w:sz w:val="24"/>
                <w:szCs w:val="24"/>
                <w:highlight w:val="none"/>
                <w:lang w:val="en-US" w:eastAsia="zh-CN" w:bidi="ar-SA"/>
              </w:rPr>
              <w:t>70</w:t>
            </w:r>
            <w:r>
              <w:rPr>
                <w:rFonts w:hint="eastAsia" w:ascii="宋体" w:hAnsi="宋体" w:eastAsia="宋体" w:cs="宋体"/>
                <w:snapToGrid w:val="0"/>
                <w:color w:val="auto"/>
                <w:spacing w:val="2"/>
                <w:kern w:val="0"/>
                <w:sz w:val="24"/>
                <w:szCs w:val="24"/>
                <w:highlight w:val="none"/>
                <w:lang w:val="en-US" w:eastAsia="en-US" w:bidi="ar-SA"/>
              </w:rPr>
              <w:t>万</w:t>
            </w:r>
            <w:r>
              <w:rPr>
                <w:rFonts w:hint="eastAsia" w:ascii="宋体" w:hAnsi="宋体" w:cs="宋体"/>
                <w:snapToGrid w:val="0"/>
                <w:color w:val="auto"/>
                <w:spacing w:val="2"/>
                <w:kern w:val="0"/>
                <w:sz w:val="24"/>
                <w:szCs w:val="24"/>
                <w:highlight w:val="none"/>
                <w:lang w:val="en-US" w:eastAsia="zh-CN" w:bidi="ar-SA"/>
              </w:rPr>
              <w:t>以下</w:t>
            </w:r>
            <w:r>
              <w:rPr>
                <w:rFonts w:hint="eastAsia" w:ascii="宋体" w:hAnsi="宋体" w:eastAsia="宋体" w:cs="宋体"/>
                <w:snapToGrid w:val="0"/>
                <w:color w:val="auto"/>
                <w:spacing w:val="2"/>
                <w:kern w:val="0"/>
                <w:sz w:val="24"/>
                <w:szCs w:val="24"/>
                <w:highlight w:val="none"/>
                <w:lang w:val="en-US" w:eastAsia="en-US" w:bidi="ar-SA"/>
              </w:rPr>
              <w:t>的得</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分，人员伤残死亡赔付限额</w:t>
            </w:r>
            <w:r>
              <w:rPr>
                <w:rFonts w:hint="eastAsia" w:ascii="宋体" w:hAnsi="宋体" w:cs="宋体"/>
                <w:snapToGrid w:val="0"/>
                <w:color w:val="auto"/>
                <w:spacing w:val="2"/>
                <w:kern w:val="0"/>
                <w:sz w:val="24"/>
                <w:szCs w:val="24"/>
                <w:highlight w:val="none"/>
                <w:lang w:val="en-US" w:eastAsia="zh-CN" w:bidi="ar-SA"/>
              </w:rPr>
              <w:t>均</w:t>
            </w:r>
            <w:r>
              <w:rPr>
                <w:rFonts w:hint="eastAsia" w:ascii="宋体" w:hAnsi="宋体" w:eastAsia="宋体" w:cs="宋体"/>
                <w:snapToGrid w:val="0"/>
                <w:color w:val="auto"/>
                <w:spacing w:val="2"/>
                <w:kern w:val="0"/>
                <w:sz w:val="24"/>
                <w:szCs w:val="24"/>
                <w:highlight w:val="none"/>
                <w:lang w:val="en-US" w:eastAsia="en-US" w:bidi="ar-SA"/>
              </w:rPr>
              <w:t>达到80万以上(含80万)的得</w:t>
            </w:r>
            <w:r>
              <w:rPr>
                <w:rFonts w:hint="eastAsia" w:ascii="宋体" w:hAnsi="宋体" w:eastAsia="宋体" w:cs="宋体"/>
                <w:snapToGrid w:val="0"/>
                <w:color w:val="auto"/>
                <w:spacing w:val="2"/>
                <w:kern w:val="0"/>
                <w:sz w:val="24"/>
                <w:szCs w:val="24"/>
                <w:highlight w:val="none"/>
                <w:lang w:val="en-US" w:eastAsia="zh-CN" w:bidi="ar-SA"/>
              </w:rPr>
              <w:t>3</w:t>
            </w:r>
            <w:r>
              <w:rPr>
                <w:rFonts w:hint="eastAsia" w:ascii="宋体" w:hAnsi="宋体" w:eastAsia="宋体" w:cs="宋体"/>
                <w:snapToGrid w:val="0"/>
                <w:color w:val="auto"/>
                <w:spacing w:val="2"/>
                <w:kern w:val="0"/>
                <w:sz w:val="24"/>
                <w:szCs w:val="24"/>
                <w:highlight w:val="none"/>
                <w:lang w:val="en-US" w:eastAsia="en-US" w:bidi="ar-SA"/>
              </w:rPr>
              <w:t>分。注：</w:t>
            </w:r>
            <w:r>
              <w:rPr>
                <w:rFonts w:hint="eastAsia" w:ascii="宋体" w:hAnsi="宋体" w:cs="宋体"/>
                <w:snapToGrid w:val="0"/>
                <w:color w:val="auto"/>
                <w:spacing w:val="2"/>
                <w:kern w:val="0"/>
                <w:sz w:val="24"/>
                <w:szCs w:val="24"/>
                <w:highlight w:val="none"/>
                <w:lang w:val="en-US" w:eastAsia="zh-CN" w:bidi="ar-SA"/>
              </w:rPr>
              <w:t>供应商</w:t>
            </w:r>
            <w:r>
              <w:rPr>
                <w:rFonts w:hint="eastAsia" w:ascii="宋体" w:hAnsi="宋体" w:eastAsia="宋体" w:cs="宋体"/>
                <w:snapToGrid w:val="0"/>
                <w:color w:val="auto"/>
                <w:spacing w:val="2"/>
                <w:kern w:val="0"/>
                <w:sz w:val="24"/>
                <w:szCs w:val="24"/>
                <w:highlight w:val="none"/>
                <w:lang w:val="en-US" w:eastAsia="en-US" w:bidi="ar-SA"/>
              </w:rPr>
              <w:t>须</w:t>
            </w:r>
            <w:r>
              <w:rPr>
                <w:rFonts w:hint="eastAsia" w:ascii="宋体" w:hAnsi="宋体" w:cs="宋体"/>
                <w:snapToGrid w:val="0"/>
                <w:color w:val="auto"/>
                <w:spacing w:val="2"/>
                <w:kern w:val="0"/>
                <w:sz w:val="24"/>
                <w:szCs w:val="24"/>
                <w:highlight w:val="none"/>
                <w:lang w:val="en-US" w:eastAsia="zh-CN" w:bidi="ar-SA"/>
              </w:rPr>
              <w:t>提供承诺函（承诺内容应满足上述对应内容要求），</w:t>
            </w:r>
            <w:r>
              <w:rPr>
                <w:rFonts w:hint="eastAsia" w:ascii="宋体" w:hAnsi="宋体" w:eastAsia="宋体" w:cs="宋体"/>
                <w:snapToGrid w:val="0"/>
                <w:color w:val="auto"/>
                <w:spacing w:val="2"/>
                <w:kern w:val="0"/>
                <w:sz w:val="24"/>
                <w:szCs w:val="24"/>
                <w:highlight w:val="none"/>
                <w:lang w:val="en-US" w:eastAsia="en-US" w:bidi="ar-SA"/>
              </w:rPr>
              <w:t>否则不得分。</w:t>
            </w:r>
          </w:p>
        </w:tc>
        <w:tc>
          <w:tcPr>
            <w:tcW w:w="791" w:type="dxa"/>
            <w:tcBorders>
              <w:left w:val="single" w:color="auto" w:sz="4" w:space="0"/>
            </w:tcBorders>
            <w:vAlign w:val="center"/>
          </w:tcPr>
          <w:p>
            <w:pPr>
              <w:spacing w:line="440" w:lineRule="exact"/>
              <w:jc w:val="center"/>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szCs w:val="24"/>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9502" w:type="dxa"/>
            <w:gridSpan w:val="4"/>
            <w:vAlign w:val="center"/>
          </w:tcPr>
          <w:p>
            <w:pPr>
              <w:spacing w:line="440" w:lineRule="exact"/>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rPr>
              <w:t>各供应商的商务部分得分B=B1+B2+B3+B4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9502" w:type="dxa"/>
            <w:gridSpan w:val="4"/>
            <w:shd w:val="clear" w:color="auto" w:fill="B8CCE4"/>
            <w:vAlign w:val="center"/>
          </w:tcPr>
          <w:p>
            <w:pPr>
              <w:spacing w:line="44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报价部分（满分</w:t>
            </w:r>
            <w:r>
              <w:rPr>
                <w:rFonts w:hint="eastAsia" w:ascii="宋体" w:hAnsi="宋体" w:cs="宋体"/>
                <w:b/>
                <w:bCs/>
                <w:color w:val="auto"/>
                <w:kern w:val="0"/>
                <w:sz w:val="24"/>
                <w:szCs w:val="24"/>
                <w:highlight w:val="none"/>
                <w:lang w:val="en-US" w:eastAsia="zh-CN"/>
              </w:rPr>
              <w:t>10</w:t>
            </w:r>
            <w:r>
              <w:rPr>
                <w:rFonts w:hint="eastAsia" w:ascii="宋体" w:hAnsi="宋体" w:cs="宋体"/>
                <w:b/>
                <w:bCs/>
                <w:color w:val="auto"/>
                <w:kern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752" w:type="dxa"/>
            <w:vAlign w:val="center"/>
          </w:tcPr>
          <w:p>
            <w:pPr>
              <w:spacing w:line="440" w:lineRule="exact"/>
              <w:jc w:val="center"/>
              <w:rPr>
                <w:rFonts w:ascii="宋体" w:hAnsi="宋体" w:cs="宋体"/>
                <w:color w:val="auto"/>
                <w:spacing w:val="-2"/>
                <w:sz w:val="24"/>
                <w:szCs w:val="24"/>
                <w:highlight w:val="none"/>
              </w:rPr>
            </w:pPr>
            <w:r>
              <w:rPr>
                <w:rFonts w:hint="eastAsia" w:ascii="宋体" w:hAnsi="宋体" w:cs="宋体"/>
                <w:color w:val="auto"/>
                <w:kern w:val="0"/>
                <w:sz w:val="24"/>
                <w:szCs w:val="24"/>
                <w:highlight w:val="none"/>
              </w:rPr>
              <w:t>C</w:t>
            </w:r>
          </w:p>
        </w:tc>
        <w:tc>
          <w:tcPr>
            <w:tcW w:w="1305" w:type="dxa"/>
            <w:vAlign w:val="center"/>
          </w:tcPr>
          <w:p>
            <w:pPr>
              <w:spacing w:line="440" w:lineRule="exact"/>
              <w:jc w:val="center"/>
              <w:rPr>
                <w:rFonts w:ascii="宋体" w:hAnsi="宋体"/>
                <w:color w:val="auto"/>
                <w:sz w:val="24"/>
                <w:szCs w:val="24"/>
                <w:highlight w:val="none"/>
              </w:rPr>
            </w:pPr>
            <w:r>
              <w:rPr>
                <w:rFonts w:hint="eastAsia" w:ascii="宋体" w:hAnsi="宋体" w:cs="宋体"/>
                <w:color w:val="auto"/>
                <w:kern w:val="0"/>
                <w:sz w:val="24"/>
                <w:szCs w:val="24"/>
                <w:highlight w:val="none"/>
              </w:rPr>
              <w:t>报价部分评分</w:t>
            </w:r>
          </w:p>
        </w:tc>
        <w:tc>
          <w:tcPr>
            <w:tcW w:w="6654" w:type="dxa"/>
            <w:tcBorders>
              <w:right w:val="single" w:color="auto" w:sz="4" w:space="0"/>
            </w:tcBorders>
            <w:vAlign w:val="center"/>
          </w:tcPr>
          <w:p>
            <w:pPr>
              <w:pStyle w:val="52"/>
              <w:spacing w:line="400" w:lineRule="exact"/>
              <w:ind w:firstLine="480" w:firstLineChars="200"/>
              <w:jc w:val="left"/>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磋商报价得分（C）＝(磋商基准价/最后磋商报价)×价格分值</w:t>
            </w:r>
          </w:p>
          <w:p>
            <w:pPr>
              <w:pStyle w:val="52"/>
              <w:spacing w:line="400" w:lineRule="exact"/>
              <w:ind w:firstLine="480" w:firstLineChars="200"/>
              <w:jc w:val="left"/>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磋商基准价为满足磋商文件要求且最后报价最低的供应商的价格；</w:t>
            </w:r>
          </w:p>
          <w:p>
            <w:pPr>
              <w:pStyle w:val="52"/>
              <w:spacing w:line="400" w:lineRule="exact"/>
              <w:ind w:firstLine="480" w:firstLineChars="200"/>
              <w:jc w:val="left"/>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注：采购人不接受供应商的恶意低价竞争。磋商小组认为供应商的报价明显低于其他通过符合性审查供应商的报价，有可能影响服务质量或者不能诚信履约的，要求其在评审现场提供书面说明，并提交相关证明材料；供应商不能证明其报价合理性的，磋商小组将其作为无效报价处理。</w:t>
            </w:r>
          </w:p>
          <w:p>
            <w:pPr>
              <w:pStyle w:val="16"/>
              <w:spacing w:line="400" w:lineRule="exact"/>
              <w:ind w:firstLine="480" w:firstLineChars="200"/>
              <w:rPr>
                <w:rFonts w:hint="default" w:hAnsi="宋体" w:eastAsia="宋体"/>
                <w:color w:val="auto"/>
                <w:sz w:val="24"/>
                <w:szCs w:val="24"/>
                <w:highlight w:val="none"/>
                <w:lang w:val="en-US" w:eastAsia="zh-CN"/>
              </w:rPr>
            </w:pPr>
            <w:r>
              <w:rPr>
                <w:rFonts w:hint="eastAsia" w:eastAsia="宋体" w:cs="宋体"/>
                <w:color w:val="auto"/>
                <w:sz w:val="24"/>
                <w:szCs w:val="24"/>
                <w:highlight w:val="none"/>
                <w:lang w:val="en-US" w:eastAsia="zh-CN"/>
              </w:rPr>
              <w:t>本项目</w:t>
            </w:r>
            <w:r>
              <w:rPr>
                <w:rFonts w:hint="eastAsia" w:cs="宋体"/>
                <w:color w:val="auto"/>
                <w:sz w:val="24"/>
                <w:szCs w:val="24"/>
                <w:highlight w:val="none"/>
              </w:rPr>
              <w:t>专门面向中小企业采购</w:t>
            </w:r>
            <w:r>
              <w:rPr>
                <w:rFonts w:hint="eastAsia" w:cs="宋体"/>
                <w:color w:val="auto"/>
                <w:sz w:val="24"/>
                <w:szCs w:val="24"/>
                <w:highlight w:val="none"/>
                <w:lang w:eastAsia="zh-CN"/>
              </w:rPr>
              <w:t>，</w:t>
            </w:r>
            <w:r>
              <w:rPr>
                <w:rFonts w:hint="eastAsia" w:cs="宋体"/>
                <w:color w:val="auto"/>
                <w:sz w:val="24"/>
                <w:szCs w:val="24"/>
                <w:highlight w:val="none"/>
                <w:lang w:val="en-US" w:eastAsia="zh-CN"/>
              </w:rPr>
              <w:t>不再进行</w:t>
            </w:r>
            <w:r>
              <w:rPr>
                <w:rFonts w:hint="eastAsia" w:cs="宋体"/>
                <w:color w:val="auto"/>
                <w:sz w:val="24"/>
                <w:szCs w:val="24"/>
                <w:highlight w:val="none"/>
              </w:rPr>
              <w:t>价格扣除</w:t>
            </w:r>
            <w:r>
              <w:rPr>
                <w:rFonts w:hint="eastAsia" w:cs="宋体"/>
                <w:color w:val="auto"/>
                <w:sz w:val="24"/>
                <w:szCs w:val="24"/>
                <w:highlight w:val="none"/>
                <w:lang w:eastAsia="zh-CN"/>
              </w:rPr>
              <w:t>。</w:t>
            </w:r>
          </w:p>
        </w:tc>
        <w:tc>
          <w:tcPr>
            <w:tcW w:w="791" w:type="dxa"/>
            <w:tcBorders>
              <w:left w:val="single" w:color="auto" w:sz="4" w:space="0"/>
            </w:tcBorders>
            <w:vAlign w:val="center"/>
          </w:tcPr>
          <w:p>
            <w:pPr>
              <w:spacing w:line="4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9502" w:type="dxa"/>
            <w:gridSpan w:val="4"/>
            <w:vAlign w:val="center"/>
          </w:tcPr>
          <w:p>
            <w:pPr>
              <w:spacing w:line="440" w:lineRule="exact"/>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各供应商的综合得分为A+B+C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9502" w:type="dxa"/>
            <w:gridSpan w:val="4"/>
            <w:vAlign w:val="center"/>
          </w:tcPr>
          <w:p>
            <w:pPr>
              <w:spacing w:line="440" w:lineRule="exact"/>
              <w:rPr>
                <w:rFonts w:ascii="宋体" w:hAnsi="宋体" w:cs="宋体"/>
                <w:color w:val="auto"/>
                <w:spacing w:val="-2"/>
                <w:sz w:val="24"/>
                <w:szCs w:val="24"/>
                <w:highlight w:val="none"/>
              </w:rPr>
            </w:pPr>
            <w:r>
              <w:rPr>
                <w:rFonts w:hint="eastAsia" w:ascii="宋体" w:hAnsi="宋体" w:cs="宋体"/>
                <w:color w:val="auto"/>
                <w:kern w:val="0"/>
                <w:sz w:val="24"/>
                <w:szCs w:val="24"/>
                <w:highlight w:val="none"/>
              </w:rPr>
              <w:t>注：评分项中涉及的相关证明材料（如证书、公告、合同、通知书、验收证书、荣誉证明等）若有属于“可以通过互联网或者相关信息系统查询的信息”，供应商可不提供复印件，提供查询网址链接、证书编号（或提供查询所需信息）视同响应评分项要求。若磋商小组通过供应商提供的查询网址链接无法查询或查询到信息不符合磋商文件要求的，磋商小组将按照不利于供应商的内容进行认定。此条款表述若与上述评分项表述有矛盾，以此条款为准。</w:t>
            </w:r>
          </w:p>
        </w:tc>
      </w:tr>
    </w:tbl>
    <w:p>
      <w:pPr>
        <w:topLinePunct/>
        <w:autoSpaceDE w:val="0"/>
        <w:autoSpaceDN w:val="0"/>
        <w:spacing w:after="0"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rPr>
        <w:t>2.3 落实政府采购政策进行价格调整的规则：</w:t>
      </w:r>
    </w:p>
    <w:tbl>
      <w:tblPr>
        <w:tblStyle w:val="27"/>
        <w:tblW w:w="9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9"/>
        <w:gridCol w:w="2129"/>
        <w:gridCol w:w="5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212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561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7748" w:type="dxa"/>
            <w:gridSpan w:val="2"/>
            <w:noWrap w:val="0"/>
            <w:vAlign w:val="center"/>
          </w:tcPr>
          <w:p>
            <w:pPr>
              <w:pStyle w:val="39"/>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7748" w:type="dxa"/>
            <w:gridSpan w:val="2"/>
            <w:noWrap w:val="0"/>
            <w:vAlign w:val="center"/>
          </w:tcPr>
          <w:p>
            <w:pPr>
              <w:pStyle w:val="39"/>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7748" w:type="dxa"/>
            <w:gridSpan w:val="2"/>
            <w:vMerge w:val="restart"/>
            <w:noWrap w:val="0"/>
            <w:vAlign w:val="center"/>
          </w:tcPr>
          <w:p>
            <w:pPr>
              <w:pStyle w:val="39"/>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本项目专门面向中小企业采购，不再进行价格扣除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7748" w:type="dxa"/>
            <w:gridSpan w:val="2"/>
            <w:vMerge w:val="continue"/>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7748" w:type="dxa"/>
            <w:gridSpan w:val="2"/>
            <w:vMerge w:val="continue"/>
            <w:noWrap w:val="0"/>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r>
      <w:bookmarkEnd w:id="42"/>
    </w:tbl>
    <w:p>
      <w:pPr>
        <w:rPr>
          <w:rFonts w:hint="eastAsia" w:ascii="宋体" w:hAnsi="宋体" w:eastAsia="宋体" w:cs="宋体"/>
          <w:b/>
          <w:bCs/>
          <w:color w:val="auto"/>
          <w:sz w:val="28"/>
          <w:szCs w:val="28"/>
          <w:highlight w:val="none"/>
        </w:rPr>
      </w:pPr>
      <w:bookmarkStart w:id="46" w:name="_Toc29753"/>
      <w:bookmarkStart w:id="47" w:name="_Toc222"/>
      <w:r>
        <w:rPr>
          <w:rFonts w:hint="eastAsia" w:ascii="宋体" w:hAnsi="宋体" w:eastAsia="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  采购合同文本</w:t>
      </w:r>
      <w:bookmarkEnd w:id="46"/>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6"/>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6"/>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8" w:name="_Toc16329"/>
      <w:bookmarkStart w:id="49" w:name="_Toc26360"/>
      <w:r>
        <w:rPr>
          <w:rFonts w:hint="eastAsia" w:ascii="宋体" w:hAnsi="宋体" w:eastAsia="宋体" w:cs="宋体"/>
          <w:b w:val="0"/>
          <w:bCs/>
          <w:color w:val="auto"/>
          <w:sz w:val="24"/>
          <w:szCs w:val="24"/>
          <w:highlight w:val="none"/>
        </w:rPr>
        <w:t xml:space="preserve">甲    方： </w:t>
      </w:r>
      <w:bookmarkEnd w:id="48"/>
      <w:bookmarkEnd w:id="49"/>
      <w:r>
        <w:rPr>
          <w:rFonts w:hint="eastAsia" w:ascii="宋体" w:hAnsi="宋体" w:cs="宋体"/>
          <w:b w:val="0"/>
          <w:bCs/>
          <w:color w:val="auto"/>
          <w:sz w:val="24"/>
          <w:szCs w:val="24"/>
          <w:highlight w:val="none"/>
          <w:u w:val="single"/>
          <w:lang w:eastAsia="zh-CN"/>
        </w:rPr>
        <w:t>国家税务总局永泰县税务局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4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p>
            <w:pPr>
              <w:numPr>
                <w:ilvl w:val="0"/>
                <w:numId w:val="0"/>
              </w:num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国家税务总局永泰县税务局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0" w:name="_Toc4627"/>
      <w:bookmarkStart w:id="51" w:name="_Toc11041"/>
      <w:r>
        <w:rPr>
          <w:rFonts w:hint="eastAsia" w:ascii="宋体" w:hAnsi="宋体" w:eastAsia="宋体" w:cs="宋体"/>
          <w:b/>
          <w:color w:val="auto"/>
          <w:sz w:val="22"/>
          <w:szCs w:val="22"/>
          <w:highlight w:val="none"/>
        </w:rPr>
        <w:t>1. 合同文件</w:t>
      </w:r>
      <w:bookmarkEnd w:id="50"/>
      <w:bookmarkEnd w:id="51"/>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lang w:eastAsia="zh-CN"/>
        </w:rPr>
        <w:t>；</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2" w:name="_Toc19921"/>
      <w:bookmarkStart w:id="53" w:name="_Toc9580"/>
      <w:r>
        <w:rPr>
          <w:rFonts w:hint="eastAsia" w:ascii="宋体" w:hAnsi="宋体" w:eastAsia="宋体" w:cs="宋体"/>
          <w:b/>
          <w:color w:val="auto"/>
          <w:sz w:val="22"/>
          <w:szCs w:val="22"/>
          <w:highlight w:val="none"/>
        </w:rPr>
        <w:t>2. 合同范围和条件</w:t>
      </w:r>
      <w:bookmarkEnd w:id="52"/>
      <w:bookmarkEnd w:id="53"/>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2" w:firstLineChars="196"/>
        <w:outlineLvl w:val="1"/>
        <w:rPr>
          <w:rFonts w:hint="eastAsia" w:ascii="宋体" w:hAnsi="宋体" w:eastAsia="宋体" w:cs="宋体"/>
          <w:b/>
          <w:color w:val="auto"/>
          <w:sz w:val="22"/>
          <w:szCs w:val="22"/>
          <w:highlight w:val="none"/>
        </w:rPr>
      </w:pPr>
      <w:bookmarkStart w:id="54" w:name="_Toc4439"/>
      <w:bookmarkStart w:id="55" w:name="_Toc25418"/>
      <w:r>
        <w:rPr>
          <w:rFonts w:hint="eastAsia" w:ascii="宋体" w:hAnsi="宋体" w:eastAsia="宋体" w:cs="宋体"/>
          <w:b/>
          <w:color w:val="auto"/>
          <w:sz w:val="22"/>
          <w:szCs w:val="22"/>
          <w:highlight w:val="none"/>
        </w:rPr>
        <w:t>3. 合同金额</w:t>
      </w:r>
      <w:bookmarkEnd w:id="54"/>
      <w:bookmarkEnd w:id="55"/>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1" w:firstLineChars="200"/>
        <w:outlineLvl w:val="1"/>
        <w:rPr>
          <w:rFonts w:hint="eastAsia" w:ascii="宋体" w:hAnsi="宋体" w:eastAsia="宋体" w:cs="宋体"/>
          <w:b/>
          <w:color w:val="auto"/>
          <w:sz w:val="22"/>
          <w:szCs w:val="22"/>
          <w:highlight w:val="none"/>
        </w:rPr>
      </w:pPr>
      <w:bookmarkStart w:id="56" w:name="_Toc26416"/>
      <w:bookmarkStart w:id="57" w:name="_Toc28641"/>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56"/>
      <w:bookmarkEnd w:id="57"/>
    </w:p>
    <w:p>
      <w:pPr>
        <w:pStyle w:val="40"/>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pStyle w:val="15"/>
        <w:rPr>
          <w:rFonts w:hint="eastAsia"/>
          <w:color w:val="auto"/>
          <w:lang w:val="en-US" w:eastAsia="zh-CN"/>
        </w:rPr>
      </w:pPr>
      <w:bookmarkStart w:id="58" w:name="_Toc28883"/>
      <w:bookmarkStart w:id="59" w:name="_Toc6077"/>
    </w:p>
    <w:p>
      <w:pPr>
        <w:pStyle w:val="15"/>
        <w:rPr>
          <w:rFonts w:hint="eastAsia"/>
          <w:color w:val="auto"/>
          <w:lang w:val="en-US" w:eastAsia="zh-CN"/>
        </w:rPr>
      </w:pP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8"/>
      <w:bookmarkEnd w:id="59"/>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国家税务总局永泰县税务局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0" w:name="_Toc30156"/>
      <w:bookmarkStart w:id="61" w:name="_Toc19962"/>
      <w:r>
        <w:rPr>
          <w:rFonts w:hint="eastAsia" w:ascii="宋体" w:hAnsi="宋体" w:eastAsia="宋体" w:cs="宋体"/>
          <w:b/>
          <w:color w:val="auto"/>
          <w:sz w:val="22"/>
          <w:szCs w:val="22"/>
          <w:highlight w:val="none"/>
        </w:rPr>
        <w:t>1. 定义</w:t>
      </w:r>
      <w:bookmarkEnd w:id="60"/>
      <w:bookmarkEnd w:id="61"/>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国家税务总局永泰县税务局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2" w:name="_Toc24368"/>
      <w:bookmarkStart w:id="63" w:name="_Toc13700"/>
      <w:r>
        <w:rPr>
          <w:rFonts w:hint="eastAsia" w:ascii="宋体" w:hAnsi="宋体" w:eastAsia="宋体" w:cs="宋体"/>
          <w:b/>
          <w:color w:val="auto"/>
          <w:sz w:val="22"/>
          <w:szCs w:val="22"/>
          <w:highlight w:val="none"/>
        </w:rPr>
        <w:t>2. 标准</w:t>
      </w:r>
      <w:bookmarkEnd w:id="62"/>
      <w:bookmarkEnd w:id="6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4" w:name="_Toc25879"/>
      <w:bookmarkStart w:id="65" w:name="_Toc24638"/>
      <w:r>
        <w:rPr>
          <w:rFonts w:hint="eastAsia" w:ascii="宋体" w:hAnsi="宋体" w:eastAsia="宋体" w:cs="宋体"/>
          <w:b/>
          <w:color w:val="auto"/>
          <w:sz w:val="22"/>
          <w:szCs w:val="22"/>
          <w:highlight w:val="none"/>
        </w:rPr>
        <w:t>3. 服务</w:t>
      </w:r>
      <w:bookmarkEnd w:id="64"/>
      <w:bookmarkEnd w:id="65"/>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6" w:name="_Toc3471"/>
      <w:bookmarkStart w:id="67" w:name="_Toc14903"/>
      <w:r>
        <w:rPr>
          <w:rFonts w:hint="eastAsia" w:ascii="宋体" w:hAnsi="宋体" w:eastAsia="宋体" w:cs="宋体"/>
          <w:b/>
          <w:color w:val="auto"/>
          <w:sz w:val="22"/>
          <w:szCs w:val="22"/>
          <w:highlight w:val="none"/>
        </w:rPr>
        <w:t>4. 知识产权</w:t>
      </w:r>
      <w:bookmarkEnd w:id="66"/>
      <w:bookmarkEnd w:id="6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68" w:name="_Toc3072"/>
      <w:bookmarkStart w:id="69" w:name="_Toc31645"/>
      <w:r>
        <w:rPr>
          <w:rFonts w:hint="eastAsia" w:ascii="宋体" w:hAnsi="宋体" w:eastAsia="宋体" w:cs="宋体"/>
          <w:b/>
          <w:color w:val="auto"/>
          <w:sz w:val="22"/>
          <w:szCs w:val="22"/>
          <w:highlight w:val="none"/>
        </w:rPr>
        <w:t>5. 保密条款</w:t>
      </w:r>
      <w:bookmarkEnd w:id="68"/>
      <w:bookmarkEnd w:id="6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0" w:name="_Toc31015"/>
      <w:bookmarkStart w:id="71"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0"/>
      <w:bookmarkEnd w:id="7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pPr>
        <w:keepNext w:val="0"/>
        <w:keepLines w:val="0"/>
        <w:pageBreakBefore w:val="0"/>
        <w:widowControl w:val="0"/>
        <w:tabs>
          <w:tab w:val="left" w:pos="0"/>
          <w:tab w:val="left" w:pos="54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2" w:name="_Toc10405"/>
      <w:bookmarkStart w:id="73" w:name="_Toc27741"/>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2"/>
      <w:bookmarkEnd w:id="73"/>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4" w:name="_Toc29418"/>
      <w:bookmarkStart w:id="75"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74"/>
      <w:bookmarkEnd w:id="75"/>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6" w:name="_Toc30607"/>
      <w:bookmarkStart w:id="77"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76"/>
      <w:bookmarkEnd w:id="7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（技术部分）中约定的违约处理条款，按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（技术部分）相关约定执行；对本协议与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78" w:name="_Toc22238"/>
      <w:bookmarkStart w:id="79"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8"/>
      <w:bookmarkEnd w:id="7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0" w:name="_Toc12476"/>
      <w:bookmarkStart w:id="81" w:name="_Toc378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0"/>
      <w:bookmarkEnd w:id="8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可以按合同约定的方式提起仲裁或诉讼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left="239" w:leftChars="114"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仲裁应</w:t>
      </w:r>
      <w:r>
        <w:rPr>
          <w:rFonts w:hint="eastAsia" w:ascii="宋体" w:hAnsi="宋体" w:eastAsia="宋体" w:cs="宋体"/>
          <w:color w:val="auto"/>
          <w:sz w:val="22"/>
          <w:szCs w:val="22"/>
          <w:highlight w:val="none"/>
          <w:lang w:eastAsia="zh-CN"/>
        </w:rPr>
        <w:t>向</w:t>
      </w:r>
      <w:r>
        <w:rPr>
          <w:rFonts w:hint="eastAsia" w:ascii="宋体" w:hAnsi="宋体" w:eastAsia="宋体" w:cs="宋体"/>
          <w:color w:val="auto"/>
          <w:sz w:val="22"/>
          <w:szCs w:val="22"/>
          <w:highlight w:val="none"/>
        </w:rPr>
        <w:t>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仲裁委员会申请仲裁。</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 xml:space="preserve"> 仲裁裁决应为最终裁决，对双方均具有约束力。</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 xml:space="preserve"> 仲裁费除仲裁机关另有裁决外应由败诉方负担。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在仲裁期间，除正在进行仲裁部分外，本合同的其它部分应继续执行。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11.3.1诉讼应向甲方所在地或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人民法院提起诉讼。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2" w:name="_Toc7090"/>
      <w:bookmarkStart w:id="83" w:name="_Toc1745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2"/>
      <w:bookmarkEnd w:id="8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4" w:name="_Toc32253"/>
      <w:bookmarkStart w:id="85" w:name="_Toc2980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84"/>
      <w:bookmarkEnd w:id="8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6" w:name="_Toc21386"/>
      <w:bookmarkStart w:id="87" w:name="_Toc2563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86"/>
      <w:bookmarkEnd w:id="8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88" w:name="_Toc825"/>
      <w:bookmarkStart w:id="89" w:name="_Toc2637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8"/>
      <w:bookmarkEnd w:id="89"/>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0" w:name="_Toc12870"/>
      <w:bookmarkStart w:id="91" w:name="_Toc1172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0"/>
      <w:bookmarkEnd w:id="9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2" w:name="_Toc15170"/>
      <w:bookmarkStart w:id="93" w:name="_Toc23771"/>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2"/>
      <w:bookmarkEnd w:id="9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4" w:name="_Toc12419"/>
      <w:bookmarkStart w:id="95"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94"/>
      <w:bookmarkEnd w:id="95"/>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6" w:name="_Toc4664"/>
      <w:bookmarkStart w:id="97" w:name="_Toc1985"/>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96"/>
      <w:bookmarkEnd w:id="9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1" w:firstLineChars="200"/>
        <w:textAlignment w:val="auto"/>
        <w:outlineLvl w:val="1"/>
        <w:rPr>
          <w:rFonts w:hint="eastAsia" w:ascii="宋体" w:hAnsi="宋体" w:eastAsia="宋体" w:cs="宋体"/>
          <w:b/>
          <w:color w:val="auto"/>
          <w:sz w:val="22"/>
          <w:szCs w:val="22"/>
          <w:highlight w:val="none"/>
        </w:rPr>
      </w:pPr>
      <w:bookmarkStart w:id="98" w:name="_Toc6527"/>
      <w:bookmarkStart w:id="99" w:name="_Toc11519"/>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8"/>
      <w:bookmarkEnd w:id="9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0" w:name="_Toc30503"/>
      <w:bookmarkStart w:id="101" w:name="_Toc3171"/>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采购文件及响应文件</w:t>
      </w:r>
      <w:r>
        <w:rPr>
          <w:rFonts w:hint="eastAsia" w:ascii="宋体" w:hAnsi="宋体" w:cs="宋体"/>
          <w:b/>
          <w:color w:val="auto"/>
          <w:sz w:val="24"/>
          <w:szCs w:val="24"/>
          <w:highlight w:val="none"/>
          <w:lang w:eastAsia="zh-CN"/>
        </w:rPr>
        <w:t>（如有必要，可另附）</w:t>
      </w:r>
      <w:bookmarkEnd w:id="100"/>
      <w:bookmarkEnd w:id="10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02" w:name="_Toc22952"/>
      <w:bookmarkStart w:id="103" w:name="_Toc132880668"/>
      <w:r>
        <w:rPr>
          <w:rFonts w:hint="eastAsia" w:ascii="宋体" w:hAnsi="宋体" w:eastAsia="宋体" w:cs="宋体"/>
          <w:b/>
          <w:bCs/>
          <w:color w:val="auto"/>
          <w:sz w:val="28"/>
          <w:szCs w:val="28"/>
          <w:highlight w:val="none"/>
        </w:rPr>
        <w:t>第五章　响应文件格式</w:t>
      </w:r>
      <w:bookmarkEnd w:id="102"/>
      <w:bookmarkEnd w:id="103"/>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04" w:name="_Toc32231"/>
      <w:bookmarkStart w:id="105" w:name="_Toc32247"/>
      <w:r>
        <w:rPr>
          <w:rFonts w:hint="eastAsia" w:ascii="宋体" w:hAnsi="宋体" w:cs="宋体"/>
          <w:color w:val="auto"/>
          <w:sz w:val="24"/>
          <w:szCs w:val="24"/>
        </w:rPr>
        <w:t>2.所附表格中要求回答的全部问题和信息都必须正面回答。</w:t>
      </w:r>
      <w:bookmarkEnd w:id="104"/>
      <w:bookmarkEnd w:id="105"/>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06" w:name="_Toc22828"/>
      <w:bookmarkStart w:id="107" w:name="_Toc13140"/>
      <w:r>
        <w:rPr>
          <w:rFonts w:hint="eastAsia" w:ascii="宋体" w:hAnsi="宋体" w:cs="宋体"/>
          <w:color w:val="auto"/>
          <w:sz w:val="24"/>
          <w:szCs w:val="24"/>
        </w:rPr>
        <w:t>5.全部文件应按供应商须知中规定的语言提交。</w:t>
      </w:r>
      <w:bookmarkEnd w:id="106"/>
      <w:bookmarkEnd w:id="107"/>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6.以下格式文件为要求填写内容的参考格式，其他未提供格式的文件和资料由供应商自行设计编制格式填写。</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p>
    <w:p>
      <w:pPr>
        <w:adjustRightInd w:val="0"/>
        <w:snapToGrid w:val="0"/>
        <w:spacing w:beforeLines="20" w:after="4" w:line="360" w:lineRule="auto"/>
        <w:ind w:firstLine="481" w:firstLineChars="200"/>
        <w:jc w:val="center"/>
        <w:rPr>
          <w:rFonts w:hint="eastAsia" w:ascii="宋体" w:hAnsi="宋体" w:eastAsia="宋体" w:cs="宋体"/>
          <w:b/>
          <w:bCs/>
          <w:color w:val="auto"/>
          <w:sz w:val="24"/>
          <w:szCs w:val="24"/>
          <w:highlight w:val="none"/>
        </w:rPr>
      </w:pPr>
    </w:p>
    <w:p>
      <w:pPr>
        <w:ind w:firstLine="481"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6"/>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6"/>
        <w:adjustRightInd w:val="0"/>
        <w:snapToGrid w:val="0"/>
        <w:spacing w:line="360" w:lineRule="auto"/>
        <w:rPr>
          <w:rFonts w:hint="eastAsia" w:ascii="宋体" w:hAnsi="宋体" w:eastAsia="宋体" w:cs="宋体"/>
          <w:color w:val="auto"/>
          <w:sz w:val="24"/>
          <w:szCs w:val="24"/>
          <w:highlight w:val="none"/>
        </w:rPr>
      </w:pPr>
    </w:p>
    <w:tbl>
      <w:tblPr>
        <w:tblStyle w:val="26"/>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b/>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pStyle w:val="16"/>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6"/>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6"/>
        <w:rPr>
          <w:rFonts w:hint="eastAsia" w:ascii="宋体" w:hAnsi="宋体" w:eastAsia="宋体" w:cs="宋体"/>
          <w:b w:val="0"/>
          <w:bCs w:val="0"/>
          <w:color w:val="auto"/>
          <w:sz w:val="24"/>
          <w:szCs w:val="24"/>
          <w:highlight w:val="none"/>
        </w:rPr>
      </w:pPr>
    </w:p>
    <w:p>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6"/>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6"/>
        <w:spacing w:line="360" w:lineRule="auto"/>
        <w:ind w:firstLine="480" w:firstLineChars="200"/>
        <w:rPr>
          <w:rFonts w:hint="eastAsia" w:ascii="宋体" w:hAnsi="宋体" w:eastAsia="宋体" w:cs="宋体"/>
          <w:color w:val="auto"/>
          <w:sz w:val="24"/>
          <w:szCs w:val="24"/>
          <w:highlight w:val="none"/>
        </w:rPr>
      </w:pPr>
    </w:p>
    <w:p>
      <w:pPr>
        <w:pStyle w:val="16"/>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6"/>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8" w:name="_Toc27055"/>
      <w:bookmarkStart w:id="109" w:name="_Toc23619"/>
      <w:r>
        <w:rPr>
          <w:rFonts w:hint="eastAsia" w:ascii="宋体" w:hAnsi="宋体" w:eastAsia="宋体" w:cs="宋体"/>
          <w:color w:val="auto"/>
          <w:sz w:val="24"/>
          <w:szCs w:val="24"/>
          <w:highlight w:val="none"/>
        </w:rPr>
        <w:t>6.完全理解贵方“最低报价不能作为成交的保证”的规定。</w:t>
      </w:r>
      <w:bookmarkEnd w:id="108"/>
      <w:bookmarkEnd w:id="109"/>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12.已知悉并承诺遵守采购文件中关于供应链安全管理的全部要求。</w:t>
      </w:r>
    </w:p>
    <w:p>
      <w:pPr>
        <w:pStyle w:val="40"/>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40"/>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10" w:name="_Toc14016"/>
      <w:bookmarkStart w:id="111" w:name="_Toc32364"/>
      <w:r>
        <w:rPr>
          <w:rFonts w:hint="eastAsia" w:ascii="宋体" w:hAnsi="宋体" w:eastAsia="宋体" w:cs="宋体"/>
          <w:b/>
          <w:bCs/>
          <w:color w:val="auto"/>
          <w:sz w:val="28"/>
          <w:szCs w:val="28"/>
          <w:highlight w:val="none"/>
        </w:rPr>
        <w:t>1.报价一览表（总报价表）</w:t>
      </w:r>
      <w:bookmarkEnd w:id="110"/>
      <w:bookmarkEnd w:id="111"/>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国家税务总局永泰县税务局2026年物业管理服务采购项目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2" w:name="_Toc21660"/>
      <w:bookmarkStart w:id="113" w:name="_Toc10069"/>
      <w:r>
        <w:rPr>
          <w:rFonts w:hint="eastAsia" w:ascii="宋体" w:hAnsi="宋体" w:eastAsia="宋体" w:cs="宋体"/>
          <w:color w:val="auto"/>
          <w:sz w:val="24"/>
          <w:szCs w:val="24"/>
          <w:highlight w:val="none"/>
        </w:rPr>
        <w:t>3.供应商应根据《采购文件-技术部分》相关要求填报。</w:t>
      </w:r>
      <w:bookmarkEnd w:id="112"/>
      <w:bookmarkEnd w:id="113"/>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14" w:name="_Toc11134"/>
      <w:bookmarkStart w:id="115" w:name="_Toc2415"/>
      <w:r>
        <w:rPr>
          <w:rFonts w:hint="eastAsia" w:ascii="宋体" w:hAnsi="宋体" w:eastAsia="宋体" w:cs="宋体"/>
          <w:b/>
          <w:bCs/>
          <w:color w:val="auto"/>
          <w:sz w:val="28"/>
          <w:szCs w:val="28"/>
          <w:highlight w:val="none"/>
        </w:rPr>
        <w:t>2.分项报价表</w:t>
      </w:r>
      <w:bookmarkEnd w:id="114"/>
      <w:bookmarkEnd w:id="115"/>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6"/>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91" w:type="dxa"/>
            <w:tcBorders>
              <w:top w:val="single" w:color="auto" w:sz="4" w:space="0"/>
              <w:left w:val="nil"/>
              <w:bottom w:val="single" w:color="auto" w:sz="4" w:space="0"/>
              <w:right w:val="single" w:color="auto" w:sz="4" w:space="0"/>
            </w:tcBorders>
            <w:noWrap w:val="0"/>
            <w:vAlign w:val="center"/>
          </w:tcPr>
          <w:p>
            <w:pPr>
              <w:widowControl/>
              <w:spacing w:after="0" w:line="240" w:lineRule="auto"/>
              <w:ind w:left="-84" w:leftChars="-40" w:firstLine="93" w:firstLineChars="3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331" w:type="dxa"/>
            <w:tcBorders>
              <w:top w:val="single" w:color="auto" w:sz="4" w:space="0"/>
              <w:left w:val="nil"/>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内容描述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91" w:type="dxa"/>
            <w:tcBorders>
              <w:top w:val="nil"/>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nil"/>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466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6"/>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pacing w:line="400" w:lineRule="exact"/>
        <w:ind w:firstLine="481"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6"/>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6"/>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6"/>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6"/>
              <w:spacing w:line="400" w:lineRule="exact"/>
              <w:jc w:val="left"/>
              <w:rPr>
                <w:rFonts w:hint="eastAsia" w:hAnsi="宋体" w:cs="宋体"/>
                <w:color w:val="auto"/>
                <w:kern w:val="2"/>
                <w:sz w:val="24"/>
                <w:szCs w:val="24"/>
                <w:lang w:val="en-US" w:eastAsia="zh-CN"/>
              </w:rPr>
            </w:pPr>
          </w:p>
          <w:p>
            <w:pPr>
              <w:pStyle w:val="16"/>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p>
        </w:tc>
      </w:tr>
    </w:tbl>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6" w:name="_Toc11302"/>
      <w:bookmarkStart w:id="117" w:name="_Toc22038"/>
      <w:r>
        <w:rPr>
          <w:rFonts w:hint="eastAsia" w:ascii="宋体" w:hAnsi="宋体" w:eastAsia="宋体" w:cs="宋体"/>
          <w:color w:val="auto"/>
          <w:sz w:val="24"/>
          <w:szCs w:val="24"/>
          <w:highlight w:val="none"/>
        </w:rPr>
        <w:t>3.本表可扩展。</w:t>
      </w:r>
      <w:bookmarkEnd w:id="116"/>
      <w:bookmarkEnd w:id="117"/>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adjustRightInd w:val="0"/>
        <w:snapToGrid w:val="0"/>
        <w:spacing w:line="360" w:lineRule="auto"/>
        <w:jc w:val="center"/>
        <w:rPr>
          <w:rFonts w:hint="eastAsia" w:ascii="宋体" w:hAnsi="宋体" w:cs="宋体"/>
          <w:b/>
          <w:bCs/>
          <w:color w:val="auto"/>
          <w:sz w:val="28"/>
          <w:szCs w:val="28"/>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5-5营业执照</w:t>
      </w:r>
    </w:p>
    <w:p>
      <w:pPr>
        <w:pStyle w:val="15"/>
        <w:ind w:right="281"/>
        <w:rPr>
          <w:rFonts w:hint="eastAsia" w:eastAsia="宋体" w:cs="宋体"/>
          <w:color w:val="auto"/>
          <w:kern w:val="0"/>
          <w:szCs w:val="24"/>
        </w:rPr>
      </w:pPr>
      <w:r>
        <w:rPr>
          <w:rFonts w:hint="eastAsia" w:eastAsia="宋体" w:cs="宋体"/>
          <w:color w:val="auto"/>
          <w:kern w:val="0"/>
          <w:szCs w:val="24"/>
        </w:rPr>
        <w:t>根据资格条件要求提供相应材料。</w:t>
      </w:r>
    </w:p>
    <w:p>
      <w:pPr>
        <w:pStyle w:val="7"/>
        <w:numPr>
          <w:ilvl w:val="0"/>
          <w:numId w:val="0"/>
        </w:numPr>
        <w:ind w:leftChars="200"/>
        <w:rPr>
          <w:rFonts w:hint="eastAsia"/>
          <w:color w:val="auto"/>
        </w:rPr>
      </w:pP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具备履行合同所必需的设备和专业技术能力的声明函</w:t>
      </w:r>
    </w:p>
    <w:p>
      <w:pPr>
        <w:pStyle w:val="16"/>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参加本次采购活动前三年内在经营活动中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6"/>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国家税务总局永泰县税务局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国家税务总局永泰县税务局2026年物业管理服务采购项目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6"/>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hAnsi="宋体" w:cs="宋体"/>
          <w:i w:val="0"/>
          <w:iCs w:val="0"/>
          <w:color w:val="auto"/>
          <w:sz w:val="24"/>
          <w:szCs w:val="24"/>
          <w:highlight w:val="none"/>
          <w:u w:val="single"/>
          <w:lang w:eastAsia="zh-CN"/>
        </w:rPr>
        <w:t>国家税务总局永泰县税务局2026年物业管理服务采购项目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8" w:name="_Toc5684"/>
      <w:bookmarkStart w:id="119" w:name="_Toc15089"/>
      <w:r>
        <w:rPr>
          <w:rFonts w:hint="eastAsia" w:ascii="宋体" w:hAnsi="宋体" w:eastAsia="宋体" w:cs="宋体"/>
          <w:b/>
          <w:bCs/>
          <w:color w:val="auto"/>
          <w:kern w:val="2"/>
          <w:sz w:val="32"/>
          <w:szCs w:val="32"/>
          <w:highlight w:val="none"/>
          <w:lang w:val="en-US" w:eastAsia="zh-CN" w:bidi="ar-SA"/>
        </w:rPr>
        <w:t>格式7  残疾人福利性单位声明函</w:t>
      </w:r>
      <w:bookmarkEnd w:id="118"/>
      <w:bookmarkEnd w:id="119"/>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20" w:name="_Toc1062827402"/>
      <w:bookmarkStart w:id="121" w:name="_Toc2129800646"/>
      <w:bookmarkStart w:id="122" w:name="_Toc315564887"/>
      <w:bookmarkStart w:id="123" w:name="_Toc1093498656"/>
      <w:bookmarkStart w:id="124" w:name="_Toc1229686241"/>
      <w:bookmarkStart w:id="125" w:name="_Toc989815653"/>
      <w:bookmarkStart w:id="126" w:name="_Toc240142232"/>
      <w:bookmarkStart w:id="127" w:name="_Toc579775874"/>
      <w:bookmarkStart w:id="128" w:name="_Toc665197788"/>
      <w:bookmarkStart w:id="129" w:name="_Toc18814"/>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6"/>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41"/>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cs="宋体"/>
          <w:color w:val="auto"/>
          <w:kern w:val="0"/>
          <w:sz w:val="24"/>
          <w:szCs w:val="24"/>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pPr>
        <w:widowControl/>
        <w:spacing w:after="0" w:line="24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pPr>
        <w:pStyle w:val="4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6"/>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商务部分</w:t>
            </w: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30" w:name="_Toc24618"/>
      <w:r>
        <w:rPr>
          <w:rFonts w:hint="eastAsia" w:ascii="宋体" w:hAnsi="宋体" w:eastAsia="宋体" w:cs="宋体"/>
          <w:b/>
          <w:bCs/>
          <w:color w:val="auto"/>
          <w:sz w:val="32"/>
          <w:szCs w:val="32"/>
          <w:highlight w:val="none"/>
        </w:rPr>
        <w:t>格式</w:t>
      </w:r>
      <w:r>
        <w:rPr>
          <w:rFonts w:hint="eastAsia" w:ascii="宋体" w:hAnsi="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47"/>
      <w:bookmarkEnd w:id="130"/>
    </w:p>
    <w:p>
      <w:pPr>
        <w:pStyle w:val="3"/>
        <w:jc w:val="center"/>
        <w:rPr>
          <w:rFonts w:hint="eastAsia" w:ascii="宋体" w:hAnsi="宋体" w:cs="宋体"/>
          <w:b/>
          <w:color w:val="auto"/>
          <w:sz w:val="72"/>
          <w:szCs w:val="72"/>
        </w:rPr>
      </w:pPr>
      <w:bookmarkStart w:id="131" w:name="_Toc17751"/>
      <w:bookmarkStart w:id="132" w:name="_Toc481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31"/>
      <w:bookmarkEnd w:id="132"/>
    </w:p>
    <w:p>
      <w:pPr>
        <w:pStyle w:val="16"/>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6"/>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国家税务总局永泰县税务局2026年物业管理服务采购项目</w:t>
      </w:r>
    </w:p>
    <w:p>
      <w:pPr>
        <w:pStyle w:val="16"/>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ZXWT-2025-501</w:t>
      </w:r>
    </w:p>
    <w:p>
      <w:pPr>
        <w:pStyle w:val="16"/>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国家税务总局永泰县税务局</w:t>
      </w:r>
    </w:p>
    <w:p>
      <w:pPr>
        <w:pStyle w:val="16"/>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国家税务总局永泰县税务局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24</w:t>
      </w:r>
      <w:r>
        <w:rPr>
          <w:rFonts w:hint="eastAsia" w:ascii="宋体" w:hAnsi="宋体" w:eastAsia="宋体" w:cs="宋体"/>
          <w:color w:val="auto"/>
          <w:sz w:val="28"/>
          <w:szCs w:val="28"/>
          <w:highlight w:val="none"/>
        </w:rPr>
        <w:t>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33" w:name="_Toc31314"/>
      <w:bookmarkStart w:id="134" w:name="_Toc132880669"/>
      <w:r>
        <w:rPr>
          <w:rFonts w:hint="eastAsia" w:ascii="宋体" w:hAnsi="宋体" w:eastAsia="宋体" w:cs="宋体"/>
          <w:b/>
          <w:bCs/>
          <w:color w:val="auto"/>
          <w:sz w:val="28"/>
          <w:szCs w:val="28"/>
          <w:highlight w:val="none"/>
        </w:rPr>
        <w:t>第六章  项目采购需求</w:t>
      </w:r>
      <w:bookmarkEnd w:id="133"/>
      <w:bookmarkEnd w:id="134"/>
      <w:bookmarkStart w:id="135" w:name="_Toc132880670"/>
      <w:bookmarkStart w:id="136" w:name="_Toc12903"/>
    </w:p>
    <w:bookmarkEnd w:id="135"/>
    <w:bookmarkEnd w:id="136"/>
    <w:p>
      <w:pPr>
        <w:pStyle w:val="3"/>
        <w:keepNext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4"/>
          <w:szCs w:val="24"/>
          <w:lang w:eastAsia="zh-CN"/>
        </w:rPr>
      </w:pPr>
      <w:bookmarkStart w:id="137" w:name="_Toc256000001"/>
      <w:bookmarkStart w:id="138" w:name="_Toc132880671"/>
      <w:bookmarkStart w:id="139" w:name="_Toc516"/>
      <w:r>
        <w:rPr>
          <w:rFonts w:hint="eastAsia" w:ascii="宋体" w:hAnsi="宋体" w:eastAsia="宋体" w:cs="宋体"/>
          <w:color w:val="auto"/>
          <w:kern w:val="36"/>
          <w:sz w:val="24"/>
          <w:szCs w:val="24"/>
          <w:lang w:val="en-US" w:eastAsia="zh-CN"/>
        </w:rPr>
        <w:t>一、</w:t>
      </w:r>
      <w:r>
        <w:rPr>
          <w:rFonts w:hint="eastAsia" w:ascii="宋体" w:hAnsi="宋体" w:eastAsia="宋体" w:cs="宋体"/>
          <w:color w:val="auto"/>
          <w:kern w:val="36"/>
          <w:sz w:val="24"/>
          <w:szCs w:val="24"/>
          <w:lang w:eastAsia="zh-CN"/>
        </w:rPr>
        <w:t>项目概述</w:t>
      </w:r>
    </w:p>
    <w:p>
      <w:pPr>
        <w:pStyle w:val="4"/>
        <w:keepNext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lang w:eastAsia="zh-CN"/>
        </w:rPr>
        <w:t>1</w:t>
      </w:r>
      <w:r>
        <w:rPr>
          <w:rFonts w:hint="eastAsia" w:ascii="宋体" w:hAnsi="宋体" w:eastAsia="宋体" w:cs="宋体"/>
          <w:i w:val="0"/>
          <w:iCs w:val="0"/>
          <w:color w:val="auto"/>
          <w:sz w:val="24"/>
          <w:szCs w:val="24"/>
          <w:lang w:val="en-US" w:eastAsia="zh-CN"/>
        </w:rPr>
        <w:t>.</w:t>
      </w:r>
      <w:r>
        <w:rPr>
          <w:rFonts w:hint="eastAsia" w:ascii="宋体" w:hAnsi="宋体" w:eastAsia="宋体" w:cs="宋体"/>
          <w:i w:val="0"/>
          <w:iCs w:val="0"/>
          <w:color w:val="auto"/>
          <w:sz w:val="24"/>
          <w:szCs w:val="24"/>
          <w:lang w:eastAsia="zh-CN"/>
        </w:rPr>
        <w:t>项目背景</w:t>
      </w:r>
      <w:bookmarkEnd w:id="137"/>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保障采购单位的良好运行，提高员工的满意度和工作效率，将采购优质的物业服务为龙峰园（县局）和南湖（第二税务分局、樟城分局）提供保洁、公用设施设备的维修、养护等服务。通过引入专业、高效的服务团队，优化管理成本，同时保障服务质量。</w:t>
      </w:r>
    </w:p>
    <w:p>
      <w:pPr>
        <w:pStyle w:val="4"/>
        <w:keepNext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2.采购内容</w:t>
      </w:r>
    </w:p>
    <w:tbl>
      <w:tblPr>
        <w:tblStyle w:val="26"/>
        <w:tblW w:w="89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515"/>
        <w:gridCol w:w="121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4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采购内容及要求</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最高限价</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（万元）</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GB" w:eastAsia="zh-CN" w:bidi="ar-SA"/>
              </w:rPr>
              <w:t>国家税务总局永泰县税务局2026年物业管理服务采购项目</w:t>
            </w:r>
          </w:p>
        </w:tc>
        <w:tc>
          <w:tcPr>
            <w:tcW w:w="4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服务内容包括龙峰园（县局）办公楼保洁、南湖（第二税务分局、樟城分局）办公楼保洁等，具体详见本章文件项目需求。</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w:t>
            </w:r>
          </w:p>
        </w:tc>
        <w:tc>
          <w:tcPr>
            <w:tcW w:w="114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1年</w:t>
            </w:r>
          </w:p>
        </w:tc>
      </w:tr>
    </w:tbl>
    <w:p>
      <w:pPr>
        <w:pStyle w:val="3"/>
        <w:keepNext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default" w:ascii="宋体" w:hAnsi="宋体" w:eastAsia="宋体" w:cs="宋体"/>
          <w:color w:val="auto"/>
          <w:kern w:val="36"/>
          <w:sz w:val="24"/>
          <w:szCs w:val="24"/>
          <w:lang w:val="en-US" w:eastAsia="zh-CN"/>
        </w:rPr>
      </w:pPr>
      <w:r>
        <w:rPr>
          <w:rFonts w:hint="eastAsia" w:ascii="宋体" w:hAnsi="宋体" w:eastAsia="宋体" w:cs="宋体"/>
          <w:color w:val="auto"/>
          <w:kern w:val="36"/>
          <w:sz w:val="24"/>
          <w:szCs w:val="24"/>
          <w:lang w:val="en-US" w:eastAsia="zh-CN"/>
        </w:rPr>
        <w:t>二、项目服务需求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1.一楼大厅：每天上、下午上班前地面至少全面湿拖一次，清除电脑灰尘，玻璃窗擦干净。上班时间尤其梅雨季节随时保洁并及时清除纸屑和烟蒂等杂物，并更换地垫及不间断巡视，确保清洁。</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2.楼梯：每天8:00前或18:00后至少湿拖一次，上午、下午各保洁一次。楼梯扶手每星期一擦洗一次，每天至少保洁一次。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3.过道（包括窗户）：每天8:00前或18:00后至少湿拖一次，上午、下午各保洁一次，窗户玻璃每周至少擦洗一次。公共通道门框、窗框、窗台、金属件表面光亮无尘无污渍；门窗玻璃干净无尘，透光性好；天花板无蛛网；灯具干净无积尘，空调风口干净无污迹；指示牌干净无污渍，指示醒目。</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4.卫生间：上午、下午各冲刷一次，保洁至少两次，确保无异味，卫生间每星期“大卫生”至少保洁一次，包括墙面卫生。</w:t>
      </w:r>
      <w:r>
        <w:rPr>
          <w:rFonts w:hint="eastAsia" w:hAnsi="宋体"/>
          <w:color w:val="auto"/>
          <w:sz w:val="24"/>
          <w:szCs w:val="24"/>
        </w:rPr>
        <w:t>保洁时悬挂醒目标识，保持地面干净，无污渍无积水；洁具洁净，无污渍；门窗、墙壁、隔断、玻璃、窗台表面干净，无污迹，天花板表面无蛛网；换气扇表面无积尘；洗手台干净无污垢；保持空气流通。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5.局领导成员办公室：每天上午、下午上班前均至少一次进行地面湿拖、擦洗窗户、洗刷家具茶具等，并随时做好保洁。</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lang w:val="en-US" w:eastAsia="zh-CN" w:bidi="ar-SA"/>
        </w:rPr>
        <w:t>6.大小会议室（含各类活动室）：根据需要（会前或会后）进行保洁，</w:t>
      </w:r>
      <w:r>
        <w:rPr>
          <w:rFonts w:hint="eastAsia" w:hAnsi="宋体"/>
          <w:color w:val="auto"/>
          <w:sz w:val="24"/>
          <w:szCs w:val="24"/>
        </w:rPr>
        <w:t>会前清洁，会后打扫</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lang w:val="en-US" w:eastAsia="zh-CN" w:bidi="ar-SA"/>
        </w:rPr>
        <w:t>7.值班室：卫生清理及每天更换棉被、床单等（包括洗涤）。</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8.公共区域：一楼后呈（停车场）每天上班前至少清扫一次，并随时保洁、捡拾纸张等杂物，大楼周围公共场所卫生责任区（属于采购人责任区）及大门口（包括花圃内杂物）每天至少扫除一次并随时捡拾纸张等杂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2"/>
          <w:sz w:val="24"/>
          <w:szCs w:val="24"/>
          <w:lang w:val="en-US" w:eastAsia="zh-CN" w:bidi="ar-SA"/>
        </w:rPr>
        <w:t>局办公大楼、招待室的水（含管道疏通等）、电以及简单控制线路安装、维修，</w:t>
      </w:r>
      <w:r>
        <w:rPr>
          <w:rFonts w:hint="eastAsia" w:ascii="宋体" w:hAnsi="宋体" w:eastAsia="宋体" w:cs="宋体"/>
          <w:b/>
          <w:bCs/>
          <w:color w:val="auto"/>
          <w:kern w:val="2"/>
          <w:sz w:val="24"/>
          <w:szCs w:val="24"/>
          <w:lang w:val="en-US" w:eastAsia="zh-CN" w:bidi="ar-SA"/>
        </w:rPr>
        <w:t>所需材料由采购人负责</w:t>
      </w:r>
      <w:r>
        <w:rPr>
          <w:rFonts w:hint="eastAsia" w:ascii="宋体" w:hAnsi="宋体" w:eastAsia="宋体" w:cs="宋体"/>
          <w:color w:val="auto"/>
          <w:kern w:val="2"/>
          <w:sz w:val="24"/>
          <w:szCs w:val="24"/>
          <w:lang w:val="en-US" w:eastAsia="zh-CN" w:bidi="ar-SA"/>
        </w:rPr>
        <w:t>。（除工程项目外，</w:t>
      </w:r>
      <w:r>
        <w:rPr>
          <w:rFonts w:hint="eastAsia" w:ascii="宋体" w:hAnsi="宋体" w:eastAsia="宋体" w:cs="宋体"/>
          <w:b/>
          <w:bCs/>
          <w:color w:val="auto"/>
          <w:kern w:val="2"/>
          <w:sz w:val="24"/>
          <w:szCs w:val="24"/>
          <w:lang w:val="en-US" w:eastAsia="zh-CN" w:bidi="ar-SA"/>
        </w:rPr>
        <w:t>水池每年至少清洗三次，其中夏季两次，冬季一次，保证二次供水卫生达到标准）</w:t>
      </w:r>
      <w:r>
        <w:rPr>
          <w:rFonts w:hint="eastAsia" w:ascii="宋体" w:hAnsi="宋体" w:eastAsia="宋体" w:cs="宋体"/>
          <w:color w:val="auto"/>
          <w:kern w:val="2"/>
          <w:sz w:val="24"/>
          <w:szCs w:val="24"/>
          <w:lang w:val="en-US" w:eastAsia="zh-CN" w:bidi="ar-SA"/>
        </w:rPr>
        <w:t>。成交人安排的水电维修人员需持证上岗，如有安全事故，由成交人负全责。</w:t>
      </w:r>
    </w:p>
    <w:p>
      <w:pPr>
        <w:pStyle w:val="16"/>
        <w:keepNext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lang w:val="en-US" w:eastAsia="zh-CN" w:bidi="ar-SA"/>
        </w:rPr>
        <w:t>10.垃圾桶、果皮箱：垃圾桶内垃圾做到日产日清，垃圾积压不得超过容积的2/3，每日清理一次并套上黑色垃圾袋；垃圾车、池每日冲洗，每半月彻底消杀一次；垃圾桶、果皮箱摆放在指定位置并加盖密闭，桶外壁干净无垃圾粘附物，垃圾场周围无乱倒垃圾现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lang w:val="en-US" w:eastAsia="zh-CN" w:bidi="ar-SA"/>
        </w:rPr>
        <w:t>11.岗位需求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下表对本项目物业服务关键必备的岗位和岗位数进行设置。供应商应在投入本项目人员不少于5名的基础上，遵照国家有关部门和行业相关规定，本着完全履行项目管理服务职责的原则，根据本企业的管理能力、管理经验和管理水平，以本表关键必备的岗位和岗位数设置为基础，科学有效地对项目的所需的岗位和岗位数做整体的合理设置。供应商应根据相关法律、法规规定并结合岗位实际情况，自行制定人力资源配置，但</w:t>
      </w:r>
      <w:r>
        <w:rPr>
          <w:rFonts w:hint="eastAsia" w:ascii="宋体" w:hAnsi="宋体" w:eastAsia="宋体" w:cs="宋体"/>
          <w:b/>
          <w:bCs/>
          <w:color w:val="auto"/>
          <w:kern w:val="2"/>
          <w:sz w:val="24"/>
          <w:szCs w:val="24"/>
          <w:lang w:val="en-US" w:eastAsia="zh-CN" w:bidi="ar-SA"/>
        </w:rPr>
        <w:t>总人数不得低于5人，否则视为无效报价。</w:t>
      </w:r>
    </w:p>
    <w:tbl>
      <w:tblPr>
        <w:tblStyle w:val="26"/>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946"/>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岗位</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岗位数</w:t>
            </w:r>
          </w:p>
        </w:tc>
        <w:tc>
          <w:tcPr>
            <w:tcW w:w="63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保洁人员人员</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3名</w:t>
            </w:r>
          </w:p>
        </w:tc>
        <w:tc>
          <w:tcPr>
            <w:tcW w:w="63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其中龙峰园（县局）办公楼保洁员2名，南湖（第二税务分局、樟城分局）办公楼保洁员1名。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rPr>
              <w:t>身体健康，能吃苦耐劳，有责任心，熟悉日常保洁工作程序，了解相关清洁用具、药剂的种类</w:t>
            </w:r>
            <w:r>
              <w:rPr>
                <w:rFonts w:hint="eastAsia" w:ascii="宋体" w:hAnsi="宋体" w:eastAsia="宋体" w:cs="宋体"/>
                <w:color w:val="auto"/>
                <w:sz w:val="24"/>
                <w:szCs w:val="24"/>
                <w:lang w:val="en"/>
              </w:rPr>
              <w:t>，</w:t>
            </w:r>
            <w:r>
              <w:rPr>
                <w:rFonts w:hint="eastAsia" w:ascii="宋体" w:hAnsi="宋体" w:eastAsia="宋体" w:cs="宋体"/>
                <w:color w:val="auto"/>
                <w:sz w:val="24"/>
                <w:szCs w:val="24"/>
                <w:lang w:val="en" w:eastAsia="zh-CN"/>
              </w:rPr>
              <w:t>熟悉垃圾分类方法，</w:t>
            </w:r>
            <w:r>
              <w:rPr>
                <w:rFonts w:hint="eastAsia" w:ascii="宋体" w:hAnsi="宋体" w:eastAsia="宋体" w:cs="宋体"/>
                <w:color w:val="auto"/>
                <w:sz w:val="24"/>
                <w:szCs w:val="24"/>
              </w:rPr>
              <w:t>按工作程序对辖区内公共区域进行日常定期清扫或不定期清扫保洁，做到按标准化、全方位保洁。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电工</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2名</w:t>
            </w:r>
          </w:p>
        </w:tc>
        <w:tc>
          <w:tcPr>
            <w:tcW w:w="63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其中龙峰园（县局）办公楼电工1名，南湖（第二税务分局、樟城分局）办公楼电工1名。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rPr>
              <w:t>熟悉电气设备的运行、操作与维保，受过专业培训取得岗位从业资格证书，身体健康，能胜任岗位工作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工作认真，有敬业精神。</w:t>
            </w:r>
          </w:p>
        </w:tc>
      </w:tr>
      <w:bookmarkEnd w:id="138"/>
      <w:bookmarkEnd w:id="139"/>
    </w:tbl>
    <w:p>
      <w:pPr>
        <w:keepNext w:val="0"/>
        <w:keepLines w:val="0"/>
        <w:pageBreakBefore w:val="0"/>
        <w:widowControl w:val="0"/>
        <w:kinsoku/>
        <w:wordWrap/>
        <w:overflowPunct/>
        <w:topLinePunct w:val="0"/>
        <w:autoSpaceDE/>
        <w:autoSpaceDN/>
        <w:bidi w:val="0"/>
        <w:adjustRightInd/>
        <w:snapToGrid/>
        <w:spacing w:line="398" w:lineRule="exact"/>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12.</w:t>
      </w:r>
      <w:r>
        <w:rPr>
          <w:rFonts w:hint="eastAsia" w:ascii="宋体" w:hAnsi="宋体" w:eastAsia="宋体" w:cs="宋体"/>
          <w:color w:val="auto"/>
          <w:sz w:val="24"/>
          <w:szCs w:val="24"/>
          <w:lang w:val="en-US" w:eastAsia="zh-CN"/>
        </w:rPr>
        <w:t>成交供应商须指定1名</w:t>
      </w:r>
      <w:r>
        <w:rPr>
          <w:rFonts w:hint="eastAsia" w:ascii="宋体" w:hAnsi="宋体" w:cs="宋体"/>
          <w:color w:val="auto"/>
          <w:sz w:val="24"/>
          <w:szCs w:val="24"/>
          <w:lang w:val="en-US" w:eastAsia="zh-CN"/>
        </w:rPr>
        <w:t>业务管理人员</w:t>
      </w:r>
      <w:r>
        <w:rPr>
          <w:rFonts w:hint="eastAsia" w:ascii="宋体" w:hAnsi="宋体" w:eastAsia="宋体" w:cs="宋体"/>
          <w:color w:val="auto"/>
          <w:sz w:val="24"/>
          <w:szCs w:val="24"/>
          <w:lang w:val="en-US" w:eastAsia="zh-CN"/>
        </w:rPr>
        <w:t>，全权负责本项目的管理工作，并与采购人建立专项对接机制，负责处理本项目相关问题，并出具解决方案。</w:t>
      </w:r>
    </w:p>
    <w:p>
      <w:pPr>
        <w:pStyle w:val="36"/>
        <w:keepNext w:val="0"/>
        <w:keepLines w:val="0"/>
        <w:pageBreakBefore w:val="0"/>
        <w:widowControl w:val="0"/>
        <w:numPr>
          <w:ilvl w:val="0"/>
          <w:numId w:val="0"/>
        </w:numPr>
        <w:kinsoku/>
        <w:wordWrap/>
        <w:overflowPunct w:val="0"/>
        <w:topLinePunct w:val="0"/>
        <w:autoSpaceDE w:val="0"/>
        <w:autoSpaceDN w:val="0"/>
        <w:bidi w:val="0"/>
        <w:adjustRightInd w:val="0"/>
        <w:snapToGrid/>
        <w:spacing w:line="398" w:lineRule="exact"/>
        <w:textAlignment w:val="baseline"/>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商务要求</w:t>
      </w:r>
    </w:p>
    <w:p>
      <w:pPr>
        <w:tabs>
          <w:tab w:val="left" w:pos="425"/>
        </w:tabs>
        <w:autoSpaceDE w:val="0"/>
        <w:autoSpaceDN w:val="0"/>
        <w:adjustRightInd w:val="0"/>
        <w:spacing w:line="360" w:lineRule="auto"/>
        <w:jc w:val="both"/>
        <w:rPr>
          <w:rFonts w:hint="eastAsia" w:ascii="宋体" w:hAnsi="宋体" w:eastAsia="宋体" w:cs="宋体"/>
          <w:color w:val="auto"/>
          <w:kern w:val="2"/>
          <w:sz w:val="24"/>
          <w:szCs w:val="24"/>
          <w:highlight w:val="none"/>
        </w:rPr>
      </w:pPr>
      <w:bookmarkStart w:id="140" w:name="_Toc256000005"/>
      <w:r>
        <w:rPr>
          <w:rFonts w:hint="eastAsia" w:ascii="宋体" w:hAnsi="宋体" w:eastAsia="宋体" w:cs="宋体"/>
          <w:b w:val="0"/>
          <w:bCs w:val="0"/>
          <w:color w:val="auto"/>
          <w:sz w:val="24"/>
          <w:szCs w:val="24"/>
          <w:lang w:val="en-US" w:eastAsia="zh-CN"/>
        </w:rPr>
        <w:t>1.服务期限：1年</w:t>
      </w:r>
      <w:bookmarkStart w:id="141" w:name="_Toc31229"/>
      <w:bookmarkStart w:id="142" w:name="_Toc2136676883"/>
      <w:bookmarkStart w:id="143" w:name="_Toc28737"/>
      <w:bookmarkStart w:id="144" w:name="_Toc28098098"/>
      <w:bookmarkStart w:id="145" w:name="_Toc1754101957"/>
      <w:bookmarkStart w:id="146" w:name="_Toc25362"/>
      <w:bookmarkStart w:id="147" w:name="_Toc585077210"/>
      <w:bookmarkStart w:id="148" w:name="_Toc173317051"/>
      <w:bookmarkStart w:id="149" w:name="_Toc598210196"/>
      <w:bookmarkStart w:id="150" w:name="_Toc871728910"/>
      <w:bookmarkStart w:id="151" w:name="_Toc25567519"/>
      <w:r>
        <w:rPr>
          <w:rFonts w:hint="eastAsia" w:ascii="宋体" w:hAnsi="宋体" w:eastAsia="宋体" w:cs="宋体"/>
          <w:color w:val="auto"/>
          <w:kern w:val="2"/>
          <w:sz w:val="24"/>
          <w:szCs w:val="24"/>
        </w:rPr>
        <w:t>。</w:t>
      </w:r>
    </w:p>
    <w:bookmarkEnd w:id="141"/>
    <w:bookmarkEnd w:id="142"/>
    <w:bookmarkEnd w:id="143"/>
    <w:bookmarkEnd w:id="144"/>
    <w:bookmarkEnd w:id="145"/>
    <w:bookmarkEnd w:id="146"/>
    <w:bookmarkEnd w:id="147"/>
    <w:bookmarkEnd w:id="148"/>
    <w:bookmarkEnd w:id="149"/>
    <w:bookmarkEnd w:id="150"/>
    <w:bookmarkEnd w:id="151"/>
    <w:p>
      <w:pPr>
        <w:pStyle w:val="6"/>
        <w:keepNext w:val="0"/>
        <w:pageBreakBefore w:val="0"/>
        <w:kinsoku/>
        <w:wordWrap/>
        <w:overflowPunct/>
        <w:topLinePunct w:val="0"/>
        <w:autoSpaceDE/>
        <w:autoSpaceDN/>
        <w:bidi w:val="0"/>
        <w:adjustRightInd/>
        <w:snapToGrid/>
        <w:spacing w:before="0" w:after="0" w:line="398" w:lineRule="exact"/>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项目实施</w:t>
      </w:r>
      <w:bookmarkEnd w:id="140"/>
      <w:r>
        <w:rPr>
          <w:rFonts w:hint="eastAsia" w:ascii="宋体" w:hAnsi="宋体" w:eastAsia="宋体" w:cs="宋体"/>
          <w:b w:val="0"/>
          <w:bCs w:val="0"/>
          <w:color w:val="auto"/>
          <w:sz w:val="24"/>
          <w:szCs w:val="24"/>
          <w:lang w:val="en-US" w:eastAsia="zh-CN"/>
        </w:rPr>
        <w:t>地点：</w:t>
      </w:r>
      <w:r>
        <w:rPr>
          <w:rFonts w:hint="eastAsia" w:ascii="宋体" w:hAnsi="宋体" w:cs="宋体"/>
          <w:b w:val="0"/>
          <w:bCs w:val="0"/>
          <w:color w:val="auto"/>
          <w:kern w:val="28"/>
          <w:sz w:val="24"/>
          <w:szCs w:val="24"/>
          <w:lang w:val="en-US" w:eastAsia="zh-CN" w:bidi="ar-SA"/>
        </w:rPr>
        <w:t>国家税务总局永泰县税务局，具</w:t>
      </w:r>
      <w:r>
        <w:rPr>
          <w:rFonts w:hint="eastAsia" w:ascii="宋体" w:hAnsi="宋体" w:eastAsia="宋体" w:cs="宋体"/>
          <w:b w:val="0"/>
          <w:bCs w:val="0"/>
          <w:color w:val="auto"/>
          <w:kern w:val="28"/>
          <w:sz w:val="24"/>
          <w:szCs w:val="24"/>
          <w:lang w:val="en-US" w:eastAsia="zh-CN" w:bidi="ar-SA"/>
        </w:rPr>
        <w:t>体以采购人指定地点为准。</w:t>
      </w:r>
    </w:p>
    <w:p>
      <w:pPr>
        <w:pStyle w:val="6"/>
        <w:keepNext w:val="0"/>
        <w:pageBreakBefore w:val="0"/>
        <w:kinsoku/>
        <w:wordWrap/>
        <w:overflowPunct/>
        <w:topLinePunct w:val="0"/>
        <w:autoSpaceDE/>
        <w:autoSpaceDN/>
        <w:bidi w:val="0"/>
        <w:adjustRightInd/>
        <w:snapToGrid/>
        <w:spacing w:before="0" w:after="0" w:line="398"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8"/>
          <w:sz w:val="24"/>
          <w:szCs w:val="24"/>
          <w:lang w:val="en-US" w:eastAsia="zh-CN" w:bidi="ar-SA"/>
        </w:rPr>
        <w:t xml:space="preserve">3.付款方式：按月支付费用：采购人收到发票后10个工作日之内支付成交供应商上个月的服务费用。成交供应商须提供正式的税务发票。 </w:t>
      </w:r>
      <w:r>
        <w:rPr>
          <w:rFonts w:hint="eastAsia" w:ascii="仿宋_GB2312" w:hAnsi="仿宋_GB2312" w:eastAsia="仿宋_GB2312" w:cs="仿宋_GB2312"/>
          <w:color w:val="auto"/>
          <w:kern w:val="2"/>
          <w:sz w:val="32"/>
          <w:szCs w:val="32"/>
          <w:lang w:val="en-US" w:eastAsia="zh-CN" w:bidi="ar-SA"/>
        </w:rPr>
        <w:t xml:space="preserve">  </w:t>
      </w:r>
    </w:p>
    <w:p>
      <w:pPr>
        <w:pStyle w:val="15"/>
        <w:keepNext w:val="0"/>
        <w:pageBreakBefore w:val="0"/>
        <w:kinsoku/>
        <w:wordWrap/>
        <w:topLinePunct w:val="0"/>
        <w:bidi w:val="0"/>
        <w:snapToGrid/>
        <w:spacing w:line="398" w:lineRule="exact"/>
        <w:ind w:left="0" w:leftChars="0" w:firstLine="0" w:firstLineChars="0"/>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四、其他要求</w:t>
      </w:r>
    </w:p>
    <w:p>
      <w:pPr>
        <w:tabs>
          <w:tab w:val="left" w:pos="425"/>
        </w:tabs>
        <w:autoSpaceDE w:val="0"/>
        <w:autoSpaceDN w:val="0"/>
        <w:adjustRightInd w:val="0"/>
        <w:spacing w:line="360" w:lineRule="auto"/>
        <w:rPr>
          <w:rFonts w:hint="default" w:ascii="宋体" w:hAnsi="宋体" w:eastAsia="宋体" w:cs="宋体"/>
          <w:b w:val="0"/>
          <w:bCs w:val="0"/>
          <w:color w:val="auto"/>
          <w:sz w:val="24"/>
          <w:szCs w:val="24"/>
          <w:highlight w:val="none"/>
          <w:lang w:val="en-US" w:eastAsia="zh-CN" w:bidi="ar"/>
        </w:rPr>
      </w:pPr>
      <w:r>
        <w:rPr>
          <w:rFonts w:hint="eastAsia" w:ascii="宋体" w:hAnsi="宋体" w:eastAsia="宋体" w:cs="宋体"/>
          <w:color w:val="auto"/>
          <w:sz w:val="24"/>
          <w:szCs w:val="24"/>
          <w:lang w:val="en-US" w:eastAsia="zh-CN"/>
        </w:rPr>
        <w:t>1.</w:t>
      </w:r>
      <w:r>
        <w:rPr>
          <w:rFonts w:hint="eastAsia" w:ascii="宋体" w:hAnsi="宋体" w:eastAsia="宋体" w:cs="宋体"/>
          <w:b w:val="0"/>
          <w:bCs w:val="0"/>
          <w:color w:val="auto"/>
          <w:sz w:val="24"/>
          <w:szCs w:val="24"/>
          <w:highlight w:val="none"/>
          <w:lang w:val="en-US" w:eastAsia="zh-CN" w:bidi="ar"/>
        </w:rPr>
        <w:t>服务期限衔接：</w:t>
      </w:r>
      <w:bookmarkStart w:id="152" w:name="OLE_LINK4"/>
      <w:r>
        <w:rPr>
          <w:rFonts w:hint="eastAsia" w:ascii="宋体" w:hAnsi="宋体" w:eastAsia="宋体" w:cs="宋体"/>
          <w:b w:val="0"/>
          <w:bCs w:val="0"/>
          <w:color w:val="auto"/>
          <w:sz w:val="24"/>
          <w:szCs w:val="24"/>
          <w:highlight w:val="none"/>
          <w:lang w:val="en-US" w:eastAsia="zh-CN" w:bidi="ar"/>
        </w:rPr>
        <w:t>服务期限从2026年1月1日起至本项目合同签订前由原物业单位牵头提供服务，该部分服务费用由本项目成交单位承担，成交单位应在收到本项目合同相关款项后，依据本项目成交单价（即成交总金额÷对应服务总天数）乘以过渡期实际服务天数，向原物业单位据实支付。供应商须提供承诺函，否则按无效报价处理。</w:t>
      </w:r>
    </w:p>
    <w:bookmarkEnd w:id="152"/>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98" w:lineRule="exact"/>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文件另有规定外，若出现有关法律、法规和规章有强制性规定但</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文件未列明的情形，则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应按照有关法律、法规和规章强制性规定执行。</w:t>
      </w:r>
    </w:p>
    <w:p>
      <w:pPr>
        <w:tabs>
          <w:tab w:val="left" w:pos="425"/>
        </w:tabs>
        <w:autoSpaceDE w:val="0"/>
        <w:autoSpaceDN w:val="0"/>
        <w:adjustRightInd w:val="0"/>
        <w:spacing w:line="360" w:lineRule="auto"/>
        <w:rPr>
          <w:rFonts w:hint="eastAsia" w:ascii="宋体" w:hAnsi="宋体" w:eastAsia="宋体" w:cs="宋体"/>
          <w:b w:val="0"/>
          <w:bCs w:val="0"/>
          <w:color w:val="auto"/>
          <w:sz w:val="24"/>
          <w:szCs w:val="24"/>
          <w:highlight w:val="none"/>
          <w:lang w:val="en-US" w:eastAsia="zh-CN" w:bidi="ar"/>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bidi="ar"/>
        </w:rPr>
        <w:t>本</w:t>
      </w:r>
      <w:r>
        <w:rPr>
          <w:rFonts w:hint="eastAsia" w:ascii="宋体" w:hAnsi="宋体" w:eastAsia="宋体" w:cs="宋体"/>
          <w:color w:val="auto"/>
          <w:sz w:val="24"/>
          <w:szCs w:val="24"/>
          <w:lang w:eastAsia="zh-CN" w:bidi="ar"/>
        </w:rPr>
        <w:t>磋商文件</w:t>
      </w:r>
      <w:r>
        <w:rPr>
          <w:rFonts w:hint="eastAsia" w:ascii="宋体" w:hAnsi="宋体" w:eastAsia="宋体" w:cs="宋体"/>
          <w:color w:val="auto"/>
          <w:sz w:val="24"/>
          <w:szCs w:val="24"/>
          <w:lang w:bidi="ar"/>
        </w:rPr>
        <w:t>未明确的其它约定事项或条款，待采购人与</w:t>
      </w:r>
      <w:r>
        <w:rPr>
          <w:rFonts w:hint="eastAsia" w:ascii="宋体" w:hAnsi="宋体" w:eastAsia="宋体" w:cs="宋体"/>
          <w:color w:val="auto"/>
          <w:sz w:val="24"/>
          <w:szCs w:val="24"/>
          <w:lang w:eastAsia="zh-CN" w:bidi="ar"/>
        </w:rPr>
        <w:t>成交人</w:t>
      </w:r>
      <w:r>
        <w:rPr>
          <w:rFonts w:hint="eastAsia" w:ascii="宋体" w:hAnsi="宋体" w:eastAsia="宋体" w:cs="宋体"/>
          <w:color w:val="auto"/>
          <w:sz w:val="24"/>
          <w:szCs w:val="24"/>
          <w:lang w:bidi="ar"/>
        </w:rPr>
        <w:t>签订合同时，由双方协商订立。</w:t>
      </w:r>
    </w:p>
    <w:p>
      <w:pPr>
        <w:pStyle w:val="6"/>
        <w:keepNext w:val="0"/>
        <w:pageBreakBefore w:val="0"/>
        <w:kinsoku/>
        <w:wordWrap/>
        <w:overflowPunct/>
        <w:topLinePunct w:val="0"/>
        <w:autoSpaceDE/>
        <w:autoSpaceDN/>
        <w:bidi w:val="0"/>
        <w:adjustRightInd/>
        <w:snapToGrid/>
        <w:spacing w:before="0" w:after="0" w:line="398" w:lineRule="exact"/>
        <w:textAlignment w:val="auto"/>
        <w:rPr>
          <w:rFonts w:hint="eastAsia" w:ascii="宋体" w:hAnsi="宋体" w:eastAsia="宋体" w:cs="宋体"/>
          <w:b w:val="0"/>
          <w:bCs w:val="0"/>
          <w:color w:val="auto"/>
          <w:sz w:val="24"/>
          <w:szCs w:val="24"/>
          <w:lang w:val="en-US" w:eastAsia="zh-CN"/>
        </w:rPr>
      </w:pPr>
    </w:p>
    <w:p>
      <w:pPr>
        <w:keepNext w:val="0"/>
        <w:keepLines w:val="0"/>
        <w:pageBreakBefore w:val="0"/>
        <w:tabs>
          <w:tab w:val="left" w:pos="1135"/>
        </w:tabs>
        <w:kinsoku/>
        <w:wordWrap/>
        <w:overflowPunct/>
        <w:topLinePunct w:val="0"/>
        <w:autoSpaceDE/>
        <w:autoSpaceDN/>
        <w:bidi w:val="0"/>
        <w:adjustRightInd/>
        <w:snapToGrid/>
        <w:spacing w:line="398" w:lineRule="exact"/>
        <w:textAlignment w:val="auto"/>
        <w:rPr>
          <w:rFonts w:hint="default" w:ascii="宋体" w:hAnsi="宋体" w:eastAsia="宋体" w:cs="宋体"/>
          <w:color w:val="auto"/>
          <w:sz w:val="24"/>
          <w:szCs w:val="24"/>
          <w:lang w:val="en-US" w:eastAsia="zh-CN"/>
        </w:rPr>
      </w:pPr>
    </w:p>
    <w:p>
      <w:pPr>
        <w:pStyle w:val="7"/>
        <w:numPr>
          <w:ilvl w:val="0"/>
          <w:numId w:val="0"/>
        </w:numPr>
        <w:ind w:leftChars="200"/>
        <w:rPr>
          <w:rFonts w:hint="eastAsia"/>
          <w:color w:val="auto"/>
        </w:rPr>
      </w:pP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Nimbus Roman No9 L"/>
    <w:panose1 w:val="020B0606020202030204"/>
    <w:charset w:val="00"/>
    <w:family w:val="swiss"/>
    <w:pitch w:val="default"/>
    <w:sig w:usb0="00000000" w:usb1="00000000" w:usb2="00000000" w:usb3="00000000" w:csb0="2000009F" w:csb1="DFD70000"/>
  </w:font>
  <w:font w:name="Cambria">
    <w:altName w:val="FreeSerif"/>
    <w:panose1 w:val="02040503050406030204"/>
    <w:charset w:val="00"/>
    <w:family w:val="roman"/>
    <w:pitch w:val="default"/>
    <w:sig w:usb0="00000000" w:usb1="00000000" w:usb2="02000000" w:usb3="00000000" w:csb0="2000019F" w:csb1="00000000"/>
  </w:font>
  <w:font w:name="方正大标宋简体">
    <w:altName w:val="方正书宋_GBK"/>
    <w:panose1 w:val="02010601030101010101"/>
    <w:charset w:val="86"/>
    <w:family w:val="script"/>
    <w:pitch w:val="default"/>
    <w:sig w:usb0="00000000" w:usb1="00000000" w:usb2="00000000" w:usb3="00000000" w:csb0="00040000" w:csb1="00000000"/>
  </w:font>
  <w:font w:name="MetaPlusLF">
    <w:altName w:val="方正宋体S-超大字符集(SIP)"/>
    <w:panose1 w:val="00000000000000000000"/>
    <w:charset w:val="00"/>
    <w:family w:val="auto"/>
    <w:pitch w:val="default"/>
    <w:sig w:usb0="00000000" w:usb1="00000000" w:usb2="00000000" w:usb3="00000000" w:csb0="00000097" w:csb1="00000000"/>
  </w:font>
  <w:font w:name="Wingdings 2">
    <w:panose1 w:val="05020102010507070707"/>
    <w:charset w:val="02"/>
    <w:family w:val="auto"/>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6Uq5n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pSrmcwBAACJAwAADgAA&#10;AAAAAAABACAAAAA0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JB/h/NAQAAiQMAAA4A&#10;AAAAAAAAAQAgAAAANAEAAGRycy9lMm9Eb2MueG1sUEsFBgAAAAAGAAYAWQEAAHMFA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kP4tTOAQAAiQMAAA4AAABkcnMv&#10;ZTJvRG9jLnhtbK1TS27bMBDdF+gdCO5ryQ5Q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g9+nnUGN7tEs5faOVxxhlQjuzg&#10;exdhTruZF+pfv1Q9/E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ZD+LUzgEAAIkDAAAO&#10;AAAAAAAAAAEAIAAAADQBAABkcnMvZTJvRG9jLnhtbFBLBQYAAAAABgAGAFkBAAB0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DC410"/>
    <w:multiLevelType w:val="singleLevel"/>
    <w:tmpl w:val="418DC410"/>
    <w:lvl w:ilvl="0" w:tentative="0">
      <w:start w:val="1"/>
      <w:numFmt w:val="decimal"/>
      <w:pStyle w:val="8"/>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634488"/>
    <w:rsid w:val="00936276"/>
    <w:rsid w:val="00C14B91"/>
    <w:rsid w:val="00D222AD"/>
    <w:rsid w:val="00FA00A3"/>
    <w:rsid w:val="012D1688"/>
    <w:rsid w:val="013052AA"/>
    <w:rsid w:val="014F219D"/>
    <w:rsid w:val="018C33F1"/>
    <w:rsid w:val="01AC655F"/>
    <w:rsid w:val="01D86637"/>
    <w:rsid w:val="01DD11F5"/>
    <w:rsid w:val="01E0373D"/>
    <w:rsid w:val="02820350"/>
    <w:rsid w:val="02924A37"/>
    <w:rsid w:val="02EB239A"/>
    <w:rsid w:val="0335576D"/>
    <w:rsid w:val="037D0DA7"/>
    <w:rsid w:val="03824AAC"/>
    <w:rsid w:val="03E2006E"/>
    <w:rsid w:val="040D758B"/>
    <w:rsid w:val="04131BA8"/>
    <w:rsid w:val="042B5143"/>
    <w:rsid w:val="045B2BCC"/>
    <w:rsid w:val="047D1717"/>
    <w:rsid w:val="049A4077"/>
    <w:rsid w:val="04A15406"/>
    <w:rsid w:val="04BF5DB3"/>
    <w:rsid w:val="04C63BD8"/>
    <w:rsid w:val="04F574FF"/>
    <w:rsid w:val="050F05C1"/>
    <w:rsid w:val="051D01F9"/>
    <w:rsid w:val="051E6510"/>
    <w:rsid w:val="052A3888"/>
    <w:rsid w:val="057B067D"/>
    <w:rsid w:val="05BA01D6"/>
    <w:rsid w:val="05F85B6E"/>
    <w:rsid w:val="060774EA"/>
    <w:rsid w:val="06913258"/>
    <w:rsid w:val="06AD250A"/>
    <w:rsid w:val="06B07B82"/>
    <w:rsid w:val="06FD0BBC"/>
    <w:rsid w:val="07040256"/>
    <w:rsid w:val="0721282E"/>
    <w:rsid w:val="07342561"/>
    <w:rsid w:val="076F6FBB"/>
    <w:rsid w:val="07991AC0"/>
    <w:rsid w:val="079E7F01"/>
    <w:rsid w:val="081449F9"/>
    <w:rsid w:val="0822060B"/>
    <w:rsid w:val="0898267C"/>
    <w:rsid w:val="08C36927"/>
    <w:rsid w:val="08DA08BA"/>
    <w:rsid w:val="091B0441"/>
    <w:rsid w:val="09401BE1"/>
    <w:rsid w:val="094333A8"/>
    <w:rsid w:val="09510A7C"/>
    <w:rsid w:val="096C5132"/>
    <w:rsid w:val="09A716F6"/>
    <w:rsid w:val="09CA66CE"/>
    <w:rsid w:val="09E33DCA"/>
    <w:rsid w:val="09F9539C"/>
    <w:rsid w:val="0A27015B"/>
    <w:rsid w:val="0A304E58"/>
    <w:rsid w:val="0A530F50"/>
    <w:rsid w:val="0A825391"/>
    <w:rsid w:val="0A8D27DE"/>
    <w:rsid w:val="0ABC39D2"/>
    <w:rsid w:val="0ACC6D0D"/>
    <w:rsid w:val="0AD41C47"/>
    <w:rsid w:val="0ADF4592"/>
    <w:rsid w:val="0AF02450"/>
    <w:rsid w:val="0B3F3282"/>
    <w:rsid w:val="0B5D195B"/>
    <w:rsid w:val="0B654503"/>
    <w:rsid w:val="0B740D11"/>
    <w:rsid w:val="0BC8771C"/>
    <w:rsid w:val="0BD03763"/>
    <w:rsid w:val="0BE34A57"/>
    <w:rsid w:val="0C6B6E73"/>
    <w:rsid w:val="0C7D0506"/>
    <w:rsid w:val="0CA21D1B"/>
    <w:rsid w:val="0CE74EA1"/>
    <w:rsid w:val="0CF3732E"/>
    <w:rsid w:val="0D194323"/>
    <w:rsid w:val="0D1A741A"/>
    <w:rsid w:val="0D297EB1"/>
    <w:rsid w:val="0D4903E8"/>
    <w:rsid w:val="0D6E42F3"/>
    <w:rsid w:val="0D743EDF"/>
    <w:rsid w:val="0D8A34B8"/>
    <w:rsid w:val="0D96694A"/>
    <w:rsid w:val="0DB00748"/>
    <w:rsid w:val="0DBF4B4E"/>
    <w:rsid w:val="0DC27C32"/>
    <w:rsid w:val="0E0E7B83"/>
    <w:rsid w:val="0E213113"/>
    <w:rsid w:val="0E715E49"/>
    <w:rsid w:val="0E7E1417"/>
    <w:rsid w:val="0EC75A69"/>
    <w:rsid w:val="0EE20AF5"/>
    <w:rsid w:val="0EF9473A"/>
    <w:rsid w:val="0F0A5C76"/>
    <w:rsid w:val="0F3700D7"/>
    <w:rsid w:val="0F67514A"/>
    <w:rsid w:val="0FAC491B"/>
    <w:rsid w:val="0FC06ED2"/>
    <w:rsid w:val="0FD85A54"/>
    <w:rsid w:val="0FEF53FB"/>
    <w:rsid w:val="10340294"/>
    <w:rsid w:val="10463305"/>
    <w:rsid w:val="105700BF"/>
    <w:rsid w:val="105B30F1"/>
    <w:rsid w:val="10612472"/>
    <w:rsid w:val="108F6A5A"/>
    <w:rsid w:val="10A9762F"/>
    <w:rsid w:val="10B11D8F"/>
    <w:rsid w:val="10B46161"/>
    <w:rsid w:val="10F56DD4"/>
    <w:rsid w:val="11196324"/>
    <w:rsid w:val="1130461F"/>
    <w:rsid w:val="11380EA0"/>
    <w:rsid w:val="11427629"/>
    <w:rsid w:val="11553800"/>
    <w:rsid w:val="118539B9"/>
    <w:rsid w:val="124F16C1"/>
    <w:rsid w:val="12650510"/>
    <w:rsid w:val="126975C3"/>
    <w:rsid w:val="12764506"/>
    <w:rsid w:val="1287490F"/>
    <w:rsid w:val="12B55B84"/>
    <w:rsid w:val="12BD6CF7"/>
    <w:rsid w:val="12EF1A32"/>
    <w:rsid w:val="13076BFB"/>
    <w:rsid w:val="13517FF7"/>
    <w:rsid w:val="137133DE"/>
    <w:rsid w:val="13D6315D"/>
    <w:rsid w:val="13EB3FA7"/>
    <w:rsid w:val="14171240"/>
    <w:rsid w:val="14A3624C"/>
    <w:rsid w:val="14B05032"/>
    <w:rsid w:val="14BC76F2"/>
    <w:rsid w:val="14FC60B6"/>
    <w:rsid w:val="152C35F9"/>
    <w:rsid w:val="15353DDC"/>
    <w:rsid w:val="15576C00"/>
    <w:rsid w:val="155E1D5B"/>
    <w:rsid w:val="156E4DA1"/>
    <w:rsid w:val="158929F6"/>
    <w:rsid w:val="15A07014"/>
    <w:rsid w:val="16421E79"/>
    <w:rsid w:val="165C118C"/>
    <w:rsid w:val="165D68C3"/>
    <w:rsid w:val="16AD19E8"/>
    <w:rsid w:val="16B80B15"/>
    <w:rsid w:val="16C3745D"/>
    <w:rsid w:val="16E92044"/>
    <w:rsid w:val="172B0B5F"/>
    <w:rsid w:val="172F6E5D"/>
    <w:rsid w:val="172F7842"/>
    <w:rsid w:val="1767428D"/>
    <w:rsid w:val="17FA4672"/>
    <w:rsid w:val="18131F69"/>
    <w:rsid w:val="18575DED"/>
    <w:rsid w:val="189D389E"/>
    <w:rsid w:val="18F2402A"/>
    <w:rsid w:val="190264B9"/>
    <w:rsid w:val="19185CD4"/>
    <w:rsid w:val="19235F91"/>
    <w:rsid w:val="195E16BF"/>
    <w:rsid w:val="19831B12"/>
    <w:rsid w:val="19916771"/>
    <w:rsid w:val="199B570B"/>
    <w:rsid w:val="19A66F03"/>
    <w:rsid w:val="19C07C84"/>
    <w:rsid w:val="19CF6119"/>
    <w:rsid w:val="1A0F6C1A"/>
    <w:rsid w:val="1A1D1E6A"/>
    <w:rsid w:val="1A262A10"/>
    <w:rsid w:val="1A2E706A"/>
    <w:rsid w:val="1A385A6D"/>
    <w:rsid w:val="1A5255B1"/>
    <w:rsid w:val="1A7465D8"/>
    <w:rsid w:val="1A8A0842"/>
    <w:rsid w:val="1AAB76FC"/>
    <w:rsid w:val="1AED4FBA"/>
    <w:rsid w:val="1B067919"/>
    <w:rsid w:val="1B501C36"/>
    <w:rsid w:val="1B8756CA"/>
    <w:rsid w:val="1BE418C7"/>
    <w:rsid w:val="1C166281"/>
    <w:rsid w:val="1C49522F"/>
    <w:rsid w:val="1C624076"/>
    <w:rsid w:val="1C9D1FFD"/>
    <w:rsid w:val="1C9D512C"/>
    <w:rsid w:val="1CD961B0"/>
    <w:rsid w:val="1CE200AB"/>
    <w:rsid w:val="1D0401B4"/>
    <w:rsid w:val="1D086921"/>
    <w:rsid w:val="1D127003"/>
    <w:rsid w:val="1D2109F3"/>
    <w:rsid w:val="1D2642A2"/>
    <w:rsid w:val="1D3505EC"/>
    <w:rsid w:val="1D36039F"/>
    <w:rsid w:val="1D8A53D5"/>
    <w:rsid w:val="1D9C08F7"/>
    <w:rsid w:val="1DD66A34"/>
    <w:rsid w:val="1DEB7BDC"/>
    <w:rsid w:val="1DEF2C3F"/>
    <w:rsid w:val="1E065784"/>
    <w:rsid w:val="1E110AAE"/>
    <w:rsid w:val="1E276C97"/>
    <w:rsid w:val="1E297E7C"/>
    <w:rsid w:val="1E2F7187"/>
    <w:rsid w:val="1E314019"/>
    <w:rsid w:val="1E326C77"/>
    <w:rsid w:val="1E3429EF"/>
    <w:rsid w:val="1E3C6ED2"/>
    <w:rsid w:val="1E605592"/>
    <w:rsid w:val="1F705CA9"/>
    <w:rsid w:val="1FC33BE4"/>
    <w:rsid w:val="20F76668"/>
    <w:rsid w:val="212E6EB9"/>
    <w:rsid w:val="21582E98"/>
    <w:rsid w:val="21626FF0"/>
    <w:rsid w:val="21983295"/>
    <w:rsid w:val="21A12149"/>
    <w:rsid w:val="21BC6F83"/>
    <w:rsid w:val="226D6AA8"/>
    <w:rsid w:val="227069BF"/>
    <w:rsid w:val="22954F1C"/>
    <w:rsid w:val="22B673C3"/>
    <w:rsid w:val="22D66761"/>
    <w:rsid w:val="22E97F8E"/>
    <w:rsid w:val="23005595"/>
    <w:rsid w:val="231F6A45"/>
    <w:rsid w:val="23322606"/>
    <w:rsid w:val="233A0E7B"/>
    <w:rsid w:val="23623B5A"/>
    <w:rsid w:val="23720241"/>
    <w:rsid w:val="23751ADF"/>
    <w:rsid w:val="23A10440"/>
    <w:rsid w:val="23E91856"/>
    <w:rsid w:val="23F1071B"/>
    <w:rsid w:val="2468430B"/>
    <w:rsid w:val="247D4C5A"/>
    <w:rsid w:val="2516711F"/>
    <w:rsid w:val="25186BC6"/>
    <w:rsid w:val="251D43AD"/>
    <w:rsid w:val="25270E21"/>
    <w:rsid w:val="254D37F4"/>
    <w:rsid w:val="256A4F48"/>
    <w:rsid w:val="258C69CF"/>
    <w:rsid w:val="26395046"/>
    <w:rsid w:val="263A491A"/>
    <w:rsid w:val="268C786C"/>
    <w:rsid w:val="26B30DF0"/>
    <w:rsid w:val="26D22DCF"/>
    <w:rsid w:val="26F23447"/>
    <w:rsid w:val="26F471BF"/>
    <w:rsid w:val="26FD3074"/>
    <w:rsid w:val="27027B2E"/>
    <w:rsid w:val="272150D3"/>
    <w:rsid w:val="272E1AD7"/>
    <w:rsid w:val="27535103"/>
    <w:rsid w:val="27603EA8"/>
    <w:rsid w:val="27E7113F"/>
    <w:rsid w:val="27EF027C"/>
    <w:rsid w:val="28165840"/>
    <w:rsid w:val="281E30AB"/>
    <w:rsid w:val="287A6993"/>
    <w:rsid w:val="289E6B98"/>
    <w:rsid w:val="28A04ED3"/>
    <w:rsid w:val="28BB61E6"/>
    <w:rsid w:val="29057B0C"/>
    <w:rsid w:val="29163C7F"/>
    <w:rsid w:val="296A07EA"/>
    <w:rsid w:val="29C16A0B"/>
    <w:rsid w:val="29F4303F"/>
    <w:rsid w:val="29FD45DD"/>
    <w:rsid w:val="29FD5225"/>
    <w:rsid w:val="2A0C4820"/>
    <w:rsid w:val="2A105854"/>
    <w:rsid w:val="2A111E36"/>
    <w:rsid w:val="2A174443"/>
    <w:rsid w:val="2A1C74B2"/>
    <w:rsid w:val="2A3B7451"/>
    <w:rsid w:val="2A5744DB"/>
    <w:rsid w:val="2A577B8D"/>
    <w:rsid w:val="2A6665E2"/>
    <w:rsid w:val="2A8F44B4"/>
    <w:rsid w:val="2B2E7A6E"/>
    <w:rsid w:val="2B404781"/>
    <w:rsid w:val="2B4101B8"/>
    <w:rsid w:val="2B696830"/>
    <w:rsid w:val="2B8F5708"/>
    <w:rsid w:val="2BD837BD"/>
    <w:rsid w:val="2BEF1E49"/>
    <w:rsid w:val="2C0559CB"/>
    <w:rsid w:val="2C1B476C"/>
    <w:rsid w:val="2C25135A"/>
    <w:rsid w:val="2C444745"/>
    <w:rsid w:val="2C8608B9"/>
    <w:rsid w:val="2CC90802"/>
    <w:rsid w:val="2CDF446E"/>
    <w:rsid w:val="2CDF621C"/>
    <w:rsid w:val="2D2D25FE"/>
    <w:rsid w:val="2D367DBD"/>
    <w:rsid w:val="2D7746A6"/>
    <w:rsid w:val="2D800808"/>
    <w:rsid w:val="2D855015"/>
    <w:rsid w:val="2D9E60D7"/>
    <w:rsid w:val="2DD218DC"/>
    <w:rsid w:val="2DD35D80"/>
    <w:rsid w:val="2E0979F4"/>
    <w:rsid w:val="2EBF00B3"/>
    <w:rsid w:val="2F6628DC"/>
    <w:rsid w:val="2F6B65A7"/>
    <w:rsid w:val="2F7754DD"/>
    <w:rsid w:val="2F8337D6"/>
    <w:rsid w:val="2F837375"/>
    <w:rsid w:val="2FA8516F"/>
    <w:rsid w:val="2FC305C0"/>
    <w:rsid w:val="30010B15"/>
    <w:rsid w:val="30185CCC"/>
    <w:rsid w:val="30215B55"/>
    <w:rsid w:val="302E3742"/>
    <w:rsid w:val="3034062C"/>
    <w:rsid w:val="30556BCF"/>
    <w:rsid w:val="30B3181E"/>
    <w:rsid w:val="30C6397A"/>
    <w:rsid w:val="31177BD5"/>
    <w:rsid w:val="31252C6C"/>
    <w:rsid w:val="314444BE"/>
    <w:rsid w:val="31BD45C7"/>
    <w:rsid w:val="32081D71"/>
    <w:rsid w:val="321E77E6"/>
    <w:rsid w:val="322841C1"/>
    <w:rsid w:val="32A01F1E"/>
    <w:rsid w:val="32A221C5"/>
    <w:rsid w:val="32E14A9C"/>
    <w:rsid w:val="32FF3174"/>
    <w:rsid w:val="331108DD"/>
    <w:rsid w:val="333B34C9"/>
    <w:rsid w:val="334E5EA9"/>
    <w:rsid w:val="33527747"/>
    <w:rsid w:val="33582884"/>
    <w:rsid w:val="33AD2BD0"/>
    <w:rsid w:val="33C7466E"/>
    <w:rsid w:val="33D61160"/>
    <w:rsid w:val="340E3279"/>
    <w:rsid w:val="340F5638"/>
    <w:rsid w:val="341F4EA4"/>
    <w:rsid w:val="342235BE"/>
    <w:rsid w:val="34346E4D"/>
    <w:rsid w:val="34580754"/>
    <w:rsid w:val="3485672A"/>
    <w:rsid w:val="34980548"/>
    <w:rsid w:val="34A855D3"/>
    <w:rsid w:val="34C732E5"/>
    <w:rsid w:val="35074561"/>
    <w:rsid w:val="354632DC"/>
    <w:rsid w:val="35642908"/>
    <w:rsid w:val="3592331F"/>
    <w:rsid w:val="35A53185"/>
    <w:rsid w:val="35B7678E"/>
    <w:rsid w:val="35D11B70"/>
    <w:rsid w:val="36394BEF"/>
    <w:rsid w:val="36496DE4"/>
    <w:rsid w:val="36E64520"/>
    <w:rsid w:val="36F76C4D"/>
    <w:rsid w:val="37222F49"/>
    <w:rsid w:val="373602E2"/>
    <w:rsid w:val="37461371"/>
    <w:rsid w:val="37611E7D"/>
    <w:rsid w:val="37863E63"/>
    <w:rsid w:val="37A020E5"/>
    <w:rsid w:val="37AB38CA"/>
    <w:rsid w:val="37BC7885"/>
    <w:rsid w:val="37CA2279"/>
    <w:rsid w:val="37E666B0"/>
    <w:rsid w:val="38267DA4"/>
    <w:rsid w:val="382F1BF9"/>
    <w:rsid w:val="384D3CF2"/>
    <w:rsid w:val="38514471"/>
    <w:rsid w:val="38602622"/>
    <w:rsid w:val="387E5179"/>
    <w:rsid w:val="3885411B"/>
    <w:rsid w:val="38935C71"/>
    <w:rsid w:val="390F1D1B"/>
    <w:rsid w:val="39331DC9"/>
    <w:rsid w:val="394D0F3D"/>
    <w:rsid w:val="3962445C"/>
    <w:rsid w:val="39642E69"/>
    <w:rsid w:val="39780E69"/>
    <w:rsid w:val="39FE7D95"/>
    <w:rsid w:val="3A5C6756"/>
    <w:rsid w:val="3A62434D"/>
    <w:rsid w:val="3A6C39BB"/>
    <w:rsid w:val="3A723312"/>
    <w:rsid w:val="3ADE3FB6"/>
    <w:rsid w:val="3BE42422"/>
    <w:rsid w:val="3C2C7FB3"/>
    <w:rsid w:val="3C4936B2"/>
    <w:rsid w:val="3C59493B"/>
    <w:rsid w:val="3CD92F40"/>
    <w:rsid w:val="3D2B057A"/>
    <w:rsid w:val="3D4F538F"/>
    <w:rsid w:val="3D820C29"/>
    <w:rsid w:val="3D8D6CC9"/>
    <w:rsid w:val="3D8D7E8B"/>
    <w:rsid w:val="3D8F6DAC"/>
    <w:rsid w:val="3DA9265A"/>
    <w:rsid w:val="3DEB2C72"/>
    <w:rsid w:val="3DFD29A6"/>
    <w:rsid w:val="3E1C47FE"/>
    <w:rsid w:val="3E701D54"/>
    <w:rsid w:val="3E766F36"/>
    <w:rsid w:val="3E9C09D1"/>
    <w:rsid w:val="3ED63997"/>
    <w:rsid w:val="3EDE7B8A"/>
    <w:rsid w:val="3EE35F2B"/>
    <w:rsid w:val="3EFB5137"/>
    <w:rsid w:val="3F702A77"/>
    <w:rsid w:val="3FBA180C"/>
    <w:rsid w:val="3FBD32CD"/>
    <w:rsid w:val="3FC96FE3"/>
    <w:rsid w:val="3FEA1E48"/>
    <w:rsid w:val="3FF1682D"/>
    <w:rsid w:val="401133A3"/>
    <w:rsid w:val="402C3D57"/>
    <w:rsid w:val="40411F10"/>
    <w:rsid w:val="40774FC4"/>
    <w:rsid w:val="40BF3F42"/>
    <w:rsid w:val="40E165AE"/>
    <w:rsid w:val="40F736DC"/>
    <w:rsid w:val="41015D92"/>
    <w:rsid w:val="411A4E32"/>
    <w:rsid w:val="412E1EDF"/>
    <w:rsid w:val="41505924"/>
    <w:rsid w:val="41847666"/>
    <w:rsid w:val="41CF5EAE"/>
    <w:rsid w:val="4208730F"/>
    <w:rsid w:val="42162288"/>
    <w:rsid w:val="423A2F5F"/>
    <w:rsid w:val="424B7176"/>
    <w:rsid w:val="424C79A5"/>
    <w:rsid w:val="42DC702D"/>
    <w:rsid w:val="430B3CE2"/>
    <w:rsid w:val="432A1125"/>
    <w:rsid w:val="43321338"/>
    <w:rsid w:val="4346094B"/>
    <w:rsid w:val="4352109E"/>
    <w:rsid w:val="43747DE7"/>
    <w:rsid w:val="43955508"/>
    <w:rsid w:val="44163BD3"/>
    <w:rsid w:val="443C3945"/>
    <w:rsid w:val="44472BCC"/>
    <w:rsid w:val="448A3F42"/>
    <w:rsid w:val="44A2581D"/>
    <w:rsid w:val="44AC2A30"/>
    <w:rsid w:val="44D426B2"/>
    <w:rsid w:val="453B6B56"/>
    <w:rsid w:val="45486BFC"/>
    <w:rsid w:val="45742769"/>
    <w:rsid w:val="4602765B"/>
    <w:rsid w:val="46252A99"/>
    <w:rsid w:val="462E5DF2"/>
    <w:rsid w:val="466B2BA2"/>
    <w:rsid w:val="46C027C2"/>
    <w:rsid w:val="46D47A5D"/>
    <w:rsid w:val="46E11CFC"/>
    <w:rsid w:val="47021D0D"/>
    <w:rsid w:val="4725703C"/>
    <w:rsid w:val="473016F6"/>
    <w:rsid w:val="47741147"/>
    <w:rsid w:val="47837EA6"/>
    <w:rsid w:val="47AA594C"/>
    <w:rsid w:val="47B02837"/>
    <w:rsid w:val="482A213A"/>
    <w:rsid w:val="483E62C5"/>
    <w:rsid w:val="485853A8"/>
    <w:rsid w:val="487877F8"/>
    <w:rsid w:val="489F114E"/>
    <w:rsid w:val="48A76866"/>
    <w:rsid w:val="48DA5DBD"/>
    <w:rsid w:val="49465201"/>
    <w:rsid w:val="4970701E"/>
    <w:rsid w:val="49BA14B8"/>
    <w:rsid w:val="49DC7913"/>
    <w:rsid w:val="4A365988"/>
    <w:rsid w:val="4A657B03"/>
    <w:rsid w:val="4A99106D"/>
    <w:rsid w:val="4AA047C0"/>
    <w:rsid w:val="4ACE3700"/>
    <w:rsid w:val="4AD741E7"/>
    <w:rsid w:val="4AE83552"/>
    <w:rsid w:val="4B09426C"/>
    <w:rsid w:val="4B6577C5"/>
    <w:rsid w:val="4B823380"/>
    <w:rsid w:val="4BB15521"/>
    <w:rsid w:val="4BBB44A5"/>
    <w:rsid w:val="4BFA0524"/>
    <w:rsid w:val="4C4F4680"/>
    <w:rsid w:val="4CC74B2D"/>
    <w:rsid w:val="4CE33A94"/>
    <w:rsid w:val="4D0D7549"/>
    <w:rsid w:val="4D1A2C2C"/>
    <w:rsid w:val="4D1C13E2"/>
    <w:rsid w:val="4DA97542"/>
    <w:rsid w:val="4DBA5D92"/>
    <w:rsid w:val="4DE374C2"/>
    <w:rsid w:val="4DEF5FB2"/>
    <w:rsid w:val="4E294664"/>
    <w:rsid w:val="4E381C20"/>
    <w:rsid w:val="4E4B5462"/>
    <w:rsid w:val="4E5C54C6"/>
    <w:rsid w:val="4E9B0E76"/>
    <w:rsid w:val="4EF70F4D"/>
    <w:rsid w:val="4F166011"/>
    <w:rsid w:val="4F2B1620"/>
    <w:rsid w:val="4F367AC5"/>
    <w:rsid w:val="4F76490F"/>
    <w:rsid w:val="4F7D56F4"/>
    <w:rsid w:val="4FAE2C40"/>
    <w:rsid w:val="4FF04118"/>
    <w:rsid w:val="4FF97471"/>
    <w:rsid w:val="50BC1CBA"/>
    <w:rsid w:val="50D37CC2"/>
    <w:rsid w:val="5153094C"/>
    <w:rsid w:val="51571AC4"/>
    <w:rsid w:val="51DF2696"/>
    <w:rsid w:val="51E732F9"/>
    <w:rsid w:val="51EE0B2B"/>
    <w:rsid w:val="521368F9"/>
    <w:rsid w:val="521C7446"/>
    <w:rsid w:val="52291791"/>
    <w:rsid w:val="52642870"/>
    <w:rsid w:val="52851158"/>
    <w:rsid w:val="52A35472"/>
    <w:rsid w:val="52C43A4A"/>
    <w:rsid w:val="52D55768"/>
    <w:rsid w:val="52D675F5"/>
    <w:rsid w:val="53373E0C"/>
    <w:rsid w:val="5362532D"/>
    <w:rsid w:val="536315A2"/>
    <w:rsid w:val="53807561"/>
    <w:rsid w:val="53842339"/>
    <w:rsid w:val="538D7DC6"/>
    <w:rsid w:val="5393369F"/>
    <w:rsid w:val="549F3E5A"/>
    <w:rsid w:val="54B043D5"/>
    <w:rsid w:val="54E56216"/>
    <w:rsid w:val="54F361BA"/>
    <w:rsid w:val="54FE4194"/>
    <w:rsid w:val="554C11A0"/>
    <w:rsid w:val="557E60A6"/>
    <w:rsid w:val="55A3516F"/>
    <w:rsid w:val="55A710C4"/>
    <w:rsid w:val="56097CE2"/>
    <w:rsid w:val="56474D13"/>
    <w:rsid w:val="56902DE6"/>
    <w:rsid w:val="56B608E9"/>
    <w:rsid w:val="56E72AAE"/>
    <w:rsid w:val="56E76370"/>
    <w:rsid w:val="56F24C1A"/>
    <w:rsid w:val="56F27A24"/>
    <w:rsid w:val="57460F48"/>
    <w:rsid w:val="57806831"/>
    <w:rsid w:val="57C405A4"/>
    <w:rsid w:val="57C96FA8"/>
    <w:rsid w:val="57E84079"/>
    <w:rsid w:val="58112E7E"/>
    <w:rsid w:val="583A2891"/>
    <w:rsid w:val="58871392"/>
    <w:rsid w:val="58BF6D7E"/>
    <w:rsid w:val="58ED38EB"/>
    <w:rsid w:val="58F27FB5"/>
    <w:rsid w:val="59487E7E"/>
    <w:rsid w:val="594A4899"/>
    <w:rsid w:val="59896FFD"/>
    <w:rsid w:val="59975605"/>
    <w:rsid w:val="59D11078"/>
    <w:rsid w:val="5A025174"/>
    <w:rsid w:val="5A203F0F"/>
    <w:rsid w:val="5A3C3A68"/>
    <w:rsid w:val="5A4E632B"/>
    <w:rsid w:val="5A905E1F"/>
    <w:rsid w:val="5ADC3C17"/>
    <w:rsid w:val="5B02690F"/>
    <w:rsid w:val="5B2259DD"/>
    <w:rsid w:val="5B234C47"/>
    <w:rsid w:val="5B81656C"/>
    <w:rsid w:val="5BA04C44"/>
    <w:rsid w:val="5BB756DE"/>
    <w:rsid w:val="5BFB3AD0"/>
    <w:rsid w:val="5C1F7933"/>
    <w:rsid w:val="5C4D3E66"/>
    <w:rsid w:val="5C502CD5"/>
    <w:rsid w:val="5C63415A"/>
    <w:rsid w:val="5C7B120D"/>
    <w:rsid w:val="5C7E51EF"/>
    <w:rsid w:val="5C9A11AC"/>
    <w:rsid w:val="5C9A36ED"/>
    <w:rsid w:val="5CDD2E08"/>
    <w:rsid w:val="5CEB6393"/>
    <w:rsid w:val="5D4D4958"/>
    <w:rsid w:val="5D502C05"/>
    <w:rsid w:val="5D5A0361"/>
    <w:rsid w:val="5D5E2ADB"/>
    <w:rsid w:val="5D7B00ED"/>
    <w:rsid w:val="5DA65D3F"/>
    <w:rsid w:val="5DAB78D0"/>
    <w:rsid w:val="5DDC7A41"/>
    <w:rsid w:val="5E13627E"/>
    <w:rsid w:val="5E484F5D"/>
    <w:rsid w:val="5E766130"/>
    <w:rsid w:val="5EFC6636"/>
    <w:rsid w:val="5F0A5107"/>
    <w:rsid w:val="5F322057"/>
    <w:rsid w:val="5F326B0D"/>
    <w:rsid w:val="5F351B48"/>
    <w:rsid w:val="5FD62FB0"/>
    <w:rsid w:val="600B2582"/>
    <w:rsid w:val="608D2202"/>
    <w:rsid w:val="60E170B6"/>
    <w:rsid w:val="613320B7"/>
    <w:rsid w:val="6155074D"/>
    <w:rsid w:val="615F42B7"/>
    <w:rsid w:val="61AD3C17"/>
    <w:rsid w:val="61F335F4"/>
    <w:rsid w:val="61F555BE"/>
    <w:rsid w:val="62141908"/>
    <w:rsid w:val="62345AB8"/>
    <w:rsid w:val="626E767C"/>
    <w:rsid w:val="62A0377C"/>
    <w:rsid w:val="62A32961"/>
    <w:rsid w:val="630F26B0"/>
    <w:rsid w:val="632B6F6F"/>
    <w:rsid w:val="63575CD7"/>
    <w:rsid w:val="63676BEB"/>
    <w:rsid w:val="63A63014"/>
    <w:rsid w:val="63BE595B"/>
    <w:rsid w:val="63E1404C"/>
    <w:rsid w:val="63FC03BF"/>
    <w:rsid w:val="644C3E86"/>
    <w:rsid w:val="644E6121"/>
    <w:rsid w:val="644F346C"/>
    <w:rsid w:val="645804F2"/>
    <w:rsid w:val="645B3DFE"/>
    <w:rsid w:val="648669A1"/>
    <w:rsid w:val="64B70842"/>
    <w:rsid w:val="64EB5CE2"/>
    <w:rsid w:val="651E4E2C"/>
    <w:rsid w:val="659770B8"/>
    <w:rsid w:val="65AF7D19"/>
    <w:rsid w:val="65CE72E4"/>
    <w:rsid w:val="65EA3213"/>
    <w:rsid w:val="660303B6"/>
    <w:rsid w:val="66081136"/>
    <w:rsid w:val="6642102A"/>
    <w:rsid w:val="6643057B"/>
    <w:rsid w:val="66560D21"/>
    <w:rsid w:val="668A4527"/>
    <w:rsid w:val="66F27700"/>
    <w:rsid w:val="6711080E"/>
    <w:rsid w:val="673920B8"/>
    <w:rsid w:val="673E5311"/>
    <w:rsid w:val="67446DCC"/>
    <w:rsid w:val="674C3ED2"/>
    <w:rsid w:val="677F6056"/>
    <w:rsid w:val="67990649"/>
    <w:rsid w:val="67C075ED"/>
    <w:rsid w:val="67E1286C"/>
    <w:rsid w:val="67ED7BA3"/>
    <w:rsid w:val="67EE0AE5"/>
    <w:rsid w:val="67EE6D37"/>
    <w:rsid w:val="68184B4C"/>
    <w:rsid w:val="68190914"/>
    <w:rsid w:val="682816DB"/>
    <w:rsid w:val="68364B4E"/>
    <w:rsid w:val="686D7CF2"/>
    <w:rsid w:val="68760798"/>
    <w:rsid w:val="688C50C8"/>
    <w:rsid w:val="68C006D4"/>
    <w:rsid w:val="691E4361"/>
    <w:rsid w:val="697175FF"/>
    <w:rsid w:val="6972034D"/>
    <w:rsid w:val="698D0391"/>
    <w:rsid w:val="69CA13F4"/>
    <w:rsid w:val="69CE52E6"/>
    <w:rsid w:val="69F820EF"/>
    <w:rsid w:val="6A010FA4"/>
    <w:rsid w:val="6A1F55DC"/>
    <w:rsid w:val="6A2C3B47"/>
    <w:rsid w:val="6A2F53C6"/>
    <w:rsid w:val="6A3C6480"/>
    <w:rsid w:val="6A6F7879"/>
    <w:rsid w:val="6A7C4ACE"/>
    <w:rsid w:val="6ABE6E95"/>
    <w:rsid w:val="6AFE45F0"/>
    <w:rsid w:val="6B244066"/>
    <w:rsid w:val="6BEA3CBA"/>
    <w:rsid w:val="6C256E6C"/>
    <w:rsid w:val="6C3C2767"/>
    <w:rsid w:val="6C7F2654"/>
    <w:rsid w:val="6CD70FC1"/>
    <w:rsid w:val="6CE81868"/>
    <w:rsid w:val="6D286848"/>
    <w:rsid w:val="6D3A7005"/>
    <w:rsid w:val="6D5A5FF6"/>
    <w:rsid w:val="6D761CA9"/>
    <w:rsid w:val="6DAB6738"/>
    <w:rsid w:val="6DE80D4D"/>
    <w:rsid w:val="6E1D01E8"/>
    <w:rsid w:val="6E2214E9"/>
    <w:rsid w:val="6E280154"/>
    <w:rsid w:val="6E763D12"/>
    <w:rsid w:val="6EFA2466"/>
    <w:rsid w:val="6EFF79D2"/>
    <w:rsid w:val="6F121862"/>
    <w:rsid w:val="6F35524C"/>
    <w:rsid w:val="6F7B5355"/>
    <w:rsid w:val="6F977CB5"/>
    <w:rsid w:val="6FA66085"/>
    <w:rsid w:val="6FBB727C"/>
    <w:rsid w:val="6FF611BD"/>
    <w:rsid w:val="70231548"/>
    <w:rsid w:val="7035375F"/>
    <w:rsid w:val="704F058F"/>
    <w:rsid w:val="706C6A24"/>
    <w:rsid w:val="707029DF"/>
    <w:rsid w:val="70CC53D1"/>
    <w:rsid w:val="70D56CE6"/>
    <w:rsid w:val="70FC5D5F"/>
    <w:rsid w:val="71157B57"/>
    <w:rsid w:val="715841AA"/>
    <w:rsid w:val="71A52B5D"/>
    <w:rsid w:val="71BC3A02"/>
    <w:rsid w:val="71D5102E"/>
    <w:rsid w:val="71DE6D28"/>
    <w:rsid w:val="72025EDD"/>
    <w:rsid w:val="720F6228"/>
    <w:rsid w:val="72323CC5"/>
    <w:rsid w:val="723C62EB"/>
    <w:rsid w:val="728E2A0C"/>
    <w:rsid w:val="73092C77"/>
    <w:rsid w:val="73726B40"/>
    <w:rsid w:val="73813691"/>
    <w:rsid w:val="73F14A9B"/>
    <w:rsid w:val="74017DF2"/>
    <w:rsid w:val="74143FCA"/>
    <w:rsid w:val="74581611"/>
    <w:rsid w:val="74A311D9"/>
    <w:rsid w:val="74C00BCC"/>
    <w:rsid w:val="74FF2584"/>
    <w:rsid w:val="7524274C"/>
    <w:rsid w:val="756949EA"/>
    <w:rsid w:val="75CF1810"/>
    <w:rsid w:val="75FB0851"/>
    <w:rsid w:val="76172A46"/>
    <w:rsid w:val="76391AC6"/>
    <w:rsid w:val="764D5DFB"/>
    <w:rsid w:val="765D7381"/>
    <w:rsid w:val="770374F5"/>
    <w:rsid w:val="773F1043"/>
    <w:rsid w:val="77846CDF"/>
    <w:rsid w:val="778D20C9"/>
    <w:rsid w:val="78591FAB"/>
    <w:rsid w:val="785B608D"/>
    <w:rsid w:val="7866427B"/>
    <w:rsid w:val="786A41B8"/>
    <w:rsid w:val="78782D79"/>
    <w:rsid w:val="788F1E71"/>
    <w:rsid w:val="78D23E9B"/>
    <w:rsid w:val="78FE7F71"/>
    <w:rsid w:val="790520F8"/>
    <w:rsid w:val="790D027A"/>
    <w:rsid w:val="790E6A01"/>
    <w:rsid w:val="79110227"/>
    <w:rsid w:val="796B7990"/>
    <w:rsid w:val="79E24222"/>
    <w:rsid w:val="7A6A4943"/>
    <w:rsid w:val="7A6B4218"/>
    <w:rsid w:val="7AAB0E79"/>
    <w:rsid w:val="7AB636E5"/>
    <w:rsid w:val="7AD26045"/>
    <w:rsid w:val="7ADE6D11"/>
    <w:rsid w:val="7AE07C8F"/>
    <w:rsid w:val="7AEF4E49"/>
    <w:rsid w:val="7B034450"/>
    <w:rsid w:val="7B160627"/>
    <w:rsid w:val="7B1F16CA"/>
    <w:rsid w:val="7B205002"/>
    <w:rsid w:val="7B711D02"/>
    <w:rsid w:val="7B7A3ACB"/>
    <w:rsid w:val="7BB045D8"/>
    <w:rsid w:val="7BB06386"/>
    <w:rsid w:val="7BB51BEE"/>
    <w:rsid w:val="7BC04649"/>
    <w:rsid w:val="7BDD2EF3"/>
    <w:rsid w:val="7C0E12FE"/>
    <w:rsid w:val="7C7B5CFE"/>
    <w:rsid w:val="7D4476CE"/>
    <w:rsid w:val="7D4A280A"/>
    <w:rsid w:val="7D875D80"/>
    <w:rsid w:val="7D935010"/>
    <w:rsid w:val="7DB60C46"/>
    <w:rsid w:val="7DEA7A4F"/>
    <w:rsid w:val="7DEB50B3"/>
    <w:rsid w:val="7E0C70D4"/>
    <w:rsid w:val="7E26761A"/>
    <w:rsid w:val="7E4A7A99"/>
    <w:rsid w:val="7E4D4360"/>
    <w:rsid w:val="7E824121"/>
    <w:rsid w:val="7E9A1CEA"/>
    <w:rsid w:val="7E9D7499"/>
    <w:rsid w:val="7EEE0574"/>
    <w:rsid w:val="7EF053B6"/>
    <w:rsid w:val="7F201A88"/>
    <w:rsid w:val="7F4E791B"/>
    <w:rsid w:val="7F517E80"/>
    <w:rsid w:val="7F547A24"/>
    <w:rsid w:val="7FD15EF6"/>
    <w:rsid w:val="7FDCC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16">
    <w:name w:val="Plain Text"/>
    <w:basedOn w:val="1"/>
    <w:unhideWhenUsed/>
    <w:qFormat/>
    <w:uiPriority w:val="99"/>
    <w:rPr>
      <w:rFonts w:ascii="宋体" w:hAnsi="Courier New" w:eastAsia="宋体" w:cs="Courier New"/>
      <w:szCs w:val="21"/>
    </w:rPr>
  </w:style>
  <w:style w:type="paragraph" w:styleId="17">
    <w:name w:val="Body Text Indent 2"/>
    <w:basedOn w:val="1"/>
    <w:qFormat/>
    <w:uiPriority w:val="0"/>
    <w:pPr>
      <w:spacing w:line="360" w:lineRule="auto"/>
      <w:ind w:firstLine="480" w:firstLineChars="200"/>
      <w:jc w:val="left"/>
    </w:pPr>
    <w:rPr>
      <w:rFonts w:hAnsi="Arial Narrow"/>
      <w:sz w:val="24"/>
      <w:szCs w:val="21"/>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4">
    <w:name w:val="Title"/>
    <w:basedOn w:val="1"/>
    <w:next w:val="1"/>
    <w:qFormat/>
    <w:uiPriority w:val="0"/>
    <w:pPr>
      <w:spacing w:before="240" w:after="60"/>
      <w:jc w:val="center"/>
      <w:outlineLvl w:val="1"/>
    </w:pPr>
    <w:rPr>
      <w:rFonts w:ascii="Cambria" w:hAnsi="Cambria"/>
      <w:b/>
      <w:bCs/>
      <w:sz w:val="32"/>
      <w:szCs w:val="32"/>
    </w:rPr>
  </w:style>
  <w:style w:type="paragraph" w:styleId="25">
    <w:name w:val="Body Text First Indent 2"/>
    <w:basedOn w:val="14"/>
    <w:next w:val="1"/>
    <w:qFormat/>
    <w:uiPriority w:val="99"/>
    <w:pPr>
      <w:tabs>
        <w:tab w:val="left" w:pos="4606"/>
      </w:tabs>
      <w:ind w:firstLine="420"/>
    </w:pPr>
  </w:style>
  <w:style w:type="table" w:styleId="27">
    <w:name w:val="Table Grid"/>
    <w:basedOn w:val="2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99"/>
  </w:style>
  <w:style w:type="character" w:styleId="31">
    <w:name w:val="Hyperlink"/>
    <w:unhideWhenUsed/>
    <w:qFormat/>
    <w:uiPriority w:val="99"/>
    <w:rPr>
      <w:color w:val="0000FF"/>
      <w:u w:val="single"/>
    </w:rPr>
  </w:style>
  <w:style w:type="paragraph" w:customStyle="1" w:styleId="32">
    <w:name w:val="样式 标题 3 + (中文) 黑体 小四 非加粗 段前: 7.8 磅 段后: 0 磅 行距: 固定值 20 磅_0"/>
    <w:basedOn w:val="33"/>
    <w:qFormat/>
    <w:uiPriority w:val="0"/>
    <w:pPr>
      <w:spacing w:before="0" w:after="0" w:line="400" w:lineRule="exact"/>
    </w:pPr>
    <w:rPr>
      <w:rFonts w:ascii="Times New Roman" w:hAnsi="Times New Roman" w:eastAsia="黑体" w:cs="宋体"/>
      <w:b w:val="0"/>
      <w:bCs w:val="0"/>
      <w:sz w:val="21"/>
      <w:szCs w:val="20"/>
    </w:rPr>
  </w:style>
  <w:style w:type="paragraph" w:customStyle="1" w:styleId="33">
    <w:name w:val="标题 3_0"/>
    <w:basedOn w:val="34"/>
    <w:next w:val="35"/>
    <w:qFormat/>
    <w:uiPriority w:val="0"/>
    <w:pPr>
      <w:keepNext/>
      <w:keepLines/>
      <w:spacing w:before="260" w:after="260" w:line="416" w:lineRule="auto"/>
      <w:outlineLvl w:val="2"/>
    </w:pPr>
    <w:rPr>
      <w:rFonts w:ascii="Calibri" w:hAnsi="Calibri"/>
      <w:b/>
      <w:bCs/>
      <w:sz w:val="32"/>
      <w:szCs w:val="32"/>
    </w:rPr>
  </w:style>
  <w:style w:type="paragraph" w:customStyle="1" w:styleId="34">
    <w:name w:val="正文_0"/>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1"/>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Fließtext"/>
    <w:basedOn w:val="1"/>
    <w:qFormat/>
    <w:uiPriority w:val="99"/>
    <w:pPr>
      <w:overflowPunct w:val="0"/>
      <w:autoSpaceDE w:val="0"/>
      <w:autoSpaceDN w:val="0"/>
      <w:adjustRightInd w:val="0"/>
      <w:textAlignment w:val="baseline"/>
    </w:pPr>
    <w:rPr>
      <w:kern w:val="28"/>
      <w:szCs w:val="20"/>
    </w:rPr>
  </w:style>
  <w:style w:type="paragraph" w:customStyle="1" w:styleId="37">
    <w:name w:val="首行缩进"/>
    <w:basedOn w:val="1"/>
    <w:qFormat/>
    <w:uiPriority w:val="0"/>
    <w:pPr>
      <w:ind w:firstLine="480" w:firstLineChars="200"/>
    </w:pPr>
    <w:rPr>
      <w:lang w:val="zh-CN"/>
    </w:rPr>
  </w:style>
  <w:style w:type="paragraph" w:customStyle="1" w:styleId="38">
    <w:name w:val="正文（缩进）"/>
    <w:basedOn w:val="1"/>
    <w:qFormat/>
    <w:uiPriority w:val="99"/>
    <w:pPr>
      <w:spacing w:before="156" w:after="156"/>
      <w:ind w:firstLine="480"/>
    </w:pPr>
  </w:style>
  <w:style w:type="paragraph" w:customStyle="1" w:styleId="39">
    <w:name w:val="null3"/>
    <w:qFormat/>
    <w:uiPriority w:val="0"/>
    <w:rPr>
      <w:rFonts w:hint="eastAsia" w:ascii="Calibri" w:hAnsi="Calibri" w:eastAsia="宋体" w:cs="Times New Roman"/>
      <w:lang w:val="en-US" w:eastAsia="zh-CN" w:bidi="ar-SA"/>
    </w:rPr>
  </w:style>
  <w:style w:type="paragraph" w:customStyle="1" w:styleId="40">
    <w:name w:val="样式1"/>
    <w:basedOn w:val="1"/>
    <w:qFormat/>
    <w:uiPriority w:val="0"/>
    <w:pPr>
      <w:jc w:val="center"/>
    </w:pPr>
    <w:rPr>
      <w:rFonts w:eastAsia="方正大标宋简体"/>
      <w:sz w:val="52"/>
    </w:rPr>
  </w:style>
  <w:style w:type="paragraph" w:customStyle="1" w:styleId="41">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2">
    <w:name w:val="edittexttarea"/>
    <w:basedOn w:val="28"/>
    <w:qFormat/>
    <w:uiPriority w:val="0"/>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8">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9">
    <w:name w:val="p0"/>
    <w:basedOn w:val="1"/>
    <w:qFormat/>
    <w:uiPriority w:val="0"/>
    <w:pPr>
      <w:widowControl/>
    </w:pPr>
    <w:rPr>
      <w:kern w:val="0"/>
      <w:sz w:val="20"/>
      <w:szCs w:val="21"/>
    </w:rPr>
  </w:style>
  <w:style w:type="paragraph" w:customStyle="1" w:styleId="50">
    <w:name w:val="MsoNormal"/>
    <w:basedOn w:val="1"/>
    <w:qFormat/>
    <w:uiPriority w:val="0"/>
  </w:style>
  <w:style w:type="paragraph" w:customStyle="1" w:styleId="51">
    <w:name w:val="无间隔"/>
    <w:qFormat/>
    <w:uiPriority w:val="1"/>
    <w:pPr>
      <w:ind w:hanging="720"/>
    </w:pPr>
    <w:rPr>
      <w:rFonts w:ascii="Calibri" w:hAnsi="Calibri" w:eastAsia="宋体" w:cs="宋体"/>
      <w:kern w:val="2"/>
      <w:sz w:val="21"/>
      <w:szCs w:val="22"/>
      <w:lang w:val="en-US" w:eastAsia="zh-CN" w:bidi="ar-SA"/>
    </w:rPr>
  </w:style>
  <w:style w:type="paragraph" w:customStyle="1" w:styleId="52">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22578</Words>
  <Characters>24246</Characters>
  <Lines>0</Lines>
  <Paragraphs>0</Paragraphs>
  <TotalTime>36</TotalTime>
  <ScaleCrop>false</ScaleCrop>
  <LinksUpToDate>false</LinksUpToDate>
  <CharactersWithSpaces>24996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2024-06-04T20:42:00Z</dcterms:created>
  <dc:creator>Administrator</dc:creator>
  <cp:lastModifiedBy>kylin</cp:lastModifiedBy>
  <cp:lastPrinted>2026-01-04T17:21:00Z</cp:lastPrinted>
  <dcterms:modified xsi:type="dcterms:W3CDTF">2026-01-06T14:51:15Z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5A684CF71DFE43088EFB05A2F74B2680_13</vt:lpwstr>
  </property>
  <property fmtid="{D5CDD505-2E9C-101B-9397-08002B2CF9AE}" pid="4" name="KSOTemplateDocerSaveRecord">
    <vt:lpwstr>eyJoZGlkIjoiNTE4MjBmYTQzMmM1NWViZjBlYmRiMzgyMzY0MWI0ZTYiLCJ1c2VySWQiOiI3MDIzMzI3NzUifQ==</vt:lpwstr>
  </property>
</Properties>
</file>