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4BDF3">
      <w:pPr>
        <w:pStyle w:val="17"/>
        <w:shd w:val="clear"/>
        <w:rPr>
          <w:rFonts w:hint="eastAsia" w:ascii="宋体" w:hAnsi="宋体" w:cs="宋体"/>
          <w:sz w:val="32"/>
          <w:szCs w:val="32"/>
        </w:rPr>
      </w:pPr>
    </w:p>
    <w:p w14:paraId="32338BED">
      <w:pPr>
        <w:shd w:val="clear"/>
        <w:topLinePunct/>
        <w:autoSpaceDE w:val="0"/>
        <w:autoSpaceDN w:val="0"/>
        <w:jc w:val="center"/>
        <w:rPr>
          <w:rFonts w:hint="eastAsia" w:ascii="宋体" w:hAnsi="宋体" w:eastAsia="宋体" w:cs="宋体"/>
          <w:bCs/>
          <w:sz w:val="96"/>
          <w:szCs w:val="96"/>
        </w:rPr>
      </w:pPr>
      <w:bookmarkStart w:id="0" w:name="OLE_LINK8"/>
      <w:r>
        <w:rPr>
          <w:rFonts w:hint="eastAsia" w:ascii="宋体" w:hAnsi="宋体" w:eastAsia="宋体" w:cs="宋体"/>
          <w:bCs/>
          <w:sz w:val="96"/>
          <w:szCs w:val="96"/>
        </w:rPr>
        <w:t>招 标 文 件</w:t>
      </w:r>
    </w:p>
    <w:p w14:paraId="0375B45A">
      <w:pPr>
        <w:shd w:val="clear"/>
        <w:topLinePunct/>
        <w:autoSpaceDE w:val="0"/>
        <w:autoSpaceDN w:val="0"/>
        <w:spacing w:line="60" w:lineRule="exact"/>
        <w:jc w:val="center"/>
        <w:rPr>
          <w:rFonts w:hint="eastAsia" w:ascii="宋体" w:hAnsi="宋体" w:eastAsia="宋体" w:cs="宋体"/>
          <w:bCs/>
          <w:sz w:val="32"/>
          <w:szCs w:val="32"/>
        </w:rPr>
      </w:pPr>
    </w:p>
    <w:p w14:paraId="72A68809">
      <w:pPr>
        <w:shd w:val="clear"/>
        <w:topLinePunct/>
        <w:autoSpaceDE w:val="0"/>
        <w:autoSpaceDN w:val="0"/>
        <w:snapToGrid w:val="0"/>
        <w:jc w:val="center"/>
        <w:rPr>
          <w:rFonts w:hint="eastAsia" w:ascii="宋体" w:hAnsi="宋体" w:eastAsia="宋体" w:cs="宋体"/>
          <w:bCs/>
          <w:sz w:val="40"/>
          <w:szCs w:val="40"/>
        </w:rPr>
      </w:pPr>
      <w:r>
        <w:rPr>
          <w:rFonts w:hint="eastAsia" w:ascii="宋体" w:hAnsi="宋体" w:eastAsia="宋体" w:cs="宋体"/>
          <w:bCs/>
          <w:sz w:val="40"/>
          <w:szCs w:val="40"/>
        </w:rPr>
        <w:t>（商务部分）</w:t>
      </w:r>
    </w:p>
    <w:p w14:paraId="7ABCD6B2">
      <w:pPr>
        <w:shd w:val="clear"/>
        <w:topLinePunct/>
        <w:autoSpaceDE w:val="0"/>
        <w:autoSpaceDN w:val="0"/>
        <w:snapToGrid w:val="0"/>
        <w:rPr>
          <w:rFonts w:hint="eastAsia" w:ascii="宋体" w:hAnsi="宋体" w:eastAsia="宋体" w:cs="宋体"/>
          <w:bCs/>
          <w:sz w:val="40"/>
          <w:szCs w:val="40"/>
        </w:rPr>
      </w:pPr>
    </w:p>
    <w:p w14:paraId="3AEE5D3E">
      <w:pPr>
        <w:shd w:val="clear"/>
        <w:jc w:val="center"/>
        <w:rPr>
          <w:rFonts w:hint="eastAsia" w:ascii="宋体" w:hAnsi="宋体" w:eastAsia="宋体" w:cs="宋体"/>
          <w:sz w:val="24"/>
          <w:szCs w:val="24"/>
        </w:rPr>
      </w:pPr>
    </w:p>
    <w:p w14:paraId="7C291A15">
      <w:pPr>
        <w:shd w:val="clear"/>
        <w:jc w:val="center"/>
        <w:rPr>
          <w:rFonts w:hint="eastAsia" w:ascii="宋体" w:hAnsi="宋体" w:eastAsia="宋体" w:cs="宋体"/>
          <w:sz w:val="24"/>
          <w:szCs w:val="24"/>
        </w:rPr>
      </w:pPr>
    </w:p>
    <w:p w14:paraId="17F82E26">
      <w:pPr>
        <w:shd w:val="clear"/>
        <w:spacing w:line="480" w:lineRule="exact"/>
        <w:jc w:val="center"/>
        <w:rPr>
          <w:rFonts w:hint="eastAsia" w:ascii="宋体" w:hAnsi="宋体" w:eastAsia="宋体" w:cs="宋体"/>
          <w:sz w:val="24"/>
          <w:szCs w:val="24"/>
        </w:rPr>
      </w:pPr>
    </w:p>
    <w:p w14:paraId="0EC75378">
      <w:pPr>
        <w:shd w:val="clear"/>
        <w:spacing w:line="480" w:lineRule="exact"/>
        <w:jc w:val="center"/>
        <w:rPr>
          <w:rFonts w:hint="eastAsia" w:ascii="宋体" w:hAnsi="宋体" w:eastAsia="宋体" w:cs="宋体"/>
          <w:sz w:val="24"/>
          <w:szCs w:val="24"/>
        </w:rPr>
      </w:pPr>
    </w:p>
    <w:p w14:paraId="74E9FB2D">
      <w:pPr>
        <w:shd w:val="clear"/>
        <w:spacing w:line="480" w:lineRule="exact"/>
        <w:jc w:val="center"/>
        <w:rPr>
          <w:rFonts w:hint="eastAsia" w:ascii="宋体" w:hAnsi="宋体" w:eastAsia="宋体" w:cs="宋体"/>
          <w:sz w:val="24"/>
          <w:szCs w:val="24"/>
        </w:rPr>
      </w:pPr>
    </w:p>
    <w:p w14:paraId="1BFE4B3D">
      <w:pPr>
        <w:shd w:val="clear"/>
        <w:spacing w:line="480" w:lineRule="exact"/>
        <w:jc w:val="center"/>
        <w:rPr>
          <w:rFonts w:hint="eastAsia" w:ascii="宋体" w:hAnsi="宋体" w:eastAsia="宋体" w:cs="宋体"/>
          <w:sz w:val="24"/>
          <w:szCs w:val="24"/>
          <w:highlight w:val="none"/>
        </w:rPr>
      </w:pPr>
    </w:p>
    <w:p w14:paraId="488F0E73">
      <w:pPr>
        <w:shd w:val="clear"/>
        <w:spacing w:line="48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国家税务总局福州市税务局2025-2028年度采购物业管理服务项目</w:t>
      </w:r>
    </w:p>
    <w:p w14:paraId="40BD7D6F">
      <w:pPr>
        <w:shd w:val="clear"/>
        <w:spacing w:line="480" w:lineRule="exact"/>
        <w:jc w:val="center"/>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项目编号：</w:t>
      </w:r>
      <w:r>
        <w:rPr>
          <w:rFonts w:hint="eastAsia" w:ascii="宋体" w:hAnsi="宋体" w:eastAsia="宋体" w:cs="宋体"/>
          <w:sz w:val="32"/>
          <w:szCs w:val="32"/>
          <w:highlight w:val="none"/>
          <w:u w:val="single"/>
        </w:rPr>
        <w:t>FJ2025-DLGK-C0050-B00</w:t>
      </w:r>
    </w:p>
    <w:p w14:paraId="77F7A8F0">
      <w:pPr>
        <w:shd w:val="clear"/>
        <w:spacing w:line="48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采 购 人：</w:t>
      </w:r>
      <w:r>
        <w:rPr>
          <w:rFonts w:hint="eastAsia" w:ascii="宋体" w:hAnsi="宋体" w:eastAsia="宋体" w:cs="宋体"/>
          <w:sz w:val="32"/>
          <w:szCs w:val="32"/>
          <w:highlight w:val="none"/>
          <w:u w:val="single"/>
        </w:rPr>
        <w:t>国家税务总局福州市税务局</w:t>
      </w:r>
    </w:p>
    <w:p w14:paraId="2A1F172D">
      <w:pPr>
        <w:shd w:val="clear"/>
        <w:spacing w:line="48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采购代理机构：</w:t>
      </w:r>
      <w:r>
        <w:rPr>
          <w:rFonts w:hint="eastAsia" w:ascii="宋体" w:hAnsi="宋体" w:eastAsia="宋体" w:cs="宋体"/>
          <w:sz w:val="32"/>
          <w:szCs w:val="32"/>
          <w:highlight w:val="none"/>
          <w:u w:val="single"/>
        </w:rPr>
        <w:t>福建省中亿通招标咨询有限公司</w:t>
      </w:r>
    </w:p>
    <w:p w14:paraId="7246010E">
      <w:pPr>
        <w:shd w:val="clear"/>
        <w:topLinePunct/>
        <w:autoSpaceDE w:val="0"/>
        <w:autoSpaceDN w:val="0"/>
        <w:spacing w:line="480" w:lineRule="exact"/>
        <w:rPr>
          <w:rFonts w:hint="eastAsia" w:ascii="宋体" w:hAnsi="宋体" w:eastAsia="宋体" w:cs="宋体"/>
          <w:sz w:val="32"/>
          <w:szCs w:val="32"/>
          <w:highlight w:val="none"/>
        </w:rPr>
      </w:pPr>
    </w:p>
    <w:p w14:paraId="728140AA">
      <w:pPr>
        <w:shd w:val="clear"/>
        <w:topLinePunct/>
        <w:autoSpaceDE w:val="0"/>
        <w:autoSpaceDN w:val="0"/>
        <w:spacing w:line="480" w:lineRule="exact"/>
        <w:jc w:val="center"/>
        <w:rPr>
          <w:rFonts w:hint="eastAsia" w:ascii="宋体" w:hAnsi="宋体" w:eastAsia="宋体" w:cs="宋体"/>
          <w:sz w:val="32"/>
          <w:szCs w:val="32"/>
          <w:highlight w:val="none"/>
        </w:rPr>
      </w:pPr>
    </w:p>
    <w:p w14:paraId="12B9E993">
      <w:pPr>
        <w:shd w:val="clear"/>
        <w:topLinePunct/>
        <w:autoSpaceDE w:val="0"/>
        <w:autoSpaceDN w:val="0"/>
        <w:spacing w:line="480" w:lineRule="exact"/>
        <w:jc w:val="center"/>
        <w:rPr>
          <w:rFonts w:hint="eastAsia" w:ascii="宋体" w:hAnsi="宋体" w:eastAsia="宋体" w:cs="宋体"/>
          <w:sz w:val="32"/>
          <w:szCs w:val="32"/>
          <w:highlight w:val="none"/>
        </w:rPr>
      </w:pPr>
    </w:p>
    <w:p w14:paraId="6C887C5A">
      <w:pPr>
        <w:shd w:val="clear"/>
        <w:topLinePunct/>
        <w:autoSpaceDE w:val="0"/>
        <w:autoSpaceDN w:val="0"/>
        <w:spacing w:line="480" w:lineRule="exact"/>
        <w:jc w:val="center"/>
        <w:rPr>
          <w:rFonts w:hint="eastAsia" w:ascii="宋体" w:hAnsi="宋体" w:eastAsia="宋体" w:cs="宋体"/>
          <w:sz w:val="32"/>
          <w:szCs w:val="32"/>
          <w:highlight w:val="none"/>
        </w:rPr>
      </w:pPr>
    </w:p>
    <w:p w14:paraId="6641F159">
      <w:pPr>
        <w:shd w:val="clear"/>
        <w:topLinePunct/>
        <w:autoSpaceDE w:val="0"/>
        <w:autoSpaceDN w:val="0"/>
        <w:spacing w:line="480" w:lineRule="exact"/>
        <w:jc w:val="center"/>
        <w:rPr>
          <w:rFonts w:hint="eastAsia" w:ascii="宋体" w:hAnsi="宋体" w:eastAsia="宋体" w:cs="宋体"/>
          <w:sz w:val="32"/>
          <w:szCs w:val="32"/>
          <w:highlight w:val="none"/>
        </w:rPr>
      </w:pPr>
    </w:p>
    <w:p w14:paraId="68A12697">
      <w:pPr>
        <w:shd w:val="clear"/>
        <w:topLinePunct/>
        <w:autoSpaceDE w:val="0"/>
        <w:autoSpaceDN w:val="0"/>
        <w:spacing w:line="480" w:lineRule="exact"/>
        <w:jc w:val="center"/>
        <w:rPr>
          <w:rFonts w:hint="eastAsia" w:ascii="宋体" w:hAnsi="宋体" w:eastAsia="宋体" w:cs="宋体"/>
          <w:sz w:val="32"/>
          <w:szCs w:val="32"/>
          <w:highlight w:val="none"/>
        </w:rPr>
      </w:pPr>
    </w:p>
    <w:p w14:paraId="1A987D9F">
      <w:pPr>
        <w:shd w:val="clear"/>
        <w:topLinePunct/>
        <w:autoSpaceDE w:val="0"/>
        <w:autoSpaceDN w:val="0"/>
        <w:spacing w:line="480" w:lineRule="exact"/>
        <w:jc w:val="center"/>
        <w:rPr>
          <w:rFonts w:hint="eastAsia" w:ascii="宋体" w:hAnsi="宋体" w:eastAsia="宋体" w:cs="宋体"/>
          <w:sz w:val="32"/>
          <w:szCs w:val="32"/>
          <w:highlight w:val="none"/>
        </w:rPr>
      </w:pPr>
    </w:p>
    <w:p w14:paraId="73D76201">
      <w:pPr>
        <w:shd w:val="clear"/>
        <w:topLinePunct/>
        <w:autoSpaceDE w:val="0"/>
        <w:autoSpaceDN w:val="0"/>
        <w:spacing w:line="480" w:lineRule="exact"/>
        <w:jc w:val="center"/>
        <w:rPr>
          <w:rFonts w:hint="eastAsia" w:ascii="宋体" w:hAnsi="宋体" w:eastAsia="宋体" w:cs="宋体"/>
          <w:sz w:val="32"/>
          <w:szCs w:val="32"/>
          <w:highlight w:val="none"/>
        </w:rPr>
      </w:pPr>
    </w:p>
    <w:p w14:paraId="130C72F9">
      <w:pPr>
        <w:shd w:val="clear"/>
        <w:topLinePunct/>
        <w:autoSpaceDE w:val="0"/>
        <w:autoSpaceDN w:val="0"/>
        <w:spacing w:line="480" w:lineRule="exact"/>
        <w:jc w:val="center"/>
        <w:rPr>
          <w:rFonts w:hint="eastAsia" w:ascii="宋体" w:hAnsi="宋体" w:eastAsia="宋体" w:cs="宋体"/>
          <w:sz w:val="32"/>
          <w:szCs w:val="32"/>
          <w:highlight w:val="none"/>
        </w:rPr>
      </w:pPr>
    </w:p>
    <w:p w14:paraId="7C0D743F">
      <w:pPr>
        <w:shd w:val="clear"/>
        <w:topLinePunct/>
        <w:autoSpaceDE w:val="0"/>
        <w:autoSpaceDN w:val="0"/>
        <w:spacing w:line="48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国家税务总局福州市税务局</w:t>
      </w:r>
    </w:p>
    <w:p w14:paraId="663A82FA">
      <w:pPr>
        <w:shd w:val="clear"/>
        <w:spacing w:line="480" w:lineRule="exact"/>
        <w:jc w:val="center"/>
        <w:rPr>
          <w:rFonts w:hint="eastAsia" w:ascii="宋体" w:hAnsi="宋体" w:eastAsia="宋体" w:cs="宋体"/>
          <w:sz w:val="40"/>
          <w:szCs w:val="40"/>
          <w:highlight w:val="none"/>
        </w:rPr>
      </w:pPr>
      <w:r>
        <w:rPr>
          <w:rFonts w:hint="eastAsia" w:ascii="宋体" w:hAnsi="宋体" w:eastAsia="宋体" w:cs="宋体"/>
          <w:sz w:val="32"/>
          <w:szCs w:val="32"/>
          <w:highlight w:val="none"/>
        </w:rPr>
        <w:t>2025年</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日</w:t>
      </w:r>
    </w:p>
    <w:bookmarkEnd w:id="0"/>
    <w:p w14:paraId="1FF62BE8">
      <w:pPr>
        <w:shd w:val="clear"/>
        <w:rPr>
          <w:rFonts w:hint="eastAsia" w:ascii="宋体" w:hAnsi="宋体" w:eastAsia="宋体" w:cs="宋体"/>
          <w:sz w:val="32"/>
          <w:szCs w:val="32"/>
          <w:highlight w:val="none"/>
        </w:rPr>
      </w:pPr>
    </w:p>
    <w:p w14:paraId="7FACB044">
      <w:pPr>
        <w:shd w:val="clear"/>
        <w:rPr>
          <w:rFonts w:hint="eastAsia" w:ascii="宋体" w:hAnsi="宋体" w:eastAsia="宋体" w:cs="宋体"/>
          <w:sz w:val="32"/>
          <w:szCs w:val="32"/>
          <w:highlight w:val="none"/>
        </w:rPr>
        <w:sectPr>
          <w:footerReference r:id="rId3" w:type="default"/>
          <w:pgSz w:w="11906" w:h="16838"/>
          <w:pgMar w:top="1440" w:right="1752" w:bottom="1440" w:left="1752" w:header="851" w:footer="992" w:gutter="0"/>
          <w:cols w:space="720" w:num="1"/>
          <w:docGrid w:type="lines" w:linePitch="312" w:charSpace="0"/>
        </w:sectPr>
      </w:pPr>
    </w:p>
    <w:p w14:paraId="60A7A368">
      <w:pPr>
        <w:shd w:val="clear"/>
        <w:jc w:val="center"/>
        <w:rPr>
          <w:rFonts w:hint="eastAsia" w:ascii="宋体" w:hAnsi="宋体" w:eastAsia="宋体" w:cs="宋体"/>
          <w:b/>
          <w:bCs/>
          <w:sz w:val="28"/>
          <w:szCs w:val="28"/>
        </w:rPr>
      </w:pPr>
      <w:r>
        <w:rPr>
          <w:rFonts w:hint="eastAsia" w:ascii="宋体" w:hAnsi="宋体" w:eastAsia="宋体" w:cs="宋体"/>
          <w:b/>
          <w:bCs/>
          <w:sz w:val="28"/>
          <w:szCs w:val="28"/>
          <w:lang w:val="zh-CN"/>
        </w:rPr>
        <w:t>目  录</w:t>
      </w:r>
    </w:p>
    <w:p w14:paraId="3B2296FA">
      <w:pPr>
        <w:pStyle w:val="24"/>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_Toc26381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_Toc26381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B0B0C3">
      <w:pPr>
        <w:pStyle w:val="24"/>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_Toc13796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33FC59">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_Toc25578 </w:instrText>
      </w:r>
      <w:r>
        <w:rPr>
          <w:rFonts w:hint="eastAsia" w:ascii="宋体" w:hAnsi="宋体" w:eastAsia="宋体" w:cs="宋体"/>
          <w:sz w:val="24"/>
          <w:szCs w:val="24"/>
        </w:rPr>
        <w:fldChar w:fldCharType="separate"/>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_Toc25578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ABA065">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_Toc5542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_Toc5542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6A0D8E">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_Toc27327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_Toc27327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8ECDC7">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_Toc4988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_Toc4988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2E89ED">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_Toc11355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四、投标文件递交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820BBD">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_Toc18159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五、开标与评标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_Toc18159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617DE0">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六、中标和合同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_Toc11341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9535C5">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_Toc28369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七、询问和质疑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_Toc28369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C97895">
      <w:pPr>
        <w:pStyle w:val="26"/>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_Toc22942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_Toc22942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BB8107">
      <w:pPr>
        <w:pStyle w:val="24"/>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  评标方法及标准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_Toc9114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CE69B3">
      <w:pPr>
        <w:pStyle w:val="24"/>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_Toc556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政府采购合同文本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0263EC">
      <w:pPr>
        <w:pStyle w:val="24"/>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_Toc24018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_Toc24018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94E7C0">
      <w:pPr>
        <w:pStyle w:val="24"/>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_Toc7675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第六章  项目采购需求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_Toc7675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88B846">
      <w:pPr>
        <w:shd w:val="clear"/>
        <w:rPr>
          <w:rFonts w:hint="eastAsia" w:ascii="宋体" w:hAnsi="宋体" w:eastAsia="宋体" w:cs="宋体"/>
        </w:rPr>
      </w:pPr>
      <w:r>
        <w:rPr>
          <w:rFonts w:hint="eastAsia" w:ascii="宋体" w:hAnsi="宋体" w:eastAsia="宋体" w:cs="宋体"/>
          <w:szCs w:val="24"/>
        </w:rPr>
        <w:fldChar w:fldCharType="end"/>
      </w:r>
    </w:p>
    <w:p w14:paraId="7D7759F6">
      <w:pPr>
        <w:shd w:val="clear"/>
        <w:rPr>
          <w:rFonts w:hint="eastAsia" w:ascii="宋体" w:hAnsi="宋体" w:eastAsia="宋体" w:cs="宋体"/>
          <w:b/>
          <w:sz w:val="44"/>
          <w:szCs w:val="44"/>
        </w:rPr>
      </w:pPr>
    </w:p>
    <w:p w14:paraId="322886F0">
      <w:pPr>
        <w:shd w:val="clear"/>
        <w:rPr>
          <w:rFonts w:hint="eastAsia" w:ascii="宋体" w:hAnsi="宋体" w:eastAsia="宋体" w:cs="宋体"/>
        </w:rPr>
      </w:pPr>
    </w:p>
    <w:p w14:paraId="044F9C33">
      <w:pPr>
        <w:shd w:val="clear"/>
        <w:rPr>
          <w:rFonts w:hint="eastAsia" w:ascii="宋体" w:hAnsi="宋体" w:eastAsia="宋体" w:cs="宋体"/>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14:paraId="5E5364CA">
      <w:pPr>
        <w:shd w:val="clear"/>
        <w:jc w:val="center"/>
        <w:outlineLvl w:val="0"/>
        <w:rPr>
          <w:rFonts w:hint="eastAsia" w:ascii="宋体" w:hAnsi="宋体" w:eastAsia="宋体" w:cs="宋体"/>
          <w:b/>
          <w:bCs/>
          <w:sz w:val="28"/>
          <w:szCs w:val="28"/>
        </w:rPr>
      </w:pPr>
      <w:bookmarkStart w:id="1" w:name="_Toc26381"/>
      <w:r>
        <w:rPr>
          <w:rFonts w:hint="eastAsia" w:ascii="宋体" w:hAnsi="宋体" w:eastAsia="宋体" w:cs="宋体"/>
          <w:b/>
          <w:bCs/>
          <w:sz w:val="28"/>
          <w:szCs w:val="28"/>
        </w:rPr>
        <w:t>第一章  投标邀请</w:t>
      </w:r>
      <w:bookmarkEnd w:id="1"/>
    </w:p>
    <w:p w14:paraId="2E6967C4">
      <w:pPr>
        <w:pBdr>
          <w:top w:val="single" w:color="auto" w:sz="4" w:space="1"/>
          <w:left w:val="single" w:color="auto" w:sz="4" w:space="4"/>
          <w:bottom w:val="single" w:color="auto" w:sz="4" w:space="1"/>
          <w:right w:val="single" w:color="auto" w:sz="4" w:space="4"/>
        </w:pBdr>
        <w:shd w:val="clear"/>
        <w:spacing w:line="360" w:lineRule="auto"/>
        <w:rPr>
          <w:rFonts w:hint="eastAsia" w:ascii="宋体" w:hAnsi="宋体" w:eastAsia="宋体" w:cs="宋体"/>
          <w:szCs w:val="21"/>
        </w:rPr>
      </w:pPr>
      <w:r>
        <w:rPr>
          <w:rFonts w:hint="eastAsia" w:ascii="宋体" w:hAnsi="宋体" w:eastAsia="宋体" w:cs="宋体"/>
          <w:szCs w:val="21"/>
        </w:rPr>
        <w:t>项目概况</w:t>
      </w:r>
    </w:p>
    <w:p w14:paraId="669662C6">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u w:val="single"/>
        </w:rPr>
        <w:t xml:space="preserve">国家税务总局福州市税务局2025-2028年度采购物业管理服务项目 </w:t>
      </w:r>
      <w:r>
        <w:rPr>
          <w:rFonts w:hint="eastAsia" w:ascii="宋体" w:hAnsi="宋体" w:eastAsia="宋体" w:cs="宋体"/>
          <w:szCs w:val="21"/>
        </w:rPr>
        <w:t>招标项目的潜在投标人应在</w:t>
      </w:r>
      <w:r>
        <w:rPr>
          <w:rFonts w:hint="eastAsia" w:ascii="宋体" w:hAnsi="宋体" w:eastAsia="宋体" w:cs="宋体"/>
          <w:szCs w:val="21"/>
          <w:u w:val="single"/>
        </w:rPr>
        <w:t>福建省中亿通招标</w:t>
      </w:r>
      <w:r>
        <w:rPr>
          <w:rFonts w:hint="eastAsia" w:ascii="宋体" w:hAnsi="宋体" w:eastAsia="宋体" w:cs="宋体"/>
          <w:szCs w:val="21"/>
          <w:highlight w:val="none"/>
          <w:u w:val="single"/>
        </w:rPr>
        <w:t>咨询有限公司（福建省福州市鼓楼区华润万象城三期S11栋1910单元）</w:t>
      </w:r>
      <w:r>
        <w:rPr>
          <w:rFonts w:hint="eastAsia" w:ascii="宋体" w:hAnsi="宋体" w:eastAsia="宋体" w:cs="宋体"/>
          <w:szCs w:val="21"/>
          <w:highlight w:val="none"/>
        </w:rPr>
        <w:t>获取招标文件，并于</w:t>
      </w:r>
      <w:r>
        <w:rPr>
          <w:rFonts w:hint="eastAsia" w:ascii="宋体" w:hAnsi="宋体" w:eastAsia="宋体" w:cs="宋体"/>
          <w:szCs w:val="21"/>
          <w:highlight w:val="none"/>
          <w:u w:val="single"/>
        </w:rPr>
        <w:t xml:space="preserve"> 2025年</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25</w:t>
      </w:r>
      <w:r>
        <w:rPr>
          <w:rFonts w:hint="eastAsia" w:ascii="宋体" w:hAnsi="宋体" w:eastAsia="宋体" w:cs="宋体"/>
          <w:szCs w:val="21"/>
          <w:highlight w:val="none"/>
          <w:u w:val="single"/>
        </w:rPr>
        <w:t>日09点00分</w:t>
      </w:r>
      <w:r>
        <w:rPr>
          <w:rFonts w:hint="eastAsia" w:ascii="宋体" w:hAnsi="宋体" w:eastAsia="宋体" w:cs="宋体"/>
          <w:bCs/>
          <w:szCs w:val="21"/>
          <w:highlight w:val="none"/>
          <w:u w:val="single"/>
        </w:rPr>
        <w:t>（</w:t>
      </w:r>
      <w:r>
        <w:rPr>
          <w:rFonts w:hint="eastAsia" w:ascii="宋体" w:hAnsi="宋体" w:eastAsia="宋体" w:cs="宋体"/>
          <w:bCs/>
          <w:szCs w:val="21"/>
          <w:highlight w:val="none"/>
        </w:rPr>
        <w:t>北京时间）前递交投标文件</w:t>
      </w:r>
      <w:r>
        <w:rPr>
          <w:rFonts w:hint="eastAsia" w:ascii="宋体" w:hAnsi="宋体" w:eastAsia="宋体" w:cs="宋体"/>
          <w:szCs w:val="21"/>
          <w:highlight w:val="none"/>
        </w:rPr>
        <w:t>。</w:t>
      </w:r>
    </w:p>
    <w:p w14:paraId="65BAA36A">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一、项目基本情况</w:t>
      </w:r>
    </w:p>
    <w:p w14:paraId="5773B029">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u w:val="single"/>
        </w:rPr>
        <w:t>FJ2025-DLGK-C0050-B00</w:t>
      </w:r>
    </w:p>
    <w:p w14:paraId="6471D531">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国家税务总局福州市税务局2025-2028年度采购物业管理服务项目</w:t>
      </w:r>
    </w:p>
    <w:p w14:paraId="77136812">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预算金额：</w:t>
      </w:r>
      <w:r>
        <w:rPr>
          <w:rFonts w:hint="eastAsia" w:ascii="宋体" w:hAnsi="宋体" w:eastAsia="宋体" w:cs="宋体"/>
          <w:szCs w:val="21"/>
          <w:highlight w:val="none"/>
          <w:u w:val="single"/>
        </w:rPr>
        <w:t>840万元</w:t>
      </w:r>
    </w:p>
    <w:p w14:paraId="598002CA">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最高限价（如有）：</w:t>
      </w:r>
      <w:r>
        <w:rPr>
          <w:rFonts w:hint="eastAsia" w:ascii="宋体" w:hAnsi="宋体" w:eastAsia="宋体" w:cs="宋体"/>
          <w:szCs w:val="21"/>
          <w:highlight w:val="none"/>
          <w:u w:val="single"/>
        </w:rPr>
        <w:t>840万元</w:t>
      </w:r>
    </w:p>
    <w:p w14:paraId="6D128835">
      <w:pPr>
        <w:shd w:val="clea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采购需求：</w:t>
      </w:r>
      <w:r>
        <w:rPr>
          <w:rFonts w:hint="eastAsia" w:ascii="宋体" w:hAnsi="宋体" w:eastAsia="宋体" w:cs="宋体"/>
          <w:szCs w:val="21"/>
          <w:highlight w:val="none"/>
          <w:u w:val="single"/>
        </w:rPr>
        <w:t>物业管理服务（会务、保卫、保洁、绿化、水电维护、垃圾清运等）。</w:t>
      </w:r>
    </w:p>
    <w:p w14:paraId="685279BC">
      <w:pPr>
        <w:shd w:val="clea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合同履行期限：服务期三年，从双方签订合同的生效之日起计算，合同一年一签，采购人有权根据中标人上一年考核结果决定是否续签次年合同。</w:t>
      </w:r>
    </w:p>
    <w:p w14:paraId="438FB0FB">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i/>
          <w:szCs w:val="21"/>
          <w:highlight w:val="none"/>
        </w:rPr>
        <w:t>不</w:t>
      </w:r>
      <w:r>
        <w:rPr>
          <w:rFonts w:hint="eastAsia" w:ascii="宋体" w:hAnsi="宋体" w:eastAsia="宋体" w:cs="宋体"/>
          <w:szCs w:val="21"/>
          <w:highlight w:val="none"/>
        </w:rPr>
        <w:t>）接受联合体投标。</w:t>
      </w:r>
    </w:p>
    <w:p w14:paraId="5CB5B560">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二、申请人的资格要求</w:t>
      </w:r>
    </w:p>
    <w:p w14:paraId="255F951B">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14:paraId="314AA0DF">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w:t>
      </w:r>
      <w:r>
        <w:rPr>
          <w:rFonts w:hint="eastAsia" w:ascii="宋体" w:hAnsi="宋体" w:eastAsia="宋体" w:cs="宋体"/>
          <w:szCs w:val="21"/>
          <w:highlight w:val="none"/>
          <w:u w:val="single"/>
        </w:rPr>
        <w:t>本项目专门面向中小企业采购（投标人应为中小微企业、监狱企业、残疾人福利性单位）</w:t>
      </w:r>
      <w:r>
        <w:rPr>
          <w:rFonts w:hint="eastAsia" w:ascii="宋体" w:hAnsi="宋体" w:eastAsia="宋体" w:cs="宋体"/>
          <w:i/>
          <w:iCs/>
          <w:szCs w:val="21"/>
          <w:highlight w:val="none"/>
          <w:u w:val="single"/>
        </w:rPr>
        <w:t>。</w:t>
      </w:r>
    </w:p>
    <w:p w14:paraId="7A2F64F7">
      <w:pPr>
        <w:shd w:val="clear"/>
        <w:spacing w:line="360" w:lineRule="auto"/>
        <w:ind w:firstLine="420" w:firstLineChars="200"/>
        <w:rPr>
          <w:rFonts w:hint="eastAsia" w:ascii="宋体" w:hAnsi="宋体" w:eastAsia="宋体" w:cs="宋体"/>
          <w:i/>
          <w:iCs/>
          <w:szCs w:val="21"/>
          <w:highlight w:val="none"/>
          <w:u w:val="single"/>
        </w:rPr>
      </w:pPr>
      <w:r>
        <w:rPr>
          <w:rFonts w:hint="eastAsia" w:ascii="宋体" w:hAnsi="宋体" w:eastAsia="宋体" w:cs="宋体"/>
          <w:szCs w:val="21"/>
          <w:highlight w:val="none"/>
        </w:rPr>
        <w:t>3.本项目的特定资格要求：</w:t>
      </w:r>
      <w:r>
        <w:rPr>
          <w:rFonts w:hint="eastAsia" w:ascii="宋体" w:hAnsi="宋体" w:eastAsia="宋体" w:cs="宋体"/>
          <w:szCs w:val="21"/>
          <w:highlight w:val="none"/>
          <w:u w:val="single"/>
        </w:rPr>
        <w:t>无。</w:t>
      </w:r>
    </w:p>
    <w:p w14:paraId="48292055">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三、获取招标文件</w:t>
      </w:r>
    </w:p>
    <w:p w14:paraId="532286C6">
      <w:pPr>
        <w:shd w:val="clear"/>
        <w:spacing w:line="360" w:lineRule="auto"/>
        <w:ind w:firstLine="540"/>
        <w:rPr>
          <w:rFonts w:hint="eastAsia"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szCs w:val="21"/>
          <w:highlight w:val="none"/>
          <w:u w:val="single"/>
        </w:rPr>
        <w:t>2025年</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日至2025年</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日</w:t>
      </w:r>
      <w:r>
        <w:rPr>
          <w:rFonts w:hint="eastAsia" w:ascii="宋体" w:hAnsi="宋体" w:eastAsia="宋体" w:cs="宋体"/>
          <w:szCs w:val="21"/>
          <w:highlight w:val="none"/>
        </w:rPr>
        <w:t>，每天上午</w:t>
      </w:r>
      <w:r>
        <w:rPr>
          <w:rFonts w:hint="eastAsia" w:ascii="宋体" w:hAnsi="宋体" w:eastAsia="宋体" w:cs="宋体"/>
          <w:szCs w:val="21"/>
          <w:highlight w:val="none"/>
          <w:u w:val="single"/>
        </w:rPr>
        <w:t>08:30</w:t>
      </w:r>
      <w:r>
        <w:rPr>
          <w:rFonts w:hint="eastAsia" w:ascii="宋体" w:hAnsi="宋体" w:eastAsia="宋体" w:cs="宋体"/>
          <w:szCs w:val="21"/>
          <w:highlight w:val="none"/>
        </w:rPr>
        <w:t>至</w:t>
      </w:r>
      <w:r>
        <w:rPr>
          <w:rFonts w:hint="eastAsia" w:ascii="宋体" w:hAnsi="宋体" w:eastAsia="宋体" w:cs="宋体"/>
          <w:szCs w:val="21"/>
          <w:highlight w:val="none"/>
          <w:u w:val="single"/>
        </w:rPr>
        <w:t>12:00</w:t>
      </w:r>
      <w:r>
        <w:rPr>
          <w:rFonts w:hint="eastAsia" w:ascii="宋体" w:hAnsi="宋体" w:eastAsia="宋体" w:cs="宋体"/>
          <w:szCs w:val="21"/>
          <w:highlight w:val="none"/>
        </w:rPr>
        <w:t>，下午</w:t>
      </w:r>
      <w:r>
        <w:rPr>
          <w:rFonts w:hint="eastAsia" w:ascii="宋体" w:hAnsi="宋体" w:eastAsia="宋体" w:cs="宋体"/>
          <w:szCs w:val="21"/>
          <w:highlight w:val="none"/>
          <w:u w:val="single"/>
        </w:rPr>
        <w:t>14:30</w:t>
      </w:r>
      <w:r>
        <w:rPr>
          <w:rFonts w:hint="eastAsia" w:ascii="宋体" w:hAnsi="宋体" w:eastAsia="宋体" w:cs="宋体"/>
          <w:szCs w:val="21"/>
          <w:highlight w:val="none"/>
        </w:rPr>
        <w:t>至</w:t>
      </w:r>
      <w:r>
        <w:rPr>
          <w:rFonts w:hint="eastAsia" w:ascii="宋体" w:hAnsi="宋体" w:eastAsia="宋体" w:cs="宋体"/>
          <w:szCs w:val="21"/>
          <w:highlight w:val="none"/>
          <w:u w:val="single"/>
        </w:rPr>
        <w:t>18:00</w:t>
      </w:r>
      <w:r>
        <w:rPr>
          <w:rFonts w:hint="eastAsia" w:ascii="宋体" w:hAnsi="宋体" w:eastAsia="宋体" w:cs="宋体"/>
          <w:szCs w:val="21"/>
          <w:highlight w:val="none"/>
        </w:rPr>
        <w:t>（北京时间，法定节假日除外）</w:t>
      </w:r>
    </w:p>
    <w:p w14:paraId="4197253A">
      <w:pPr>
        <w:shd w:val="clear"/>
        <w:spacing w:line="360" w:lineRule="auto"/>
        <w:ind w:firstLine="540"/>
        <w:rPr>
          <w:rFonts w:hint="eastAsia" w:ascii="宋体" w:hAnsi="宋体" w:eastAsia="宋体" w:cs="宋体"/>
          <w:szCs w:val="21"/>
          <w:highlight w:val="none"/>
          <w:u w:val="single"/>
        </w:rPr>
      </w:pPr>
      <w:r>
        <w:rPr>
          <w:rFonts w:hint="eastAsia" w:ascii="宋体" w:hAnsi="宋体" w:eastAsia="宋体" w:cs="宋体"/>
          <w:szCs w:val="21"/>
          <w:highlight w:val="none"/>
        </w:rPr>
        <w:t>地点：</w:t>
      </w:r>
      <w:r>
        <w:rPr>
          <w:rFonts w:hint="eastAsia" w:ascii="宋体" w:hAnsi="宋体" w:eastAsia="宋体" w:cs="宋体"/>
          <w:szCs w:val="21"/>
          <w:highlight w:val="none"/>
          <w:u w:val="single"/>
        </w:rPr>
        <w:t>福建省中亿通招标咨询有限公司（福建省福州市鼓楼区华润万象城三期S11栋1910单元）；</w:t>
      </w:r>
    </w:p>
    <w:p w14:paraId="53B496E3">
      <w:pPr>
        <w:shd w:val="clear"/>
        <w:spacing w:line="360" w:lineRule="auto"/>
        <w:ind w:firstLine="540"/>
        <w:rPr>
          <w:rFonts w:hint="eastAsia" w:ascii="宋体" w:hAnsi="宋体" w:eastAsia="宋体" w:cs="宋体"/>
          <w:szCs w:val="21"/>
          <w:highlight w:val="none"/>
          <w:u w:val="single"/>
        </w:rPr>
      </w:pPr>
      <w:r>
        <w:rPr>
          <w:rFonts w:hint="eastAsia" w:ascii="宋体" w:hAnsi="宋体" w:eastAsia="宋体" w:cs="宋体"/>
          <w:szCs w:val="21"/>
          <w:highlight w:val="none"/>
        </w:rPr>
        <w:t>方式：</w:t>
      </w:r>
      <w:r>
        <w:rPr>
          <w:rFonts w:hint="eastAsia" w:ascii="宋体" w:hAnsi="宋体" w:eastAsia="宋体" w:cs="宋体"/>
          <w:szCs w:val="21"/>
          <w:highlight w:val="none"/>
          <w:u w:val="single"/>
        </w:rPr>
        <w:t>① 邮件方式报名获取招标文件事宜的投标人，按照招标公告提供的报名登记表加盖公章发送至代理机构的电子信箱(电子信箱：zytzb2019@126.com)；② 现场方式报名办理获取招标文件事宜的投标人须至代理机构进行书面登记。</w:t>
      </w:r>
    </w:p>
    <w:p w14:paraId="6905FF16">
      <w:pPr>
        <w:shd w:val="clear"/>
        <w:spacing w:line="360" w:lineRule="auto"/>
        <w:ind w:firstLine="540"/>
        <w:rPr>
          <w:rFonts w:hint="eastAsia" w:ascii="宋体" w:hAnsi="宋体" w:eastAsia="宋体" w:cs="宋体"/>
          <w:szCs w:val="21"/>
          <w:highlight w:val="none"/>
        </w:rPr>
      </w:pPr>
      <w:r>
        <w:rPr>
          <w:rFonts w:hint="eastAsia" w:ascii="宋体" w:hAnsi="宋体" w:eastAsia="宋体" w:cs="宋体"/>
          <w:szCs w:val="21"/>
          <w:highlight w:val="none"/>
        </w:rPr>
        <w:t>售价：</w:t>
      </w:r>
      <w:r>
        <w:rPr>
          <w:rFonts w:hint="eastAsia" w:ascii="宋体" w:hAnsi="宋体" w:eastAsia="宋体" w:cs="宋体"/>
          <w:szCs w:val="21"/>
          <w:highlight w:val="none"/>
          <w:u w:val="single"/>
        </w:rPr>
        <w:t>0元。</w:t>
      </w:r>
    </w:p>
    <w:p w14:paraId="156C7604">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四、提交投标文件截止时间、开标时间和地点</w:t>
      </w:r>
    </w:p>
    <w:p w14:paraId="39B1BE06">
      <w:pPr>
        <w:shd w:val="clear"/>
        <w:spacing w:line="360" w:lineRule="auto"/>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u w:val="single"/>
        </w:rPr>
        <w:t xml:space="preserve"> 2025年</w:t>
      </w:r>
      <w:r>
        <w:rPr>
          <w:rFonts w:hint="eastAsia" w:ascii="宋体" w:hAnsi="宋体" w:eastAsia="宋体" w:cs="宋体"/>
          <w:bCs/>
          <w:szCs w:val="21"/>
          <w:highlight w:val="none"/>
          <w:u w:val="single"/>
          <w:lang w:val="en-US" w:eastAsia="zh-CN"/>
        </w:rPr>
        <w:t>6</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25</w:t>
      </w:r>
      <w:r>
        <w:rPr>
          <w:rFonts w:hint="eastAsia" w:ascii="宋体" w:hAnsi="宋体" w:eastAsia="宋体" w:cs="宋体"/>
          <w:bCs/>
          <w:szCs w:val="21"/>
          <w:highlight w:val="none"/>
          <w:u w:val="single"/>
        </w:rPr>
        <w:t>日09点00分</w:t>
      </w:r>
      <w:r>
        <w:rPr>
          <w:rFonts w:hint="eastAsia" w:ascii="宋体" w:hAnsi="宋体" w:eastAsia="宋体" w:cs="宋体"/>
          <w:bCs/>
          <w:szCs w:val="21"/>
          <w:highlight w:val="none"/>
        </w:rPr>
        <w:t>（北京时间）</w:t>
      </w:r>
    </w:p>
    <w:p w14:paraId="322B2C19">
      <w:pPr>
        <w:shd w:val="clear"/>
        <w:spacing w:line="360" w:lineRule="auto"/>
        <w:ind w:firstLine="420" w:firstLineChars="200"/>
        <w:rPr>
          <w:rFonts w:hint="eastAsia" w:ascii="宋体" w:hAnsi="宋体" w:eastAsia="宋体" w:cs="宋体"/>
          <w:bCs/>
          <w:szCs w:val="21"/>
          <w:highlight w:val="none"/>
          <w:u w:val="single"/>
        </w:rPr>
      </w:pPr>
      <w:r>
        <w:rPr>
          <w:rFonts w:hint="eastAsia" w:ascii="宋体" w:hAnsi="宋体" w:eastAsia="宋体" w:cs="宋体"/>
          <w:szCs w:val="21"/>
          <w:highlight w:val="none"/>
        </w:rPr>
        <w:t>地点：</w:t>
      </w:r>
      <w:r>
        <w:rPr>
          <w:rFonts w:hint="eastAsia" w:ascii="宋体" w:hAnsi="宋体" w:eastAsia="宋体" w:cs="宋体"/>
          <w:szCs w:val="21"/>
          <w:highlight w:val="none"/>
          <w:u w:val="single"/>
        </w:rPr>
        <w:t>福建省福州市鼓楼区华润万象城三期S11栋1910单元</w:t>
      </w:r>
      <w:r>
        <w:rPr>
          <w:rFonts w:hint="eastAsia" w:ascii="宋体" w:hAnsi="宋体" w:eastAsia="宋体" w:cs="宋体"/>
          <w:szCs w:val="21"/>
          <w:highlight w:val="none"/>
        </w:rPr>
        <w:t>。</w:t>
      </w:r>
    </w:p>
    <w:p w14:paraId="376361C6">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五、公告期限</w:t>
      </w:r>
    </w:p>
    <w:p w14:paraId="7901DEE0">
      <w:pPr>
        <w:shd w:val="clea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自本公告发布之日起5个工作日。</w:t>
      </w:r>
    </w:p>
    <w:p w14:paraId="703A0943">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六、其他补充事宜</w:t>
      </w:r>
    </w:p>
    <w:p w14:paraId="52A4962E">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无。</w:t>
      </w:r>
    </w:p>
    <w:p w14:paraId="05B99F63">
      <w:pPr>
        <w:shd w:val="clea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七、对本次招标提出询问，请按以下方式联系。</w:t>
      </w:r>
    </w:p>
    <w:p w14:paraId="77157106">
      <w:pPr>
        <w:widowControl/>
        <w:shd w:val="clea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1.采购人信息</w:t>
      </w:r>
    </w:p>
    <w:p w14:paraId="0CF91EE3">
      <w:pPr>
        <w:widowControl/>
        <w:shd w:val="clea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国家税务总局福州市税务局</w:t>
      </w:r>
    </w:p>
    <w:p w14:paraId="3E85457F">
      <w:pPr>
        <w:widowControl/>
        <w:shd w:val="clear"/>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福州市鼓楼区八一七中路49号</w:t>
      </w:r>
    </w:p>
    <w:p w14:paraId="56FC5BF1">
      <w:pPr>
        <w:widowControl/>
        <w:shd w:val="clear"/>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联系方式：</w:t>
      </w:r>
      <w:r>
        <w:rPr>
          <w:rFonts w:hint="eastAsia" w:ascii="宋体" w:hAnsi="宋体" w:eastAsia="宋体" w:cs="宋体"/>
          <w:szCs w:val="21"/>
          <w:highlight w:val="none"/>
          <w:u w:val="single"/>
        </w:rPr>
        <w:t>陈文岑</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83372536</w:t>
      </w:r>
    </w:p>
    <w:p w14:paraId="04CE63CC">
      <w:pPr>
        <w:widowControl/>
        <w:shd w:val="clea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2.采购代理机构信息</w:t>
      </w:r>
    </w:p>
    <w:p w14:paraId="158B75C2">
      <w:pPr>
        <w:widowControl/>
        <w:shd w:val="clea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福建省中亿通招标咨询有限</w:t>
      </w:r>
      <w:r>
        <w:rPr>
          <w:rFonts w:hint="eastAsia" w:ascii="宋体" w:hAnsi="宋体" w:eastAsia="宋体" w:cs="宋体"/>
          <w:szCs w:val="21"/>
          <w:u w:val="single"/>
        </w:rPr>
        <w:t>公司</w:t>
      </w:r>
    </w:p>
    <w:p w14:paraId="6F688F2C">
      <w:pPr>
        <w:widowControl/>
        <w:shd w:val="clea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福建省</w:t>
      </w:r>
      <w:r>
        <w:rPr>
          <w:rFonts w:hint="eastAsia" w:ascii="宋体" w:hAnsi="宋体" w:eastAsia="宋体" w:cs="宋体"/>
          <w:u w:val="single"/>
          <w:shd w:val="clear" w:color="auto" w:fill="FFFFFF"/>
        </w:rPr>
        <w:t>福州市鼓楼区华润万象城三期S11栋1910单元</w:t>
      </w:r>
    </w:p>
    <w:p w14:paraId="5ABD4DC9">
      <w:pPr>
        <w:widowControl/>
        <w:shd w:val="clea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联系方式：</w:t>
      </w:r>
      <w:r>
        <w:rPr>
          <w:rFonts w:hint="eastAsia" w:ascii="宋体" w:hAnsi="宋体" w:eastAsia="宋体" w:cs="宋体"/>
          <w:u w:val="single"/>
        </w:rPr>
        <w:t>陈宇、李萍、黄静、郭梅芳/0591-87527653</w:t>
      </w:r>
    </w:p>
    <w:p w14:paraId="4297F7CA">
      <w:pPr>
        <w:widowControl/>
        <w:shd w:val="clea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3.项目联系方式</w:t>
      </w:r>
    </w:p>
    <w:p w14:paraId="561A1D49">
      <w:pPr>
        <w:widowControl/>
        <w:shd w:val="clea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项目联系人：</w:t>
      </w:r>
      <w:r>
        <w:rPr>
          <w:rFonts w:hint="eastAsia" w:ascii="宋体" w:hAnsi="宋体" w:eastAsia="宋体" w:cs="宋体"/>
          <w:u w:val="single"/>
        </w:rPr>
        <w:t>陈宇、李萍、黄静、郭梅芳</w:t>
      </w:r>
    </w:p>
    <w:p w14:paraId="470D987D">
      <w:pPr>
        <w:widowControl/>
        <w:shd w:val="clea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w:t>
      </w:r>
      <w:r>
        <w:rPr>
          <w:rFonts w:hint="eastAsia" w:ascii="宋体" w:hAnsi="宋体" w:eastAsia="宋体" w:cs="宋体"/>
          <w:u w:val="single"/>
        </w:rPr>
        <w:t>0591-87527653</w:t>
      </w:r>
      <w:r>
        <w:rPr>
          <w:rFonts w:hint="eastAsia" w:ascii="宋体" w:hAnsi="宋体" w:eastAsia="宋体" w:cs="宋体"/>
          <w:szCs w:val="21"/>
          <w:u w:val="single"/>
        </w:rPr>
        <w:t>　</w:t>
      </w:r>
    </w:p>
    <w:p w14:paraId="2D2AD7DE">
      <w:pPr>
        <w:shd w:val="clear"/>
        <w:spacing w:line="360" w:lineRule="auto"/>
        <w:rPr>
          <w:rFonts w:hint="eastAsia" w:ascii="宋体" w:hAnsi="宋体" w:eastAsia="宋体" w:cs="宋体"/>
        </w:rPr>
      </w:pPr>
    </w:p>
    <w:p w14:paraId="6A1DE3A1">
      <w:pPr>
        <w:shd w:val="clear"/>
        <w:spacing w:line="360" w:lineRule="auto"/>
        <w:rPr>
          <w:rFonts w:hint="eastAsia" w:ascii="宋体" w:hAnsi="宋体" w:eastAsia="宋体" w:cs="宋体"/>
        </w:rPr>
        <w:sectPr>
          <w:pgSz w:w="11906" w:h="16838"/>
          <w:pgMar w:top="1440" w:right="1752" w:bottom="1440" w:left="1752" w:header="851" w:footer="992" w:gutter="0"/>
          <w:cols w:space="720" w:num="1"/>
          <w:titlePg/>
          <w:docGrid w:type="lines" w:linePitch="312" w:charSpace="0"/>
        </w:sectPr>
      </w:pPr>
    </w:p>
    <w:p w14:paraId="52B2697B">
      <w:pPr>
        <w:shd w:val="clear"/>
        <w:jc w:val="center"/>
        <w:outlineLvl w:val="0"/>
        <w:rPr>
          <w:rFonts w:hint="eastAsia" w:ascii="宋体" w:hAnsi="宋体" w:eastAsia="宋体" w:cs="宋体"/>
          <w:b/>
          <w:bCs/>
          <w:sz w:val="32"/>
          <w:szCs w:val="32"/>
        </w:rPr>
      </w:pPr>
      <w:bookmarkStart w:id="2" w:name="_Toc13796"/>
      <w:r>
        <w:rPr>
          <w:rFonts w:hint="eastAsia" w:ascii="宋体" w:hAnsi="宋体" w:eastAsia="宋体" w:cs="宋体"/>
          <w:b/>
          <w:bCs/>
          <w:sz w:val="32"/>
          <w:szCs w:val="32"/>
        </w:rPr>
        <w:t>第二章　投标人须知</w:t>
      </w:r>
      <w:bookmarkEnd w:id="2"/>
    </w:p>
    <w:p w14:paraId="1D2603FE">
      <w:pPr>
        <w:shd w:val="clear"/>
        <w:jc w:val="center"/>
        <w:outlineLvl w:val="1"/>
        <w:rPr>
          <w:rFonts w:hint="eastAsia" w:ascii="宋体" w:hAnsi="宋体" w:eastAsia="宋体" w:cs="宋体"/>
          <w:sz w:val="28"/>
          <w:szCs w:val="28"/>
        </w:rPr>
      </w:pPr>
      <w:bookmarkStart w:id="3" w:name="_Toc25578"/>
      <w:r>
        <w:rPr>
          <w:rFonts w:hint="eastAsia" w:ascii="宋体" w:hAnsi="宋体" w:eastAsia="宋体" w:cs="宋体"/>
          <w:sz w:val="28"/>
          <w:szCs w:val="28"/>
        </w:rPr>
        <w:t>投标人须知前附表</w:t>
      </w:r>
      <w:bookmarkEnd w:id="3"/>
    </w:p>
    <w:tbl>
      <w:tblPr>
        <w:tblStyle w:val="3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787"/>
        <w:gridCol w:w="1048"/>
        <w:gridCol w:w="5207"/>
      </w:tblGrid>
      <w:tr w14:paraId="0AF4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14:paraId="06703727">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14:paraId="70059043">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类别</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163632C1">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内容</w:t>
            </w:r>
          </w:p>
        </w:tc>
      </w:tr>
      <w:tr w14:paraId="0B45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vAlign w:val="center"/>
          </w:tcPr>
          <w:p w14:paraId="714BC3E9">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787" w:type="dxa"/>
            <w:vMerge w:val="restart"/>
            <w:tcBorders>
              <w:top w:val="single" w:color="auto" w:sz="4" w:space="0"/>
              <w:left w:val="single" w:color="auto" w:sz="4" w:space="0"/>
              <w:right w:val="single" w:color="auto" w:sz="4" w:space="0"/>
            </w:tcBorders>
            <w:vAlign w:val="center"/>
          </w:tcPr>
          <w:p w14:paraId="745B8D15">
            <w:pPr>
              <w:shd w:val="clear"/>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项目名称、编号、预算及最高限价</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17F95F4F">
            <w:pPr>
              <w:shd w:val="clear"/>
              <w:adjustRightInd w:val="0"/>
              <w:snapToGrid w:val="0"/>
              <w:spacing w:line="360" w:lineRule="auto"/>
              <w:jc w:val="left"/>
              <w:rPr>
                <w:rFonts w:hint="eastAsia" w:ascii="宋体" w:hAnsi="宋体" w:eastAsia="宋体" w:cs="宋体"/>
                <w:b/>
                <w:szCs w:val="21"/>
              </w:rPr>
            </w:pPr>
            <w:r>
              <w:rPr>
                <w:rFonts w:hint="eastAsia" w:ascii="宋体" w:hAnsi="宋体" w:eastAsia="宋体" w:cs="宋体"/>
                <w:szCs w:val="21"/>
              </w:rPr>
              <w:t>项目名称：</w:t>
            </w:r>
            <w:r>
              <w:rPr>
                <w:rFonts w:hint="eastAsia" w:ascii="宋体" w:hAnsi="宋体" w:eastAsia="宋体" w:cs="宋体"/>
                <w:szCs w:val="21"/>
                <w:u w:val="single"/>
              </w:rPr>
              <w:t>国家税务总局福州市税务局2025-2028年度采购物业管理服务项目</w:t>
            </w:r>
          </w:p>
        </w:tc>
      </w:tr>
      <w:tr w14:paraId="10DF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14:paraId="79650A0D">
            <w:pPr>
              <w:shd w:val="clear"/>
              <w:adjustRightInd w:val="0"/>
              <w:snapToGrid w:val="0"/>
              <w:spacing w:line="360" w:lineRule="auto"/>
              <w:jc w:val="center"/>
              <w:rPr>
                <w:rFonts w:hint="eastAsia" w:ascii="宋体" w:hAnsi="宋体" w:eastAsia="宋体" w:cs="宋体"/>
                <w:szCs w:val="21"/>
              </w:rPr>
            </w:pPr>
          </w:p>
        </w:tc>
        <w:tc>
          <w:tcPr>
            <w:tcW w:w="1787" w:type="dxa"/>
            <w:vMerge w:val="continue"/>
            <w:tcBorders>
              <w:left w:val="single" w:color="auto" w:sz="4" w:space="0"/>
              <w:right w:val="single" w:color="auto" w:sz="4" w:space="0"/>
            </w:tcBorders>
            <w:vAlign w:val="center"/>
          </w:tcPr>
          <w:p w14:paraId="2CB62F7A">
            <w:pPr>
              <w:shd w:val="clear"/>
              <w:adjustRightInd w:val="0"/>
              <w:snapToGrid w:val="0"/>
              <w:spacing w:line="360" w:lineRule="auto"/>
              <w:jc w:val="center"/>
              <w:rPr>
                <w:rFonts w:hint="eastAsia" w:ascii="宋体" w:hAnsi="宋体" w:eastAsia="宋体" w:cs="宋体"/>
                <w:szCs w:val="21"/>
              </w:rPr>
            </w:pP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7C8C9E97">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项目编号：FJ2025-DLGK-C0050-B00</w:t>
            </w:r>
          </w:p>
        </w:tc>
      </w:tr>
      <w:tr w14:paraId="61D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14:paraId="256B4051">
            <w:pPr>
              <w:shd w:val="clear"/>
              <w:adjustRightInd w:val="0"/>
              <w:snapToGrid w:val="0"/>
              <w:spacing w:line="360" w:lineRule="auto"/>
              <w:jc w:val="center"/>
              <w:rPr>
                <w:rFonts w:hint="eastAsia" w:ascii="宋体" w:hAnsi="宋体" w:eastAsia="宋体" w:cs="宋体"/>
                <w:szCs w:val="21"/>
              </w:rPr>
            </w:pPr>
          </w:p>
        </w:tc>
        <w:tc>
          <w:tcPr>
            <w:tcW w:w="1787" w:type="dxa"/>
            <w:vMerge w:val="continue"/>
            <w:tcBorders>
              <w:left w:val="single" w:color="auto" w:sz="4" w:space="0"/>
              <w:right w:val="single" w:color="auto" w:sz="4" w:space="0"/>
            </w:tcBorders>
            <w:vAlign w:val="center"/>
          </w:tcPr>
          <w:p w14:paraId="03B1F507">
            <w:pPr>
              <w:shd w:val="clear"/>
              <w:adjustRightInd w:val="0"/>
              <w:snapToGrid w:val="0"/>
              <w:spacing w:line="360" w:lineRule="auto"/>
              <w:jc w:val="center"/>
              <w:rPr>
                <w:rFonts w:hint="eastAsia" w:ascii="宋体" w:hAnsi="宋体" w:eastAsia="宋体" w:cs="宋体"/>
                <w:szCs w:val="21"/>
              </w:rPr>
            </w:pP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3B200329">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项目预算：</w:t>
            </w:r>
            <w:r>
              <w:rPr>
                <w:rFonts w:hint="eastAsia" w:ascii="宋体" w:hAnsi="宋体" w:eastAsia="宋体" w:cs="宋体"/>
                <w:szCs w:val="21"/>
                <w:u w:val="single"/>
              </w:rPr>
              <w:t>840万元</w:t>
            </w:r>
          </w:p>
        </w:tc>
      </w:tr>
      <w:tr w14:paraId="6451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bottom w:val="single" w:color="auto" w:sz="4" w:space="0"/>
              <w:right w:val="single" w:color="auto" w:sz="4" w:space="0"/>
            </w:tcBorders>
            <w:vAlign w:val="center"/>
          </w:tcPr>
          <w:p w14:paraId="4AFD3313">
            <w:pPr>
              <w:shd w:val="clear"/>
              <w:adjustRightInd w:val="0"/>
              <w:snapToGrid w:val="0"/>
              <w:spacing w:line="360" w:lineRule="auto"/>
              <w:jc w:val="center"/>
              <w:rPr>
                <w:rFonts w:hint="eastAsia" w:ascii="宋体" w:hAnsi="宋体" w:eastAsia="宋体" w:cs="宋体"/>
                <w:szCs w:val="21"/>
              </w:rPr>
            </w:pPr>
          </w:p>
        </w:tc>
        <w:tc>
          <w:tcPr>
            <w:tcW w:w="1787" w:type="dxa"/>
            <w:vMerge w:val="continue"/>
            <w:tcBorders>
              <w:left w:val="single" w:color="auto" w:sz="4" w:space="0"/>
              <w:bottom w:val="single" w:color="auto" w:sz="4" w:space="0"/>
              <w:right w:val="single" w:color="auto" w:sz="4" w:space="0"/>
            </w:tcBorders>
            <w:vAlign w:val="center"/>
          </w:tcPr>
          <w:p w14:paraId="01939163">
            <w:pPr>
              <w:shd w:val="clear"/>
              <w:adjustRightInd w:val="0"/>
              <w:snapToGrid w:val="0"/>
              <w:spacing w:line="360" w:lineRule="auto"/>
              <w:jc w:val="center"/>
              <w:rPr>
                <w:rFonts w:hint="eastAsia" w:ascii="宋体" w:hAnsi="宋体" w:eastAsia="宋体" w:cs="宋体"/>
                <w:szCs w:val="21"/>
              </w:rPr>
            </w:pP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3C710746">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最高限价：</w:t>
            </w:r>
            <w:r>
              <w:rPr>
                <w:rFonts w:hint="eastAsia" w:ascii="宋体" w:hAnsi="宋体" w:eastAsia="宋体" w:cs="宋体"/>
                <w:szCs w:val="21"/>
                <w:u w:val="single"/>
              </w:rPr>
              <w:t>840万元</w:t>
            </w:r>
          </w:p>
        </w:tc>
      </w:tr>
      <w:tr w14:paraId="2123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45508A2D">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787" w:type="dxa"/>
            <w:tcBorders>
              <w:top w:val="single" w:color="auto" w:sz="4" w:space="0"/>
              <w:left w:val="single" w:color="auto" w:sz="4" w:space="0"/>
              <w:bottom w:val="single" w:color="auto" w:sz="4" w:space="0"/>
              <w:right w:val="single" w:color="auto" w:sz="4" w:space="0"/>
            </w:tcBorders>
            <w:vAlign w:val="center"/>
          </w:tcPr>
          <w:p w14:paraId="0812CAE5">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采购需求</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24268B09">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详见《招标文件（技术部分）》</w:t>
            </w:r>
          </w:p>
        </w:tc>
      </w:tr>
      <w:tr w14:paraId="6252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36B5AB8E">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787" w:type="dxa"/>
            <w:tcBorders>
              <w:top w:val="single" w:color="auto" w:sz="4" w:space="0"/>
              <w:left w:val="single" w:color="auto" w:sz="4" w:space="0"/>
              <w:bottom w:val="single" w:color="auto" w:sz="4" w:space="0"/>
              <w:right w:val="single" w:color="auto" w:sz="4" w:space="0"/>
            </w:tcBorders>
            <w:vAlign w:val="center"/>
          </w:tcPr>
          <w:p w14:paraId="6872242A">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项目属性和类别</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3B8E592C">
            <w:pPr>
              <w:shd w:val="clea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项目属性：</w:t>
            </w:r>
            <w:r>
              <w:rPr>
                <w:rFonts w:hint="eastAsia" w:ascii="宋体" w:hAnsi="宋体" w:eastAsia="宋体" w:cs="宋体"/>
                <w:szCs w:val="21"/>
              </w:rPr>
              <w:sym w:font="Wingdings 2" w:char="F0A3"/>
            </w:r>
            <w:r>
              <w:rPr>
                <w:rFonts w:hint="eastAsia" w:ascii="宋体" w:hAnsi="宋体" w:eastAsia="宋体" w:cs="宋体"/>
                <w:szCs w:val="21"/>
              </w:rPr>
              <w:t xml:space="preserve">货物           </w:t>
            </w:r>
            <w:r>
              <w:rPr>
                <w:rFonts w:hint="eastAsia" w:ascii="宋体" w:hAnsi="宋体" w:eastAsia="宋体" w:cs="宋体"/>
                <w:szCs w:val="21"/>
              </w:rPr>
              <w:sym w:font="Wingdings 2" w:char="0052"/>
            </w:r>
            <w:r>
              <w:rPr>
                <w:rFonts w:hint="eastAsia" w:ascii="宋体" w:hAnsi="宋体" w:eastAsia="宋体" w:cs="宋体"/>
                <w:szCs w:val="21"/>
              </w:rPr>
              <w:t>服务</w:t>
            </w:r>
          </w:p>
          <w:p w14:paraId="7859347E">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b/>
                <w:bCs/>
                <w:szCs w:val="21"/>
              </w:rPr>
              <w:t>项目类别：</w:t>
            </w:r>
            <w:r>
              <w:rPr>
                <w:rFonts w:hint="eastAsia" w:ascii="宋体" w:hAnsi="宋体" w:eastAsia="宋体" w:cs="宋体"/>
                <w:szCs w:val="21"/>
              </w:rPr>
              <w:sym w:font="Wingdings 2" w:char="00A3"/>
            </w:r>
            <w:r>
              <w:rPr>
                <w:rFonts w:hint="eastAsia" w:ascii="宋体" w:hAnsi="宋体" w:eastAsia="宋体" w:cs="宋体"/>
                <w:szCs w:val="21"/>
              </w:rPr>
              <w:t xml:space="preserve">信息化项目     </w:t>
            </w:r>
            <w:r>
              <w:rPr>
                <w:rFonts w:hint="eastAsia" w:ascii="宋体" w:hAnsi="宋体" w:eastAsia="宋体" w:cs="宋体"/>
                <w:szCs w:val="21"/>
              </w:rPr>
              <w:sym w:font="Wingdings 2" w:char="0052"/>
            </w:r>
            <w:r>
              <w:rPr>
                <w:rFonts w:hint="eastAsia" w:ascii="宋体" w:hAnsi="宋体" w:eastAsia="宋体" w:cs="宋体"/>
                <w:szCs w:val="21"/>
              </w:rPr>
              <w:t>非信息化项目</w:t>
            </w:r>
          </w:p>
        </w:tc>
      </w:tr>
      <w:tr w14:paraId="494E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49570FA3">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787" w:type="dxa"/>
            <w:tcBorders>
              <w:top w:val="single" w:color="auto" w:sz="4" w:space="0"/>
              <w:left w:val="single" w:color="auto" w:sz="4" w:space="0"/>
              <w:bottom w:val="single" w:color="auto" w:sz="4" w:space="0"/>
              <w:right w:val="single" w:color="auto" w:sz="4" w:space="0"/>
            </w:tcBorders>
            <w:vAlign w:val="center"/>
          </w:tcPr>
          <w:p w14:paraId="3D25F8E3">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采购人</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5218EAC2">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名称：</w:t>
            </w:r>
            <w:r>
              <w:rPr>
                <w:rFonts w:hint="eastAsia" w:ascii="宋体" w:hAnsi="宋体" w:eastAsia="宋体" w:cs="宋体"/>
                <w:szCs w:val="21"/>
                <w:highlight w:val="none"/>
                <w:u w:val="single"/>
              </w:rPr>
              <w:t>国家税务总局福州市税务局</w:t>
            </w:r>
          </w:p>
          <w:p w14:paraId="1217C6ED">
            <w:pPr>
              <w:shd w:val="clear"/>
              <w:adjustRightInd w:val="0"/>
              <w:snapToGrid w:val="0"/>
              <w:spacing w:line="360" w:lineRule="auto"/>
              <w:jc w:val="left"/>
              <w:rPr>
                <w:rFonts w:hint="eastAsia" w:ascii="宋体" w:hAnsi="宋体" w:eastAsia="宋体" w:cs="宋体"/>
                <w:bCs/>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福州市鼓楼区八一七中路49号</w:t>
            </w:r>
          </w:p>
          <w:p w14:paraId="2B12D4D8">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联系</w:t>
            </w:r>
            <w:r>
              <w:rPr>
                <w:rFonts w:hint="eastAsia" w:ascii="宋体" w:hAnsi="宋体" w:eastAsia="宋体" w:cs="宋体"/>
                <w:bCs/>
                <w:szCs w:val="21"/>
                <w:highlight w:val="none"/>
              </w:rPr>
              <w:t>电话：</w:t>
            </w:r>
            <w:r>
              <w:rPr>
                <w:rFonts w:hint="eastAsia" w:ascii="宋体" w:hAnsi="宋体" w:eastAsia="宋体" w:cs="宋体"/>
                <w:szCs w:val="21"/>
                <w:highlight w:val="none"/>
                <w:u w:val="single"/>
              </w:rPr>
              <w:t>陈文岑</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83372536 </w:t>
            </w:r>
          </w:p>
        </w:tc>
      </w:tr>
      <w:tr w14:paraId="6A4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083A665D">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787" w:type="dxa"/>
            <w:tcBorders>
              <w:top w:val="single" w:color="auto" w:sz="4" w:space="0"/>
              <w:left w:val="single" w:color="auto" w:sz="4" w:space="0"/>
              <w:bottom w:val="single" w:color="auto" w:sz="4" w:space="0"/>
              <w:right w:val="single" w:color="auto" w:sz="4" w:space="0"/>
            </w:tcBorders>
            <w:vAlign w:val="center"/>
          </w:tcPr>
          <w:p w14:paraId="5A4C5C66">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76125912">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u w:val="single"/>
              </w:rPr>
              <w:t>福建省中亿通招标咨询有限公司</w:t>
            </w:r>
          </w:p>
          <w:p w14:paraId="35001186">
            <w:pPr>
              <w:shd w:val="clear"/>
              <w:adjustRightInd w:val="0"/>
              <w:snapToGrid w:val="0"/>
              <w:spacing w:line="360" w:lineRule="auto"/>
              <w:jc w:val="left"/>
              <w:rPr>
                <w:rFonts w:hint="eastAsia" w:ascii="宋体" w:hAnsi="宋体" w:eastAsia="宋体" w:cs="宋体"/>
                <w:bCs/>
                <w:szCs w:val="21"/>
              </w:rPr>
            </w:pPr>
            <w:r>
              <w:rPr>
                <w:rFonts w:hint="eastAsia" w:ascii="宋体" w:hAnsi="宋体" w:eastAsia="宋体" w:cs="宋体"/>
                <w:szCs w:val="21"/>
              </w:rPr>
              <w:t>地址：</w:t>
            </w:r>
            <w:r>
              <w:rPr>
                <w:rFonts w:hint="eastAsia" w:ascii="宋体" w:hAnsi="宋体" w:eastAsia="宋体" w:cs="宋体"/>
                <w:szCs w:val="21"/>
                <w:u w:val="single"/>
              </w:rPr>
              <w:t>福建省</w:t>
            </w:r>
            <w:r>
              <w:rPr>
                <w:rFonts w:hint="eastAsia" w:ascii="宋体" w:hAnsi="宋体" w:eastAsia="宋体" w:cs="宋体"/>
                <w:u w:val="single"/>
                <w:shd w:val="clear" w:color="auto" w:fill="FFFFFF"/>
              </w:rPr>
              <w:t>福州市鼓楼区华润万象城三期S11栋1910单元</w:t>
            </w:r>
          </w:p>
          <w:p w14:paraId="7DB1EC15">
            <w:pPr>
              <w:shd w:val="clear"/>
              <w:adjustRightInd w:val="0"/>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t>联系</w:t>
            </w:r>
            <w:r>
              <w:rPr>
                <w:rFonts w:hint="eastAsia" w:ascii="宋体" w:hAnsi="宋体" w:eastAsia="宋体" w:cs="宋体"/>
                <w:bCs/>
                <w:szCs w:val="21"/>
              </w:rPr>
              <w:t>电话：</w:t>
            </w:r>
            <w:r>
              <w:rPr>
                <w:rFonts w:hint="eastAsia" w:ascii="宋体" w:hAnsi="宋体" w:eastAsia="宋体" w:cs="宋体"/>
                <w:bCs/>
                <w:szCs w:val="21"/>
                <w:u w:val="single"/>
              </w:rPr>
              <w:t>陈宇、</w:t>
            </w:r>
            <w:r>
              <w:rPr>
                <w:rFonts w:hint="eastAsia" w:ascii="宋体" w:hAnsi="宋体" w:eastAsia="宋体" w:cs="宋体"/>
                <w:u w:val="single"/>
              </w:rPr>
              <w:t>李萍、黄静、郭梅芳/0591-87527653</w:t>
            </w:r>
            <w:r>
              <w:rPr>
                <w:rFonts w:hint="eastAsia" w:ascii="宋体" w:hAnsi="宋体" w:eastAsia="宋体" w:cs="宋体"/>
                <w:szCs w:val="21"/>
                <w:u w:val="single"/>
              </w:rPr>
              <w:t xml:space="preserve"> </w:t>
            </w:r>
          </w:p>
          <w:p w14:paraId="4D14A3C9">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邮箱：</w:t>
            </w:r>
            <w:r>
              <w:rPr>
                <w:rFonts w:hint="eastAsia" w:ascii="宋体" w:hAnsi="宋体" w:eastAsia="宋体" w:cs="宋体"/>
                <w:szCs w:val="21"/>
                <w:u w:val="single"/>
              </w:rPr>
              <w:t xml:space="preserve">   zytzb2019@126.com    </w:t>
            </w:r>
          </w:p>
        </w:tc>
      </w:tr>
      <w:tr w14:paraId="0FFC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2C779302">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787" w:type="dxa"/>
            <w:tcBorders>
              <w:top w:val="single" w:color="auto" w:sz="4" w:space="0"/>
              <w:left w:val="single" w:color="auto" w:sz="4" w:space="0"/>
              <w:bottom w:val="single" w:color="auto" w:sz="4" w:space="0"/>
              <w:right w:val="single" w:color="auto" w:sz="4" w:space="0"/>
            </w:tcBorders>
            <w:vAlign w:val="center"/>
          </w:tcPr>
          <w:p w14:paraId="45ABD19F">
            <w:pPr>
              <w:shd w:val="clear"/>
              <w:rPr>
                <w:rFonts w:hint="eastAsia" w:ascii="宋体" w:hAnsi="宋体" w:eastAsia="宋体" w:cs="宋体"/>
                <w:szCs w:val="21"/>
              </w:rPr>
            </w:pPr>
            <w:r>
              <w:rPr>
                <w:rFonts w:hint="eastAsia" w:ascii="宋体" w:hAnsi="宋体" w:eastAsia="宋体" w:cs="宋体"/>
                <w:szCs w:val="21"/>
              </w:rPr>
              <w:t>投标人资格要求</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3BA4B199">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1.符合国家</w:t>
            </w:r>
            <w:r>
              <w:rPr>
                <w:rFonts w:hint="eastAsia" w:ascii="宋体" w:hAnsi="宋体" w:eastAsia="宋体" w:cs="宋体"/>
                <w:szCs w:val="21"/>
              </w:rPr>
              <w:t>有关</w:t>
            </w:r>
            <w:r>
              <w:rPr>
                <w:rFonts w:hint="eastAsia" w:ascii="宋体" w:hAnsi="宋体" w:eastAsia="宋体" w:cs="宋体"/>
                <w:szCs w:val="21"/>
                <w:lang w:val="zh-CN"/>
              </w:rPr>
              <w:t>法律规定，在中国境内（指关境内）注册。</w:t>
            </w:r>
          </w:p>
          <w:p w14:paraId="5A5646D0">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2.具备</w:t>
            </w:r>
            <w:r>
              <w:rPr>
                <w:rFonts w:hint="eastAsia" w:ascii="宋体" w:hAnsi="宋体" w:eastAsia="宋体" w:cs="宋体"/>
                <w:szCs w:val="21"/>
              </w:rPr>
              <w:t>《政府采购法》</w:t>
            </w:r>
            <w:r>
              <w:rPr>
                <w:rFonts w:hint="eastAsia" w:ascii="宋体" w:hAnsi="宋体" w:eastAsia="宋体" w:cs="宋体"/>
                <w:szCs w:val="21"/>
                <w:lang w:val="zh-CN"/>
              </w:rPr>
              <w:t>第二十二条的规定：</w:t>
            </w:r>
          </w:p>
          <w:p w14:paraId="1C6FA3D6">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（1）具有独立</w:t>
            </w:r>
            <w:r>
              <w:rPr>
                <w:rFonts w:hint="eastAsia" w:ascii="宋体" w:hAnsi="宋体" w:eastAsia="宋体" w:cs="宋体"/>
                <w:szCs w:val="21"/>
              </w:rPr>
              <w:t>承担</w:t>
            </w:r>
            <w:r>
              <w:rPr>
                <w:rFonts w:hint="eastAsia" w:ascii="宋体" w:hAnsi="宋体" w:eastAsia="宋体" w:cs="宋体"/>
                <w:szCs w:val="21"/>
                <w:lang w:val="zh-CN"/>
              </w:rPr>
              <w:t>民事责任的能力；</w:t>
            </w:r>
          </w:p>
          <w:p w14:paraId="0E1AAFFB">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（2）具有良好的商业信誉和健全的财务会计制度；</w:t>
            </w:r>
          </w:p>
          <w:p w14:paraId="37E2D6A2">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（3）具有履行</w:t>
            </w:r>
            <w:r>
              <w:rPr>
                <w:rFonts w:hint="eastAsia" w:ascii="宋体" w:hAnsi="宋体" w:eastAsia="宋体" w:cs="宋体"/>
                <w:szCs w:val="21"/>
              </w:rPr>
              <w:t>合同</w:t>
            </w:r>
            <w:r>
              <w:rPr>
                <w:rFonts w:hint="eastAsia" w:ascii="宋体" w:hAnsi="宋体" w:eastAsia="宋体" w:cs="宋体"/>
                <w:szCs w:val="21"/>
                <w:lang w:val="zh-CN"/>
              </w:rPr>
              <w:t>所必需的设备和专业技术能力；</w:t>
            </w:r>
          </w:p>
          <w:p w14:paraId="6062BFC8">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（4）有依法</w:t>
            </w:r>
            <w:r>
              <w:rPr>
                <w:rFonts w:hint="eastAsia" w:ascii="宋体" w:hAnsi="宋体" w:eastAsia="宋体" w:cs="宋体"/>
                <w:szCs w:val="21"/>
              </w:rPr>
              <w:t>缴纳</w:t>
            </w:r>
            <w:r>
              <w:rPr>
                <w:rFonts w:hint="eastAsia" w:ascii="宋体" w:hAnsi="宋体" w:eastAsia="宋体" w:cs="宋体"/>
                <w:szCs w:val="21"/>
                <w:lang w:val="zh-CN"/>
              </w:rPr>
              <w:t>税收和社会保障资金的良好记录；</w:t>
            </w:r>
          </w:p>
          <w:p w14:paraId="3E6AEACF">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（5）参加政府</w:t>
            </w:r>
            <w:r>
              <w:rPr>
                <w:rFonts w:hint="eastAsia" w:ascii="宋体" w:hAnsi="宋体" w:eastAsia="宋体" w:cs="宋体"/>
                <w:szCs w:val="21"/>
              </w:rPr>
              <w:t>采购</w:t>
            </w:r>
            <w:r>
              <w:rPr>
                <w:rFonts w:hint="eastAsia" w:ascii="宋体" w:hAnsi="宋体" w:eastAsia="宋体" w:cs="宋体"/>
                <w:szCs w:val="21"/>
                <w:lang w:val="zh-CN"/>
              </w:rPr>
              <w:t>活动前三年内，在经营活动中没有重大违法记录；</w:t>
            </w:r>
          </w:p>
          <w:p w14:paraId="1E9C71AD">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（6）法律、行政法规规定的其他条件。</w:t>
            </w:r>
          </w:p>
          <w:p w14:paraId="15105018">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3.本项目的特定资格要求：</w:t>
            </w:r>
            <w:r>
              <w:rPr>
                <w:rFonts w:hint="eastAsia" w:ascii="宋体" w:hAnsi="宋体" w:eastAsia="宋体" w:cs="宋体"/>
                <w:szCs w:val="21"/>
                <w:u w:val="single"/>
              </w:rPr>
              <w:t xml:space="preserve">  无  </w:t>
            </w:r>
            <w:r>
              <w:rPr>
                <w:rFonts w:hint="eastAsia" w:ascii="宋体" w:hAnsi="宋体" w:eastAsia="宋体" w:cs="宋体"/>
                <w:szCs w:val="21"/>
              </w:rPr>
              <w:t>。</w:t>
            </w:r>
          </w:p>
        </w:tc>
      </w:tr>
      <w:tr w14:paraId="6E6A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72CEBCC3">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787" w:type="dxa"/>
            <w:tcBorders>
              <w:top w:val="single" w:color="auto" w:sz="4" w:space="0"/>
              <w:left w:val="single" w:color="auto" w:sz="4" w:space="0"/>
              <w:bottom w:val="single" w:color="auto" w:sz="4" w:space="0"/>
              <w:right w:val="single" w:color="auto" w:sz="4" w:space="0"/>
            </w:tcBorders>
            <w:vAlign w:val="center"/>
          </w:tcPr>
          <w:p w14:paraId="65B049D4">
            <w:pPr>
              <w:shd w:val="clear"/>
              <w:rPr>
                <w:rFonts w:hint="eastAsia" w:ascii="宋体" w:hAnsi="宋体" w:eastAsia="宋体" w:cs="宋体"/>
                <w:szCs w:val="21"/>
              </w:rPr>
            </w:pPr>
            <w:r>
              <w:rPr>
                <w:rFonts w:hint="eastAsia" w:ascii="宋体" w:hAnsi="宋体" w:eastAsia="宋体" w:cs="宋体"/>
                <w:szCs w:val="21"/>
              </w:rPr>
              <w:t>是否接受联合体投标</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2BBF2CA7">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不接受</w:t>
            </w:r>
          </w:p>
        </w:tc>
      </w:tr>
      <w:tr w14:paraId="1D4B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0DE8D17B">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787" w:type="dxa"/>
            <w:tcBorders>
              <w:top w:val="single" w:color="auto" w:sz="4" w:space="0"/>
              <w:left w:val="single" w:color="auto" w:sz="4" w:space="0"/>
              <w:bottom w:val="single" w:color="auto" w:sz="4" w:space="0"/>
              <w:right w:val="single" w:color="auto" w:sz="4" w:space="0"/>
            </w:tcBorders>
            <w:vAlign w:val="center"/>
          </w:tcPr>
          <w:p w14:paraId="70B41AB9">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采购标的对应的中小企业划分标准所属行业</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7B5132B1">
            <w:pPr>
              <w:shd w:val="clea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本项目为服务类采购项目，采购标的对应的中小企业划分标准所属行业为：物业管理。</w:t>
            </w:r>
          </w:p>
        </w:tc>
      </w:tr>
      <w:tr w14:paraId="2C3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04284D10">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787" w:type="dxa"/>
            <w:tcBorders>
              <w:top w:val="single" w:color="auto" w:sz="4" w:space="0"/>
              <w:left w:val="single" w:color="auto" w:sz="4" w:space="0"/>
              <w:bottom w:val="single" w:color="auto" w:sz="4" w:space="0"/>
              <w:right w:val="single" w:color="auto" w:sz="4" w:space="0"/>
            </w:tcBorders>
            <w:vAlign w:val="center"/>
          </w:tcPr>
          <w:p w14:paraId="17EE3E4E">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非主体、非关键性工作分包</w:t>
            </w:r>
          </w:p>
        </w:tc>
        <w:tc>
          <w:tcPr>
            <w:tcW w:w="6255" w:type="dxa"/>
            <w:gridSpan w:val="2"/>
            <w:tcBorders>
              <w:top w:val="single" w:color="auto" w:sz="4" w:space="0"/>
              <w:left w:val="single" w:color="auto" w:sz="4" w:space="0"/>
              <w:bottom w:val="single" w:color="auto" w:sz="4" w:space="0"/>
              <w:right w:val="single" w:color="auto" w:sz="4" w:space="0"/>
            </w:tcBorders>
            <w:vAlign w:val="center"/>
          </w:tcPr>
          <w:p w14:paraId="375A865F">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是否允许中标人将本项目的非主体、非关键性工作进行分包：</w:t>
            </w:r>
          </w:p>
          <w:p w14:paraId="22E1F710">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采购包1：☑不允许</w:t>
            </w:r>
          </w:p>
        </w:tc>
      </w:tr>
      <w:tr w14:paraId="121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749C6B6">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1787" w:type="dxa"/>
            <w:vAlign w:val="center"/>
          </w:tcPr>
          <w:p w14:paraId="2E69331D">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核心产品</w:t>
            </w:r>
          </w:p>
        </w:tc>
        <w:tc>
          <w:tcPr>
            <w:tcW w:w="6255" w:type="dxa"/>
            <w:gridSpan w:val="2"/>
            <w:vAlign w:val="center"/>
          </w:tcPr>
          <w:p w14:paraId="5E75DB19">
            <w:pPr>
              <w:shd w:val="clear"/>
              <w:adjustRightInd w:val="0"/>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sym w:font="Wingdings 2" w:char="0052"/>
            </w:r>
            <w:r>
              <w:rPr>
                <w:rFonts w:hint="eastAsia" w:ascii="宋体" w:hAnsi="宋体" w:eastAsia="宋体" w:cs="宋体"/>
                <w:szCs w:val="21"/>
              </w:rPr>
              <w:t>本项目不适用</w:t>
            </w:r>
          </w:p>
        </w:tc>
      </w:tr>
      <w:tr w14:paraId="73D3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393E089">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1787" w:type="dxa"/>
            <w:vAlign w:val="center"/>
          </w:tcPr>
          <w:p w14:paraId="5BAD4487">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采购进口产品</w:t>
            </w:r>
          </w:p>
        </w:tc>
        <w:tc>
          <w:tcPr>
            <w:tcW w:w="6255" w:type="dxa"/>
            <w:gridSpan w:val="2"/>
            <w:vAlign w:val="center"/>
          </w:tcPr>
          <w:p w14:paraId="6BB6296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本采购项目拒绝进口产品参加投标</w:t>
            </w:r>
          </w:p>
        </w:tc>
      </w:tr>
      <w:tr w14:paraId="5D61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59F71A9">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1787" w:type="dxa"/>
            <w:vAlign w:val="center"/>
          </w:tcPr>
          <w:p w14:paraId="4B75F77D">
            <w:pPr>
              <w:shd w:val="clear"/>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信息发布媒体</w:t>
            </w:r>
          </w:p>
        </w:tc>
        <w:tc>
          <w:tcPr>
            <w:tcW w:w="6255" w:type="dxa"/>
            <w:gridSpan w:val="2"/>
            <w:vAlign w:val="center"/>
          </w:tcPr>
          <w:p w14:paraId="52D20EE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中国政府采购网（</w:t>
            </w:r>
            <w:r>
              <w:fldChar w:fldCharType="begin"/>
            </w:r>
            <w:r>
              <w:instrText xml:space="preserve"> HYPERLINK "http://www.ccgp.gov.cn" </w:instrText>
            </w:r>
            <w:r>
              <w:fldChar w:fldCharType="separate"/>
            </w:r>
            <w:r>
              <w:rPr>
                <w:rFonts w:hint="eastAsia" w:ascii="宋体" w:hAnsi="宋体" w:eastAsia="宋体" w:cs="宋体"/>
                <w:szCs w:val="21"/>
              </w:rPr>
              <w:t>www.ccgp.gov.cn</w:t>
            </w:r>
            <w:r>
              <w:rPr>
                <w:rFonts w:hint="eastAsia" w:ascii="宋体" w:hAnsi="宋体" w:eastAsia="宋体" w:cs="宋体"/>
                <w:szCs w:val="21"/>
              </w:rPr>
              <w:fldChar w:fldCharType="end"/>
            </w:r>
            <w:r>
              <w:rPr>
                <w:rFonts w:hint="eastAsia" w:ascii="宋体" w:hAnsi="宋体" w:eastAsia="宋体" w:cs="宋体"/>
                <w:szCs w:val="21"/>
              </w:rPr>
              <w:t>）</w:t>
            </w:r>
          </w:p>
        </w:tc>
      </w:tr>
      <w:tr w14:paraId="188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D514097">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13</w:t>
            </w:r>
          </w:p>
        </w:tc>
        <w:tc>
          <w:tcPr>
            <w:tcW w:w="1787" w:type="dxa"/>
            <w:vAlign w:val="center"/>
          </w:tcPr>
          <w:p w14:paraId="759F2BC2">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获取招标文件</w:t>
            </w:r>
          </w:p>
          <w:p w14:paraId="3BAD6CBC">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时间、地点和</w:t>
            </w:r>
          </w:p>
          <w:p w14:paraId="01895BCE">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方式等</w:t>
            </w:r>
          </w:p>
        </w:tc>
        <w:tc>
          <w:tcPr>
            <w:tcW w:w="6255" w:type="dxa"/>
            <w:gridSpan w:val="2"/>
            <w:vAlign w:val="center"/>
          </w:tcPr>
          <w:p w14:paraId="1E01BDE2">
            <w:pPr>
              <w:shd w:val="clea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时间</w:t>
            </w:r>
            <w:r>
              <w:rPr>
                <w:rFonts w:hint="eastAsia" w:ascii="宋体" w:hAnsi="宋体" w:eastAsia="宋体" w:cs="宋体"/>
                <w:b/>
                <w:bCs/>
                <w:szCs w:val="21"/>
              </w:rPr>
              <w:t>：</w:t>
            </w:r>
            <w:r>
              <w:rPr>
                <w:rFonts w:hint="eastAsia" w:ascii="宋体" w:hAnsi="宋体" w:eastAsia="宋体" w:cs="宋体"/>
                <w:b/>
                <w:bCs/>
                <w:szCs w:val="21"/>
                <w:highlight w:val="none"/>
                <w:u w:val="single"/>
              </w:rPr>
              <w:t>2025年</w:t>
            </w:r>
            <w:r>
              <w:rPr>
                <w:rFonts w:hint="eastAsia" w:ascii="宋体" w:hAnsi="宋体" w:eastAsia="宋体" w:cs="宋体"/>
                <w:b/>
                <w:bCs/>
                <w:szCs w:val="21"/>
                <w:highlight w:val="none"/>
                <w:u w:val="single"/>
                <w:lang w:val="en-US" w:eastAsia="zh-CN"/>
              </w:rPr>
              <w:t>6</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5</w:t>
            </w:r>
            <w:r>
              <w:rPr>
                <w:rFonts w:hint="eastAsia" w:ascii="宋体" w:hAnsi="宋体" w:eastAsia="宋体" w:cs="宋体"/>
                <w:b/>
                <w:bCs/>
                <w:szCs w:val="21"/>
                <w:highlight w:val="none"/>
                <w:u w:val="single"/>
              </w:rPr>
              <w:t>日至2025年</w:t>
            </w:r>
            <w:r>
              <w:rPr>
                <w:rFonts w:hint="eastAsia" w:ascii="宋体" w:hAnsi="宋体" w:eastAsia="宋体" w:cs="宋体"/>
                <w:b/>
                <w:bCs/>
                <w:szCs w:val="21"/>
                <w:highlight w:val="none"/>
                <w:u w:val="single"/>
                <w:lang w:val="en-US" w:eastAsia="zh-CN"/>
              </w:rPr>
              <w:t>6</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11</w:t>
            </w:r>
            <w:r>
              <w:rPr>
                <w:rFonts w:hint="eastAsia" w:ascii="宋体" w:hAnsi="宋体" w:eastAsia="宋体" w:cs="宋体"/>
                <w:b/>
                <w:bCs/>
                <w:szCs w:val="21"/>
                <w:highlight w:val="none"/>
                <w:u w:val="single"/>
              </w:rPr>
              <w:t>日</w:t>
            </w:r>
            <w:r>
              <w:rPr>
                <w:rFonts w:hint="eastAsia" w:ascii="宋体" w:hAnsi="宋体" w:eastAsia="宋体" w:cs="宋体"/>
                <w:szCs w:val="21"/>
                <w:highlight w:val="none"/>
              </w:rPr>
              <w:t>，每天</w:t>
            </w:r>
            <w:r>
              <w:rPr>
                <w:rFonts w:hint="eastAsia" w:ascii="宋体" w:hAnsi="宋体" w:eastAsia="宋体" w:cs="宋体"/>
                <w:szCs w:val="21"/>
              </w:rPr>
              <w:t>上午</w:t>
            </w:r>
            <w:r>
              <w:rPr>
                <w:rFonts w:hint="eastAsia" w:ascii="宋体" w:hAnsi="宋体" w:eastAsia="宋体" w:cs="宋体"/>
                <w:szCs w:val="21"/>
                <w:u w:val="single"/>
              </w:rPr>
              <w:t>08:30</w:t>
            </w:r>
            <w:r>
              <w:rPr>
                <w:rFonts w:hint="eastAsia" w:ascii="宋体" w:hAnsi="宋体" w:eastAsia="宋体" w:cs="宋体"/>
                <w:szCs w:val="21"/>
              </w:rPr>
              <w:t>至</w:t>
            </w:r>
            <w:r>
              <w:rPr>
                <w:rFonts w:hint="eastAsia" w:ascii="宋体" w:hAnsi="宋体" w:eastAsia="宋体" w:cs="宋体"/>
                <w:szCs w:val="21"/>
                <w:u w:val="single"/>
              </w:rPr>
              <w:t>12:00</w:t>
            </w:r>
            <w:r>
              <w:rPr>
                <w:rFonts w:hint="eastAsia" w:ascii="宋体" w:hAnsi="宋体" w:eastAsia="宋体" w:cs="宋体"/>
                <w:szCs w:val="21"/>
              </w:rPr>
              <w:t>，下午</w:t>
            </w:r>
            <w:r>
              <w:rPr>
                <w:rFonts w:hint="eastAsia" w:ascii="宋体" w:hAnsi="宋体" w:eastAsia="宋体" w:cs="宋体"/>
                <w:szCs w:val="21"/>
                <w:u w:val="single"/>
              </w:rPr>
              <w:t>14:30</w:t>
            </w:r>
            <w:r>
              <w:rPr>
                <w:rFonts w:hint="eastAsia" w:ascii="宋体" w:hAnsi="宋体" w:eastAsia="宋体" w:cs="宋体"/>
                <w:szCs w:val="21"/>
              </w:rPr>
              <w:t>至</w:t>
            </w:r>
            <w:r>
              <w:rPr>
                <w:rFonts w:hint="eastAsia" w:ascii="宋体" w:hAnsi="宋体" w:eastAsia="宋体" w:cs="宋体"/>
                <w:szCs w:val="21"/>
                <w:u w:val="single"/>
              </w:rPr>
              <w:t>18:00</w:t>
            </w:r>
            <w:r>
              <w:rPr>
                <w:rFonts w:hint="eastAsia" w:ascii="宋体" w:hAnsi="宋体" w:eastAsia="宋体" w:cs="宋体"/>
                <w:szCs w:val="21"/>
              </w:rPr>
              <w:t>（北京时间，法定节假日除外）</w:t>
            </w:r>
          </w:p>
          <w:p w14:paraId="01E64EC2">
            <w:pPr>
              <w:shd w:val="clear"/>
              <w:adjustRightInd w:val="0"/>
              <w:snapToGrid w:val="0"/>
              <w:spacing w:line="360" w:lineRule="auto"/>
              <w:rPr>
                <w:rFonts w:hint="eastAsia" w:ascii="宋体" w:hAnsi="宋体" w:eastAsia="宋体" w:cs="宋体"/>
                <w:bCs/>
                <w:szCs w:val="21"/>
              </w:rPr>
            </w:pPr>
            <w:r>
              <w:rPr>
                <w:rFonts w:hint="eastAsia" w:ascii="宋体" w:hAnsi="宋体" w:eastAsia="宋体" w:cs="宋体"/>
                <w:b/>
                <w:szCs w:val="21"/>
              </w:rPr>
              <w:t>地点：</w:t>
            </w:r>
            <w:r>
              <w:rPr>
                <w:rFonts w:hint="eastAsia" w:ascii="宋体" w:hAnsi="宋体" w:eastAsia="宋体" w:cs="宋体"/>
                <w:szCs w:val="21"/>
                <w:u w:val="single"/>
              </w:rPr>
              <w:t>福建省中亿通招标咨询有限公司（</w:t>
            </w:r>
            <w:r>
              <w:rPr>
                <w:rFonts w:hint="eastAsia" w:ascii="宋体" w:hAnsi="宋体" w:eastAsia="宋体" w:cs="宋体"/>
                <w:u w:val="single"/>
                <w:shd w:val="clear" w:color="auto" w:fill="FFFFFF"/>
              </w:rPr>
              <w:t>福建省福州市鼓楼区华润万象城三期S11栋1910单元</w:t>
            </w:r>
            <w:r>
              <w:rPr>
                <w:rFonts w:hint="eastAsia" w:ascii="宋体" w:hAnsi="宋体" w:eastAsia="宋体" w:cs="宋体"/>
                <w:szCs w:val="21"/>
                <w:u w:val="single"/>
              </w:rPr>
              <w:t>）</w:t>
            </w:r>
          </w:p>
          <w:p w14:paraId="5596D519">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b/>
                <w:szCs w:val="21"/>
              </w:rPr>
              <w:t>方式：</w:t>
            </w:r>
            <w:r>
              <w:rPr>
                <w:rFonts w:hint="eastAsia" w:ascii="宋体" w:hAnsi="宋体" w:eastAsia="宋体" w:cs="宋体"/>
                <w:szCs w:val="21"/>
                <w:u w:val="single"/>
              </w:rPr>
              <w:t>① 邮件方式报名获取招标文件事宜的投标人，按照招标公告提供的报名登记表加盖公章发送至代理机构的电子信箱(电子信箱：zytzb2019@126.com)；② 现场方式报名办理获取招标文件事宜的投标人须至代理机构进行书面登记。</w:t>
            </w:r>
          </w:p>
        </w:tc>
      </w:tr>
      <w:tr w14:paraId="1241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7F4BA81">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14</w:t>
            </w:r>
          </w:p>
        </w:tc>
        <w:tc>
          <w:tcPr>
            <w:tcW w:w="1787" w:type="dxa"/>
            <w:vAlign w:val="center"/>
          </w:tcPr>
          <w:p w14:paraId="6D3C8742">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现场考察/踏勘</w:t>
            </w:r>
          </w:p>
        </w:tc>
        <w:tc>
          <w:tcPr>
            <w:tcW w:w="6255" w:type="dxa"/>
            <w:gridSpan w:val="2"/>
            <w:vAlign w:val="center"/>
          </w:tcPr>
          <w:p w14:paraId="18D6B561">
            <w:pPr>
              <w:shd w:val="clear"/>
              <w:tabs>
                <w:tab w:val="left" w:pos="0"/>
                <w:tab w:val="left" w:pos="420"/>
              </w:tabs>
              <w:adjustRightInd w:val="0"/>
              <w:snapToGrid w:val="0"/>
              <w:spacing w:line="360" w:lineRule="auto"/>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不组织现场考察/踏勘</w:t>
            </w:r>
          </w:p>
        </w:tc>
      </w:tr>
      <w:tr w14:paraId="429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8B9BA41">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15</w:t>
            </w:r>
          </w:p>
        </w:tc>
        <w:tc>
          <w:tcPr>
            <w:tcW w:w="1787" w:type="dxa"/>
            <w:vAlign w:val="center"/>
          </w:tcPr>
          <w:p w14:paraId="29AA1E23">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样品</w:t>
            </w:r>
          </w:p>
        </w:tc>
        <w:tc>
          <w:tcPr>
            <w:tcW w:w="6255" w:type="dxa"/>
            <w:gridSpan w:val="2"/>
            <w:vAlign w:val="center"/>
          </w:tcPr>
          <w:p w14:paraId="464F0187">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不要求提供</w:t>
            </w:r>
          </w:p>
        </w:tc>
      </w:tr>
      <w:tr w14:paraId="0D9B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14:paraId="220D6F39">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16</w:t>
            </w:r>
          </w:p>
        </w:tc>
        <w:tc>
          <w:tcPr>
            <w:tcW w:w="1787" w:type="dxa"/>
            <w:vMerge w:val="restart"/>
            <w:vAlign w:val="center"/>
          </w:tcPr>
          <w:p w14:paraId="3DB2DFA4">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投标文件组成</w:t>
            </w:r>
          </w:p>
        </w:tc>
        <w:tc>
          <w:tcPr>
            <w:tcW w:w="1048" w:type="dxa"/>
            <w:vMerge w:val="restart"/>
            <w:vAlign w:val="center"/>
          </w:tcPr>
          <w:p w14:paraId="3F6BA38F">
            <w:pPr>
              <w:shd w:val="clear"/>
              <w:topLinePunct/>
              <w:autoSpaceDE w:val="0"/>
              <w:autoSpaceDN w:val="0"/>
              <w:adjustRightInd w:val="0"/>
              <w:snapToGrid w:val="0"/>
              <w:spacing w:line="360" w:lineRule="auto"/>
              <w:jc w:val="center"/>
              <w:rPr>
                <w:rFonts w:hint="eastAsia" w:ascii="宋体" w:hAnsi="宋体" w:eastAsia="宋体" w:cs="宋体"/>
                <w:bCs/>
                <w:szCs w:val="21"/>
              </w:rPr>
            </w:pPr>
            <w:r>
              <w:rPr>
                <w:rFonts w:hint="eastAsia" w:ascii="宋体" w:hAnsi="宋体" w:eastAsia="宋体" w:cs="宋体"/>
                <w:szCs w:val="21"/>
              </w:rPr>
              <w:t>商务部</w:t>
            </w:r>
            <w:r>
              <w:rPr>
                <w:rFonts w:hint="eastAsia" w:ascii="宋体" w:hAnsi="宋体" w:eastAsia="宋体" w:cs="宋体"/>
                <w:bCs/>
                <w:szCs w:val="21"/>
              </w:rPr>
              <w:t>分</w:t>
            </w:r>
          </w:p>
        </w:tc>
        <w:tc>
          <w:tcPr>
            <w:tcW w:w="5207" w:type="dxa"/>
            <w:vAlign w:val="center"/>
          </w:tcPr>
          <w:p w14:paraId="22B6E79E">
            <w:pPr>
              <w:widowControl/>
              <w:shd w:val="clear"/>
              <w:tabs>
                <w:tab w:val="left" w:pos="0"/>
                <w:tab w:val="left" w:pos="420"/>
              </w:tabs>
              <w:adjustRightInd w:val="0"/>
              <w:snapToGrid w:val="0"/>
              <w:spacing w:line="360" w:lineRule="auto"/>
              <w:jc w:val="left"/>
              <w:rPr>
                <w:rFonts w:hint="eastAsia" w:ascii="宋体" w:hAnsi="宋体" w:eastAsia="宋体" w:cs="宋体"/>
                <w:szCs w:val="21"/>
              </w:rPr>
            </w:pPr>
            <w:r>
              <w:rPr>
                <w:rFonts w:hint="eastAsia" w:ascii="宋体" w:hAnsi="宋体" w:eastAsia="宋体" w:cs="宋体"/>
                <w:b/>
                <w:szCs w:val="21"/>
              </w:rPr>
              <w:t>一、资格证明文件：</w:t>
            </w:r>
          </w:p>
          <w:p w14:paraId="0049B5F7">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1.★法人或者其他组织的营业执照等证明文件，自然人的身份证明复印件；</w:t>
            </w:r>
          </w:p>
          <w:p w14:paraId="3BD2133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2.★财务状况报告：2023年度或2024年度经会计师事务所审计的财务报告（须上传加盖会计师事务所公章及注册会计师签章的扫描件）；没有经审计的财务报告的，可以提供基本开户银行出具的资信证明复印件；</w:t>
            </w:r>
          </w:p>
          <w:p w14:paraId="71ACF6A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依法缴纳税收：提供投标截止时间前六个月（不含投标截止时间的当月）中任一月份的税收缴纳凭据复印件（截止时间当月成立的供应商，无法提供依法缴纳税收相关材料的，视为满足该条件）如依法免税或不需要纳税的，则应提供相应证明材料复印件；</w:t>
            </w:r>
          </w:p>
          <w:p w14:paraId="526A1FA6">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4.★社会保障资金：提供投标截止时间前六个月（不含投标截止时间的当月）中任一月份的社会保障资金缴纳凭据复印件（截止时间当月成立的供应商，无法提供依法缴纳社会保障资金相关材料的，视为满足该条件），如依法不需要缴纳社会保障资金的，则应提供相应证明材料复印件；</w:t>
            </w:r>
          </w:p>
          <w:p w14:paraId="10DFD301">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5.★具备履行合同所必需的设备和专业技术能力的书面声明；</w:t>
            </w:r>
          </w:p>
          <w:p w14:paraId="10499EE0">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6.★参加政府采购活动前3年内在经营活动中没有重大违法记录的书面声明；</w:t>
            </w:r>
          </w:p>
          <w:p w14:paraId="7B8F79F6">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7.★具备法律、行政法规规定的其他条件的证明材料；</w:t>
            </w:r>
          </w:p>
          <w:p w14:paraId="3E166CF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8.★提供中小企业声明函（中小企业投标的，应按照《政府采购促进中小企业发展管理办法》（财库﹝2020﹞46 号印发）《关于印发中小企业划型标准规定的通知》 （工信部联企业〔2011〕300号）如实填写并提交此函）或</w:t>
            </w:r>
          </w:p>
          <w:p w14:paraId="5B060B47">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监狱企业证明文件[监狱企业投标的，应提交省级以上监狱管理局、戒毒管理局（含新疆生产建设兵团）出具的证明文件]或残疾人福利性单位声明函（残疾人福利性单位投标的，应提交此函）；</w:t>
            </w:r>
          </w:p>
          <w:p w14:paraId="53010D42">
            <w:pPr>
              <w:widowControl/>
              <w:numPr>
                <w:ilvl w:val="0"/>
                <w:numId w:val="2"/>
              </w:numPr>
              <w:shd w:val="clear"/>
              <w:tabs>
                <w:tab w:val="left" w:pos="0"/>
                <w:tab w:val="left" w:pos="220"/>
              </w:tabs>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u w:val="single"/>
              </w:rPr>
              <w:t xml:space="preserve">    无    。</w:t>
            </w:r>
          </w:p>
        </w:tc>
      </w:tr>
      <w:tr w14:paraId="79FB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4DF9B8A4">
            <w:pPr>
              <w:shd w:val="clear"/>
              <w:adjustRightInd w:val="0"/>
              <w:snapToGrid w:val="0"/>
              <w:spacing w:line="360" w:lineRule="auto"/>
              <w:jc w:val="center"/>
              <w:rPr>
                <w:rFonts w:hint="eastAsia" w:ascii="宋体" w:hAnsi="宋体" w:eastAsia="宋体" w:cs="宋体"/>
                <w:b/>
                <w:szCs w:val="21"/>
              </w:rPr>
            </w:pPr>
          </w:p>
        </w:tc>
        <w:tc>
          <w:tcPr>
            <w:tcW w:w="1787" w:type="dxa"/>
            <w:vMerge w:val="continue"/>
            <w:vAlign w:val="center"/>
          </w:tcPr>
          <w:p w14:paraId="4D30AA5C">
            <w:pPr>
              <w:shd w:val="clear"/>
              <w:topLinePunct/>
              <w:autoSpaceDE w:val="0"/>
              <w:autoSpaceDN w:val="0"/>
              <w:adjustRightInd w:val="0"/>
              <w:snapToGrid w:val="0"/>
              <w:spacing w:line="360" w:lineRule="auto"/>
              <w:jc w:val="center"/>
              <w:rPr>
                <w:rFonts w:hint="eastAsia" w:ascii="宋体" w:hAnsi="宋体" w:eastAsia="宋体" w:cs="宋体"/>
                <w:b/>
                <w:szCs w:val="21"/>
              </w:rPr>
            </w:pPr>
          </w:p>
        </w:tc>
        <w:tc>
          <w:tcPr>
            <w:tcW w:w="1048" w:type="dxa"/>
            <w:vMerge w:val="continue"/>
            <w:vAlign w:val="center"/>
          </w:tcPr>
          <w:p w14:paraId="25ECF737">
            <w:pPr>
              <w:shd w:val="clear"/>
              <w:topLinePunct/>
              <w:autoSpaceDE w:val="0"/>
              <w:autoSpaceDN w:val="0"/>
              <w:adjustRightInd w:val="0"/>
              <w:snapToGrid w:val="0"/>
              <w:spacing w:line="360" w:lineRule="auto"/>
              <w:rPr>
                <w:rFonts w:hint="eastAsia" w:ascii="宋体" w:hAnsi="宋体" w:eastAsia="宋体" w:cs="宋体"/>
                <w:b/>
                <w:bCs/>
                <w:szCs w:val="21"/>
              </w:rPr>
            </w:pPr>
          </w:p>
        </w:tc>
        <w:tc>
          <w:tcPr>
            <w:tcW w:w="5207" w:type="dxa"/>
            <w:vAlign w:val="center"/>
          </w:tcPr>
          <w:p w14:paraId="2C12D1B7">
            <w:pPr>
              <w:shd w:val="clea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szCs w:val="21"/>
              </w:rPr>
              <w:t>开标一览表</w:t>
            </w:r>
            <w:r>
              <w:rPr>
                <w:rFonts w:hint="eastAsia" w:ascii="宋体" w:hAnsi="宋体" w:eastAsia="宋体" w:cs="宋体"/>
                <w:b/>
                <w:bCs/>
                <w:szCs w:val="21"/>
              </w:rPr>
              <w:t>：</w:t>
            </w:r>
          </w:p>
          <w:p w14:paraId="73F820BC">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1.★投标报价表；</w:t>
            </w:r>
          </w:p>
        </w:tc>
      </w:tr>
      <w:tr w14:paraId="16CD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553F6BD6">
            <w:pPr>
              <w:shd w:val="clear"/>
              <w:adjustRightInd w:val="0"/>
              <w:snapToGrid w:val="0"/>
              <w:spacing w:line="360" w:lineRule="auto"/>
              <w:jc w:val="center"/>
              <w:rPr>
                <w:rFonts w:hint="eastAsia" w:ascii="宋体" w:hAnsi="宋体" w:eastAsia="宋体" w:cs="宋体"/>
                <w:b/>
                <w:szCs w:val="21"/>
              </w:rPr>
            </w:pPr>
          </w:p>
        </w:tc>
        <w:tc>
          <w:tcPr>
            <w:tcW w:w="1787" w:type="dxa"/>
            <w:vMerge w:val="continue"/>
            <w:vAlign w:val="center"/>
          </w:tcPr>
          <w:p w14:paraId="04AFF7B0">
            <w:pPr>
              <w:shd w:val="clear"/>
              <w:topLinePunct/>
              <w:autoSpaceDE w:val="0"/>
              <w:autoSpaceDN w:val="0"/>
              <w:adjustRightInd w:val="0"/>
              <w:snapToGrid w:val="0"/>
              <w:spacing w:line="360" w:lineRule="auto"/>
              <w:jc w:val="center"/>
              <w:rPr>
                <w:rFonts w:hint="eastAsia" w:ascii="宋体" w:hAnsi="宋体" w:eastAsia="宋体" w:cs="宋体"/>
                <w:b/>
                <w:szCs w:val="21"/>
              </w:rPr>
            </w:pPr>
          </w:p>
        </w:tc>
        <w:tc>
          <w:tcPr>
            <w:tcW w:w="1048" w:type="dxa"/>
            <w:vMerge w:val="continue"/>
            <w:vAlign w:val="center"/>
          </w:tcPr>
          <w:p w14:paraId="3EBB86A9">
            <w:pPr>
              <w:shd w:val="clear"/>
              <w:topLinePunct/>
              <w:autoSpaceDE w:val="0"/>
              <w:autoSpaceDN w:val="0"/>
              <w:adjustRightInd w:val="0"/>
              <w:snapToGrid w:val="0"/>
              <w:spacing w:line="360" w:lineRule="auto"/>
              <w:rPr>
                <w:rFonts w:hint="eastAsia" w:ascii="宋体" w:hAnsi="宋体" w:eastAsia="宋体" w:cs="宋体"/>
                <w:b/>
                <w:bCs/>
                <w:szCs w:val="21"/>
              </w:rPr>
            </w:pPr>
          </w:p>
        </w:tc>
        <w:tc>
          <w:tcPr>
            <w:tcW w:w="5207" w:type="dxa"/>
            <w:vAlign w:val="center"/>
          </w:tcPr>
          <w:p w14:paraId="70B8B395">
            <w:pPr>
              <w:widowControl/>
              <w:shd w:val="clear" w:color="auto"/>
              <w:tabs>
                <w:tab w:val="left" w:pos="475"/>
                <w:tab w:val="left" w:pos="617"/>
              </w:tabs>
              <w:adjustRightInd w:val="0"/>
              <w:snapToGrid w:val="0"/>
              <w:spacing w:line="360" w:lineRule="auto"/>
              <w:jc w:val="left"/>
              <w:rPr>
                <w:rFonts w:hint="eastAsia" w:ascii="宋体" w:hAnsi="宋体" w:eastAsia="宋体" w:cs="宋体"/>
                <w:szCs w:val="21"/>
              </w:rPr>
            </w:pPr>
            <w:r>
              <w:rPr>
                <w:rFonts w:hint="eastAsia" w:ascii="宋体" w:hAnsi="宋体" w:eastAsia="宋体" w:cs="宋体"/>
                <w:b/>
                <w:bCs/>
                <w:szCs w:val="21"/>
              </w:rPr>
              <w:t>三、其他文件及资料：</w:t>
            </w:r>
          </w:p>
          <w:p w14:paraId="22496BD9">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1.★授权委托书（</w:t>
            </w:r>
            <w:r>
              <w:rPr>
                <w:rFonts w:hint="eastAsia" w:ascii="宋体" w:hAnsi="宋体" w:eastAsia="宋体" w:cs="宋体"/>
                <w:i/>
                <w:szCs w:val="21"/>
              </w:rPr>
              <w:t>参考投标文件格式1</w:t>
            </w:r>
            <w:r>
              <w:rPr>
                <w:rFonts w:hint="eastAsia" w:ascii="宋体" w:hAnsi="宋体" w:eastAsia="宋体" w:cs="宋体"/>
                <w:szCs w:val="21"/>
              </w:rPr>
              <w:t>）；</w:t>
            </w:r>
          </w:p>
          <w:p w14:paraId="049E7AD7">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2.★投标函（</w:t>
            </w:r>
            <w:r>
              <w:rPr>
                <w:rFonts w:hint="eastAsia" w:ascii="宋体" w:hAnsi="宋体" w:eastAsia="宋体" w:cs="宋体"/>
                <w:i/>
                <w:szCs w:val="21"/>
              </w:rPr>
              <w:t>参考投标文件格式2</w:t>
            </w:r>
            <w:r>
              <w:rPr>
                <w:rFonts w:hint="eastAsia" w:ascii="宋体" w:hAnsi="宋体" w:eastAsia="宋体" w:cs="宋体"/>
                <w:szCs w:val="21"/>
              </w:rPr>
              <w:t>）；</w:t>
            </w:r>
          </w:p>
          <w:p w14:paraId="692159D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3.商务条款偏离表；</w:t>
            </w:r>
          </w:p>
          <w:p w14:paraId="2ABD28E4">
            <w:pPr>
              <w:widowControl/>
              <w:shd w:val="clear"/>
              <w:tabs>
                <w:tab w:val="left" w:pos="0"/>
                <w:tab w:val="left" w:pos="220"/>
              </w:tabs>
              <w:adjustRightInd w:val="0"/>
              <w:snapToGrid w:val="0"/>
              <w:spacing w:line="360" w:lineRule="auto"/>
              <w:jc w:val="left"/>
              <w:rPr>
                <w:rFonts w:hint="eastAsia" w:ascii="宋体" w:hAnsi="宋体" w:eastAsia="宋体" w:cs="宋体"/>
                <w:bCs/>
                <w:szCs w:val="21"/>
              </w:rPr>
            </w:pPr>
            <w:r>
              <w:rPr>
                <w:rFonts w:hint="eastAsia" w:ascii="宋体" w:hAnsi="宋体" w:eastAsia="宋体" w:cs="宋体"/>
                <w:szCs w:val="21"/>
              </w:rPr>
              <w:t>4.投标人认为需要提供的其它说明和资料。</w:t>
            </w:r>
          </w:p>
        </w:tc>
      </w:tr>
      <w:tr w14:paraId="507C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7E48193A">
            <w:pPr>
              <w:shd w:val="clear"/>
              <w:adjustRightInd w:val="0"/>
              <w:snapToGrid w:val="0"/>
              <w:spacing w:line="360" w:lineRule="auto"/>
              <w:jc w:val="center"/>
              <w:rPr>
                <w:rFonts w:hint="eastAsia" w:ascii="宋体" w:hAnsi="宋体" w:eastAsia="宋体" w:cs="宋体"/>
                <w:szCs w:val="21"/>
              </w:rPr>
            </w:pPr>
          </w:p>
        </w:tc>
        <w:tc>
          <w:tcPr>
            <w:tcW w:w="1787" w:type="dxa"/>
            <w:vMerge w:val="continue"/>
            <w:vAlign w:val="center"/>
          </w:tcPr>
          <w:p w14:paraId="7829175D">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1048" w:type="dxa"/>
            <w:vAlign w:val="center"/>
          </w:tcPr>
          <w:p w14:paraId="1D1EFAAC">
            <w:pPr>
              <w:shd w:val="clear"/>
              <w:topLinePunct/>
              <w:autoSpaceDE w:val="0"/>
              <w:autoSpaceDN w:val="0"/>
              <w:adjustRightInd w:val="0"/>
              <w:snapToGrid w:val="0"/>
              <w:spacing w:line="360" w:lineRule="auto"/>
              <w:jc w:val="center"/>
              <w:rPr>
                <w:rFonts w:hint="eastAsia" w:ascii="宋体" w:hAnsi="宋体" w:eastAsia="宋体" w:cs="宋体"/>
                <w:bCs/>
                <w:szCs w:val="21"/>
              </w:rPr>
            </w:pPr>
            <w:r>
              <w:rPr>
                <w:rFonts w:hint="eastAsia" w:ascii="宋体" w:hAnsi="宋体" w:eastAsia="宋体" w:cs="宋体"/>
                <w:szCs w:val="21"/>
              </w:rPr>
              <w:t>技术部分</w:t>
            </w:r>
          </w:p>
        </w:tc>
        <w:tc>
          <w:tcPr>
            <w:tcW w:w="5207" w:type="dxa"/>
            <w:vAlign w:val="center"/>
          </w:tcPr>
          <w:p w14:paraId="57579A61">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1.技术条款偏离表；</w:t>
            </w:r>
          </w:p>
          <w:p w14:paraId="5169FDE3">
            <w:pPr>
              <w:shd w:val="clear"/>
              <w:adjustRightInd w:val="0"/>
              <w:snapToGrid w:val="0"/>
              <w:spacing w:line="360" w:lineRule="auto"/>
              <w:jc w:val="left"/>
              <w:rPr>
                <w:rFonts w:hint="eastAsia" w:ascii="宋体" w:hAnsi="宋体" w:eastAsia="宋体" w:cs="宋体"/>
                <w:bCs/>
                <w:szCs w:val="21"/>
              </w:rPr>
            </w:pPr>
            <w:r>
              <w:rPr>
                <w:rFonts w:hint="eastAsia" w:ascii="宋体" w:hAnsi="宋体" w:eastAsia="宋体" w:cs="宋体"/>
                <w:szCs w:val="21"/>
              </w:rPr>
              <w:t>2.</w:t>
            </w:r>
            <w:r>
              <w:rPr>
                <w:rFonts w:hint="eastAsia" w:ascii="宋体" w:hAnsi="宋体" w:eastAsia="宋体" w:cs="宋体"/>
                <w:kern w:val="0"/>
                <w:szCs w:val="21"/>
              </w:rPr>
              <w:t>服务方案</w:t>
            </w:r>
            <w:r>
              <w:rPr>
                <w:rFonts w:hint="eastAsia" w:ascii="宋体" w:hAnsi="宋体" w:eastAsia="宋体" w:cs="宋体"/>
                <w:szCs w:val="21"/>
              </w:rPr>
              <w:t>；</w:t>
            </w:r>
          </w:p>
          <w:p w14:paraId="588D7502">
            <w:pPr>
              <w:widowControl/>
              <w:shd w:val="clear"/>
              <w:tabs>
                <w:tab w:val="left" w:pos="0"/>
                <w:tab w:val="left" w:pos="220"/>
              </w:tabs>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3.投标人认为需要提供的其它说明和资料。</w:t>
            </w:r>
          </w:p>
        </w:tc>
      </w:tr>
      <w:tr w14:paraId="3CE1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3C691366">
            <w:pPr>
              <w:shd w:val="clear"/>
              <w:adjustRightInd w:val="0"/>
              <w:snapToGrid w:val="0"/>
              <w:spacing w:line="360" w:lineRule="auto"/>
              <w:jc w:val="center"/>
              <w:rPr>
                <w:rFonts w:hint="eastAsia" w:ascii="宋体" w:hAnsi="宋体" w:eastAsia="宋体" w:cs="宋体"/>
                <w:b/>
                <w:szCs w:val="21"/>
              </w:rPr>
            </w:pPr>
          </w:p>
        </w:tc>
        <w:tc>
          <w:tcPr>
            <w:tcW w:w="1787" w:type="dxa"/>
            <w:vMerge w:val="continue"/>
            <w:vAlign w:val="center"/>
          </w:tcPr>
          <w:p w14:paraId="47A413D2">
            <w:pPr>
              <w:shd w:val="clear"/>
              <w:topLinePunct/>
              <w:autoSpaceDE w:val="0"/>
              <w:autoSpaceDN w:val="0"/>
              <w:adjustRightInd w:val="0"/>
              <w:snapToGrid w:val="0"/>
              <w:spacing w:line="360" w:lineRule="auto"/>
              <w:jc w:val="center"/>
              <w:rPr>
                <w:rFonts w:hint="eastAsia" w:ascii="宋体" w:hAnsi="宋体" w:eastAsia="宋体" w:cs="宋体"/>
                <w:b/>
                <w:szCs w:val="21"/>
              </w:rPr>
            </w:pPr>
          </w:p>
        </w:tc>
        <w:tc>
          <w:tcPr>
            <w:tcW w:w="6255" w:type="dxa"/>
            <w:gridSpan w:val="2"/>
            <w:vAlign w:val="center"/>
          </w:tcPr>
          <w:p w14:paraId="15342E97">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b/>
                <w:szCs w:val="21"/>
              </w:rPr>
              <w:t>1.以上带★的文件及资料未提供或提供的无效，则投标无效。</w:t>
            </w:r>
          </w:p>
        </w:tc>
      </w:tr>
      <w:tr w14:paraId="00BC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C029112">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17</w:t>
            </w:r>
          </w:p>
        </w:tc>
        <w:tc>
          <w:tcPr>
            <w:tcW w:w="1787" w:type="dxa"/>
            <w:vAlign w:val="center"/>
          </w:tcPr>
          <w:p w14:paraId="2F9F034F">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255" w:type="dxa"/>
            <w:gridSpan w:val="2"/>
            <w:vAlign w:val="center"/>
          </w:tcPr>
          <w:p w14:paraId="18DCBCCB">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从提交投标文件的截止之日起计算</w:t>
            </w:r>
            <w:r>
              <w:rPr>
                <w:rFonts w:hint="eastAsia" w:ascii="宋体" w:hAnsi="宋体" w:eastAsia="宋体" w:cs="宋体"/>
                <w:szCs w:val="21"/>
                <w:u w:val="single"/>
              </w:rPr>
              <w:t xml:space="preserve">  90  </w:t>
            </w:r>
            <w:r>
              <w:rPr>
                <w:rFonts w:hint="eastAsia" w:ascii="宋体" w:hAnsi="宋体" w:eastAsia="宋体" w:cs="宋体"/>
                <w:szCs w:val="21"/>
              </w:rPr>
              <w:t>日历日。</w:t>
            </w:r>
          </w:p>
        </w:tc>
      </w:tr>
      <w:tr w14:paraId="3F66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89358D3">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18</w:t>
            </w:r>
          </w:p>
        </w:tc>
        <w:tc>
          <w:tcPr>
            <w:tcW w:w="1787" w:type="dxa"/>
            <w:vAlign w:val="center"/>
          </w:tcPr>
          <w:p w14:paraId="238648BD">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提交投标文件方式、截止时间、开标时间、地点</w:t>
            </w:r>
          </w:p>
        </w:tc>
        <w:tc>
          <w:tcPr>
            <w:tcW w:w="6255" w:type="dxa"/>
            <w:gridSpan w:val="2"/>
            <w:vAlign w:val="center"/>
          </w:tcPr>
          <w:p w14:paraId="5878F19E">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b/>
                <w:szCs w:val="21"/>
              </w:rPr>
              <w:t>提交方式：</w:t>
            </w:r>
            <w:r>
              <w:rPr>
                <w:rFonts w:hint="eastAsia" w:ascii="宋体" w:hAnsi="宋体" w:eastAsia="宋体" w:cs="宋体"/>
                <w:szCs w:val="21"/>
                <w:u w:val="single"/>
              </w:rPr>
              <w:t>纸质文件提交</w:t>
            </w:r>
          </w:p>
          <w:p w14:paraId="048C0771">
            <w:pPr>
              <w:shd w:val="clear"/>
              <w:topLinePunct/>
              <w:autoSpaceDE w:val="0"/>
              <w:autoSpaceDN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b/>
                <w:szCs w:val="21"/>
              </w:rPr>
              <w:t>投标截止时间和开标时间</w:t>
            </w:r>
            <w:r>
              <w:rPr>
                <w:rFonts w:hint="eastAsia" w:ascii="宋体" w:hAnsi="宋体" w:eastAsia="宋体" w:cs="宋体"/>
                <w:b/>
                <w:szCs w:val="21"/>
                <w:highlight w:val="none"/>
              </w:rPr>
              <w:t>：</w:t>
            </w:r>
            <w:r>
              <w:rPr>
                <w:rFonts w:hint="eastAsia" w:ascii="宋体" w:hAnsi="宋体" w:eastAsia="宋体" w:cs="宋体"/>
                <w:b/>
                <w:szCs w:val="21"/>
                <w:highlight w:val="none"/>
                <w:u w:val="single"/>
              </w:rPr>
              <w:t>2025年</w:t>
            </w:r>
            <w:r>
              <w:rPr>
                <w:rFonts w:hint="eastAsia" w:ascii="宋体" w:hAnsi="宋体" w:eastAsia="宋体" w:cs="宋体"/>
                <w:b/>
                <w:szCs w:val="21"/>
                <w:highlight w:val="none"/>
                <w:u w:val="single"/>
                <w:lang w:val="en-US" w:eastAsia="zh-CN"/>
              </w:rPr>
              <w:t>6</w:t>
            </w:r>
            <w:r>
              <w:rPr>
                <w:rFonts w:hint="eastAsia" w:ascii="宋体" w:hAnsi="宋体" w:eastAsia="宋体" w:cs="宋体"/>
                <w:b/>
                <w:szCs w:val="21"/>
                <w:highlight w:val="none"/>
                <w:u w:val="single"/>
              </w:rPr>
              <w:t>月</w:t>
            </w:r>
            <w:r>
              <w:rPr>
                <w:rFonts w:hint="eastAsia" w:ascii="宋体" w:hAnsi="宋体" w:eastAsia="宋体" w:cs="宋体"/>
                <w:b/>
                <w:szCs w:val="21"/>
                <w:highlight w:val="none"/>
                <w:u w:val="single"/>
                <w:lang w:val="en-US" w:eastAsia="zh-CN"/>
              </w:rPr>
              <w:t>25</w:t>
            </w:r>
            <w:r>
              <w:rPr>
                <w:rFonts w:hint="eastAsia" w:ascii="宋体" w:hAnsi="宋体" w:eastAsia="宋体" w:cs="宋体"/>
                <w:b/>
                <w:szCs w:val="21"/>
                <w:highlight w:val="none"/>
                <w:u w:val="single"/>
              </w:rPr>
              <w:t xml:space="preserve"> 日09点00分</w:t>
            </w:r>
            <w:r>
              <w:rPr>
                <w:rFonts w:hint="eastAsia" w:ascii="宋体" w:hAnsi="宋体" w:eastAsia="宋体" w:cs="宋体"/>
                <w:szCs w:val="21"/>
                <w:highlight w:val="none"/>
              </w:rPr>
              <w:t>（北京时间）</w:t>
            </w:r>
          </w:p>
          <w:p w14:paraId="2139321A">
            <w:pPr>
              <w:shd w:val="clear"/>
              <w:topLinePunct/>
              <w:autoSpaceDE w:val="0"/>
              <w:autoSpaceDN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开标方式：</w:t>
            </w:r>
            <w:r>
              <w:rPr>
                <w:rFonts w:hint="eastAsia" w:ascii="宋体" w:hAnsi="宋体" w:eastAsia="宋体" w:cs="宋体"/>
                <w:szCs w:val="21"/>
                <w:highlight w:val="none"/>
                <w:u w:val="single"/>
              </w:rPr>
              <w:t>线下开标</w:t>
            </w:r>
          </w:p>
          <w:p w14:paraId="7D7055B2">
            <w:pPr>
              <w:shd w:val="clear"/>
              <w:topLinePunct/>
              <w:autoSpaceDE w:val="0"/>
              <w:autoSpaceDN w:val="0"/>
              <w:adjustRightInd w:val="0"/>
              <w:snapToGrid w:val="0"/>
              <w:spacing w:line="360" w:lineRule="auto"/>
              <w:rPr>
                <w:rFonts w:hint="eastAsia" w:ascii="宋体" w:hAnsi="宋体" w:eastAsia="宋体" w:cs="宋体"/>
                <w:b/>
                <w:szCs w:val="21"/>
                <w:u w:val="single"/>
              </w:rPr>
            </w:pPr>
            <w:r>
              <w:rPr>
                <w:rFonts w:hint="eastAsia" w:ascii="宋体" w:hAnsi="宋体" w:eastAsia="宋体" w:cs="宋体"/>
                <w:b/>
                <w:szCs w:val="21"/>
                <w:highlight w:val="none"/>
              </w:rPr>
              <w:t>提交投标文件地点：</w:t>
            </w:r>
            <w:r>
              <w:rPr>
                <w:rFonts w:hint="eastAsia" w:ascii="宋体" w:hAnsi="宋体" w:eastAsia="宋体" w:cs="宋体"/>
                <w:szCs w:val="21"/>
                <w:highlight w:val="none"/>
                <w:u w:val="single"/>
              </w:rPr>
              <w:t>福建省福</w:t>
            </w:r>
            <w:r>
              <w:rPr>
                <w:rFonts w:hint="eastAsia" w:ascii="宋体" w:hAnsi="宋体" w:eastAsia="宋体" w:cs="宋体"/>
                <w:szCs w:val="21"/>
                <w:u w:val="single"/>
              </w:rPr>
              <w:t>州市鼓楼区华润万象城三期S11栋1910单元</w:t>
            </w:r>
            <w:r>
              <w:rPr>
                <w:rFonts w:hint="eastAsia" w:ascii="宋体" w:hAnsi="宋体" w:eastAsia="宋体" w:cs="宋体"/>
                <w:u w:val="single"/>
                <w:shd w:val="clear" w:color="auto" w:fill="FFFFFF"/>
              </w:rPr>
              <w:t>；</w:t>
            </w:r>
          </w:p>
          <w:p w14:paraId="13777163">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u w:val="single"/>
              </w:rPr>
              <w:t>开标地点：</w:t>
            </w:r>
            <w:r>
              <w:rPr>
                <w:rFonts w:hint="eastAsia" w:ascii="宋体" w:hAnsi="宋体" w:eastAsia="宋体" w:cs="宋体"/>
                <w:szCs w:val="21"/>
                <w:u w:val="single"/>
              </w:rPr>
              <w:t>福建省福州市鼓楼区华润万象城三期S11栋1910单元</w:t>
            </w:r>
            <w:r>
              <w:rPr>
                <w:rFonts w:hint="eastAsia" w:ascii="宋体" w:hAnsi="宋体" w:eastAsia="宋体" w:cs="宋体"/>
                <w:u w:val="single"/>
                <w:shd w:val="clear" w:color="auto" w:fill="FFFFFF"/>
              </w:rPr>
              <w:t>；</w:t>
            </w:r>
          </w:p>
          <w:p w14:paraId="6DCDAA16">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联系电话：</w:t>
            </w:r>
            <w:r>
              <w:rPr>
                <w:rFonts w:hint="eastAsia" w:ascii="宋体" w:hAnsi="宋体" w:eastAsia="宋体" w:cs="宋体"/>
                <w:b/>
                <w:szCs w:val="21"/>
                <w:u w:val="single"/>
              </w:rPr>
              <w:t xml:space="preserve"> </w:t>
            </w:r>
            <w:r>
              <w:rPr>
                <w:rFonts w:hint="eastAsia" w:ascii="宋体" w:hAnsi="宋体" w:eastAsia="宋体" w:cs="宋体"/>
                <w:bCs/>
                <w:szCs w:val="21"/>
                <w:u w:val="single"/>
              </w:rPr>
              <w:t>0591-87527653。</w:t>
            </w:r>
          </w:p>
        </w:tc>
      </w:tr>
      <w:tr w14:paraId="17E0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F34AA59">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19</w:t>
            </w:r>
          </w:p>
        </w:tc>
        <w:tc>
          <w:tcPr>
            <w:tcW w:w="1787" w:type="dxa"/>
            <w:vAlign w:val="center"/>
          </w:tcPr>
          <w:p w14:paraId="71F3B353">
            <w:pPr>
              <w:shd w:val="clear"/>
              <w:tabs>
                <w:tab w:val="left" w:pos="1875"/>
              </w:tabs>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投标保证金</w:t>
            </w:r>
          </w:p>
        </w:tc>
        <w:tc>
          <w:tcPr>
            <w:tcW w:w="6255" w:type="dxa"/>
            <w:gridSpan w:val="2"/>
            <w:vAlign w:val="center"/>
          </w:tcPr>
          <w:p w14:paraId="0E5EDB38">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sym w:font="Wingdings 2" w:char="0052"/>
            </w:r>
            <w:r>
              <w:rPr>
                <w:rFonts w:hint="eastAsia" w:ascii="宋体" w:hAnsi="宋体" w:eastAsia="宋体" w:cs="宋体"/>
                <w:szCs w:val="21"/>
              </w:rPr>
              <w:t>不要求提供</w:t>
            </w:r>
          </w:p>
        </w:tc>
      </w:tr>
      <w:tr w14:paraId="7011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14:paraId="534BB083">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20</w:t>
            </w:r>
          </w:p>
        </w:tc>
        <w:tc>
          <w:tcPr>
            <w:tcW w:w="1787" w:type="dxa"/>
            <w:vMerge w:val="restart"/>
            <w:vAlign w:val="center"/>
          </w:tcPr>
          <w:p w14:paraId="26E85D03">
            <w:pPr>
              <w:shd w:val="clear"/>
              <w:tabs>
                <w:tab w:val="left" w:pos="1875"/>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不予退还投标保证金的情形</w:t>
            </w:r>
          </w:p>
        </w:tc>
        <w:tc>
          <w:tcPr>
            <w:tcW w:w="6255" w:type="dxa"/>
            <w:gridSpan w:val="2"/>
            <w:vAlign w:val="center"/>
          </w:tcPr>
          <w:p w14:paraId="42D29A50">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有下列情形之一的，投标保证金将不予退还：</w:t>
            </w:r>
          </w:p>
          <w:p w14:paraId="1F604F91">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（1）投标人串通投标或有视为串通投标情形之一的；</w:t>
            </w:r>
          </w:p>
          <w:p w14:paraId="6CBEC45B">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（2）投标人提供虚假材料；</w:t>
            </w:r>
          </w:p>
          <w:p w14:paraId="110790B5">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（3）投标人采取不正当手段诋毁、排挤其他投标人；</w:t>
            </w:r>
          </w:p>
          <w:p w14:paraId="25BF5D5F">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（4）投标截止时间后，投标人在投标有效期内撤销投标文件；</w:t>
            </w:r>
          </w:p>
          <w:p w14:paraId="16839D6C">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（5）中标人有下列情形之一的：</w:t>
            </w:r>
          </w:p>
          <w:p w14:paraId="01E8C642">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a.除不可抗力外，因中标人自身原因未在中标通知书要求的期限内与采购人签订政府采购合同；</w:t>
            </w:r>
          </w:p>
          <w:p w14:paraId="3ABF81A3">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b.未按照招标文件、投标文件的约定签订政府采购合同或提交履约保证金。</w:t>
            </w:r>
          </w:p>
          <w:p w14:paraId="1C795063">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注：若上述投标保证金不予退还情形给采购人（采购代理机构）造成损失，则投标人还要承担相应的赔偿责任。</w:t>
            </w:r>
          </w:p>
        </w:tc>
      </w:tr>
      <w:tr w14:paraId="5403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4D41679E">
            <w:pPr>
              <w:shd w:val="clear"/>
              <w:adjustRightInd w:val="0"/>
              <w:snapToGrid w:val="0"/>
              <w:spacing w:line="360" w:lineRule="auto"/>
              <w:jc w:val="center"/>
              <w:rPr>
                <w:rFonts w:hint="eastAsia" w:ascii="宋体" w:hAnsi="宋体" w:eastAsia="宋体" w:cs="宋体"/>
                <w:szCs w:val="21"/>
              </w:rPr>
            </w:pPr>
          </w:p>
        </w:tc>
        <w:tc>
          <w:tcPr>
            <w:tcW w:w="1787" w:type="dxa"/>
            <w:vMerge w:val="continue"/>
            <w:vAlign w:val="center"/>
          </w:tcPr>
          <w:p w14:paraId="161D392C">
            <w:pPr>
              <w:shd w:val="clear"/>
              <w:adjustRightInd w:val="0"/>
              <w:snapToGrid w:val="0"/>
              <w:spacing w:line="360" w:lineRule="auto"/>
              <w:jc w:val="center"/>
              <w:rPr>
                <w:rFonts w:hint="eastAsia" w:ascii="宋体" w:hAnsi="宋体" w:eastAsia="宋体" w:cs="宋体"/>
                <w:szCs w:val="21"/>
              </w:rPr>
            </w:pPr>
          </w:p>
        </w:tc>
        <w:tc>
          <w:tcPr>
            <w:tcW w:w="6255" w:type="dxa"/>
            <w:gridSpan w:val="2"/>
            <w:vAlign w:val="center"/>
          </w:tcPr>
          <w:p w14:paraId="08FB572D">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其他不予退还投标保证金的情形：</w:t>
            </w:r>
            <w:r>
              <w:rPr>
                <w:rFonts w:hint="eastAsia" w:ascii="宋体" w:hAnsi="宋体" w:eastAsia="宋体" w:cs="宋体"/>
                <w:szCs w:val="21"/>
                <w:u w:val="single"/>
              </w:rPr>
              <w:t>无</w:t>
            </w:r>
          </w:p>
        </w:tc>
      </w:tr>
      <w:tr w14:paraId="6F44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F48D27E">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21</w:t>
            </w:r>
          </w:p>
        </w:tc>
        <w:tc>
          <w:tcPr>
            <w:tcW w:w="1787" w:type="dxa"/>
            <w:vAlign w:val="center"/>
          </w:tcPr>
          <w:p w14:paraId="44036C97">
            <w:pPr>
              <w:shd w:val="clear"/>
              <w:adjustRightInd w:val="0"/>
              <w:snapToGrid w:val="0"/>
              <w:jc w:val="center"/>
              <w:rPr>
                <w:rFonts w:hint="eastAsia" w:ascii="宋体" w:hAnsi="宋体" w:eastAsia="宋体" w:cs="宋体"/>
                <w:b/>
                <w:szCs w:val="21"/>
              </w:rPr>
            </w:pPr>
            <w:r>
              <w:rPr>
                <w:rFonts w:hint="eastAsia" w:ascii="宋体" w:hAnsi="宋体" w:eastAsia="宋体" w:cs="宋体"/>
                <w:szCs w:val="21"/>
              </w:rPr>
              <w:t>信用记录审查</w:t>
            </w:r>
          </w:p>
        </w:tc>
        <w:tc>
          <w:tcPr>
            <w:tcW w:w="6255" w:type="dxa"/>
            <w:gridSpan w:val="2"/>
            <w:vAlign w:val="center"/>
          </w:tcPr>
          <w:p w14:paraId="53A0F76B">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根据《财政部关于在政府采购活动中查询及使用信用记录有关问题的通知》（财库〔2016〕125号）规定，开标结束后，采购人、采购代理机构将通过“信用中国”网站（www.creditchina.gov.cn）、中国政府采购网（</w:t>
            </w:r>
            <w:r>
              <w:fldChar w:fldCharType="begin"/>
            </w:r>
            <w:r>
              <w:instrText xml:space="preserve"> HYPERLINK "http://www.ccgp.gov.cn" </w:instrText>
            </w:r>
            <w:r>
              <w:fldChar w:fldCharType="separate"/>
            </w:r>
            <w:r>
              <w:rPr>
                <w:rFonts w:hint="eastAsia" w:ascii="宋体" w:hAnsi="宋体" w:eastAsia="宋体" w:cs="宋体"/>
                <w:szCs w:val="21"/>
              </w:rPr>
              <w:t>www.ccgp.gov.cn</w:t>
            </w:r>
            <w:r>
              <w:rPr>
                <w:rFonts w:hint="eastAsia" w:ascii="宋体" w:hAnsi="宋体" w:eastAsia="宋体" w:cs="宋体"/>
                <w:szCs w:val="21"/>
              </w:rPr>
              <w:fldChar w:fldCharType="end"/>
            </w:r>
            <w:r>
              <w:rPr>
                <w:rFonts w:hint="eastAsia" w:ascii="宋体" w:hAnsi="宋体" w:eastAsia="宋体" w:cs="宋体"/>
                <w:szCs w:val="21"/>
              </w:rPr>
              <w:t>），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76A1A9DA">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本次查询的信用记录仅限于本项目使用，查询结果将留存在采购档案中。</w:t>
            </w:r>
          </w:p>
          <w:p w14:paraId="3A1AE038">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在上述指定网站不能查询信用信息的投标人，应提供相关证明材料（原件加盖公章）。</w:t>
            </w:r>
          </w:p>
        </w:tc>
      </w:tr>
      <w:tr w14:paraId="553A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2F8DCEE">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22</w:t>
            </w:r>
          </w:p>
        </w:tc>
        <w:tc>
          <w:tcPr>
            <w:tcW w:w="1787" w:type="dxa"/>
            <w:vAlign w:val="center"/>
          </w:tcPr>
          <w:p w14:paraId="43E0B662">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支持中小型</w:t>
            </w:r>
          </w:p>
          <w:p w14:paraId="1ABF9023">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szCs w:val="21"/>
              </w:rPr>
              <w:t>企业发展</w:t>
            </w:r>
          </w:p>
        </w:tc>
        <w:tc>
          <w:tcPr>
            <w:tcW w:w="6255" w:type="dxa"/>
            <w:gridSpan w:val="2"/>
            <w:vAlign w:val="center"/>
          </w:tcPr>
          <w:p w14:paraId="7A126AE3">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根据《政府采购促进中小型企业发展管理办法》（财库〔2020〕46号），鼓励中小企业参加本项目采购活动。</w:t>
            </w:r>
          </w:p>
          <w:p w14:paraId="4E5B9BF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在货物采购项目中，满足所有标的均由中小企业制造，即所有标的均由中小企业生产且使用该中小企业商号或者注册商标的，可享受中小企业扶持政策。</w:t>
            </w:r>
          </w:p>
          <w:p w14:paraId="4E7C0463">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在服务采购项目中，满足服务由中小企业承接，即提供服务的人员为中小企业依照《中华人民共和国劳动合同法》订立劳动合同的从业人员的，可享受中小企业扶持政策。</w:t>
            </w:r>
          </w:p>
          <w:p w14:paraId="1B76210A">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本项目：</w:t>
            </w:r>
          </w:p>
          <w:p w14:paraId="0DBF568D">
            <w:pPr>
              <w:shd w:val="clea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☑专门面向中小企业采购项目。</w:t>
            </w:r>
          </w:p>
          <w:p w14:paraId="4568A2F7">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□预留份额面向中小企业采购项目（说明：/）。</w:t>
            </w:r>
          </w:p>
          <w:p w14:paraId="6FBA32A4">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非专门面向中小企业采购项目。对小型和微型企业的投标价格给予20%的扣除，用扣除后的价格参与评审。</w:t>
            </w:r>
          </w:p>
        </w:tc>
      </w:tr>
      <w:tr w14:paraId="0FF0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9D1B071">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23</w:t>
            </w:r>
          </w:p>
        </w:tc>
        <w:tc>
          <w:tcPr>
            <w:tcW w:w="1787" w:type="dxa"/>
            <w:vAlign w:val="center"/>
          </w:tcPr>
          <w:p w14:paraId="70F8B0AA">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szCs w:val="21"/>
              </w:rPr>
              <w:t>支持监狱企业发展</w:t>
            </w:r>
          </w:p>
        </w:tc>
        <w:tc>
          <w:tcPr>
            <w:tcW w:w="6255" w:type="dxa"/>
            <w:gridSpan w:val="2"/>
            <w:vAlign w:val="center"/>
          </w:tcPr>
          <w:p w14:paraId="6B7D37BF">
            <w:pPr>
              <w:shd w:val="clear"/>
              <w:adjustRightInd w:val="0"/>
              <w:snapToGrid w:val="0"/>
              <w:spacing w:line="360" w:lineRule="auto"/>
              <w:jc w:val="left"/>
              <w:rPr>
                <w:rFonts w:hint="eastAsia" w:ascii="宋体" w:hAnsi="宋体" w:eastAsia="宋体" w:cs="宋体"/>
                <w:b/>
                <w:szCs w:val="21"/>
              </w:rPr>
            </w:pPr>
            <w:r>
              <w:rPr>
                <w:rFonts w:hint="eastAsia" w:ascii="宋体" w:hAnsi="宋体" w:eastAsia="宋体" w:cs="宋体"/>
                <w:szCs w:val="21"/>
              </w:rPr>
              <w:t>根据《关于政府采购支持监狱企业发展有关问题的通知》（财库〔2014〕68号），监狱企业视同小型、微型企业，</w:t>
            </w:r>
            <w:r>
              <w:rPr>
                <w:rFonts w:ascii="宋体" w:hAnsi="宋体" w:eastAsia="宋体" w:cs="宋体"/>
                <w:szCs w:val="21"/>
              </w:rPr>
              <w:t>按照</w:t>
            </w:r>
            <w:r>
              <w:rPr>
                <w:rFonts w:hint="eastAsia" w:ascii="宋体" w:hAnsi="宋体" w:eastAsia="宋体" w:cs="宋体"/>
                <w:szCs w:val="21"/>
              </w:rPr>
              <w:t>投标人须知前附表第22项</w:t>
            </w:r>
            <w:r>
              <w:rPr>
                <w:rFonts w:ascii="宋体" w:hAnsi="宋体" w:eastAsia="宋体" w:cs="宋体"/>
                <w:szCs w:val="21"/>
              </w:rPr>
              <w:t>享受价格扣除政策</w:t>
            </w:r>
            <w:r>
              <w:rPr>
                <w:rFonts w:hint="eastAsia" w:ascii="宋体" w:hAnsi="宋体" w:eastAsia="宋体" w:cs="宋体"/>
                <w:szCs w:val="21"/>
              </w:rPr>
              <w:t>。</w:t>
            </w:r>
          </w:p>
        </w:tc>
      </w:tr>
      <w:tr w14:paraId="0714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6C704661">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24</w:t>
            </w:r>
          </w:p>
        </w:tc>
        <w:tc>
          <w:tcPr>
            <w:tcW w:w="1787" w:type="dxa"/>
            <w:vAlign w:val="center"/>
          </w:tcPr>
          <w:p w14:paraId="424E9D05">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促进残疾人</w:t>
            </w:r>
          </w:p>
          <w:p w14:paraId="19F34536">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就业</w:t>
            </w:r>
          </w:p>
        </w:tc>
        <w:tc>
          <w:tcPr>
            <w:tcW w:w="6255" w:type="dxa"/>
            <w:gridSpan w:val="2"/>
            <w:vAlign w:val="center"/>
          </w:tcPr>
          <w:p w14:paraId="58DD36A9">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根据《关于促进残疾人就业政府采购政策的通知》（财库〔2017〕141号），残疾人福利性单位视同小型、微型企业，按照投标人须知前附表第22项享受价格扣除政策。</w:t>
            </w:r>
          </w:p>
        </w:tc>
      </w:tr>
      <w:tr w14:paraId="2D9B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14:paraId="5D569C45">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25</w:t>
            </w:r>
          </w:p>
        </w:tc>
        <w:tc>
          <w:tcPr>
            <w:tcW w:w="1787" w:type="dxa"/>
            <w:vMerge w:val="restart"/>
            <w:vAlign w:val="center"/>
          </w:tcPr>
          <w:p w14:paraId="45D06041">
            <w:pPr>
              <w:shd w:val="clear"/>
              <w:topLinePunct/>
              <w:autoSpaceDE w:val="0"/>
              <w:autoSpaceDN w:val="0"/>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其他法律法规强制性规定或扶持政策</w:t>
            </w:r>
          </w:p>
        </w:tc>
        <w:tc>
          <w:tcPr>
            <w:tcW w:w="6255" w:type="dxa"/>
            <w:gridSpan w:val="2"/>
            <w:vAlign w:val="center"/>
          </w:tcPr>
          <w:p w14:paraId="5675B09F">
            <w:pPr>
              <w:shd w:val="clear"/>
              <w:spacing w:line="360" w:lineRule="auto"/>
              <w:rPr>
                <w:rFonts w:hint="eastAsia" w:ascii="宋体" w:hAnsi="宋体" w:eastAsia="宋体" w:cs="宋体"/>
                <w:szCs w:val="21"/>
              </w:rPr>
            </w:pPr>
            <w:r>
              <w:rPr>
                <w:rFonts w:hint="eastAsia" w:ascii="宋体" w:hAnsi="宋体" w:eastAsia="宋体" w:cs="宋体"/>
                <w:szCs w:val="21"/>
              </w:rPr>
              <w:t>本项目中强制采购节能产品的货物名称：</w:t>
            </w:r>
          </w:p>
          <w:p w14:paraId="411EE408">
            <w:pPr>
              <w:shd w:val="clear"/>
              <w:spacing w:line="360" w:lineRule="auto"/>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u w:val="single"/>
              </w:rPr>
              <w:t xml:space="preserve">本项目不适用 </w:t>
            </w:r>
            <w:r>
              <w:rPr>
                <w:rFonts w:hint="eastAsia" w:ascii="宋体" w:hAnsi="宋体" w:eastAsia="宋体" w:cs="宋体"/>
                <w:szCs w:val="21"/>
              </w:rPr>
              <w:t>。</w:t>
            </w:r>
          </w:p>
          <w:p w14:paraId="3EAA5EFC">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t>注：投标人所投上述产品必须具有节能产品认证证书，并提供依据国家确定的认证机构出具的、处于有效期之内的节能产品认证证书复印件，否则投标无效。</w:t>
            </w:r>
          </w:p>
        </w:tc>
      </w:tr>
      <w:tr w14:paraId="54D8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019FB1AA">
            <w:pPr>
              <w:shd w:val="clear"/>
              <w:topLinePunct/>
              <w:autoSpaceDE w:val="0"/>
              <w:autoSpaceDN w:val="0"/>
              <w:adjustRightInd w:val="0"/>
              <w:snapToGrid w:val="0"/>
              <w:spacing w:before="62" w:after="62" w:line="360" w:lineRule="auto"/>
              <w:jc w:val="center"/>
              <w:rPr>
                <w:rFonts w:hint="eastAsia" w:ascii="宋体" w:hAnsi="宋体" w:eastAsia="宋体" w:cs="宋体"/>
                <w:szCs w:val="21"/>
              </w:rPr>
            </w:pPr>
          </w:p>
        </w:tc>
        <w:tc>
          <w:tcPr>
            <w:tcW w:w="1787" w:type="dxa"/>
            <w:vMerge w:val="continue"/>
            <w:vAlign w:val="center"/>
          </w:tcPr>
          <w:p w14:paraId="49D1A6E0">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6255" w:type="dxa"/>
            <w:gridSpan w:val="2"/>
            <w:vAlign w:val="center"/>
          </w:tcPr>
          <w:p w14:paraId="04CD095F">
            <w:pPr>
              <w:shd w:val="clear"/>
              <w:spacing w:line="360" w:lineRule="auto"/>
              <w:rPr>
                <w:rFonts w:hint="eastAsia" w:ascii="宋体" w:hAnsi="宋体" w:eastAsia="宋体" w:cs="宋体"/>
                <w:szCs w:val="21"/>
              </w:rPr>
            </w:pPr>
            <w:r>
              <w:rPr>
                <w:rFonts w:hint="eastAsia" w:ascii="宋体" w:hAnsi="宋体" w:eastAsia="宋体" w:cs="宋体"/>
                <w:szCs w:val="21"/>
              </w:rPr>
              <w:t>本项目中采购信息安全产品的货物名称：</w:t>
            </w:r>
          </w:p>
          <w:p w14:paraId="13778C66">
            <w:pPr>
              <w:shd w:val="clear"/>
              <w:spacing w:line="360" w:lineRule="auto"/>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u w:val="single"/>
              </w:rPr>
              <w:t xml:space="preserve">本项目不适用 </w:t>
            </w:r>
            <w:r>
              <w:rPr>
                <w:rFonts w:hint="eastAsia" w:ascii="宋体" w:hAnsi="宋体" w:eastAsia="宋体" w:cs="宋体"/>
                <w:szCs w:val="21"/>
              </w:rPr>
              <w:t>。</w:t>
            </w:r>
          </w:p>
          <w:p w14:paraId="260C3729">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t>注：投标人所投上述产品需为国家认证的信息安全产品，并提供由中国网络安全审查技术与认证中心（原中国信息安全认证中心）按国家标准认证颁发的有效认证证书复印件，否则投标无效。</w:t>
            </w:r>
          </w:p>
        </w:tc>
      </w:tr>
      <w:tr w14:paraId="1C35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53911689">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1787" w:type="dxa"/>
            <w:vMerge w:val="continue"/>
            <w:vAlign w:val="center"/>
          </w:tcPr>
          <w:p w14:paraId="07953A83">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6255" w:type="dxa"/>
            <w:gridSpan w:val="2"/>
            <w:vAlign w:val="center"/>
          </w:tcPr>
          <w:p w14:paraId="0E48FE1A">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其他法律法规强制性规定或扶持政策：</w:t>
            </w:r>
          </w:p>
          <w:p w14:paraId="06103C15">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u w:val="single"/>
              </w:rPr>
              <w:t>无</w:t>
            </w:r>
            <w:r>
              <w:rPr>
                <w:rFonts w:hint="eastAsia" w:ascii="宋体" w:hAnsi="宋体" w:eastAsia="宋体" w:cs="宋体"/>
                <w:szCs w:val="21"/>
              </w:rPr>
              <w:t>。</w:t>
            </w:r>
          </w:p>
        </w:tc>
      </w:tr>
      <w:tr w14:paraId="1ED1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8CEE371">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26</w:t>
            </w:r>
          </w:p>
        </w:tc>
        <w:tc>
          <w:tcPr>
            <w:tcW w:w="1787" w:type="dxa"/>
            <w:vAlign w:val="center"/>
          </w:tcPr>
          <w:p w14:paraId="451788DA">
            <w:pPr>
              <w:shd w:val="clear"/>
              <w:tabs>
                <w:tab w:val="left" w:pos="1875"/>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评标方法</w:t>
            </w:r>
          </w:p>
          <w:p w14:paraId="69C3FAE9">
            <w:pPr>
              <w:shd w:val="clear"/>
              <w:tabs>
                <w:tab w:val="left" w:pos="1875"/>
              </w:tabs>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及分值</w:t>
            </w:r>
          </w:p>
        </w:tc>
        <w:tc>
          <w:tcPr>
            <w:tcW w:w="6255" w:type="dxa"/>
            <w:gridSpan w:val="2"/>
            <w:vAlign w:val="center"/>
          </w:tcPr>
          <w:p w14:paraId="7E85515D">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F0A3"/>
            </w:r>
            <w:r>
              <w:rPr>
                <w:rFonts w:hint="eastAsia" w:ascii="宋体" w:hAnsi="宋体" w:eastAsia="宋体" w:cs="宋体"/>
                <w:szCs w:val="21"/>
                <w:highlight w:val="none"/>
              </w:rPr>
              <w:t>本项目采用最低评标价法，详见招标文件商务部分第三章。</w:t>
            </w:r>
          </w:p>
          <w:p w14:paraId="74C39BD5">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0052"/>
            </w:r>
            <w:r>
              <w:rPr>
                <w:rFonts w:hint="eastAsia" w:ascii="宋体" w:hAnsi="宋体" w:eastAsia="宋体" w:cs="宋体"/>
                <w:szCs w:val="21"/>
                <w:highlight w:val="none"/>
              </w:rPr>
              <w:t>本项目采用综合评分法，其中价格分值为</w:t>
            </w:r>
            <w:r>
              <w:rPr>
                <w:rFonts w:hint="eastAsia" w:ascii="宋体" w:hAnsi="宋体" w:eastAsia="宋体" w:cs="宋体"/>
                <w:szCs w:val="21"/>
                <w:highlight w:val="none"/>
                <w:u w:val="single"/>
              </w:rPr>
              <w:t xml:space="preserve">  18  </w:t>
            </w:r>
            <w:r>
              <w:rPr>
                <w:rFonts w:hint="eastAsia" w:ascii="宋体" w:hAnsi="宋体" w:eastAsia="宋体" w:cs="宋体"/>
                <w:szCs w:val="21"/>
                <w:highlight w:val="none"/>
              </w:rPr>
              <w:t>分，其他因素分值为</w:t>
            </w:r>
            <w:r>
              <w:rPr>
                <w:rFonts w:hint="eastAsia" w:ascii="宋体" w:hAnsi="宋体" w:eastAsia="宋体" w:cs="宋体"/>
                <w:szCs w:val="21"/>
                <w:highlight w:val="none"/>
                <w:u w:val="single"/>
              </w:rPr>
              <w:t xml:space="preserve">  82  </w:t>
            </w:r>
            <w:r>
              <w:rPr>
                <w:rFonts w:hint="eastAsia" w:ascii="宋体" w:hAnsi="宋体" w:eastAsia="宋体" w:cs="宋体"/>
                <w:szCs w:val="21"/>
                <w:highlight w:val="none"/>
              </w:rPr>
              <w:t>分，详见招标文件商务部分第三章。</w:t>
            </w:r>
          </w:p>
        </w:tc>
      </w:tr>
      <w:tr w14:paraId="0C88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4439E85">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27</w:t>
            </w:r>
          </w:p>
        </w:tc>
        <w:tc>
          <w:tcPr>
            <w:tcW w:w="1787" w:type="dxa"/>
            <w:vAlign w:val="center"/>
          </w:tcPr>
          <w:p w14:paraId="7C85ED66">
            <w:pPr>
              <w:shd w:val="clear"/>
              <w:topLinePunct/>
              <w:autoSpaceDE w:val="0"/>
              <w:autoSpaceDN w:val="0"/>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履约保证金</w:t>
            </w:r>
          </w:p>
        </w:tc>
        <w:tc>
          <w:tcPr>
            <w:tcW w:w="6255" w:type="dxa"/>
            <w:gridSpan w:val="2"/>
            <w:vAlign w:val="center"/>
          </w:tcPr>
          <w:p w14:paraId="02B384A5">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不要求提供</w:t>
            </w:r>
          </w:p>
          <w:p w14:paraId="18BCB015">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本采购项目履约保证金为合同金额的</w:t>
            </w:r>
            <w:r>
              <w:rPr>
                <w:rFonts w:hint="eastAsia" w:ascii="宋体" w:hAnsi="宋体" w:eastAsia="宋体" w:cs="宋体"/>
                <w:szCs w:val="21"/>
                <w:u w:val="single"/>
              </w:rPr>
              <w:t xml:space="preserve">  %</w:t>
            </w:r>
            <w:r>
              <w:rPr>
                <w:rFonts w:hint="eastAsia" w:ascii="宋体" w:hAnsi="宋体" w:eastAsia="宋体" w:cs="宋体"/>
                <w:szCs w:val="21"/>
              </w:rPr>
              <w:t>，提交方式为银行电汇、金融机构或担保机构出具的保函。</w:t>
            </w:r>
          </w:p>
          <w:p w14:paraId="2A312AB8">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账户信息：</w:t>
            </w:r>
            <w:r>
              <w:rPr>
                <w:rFonts w:hint="eastAsia" w:ascii="宋体" w:hAnsi="宋体" w:eastAsia="宋体" w:cs="宋体"/>
                <w:szCs w:val="21"/>
                <w:u w:val="single"/>
              </w:rPr>
              <w:t xml:space="preserve">            </w:t>
            </w:r>
          </w:p>
          <w:p w14:paraId="6891FBA8">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收款单位：</w:t>
            </w:r>
            <w:r>
              <w:rPr>
                <w:rFonts w:hint="eastAsia" w:ascii="宋体" w:hAnsi="宋体" w:eastAsia="宋体" w:cs="宋体"/>
                <w:szCs w:val="21"/>
                <w:u w:val="single"/>
              </w:rPr>
              <w:t xml:space="preserve">            </w:t>
            </w:r>
          </w:p>
          <w:p w14:paraId="2DF92D59">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p>
          <w:p w14:paraId="6FB8FA9F">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t>银行账号：</w:t>
            </w:r>
            <w:r>
              <w:rPr>
                <w:rFonts w:hint="eastAsia" w:ascii="宋体" w:hAnsi="宋体" w:eastAsia="宋体" w:cs="宋体"/>
                <w:szCs w:val="21"/>
                <w:u w:val="single"/>
              </w:rPr>
              <w:t xml:space="preserve">            </w:t>
            </w:r>
          </w:p>
        </w:tc>
      </w:tr>
      <w:tr w14:paraId="4352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83C1791">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28</w:t>
            </w:r>
          </w:p>
        </w:tc>
        <w:tc>
          <w:tcPr>
            <w:tcW w:w="1787" w:type="dxa"/>
            <w:vAlign w:val="center"/>
          </w:tcPr>
          <w:p w14:paraId="6223AA90">
            <w:pPr>
              <w:shd w:val="clear"/>
              <w:topLinePunct/>
              <w:autoSpaceDE w:val="0"/>
              <w:autoSpaceDN w:val="0"/>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接收质疑的方式、部门、电话和通讯地址</w:t>
            </w:r>
          </w:p>
        </w:tc>
        <w:tc>
          <w:tcPr>
            <w:tcW w:w="6255" w:type="dxa"/>
            <w:gridSpan w:val="2"/>
            <w:vAlign w:val="center"/>
          </w:tcPr>
          <w:p w14:paraId="461721FF">
            <w:pPr>
              <w:shd w:val="clear"/>
              <w:spacing w:line="360" w:lineRule="auto"/>
              <w:rPr>
                <w:rFonts w:hint="eastAsia" w:ascii="宋体" w:hAnsi="宋体" w:eastAsia="宋体" w:cs="宋体"/>
                <w:szCs w:val="21"/>
              </w:rPr>
            </w:pPr>
            <w:r>
              <w:rPr>
                <w:rFonts w:hint="eastAsia" w:ascii="宋体" w:hAnsi="宋体" w:eastAsia="宋体" w:cs="宋体"/>
                <w:szCs w:val="21"/>
              </w:rPr>
              <w:t>质疑联系方式：</w:t>
            </w:r>
          </w:p>
          <w:p w14:paraId="1CABA542">
            <w:pPr>
              <w:shd w:val="clear"/>
              <w:spacing w:line="360" w:lineRule="auto"/>
              <w:rPr>
                <w:rFonts w:hint="eastAsia" w:ascii="宋体" w:hAnsi="宋体" w:eastAsia="宋体" w:cs="宋体"/>
                <w:szCs w:val="21"/>
                <w:u w:val="single"/>
              </w:rPr>
            </w:pPr>
            <w:r>
              <w:rPr>
                <w:rFonts w:hint="eastAsia" w:ascii="宋体" w:hAnsi="宋体" w:eastAsia="宋体" w:cs="宋体"/>
                <w:szCs w:val="21"/>
              </w:rPr>
              <w:t>（1）接收质疑函的方式：</w:t>
            </w:r>
            <w:r>
              <w:rPr>
                <w:rFonts w:hint="eastAsia" w:ascii="宋体" w:hAnsi="宋体" w:eastAsia="宋体" w:cs="宋体"/>
                <w:szCs w:val="21"/>
                <w:u w:val="single"/>
              </w:rPr>
              <w:t xml:space="preserve">  书面方式；</w:t>
            </w:r>
          </w:p>
          <w:p w14:paraId="6778FB54">
            <w:pPr>
              <w:shd w:val="clear"/>
              <w:spacing w:line="360" w:lineRule="auto"/>
              <w:rPr>
                <w:rFonts w:hint="eastAsia" w:ascii="宋体" w:hAnsi="宋体" w:eastAsia="宋体" w:cs="宋体"/>
                <w:szCs w:val="21"/>
                <w:u w:val="single"/>
              </w:rPr>
            </w:pPr>
            <w:r>
              <w:rPr>
                <w:rFonts w:hint="eastAsia" w:ascii="宋体" w:hAnsi="宋体" w:eastAsia="宋体" w:cs="宋体"/>
                <w:szCs w:val="21"/>
              </w:rPr>
              <w:t>（2）联系部门：</w:t>
            </w:r>
            <w:r>
              <w:rPr>
                <w:rFonts w:hint="eastAsia" w:ascii="宋体" w:hAnsi="宋体" w:eastAsia="宋体" w:cs="宋体"/>
                <w:szCs w:val="21"/>
                <w:u w:val="single"/>
              </w:rPr>
              <w:t xml:space="preserve">     招标部； </w:t>
            </w:r>
          </w:p>
          <w:p w14:paraId="34D12DDB">
            <w:pPr>
              <w:shd w:val="clear"/>
              <w:spacing w:line="360" w:lineRule="auto"/>
              <w:rPr>
                <w:rFonts w:hint="eastAsia" w:ascii="宋体" w:hAnsi="宋体" w:eastAsia="宋体" w:cs="宋体"/>
                <w:szCs w:val="21"/>
                <w:u w:val="single"/>
              </w:rPr>
            </w:pPr>
            <w:r>
              <w:rPr>
                <w:rFonts w:hint="eastAsia" w:ascii="宋体" w:hAnsi="宋体" w:eastAsia="宋体" w:cs="宋体"/>
                <w:szCs w:val="21"/>
              </w:rPr>
              <w:t>（3）联系电话：</w:t>
            </w:r>
            <w:r>
              <w:rPr>
                <w:rFonts w:hint="eastAsia" w:ascii="宋体" w:hAnsi="宋体" w:eastAsia="宋体" w:cs="宋体"/>
                <w:szCs w:val="21"/>
                <w:u w:val="single"/>
              </w:rPr>
              <w:t xml:space="preserve">  0591-87527653；</w:t>
            </w:r>
          </w:p>
          <w:p w14:paraId="3410EE8D">
            <w:pPr>
              <w:shd w:val="clear"/>
              <w:spacing w:line="360" w:lineRule="auto"/>
              <w:rPr>
                <w:rFonts w:hint="eastAsia" w:ascii="宋体" w:hAnsi="宋体" w:eastAsia="宋体" w:cs="宋体"/>
                <w:szCs w:val="21"/>
                <w:u w:val="single"/>
              </w:rPr>
            </w:pPr>
            <w:r>
              <w:rPr>
                <w:rFonts w:hint="eastAsia" w:ascii="宋体" w:hAnsi="宋体" w:eastAsia="宋体" w:cs="宋体"/>
                <w:szCs w:val="21"/>
              </w:rPr>
              <w:t>（4）通讯地址：</w:t>
            </w:r>
            <w:r>
              <w:rPr>
                <w:rFonts w:hint="eastAsia" w:ascii="宋体" w:hAnsi="宋体" w:eastAsia="宋体" w:cs="宋体"/>
                <w:szCs w:val="21"/>
                <w:u w:val="single"/>
              </w:rPr>
              <w:t>福建省中亿通招标咨询有限公司（</w:t>
            </w:r>
            <w:r>
              <w:rPr>
                <w:rFonts w:hint="eastAsia" w:ascii="宋体" w:hAnsi="宋体" w:eastAsia="宋体" w:cs="宋体"/>
                <w:szCs w:val="21"/>
              </w:rPr>
              <w:t>福建省</w:t>
            </w:r>
            <w:r>
              <w:rPr>
                <w:rFonts w:hint="eastAsia" w:ascii="宋体" w:hAnsi="宋体" w:eastAsia="宋体" w:cs="宋体"/>
                <w:u w:val="single"/>
                <w:shd w:val="clear" w:color="auto" w:fill="FFFFFF"/>
              </w:rPr>
              <w:t>福州市鼓楼区华润万象城三期S11栋1910单元</w:t>
            </w:r>
            <w:r>
              <w:rPr>
                <w:rFonts w:hint="eastAsia" w:ascii="宋体" w:hAnsi="宋体" w:eastAsia="宋体" w:cs="宋体"/>
                <w:szCs w:val="21"/>
                <w:u w:val="single"/>
              </w:rPr>
              <w:t>）</w:t>
            </w:r>
            <w:r>
              <w:rPr>
                <w:rFonts w:hint="eastAsia" w:ascii="宋体" w:hAnsi="宋体" w:eastAsia="宋体" w:cs="宋体"/>
                <w:u w:val="single"/>
                <w:shd w:val="clear" w:color="auto" w:fill="FFFFFF"/>
              </w:rPr>
              <w:t>；</w:t>
            </w:r>
          </w:p>
          <w:p w14:paraId="43668982">
            <w:pPr>
              <w:shd w:val="clear"/>
              <w:spacing w:line="360" w:lineRule="auto"/>
              <w:rPr>
                <w:rFonts w:hint="eastAsia" w:ascii="宋体" w:hAnsi="宋体" w:eastAsia="宋体" w:cs="宋体"/>
                <w:szCs w:val="21"/>
              </w:rPr>
            </w:pPr>
            <w:r>
              <w:rPr>
                <w:rFonts w:hint="eastAsia" w:ascii="宋体" w:hAnsi="宋体" w:eastAsia="宋体" w:cs="宋体"/>
                <w:szCs w:val="21"/>
              </w:rPr>
              <w:t>（5）电子邮箱：</w:t>
            </w:r>
            <w:r>
              <w:rPr>
                <w:rFonts w:hint="eastAsia" w:ascii="宋体" w:hAnsi="宋体" w:eastAsia="宋体" w:cs="宋体"/>
                <w:szCs w:val="21"/>
                <w:u w:val="single"/>
              </w:rPr>
              <w:t xml:space="preserve">    zytzb2019@126.com 。</w:t>
            </w:r>
          </w:p>
        </w:tc>
      </w:tr>
      <w:tr w14:paraId="732D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A45B419">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29</w:t>
            </w:r>
          </w:p>
        </w:tc>
        <w:tc>
          <w:tcPr>
            <w:tcW w:w="1787" w:type="dxa"/>
            <w:vAlign w:val="center"/>
          </w:tcPr>
          <w:p w14:paraId="60B6ECD8">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需提交的投标文件份数</w:t>
            </w:r>
          </w:p>
        </w:tc>
        <w:tc>
          <w:tcPr>
            <w:tcW w:w="6255" w:type="dxa"/>
            <w:gridSpan w:val="2"/>
            <w:vAlign w:val="center"/>
          </w:tcPr>
          <w:p w14:paraId="283EC2A6">
            <w:pPr>
              <w:shd w:val="clear"/>
              <w:spacing w:line="360" w:lineRule="auto"/>
              <w:rPr>
                <w:rFonts w:hint="eastAsia" w:ascii="宋体" w:hAnsi="宋体" w:eastAsia="宋体" w:cs="宋体"/>
                <w:szCs w:val="21"/>
              </w:rPr>
            </w:pPr>
            <w:r>
              <w:rPr>
                <w:rFonts w:hint="eastAsia" w:ascii="宋体" w:hAnsi="宋体" w:eastAsia="宋体" w:cs="宋体"/>
                <w:szCs w:val="21"/>
              </w:rPr>
              <w:t>需提交的投标文件份数：</w:t>
            </w:r>
          </w:p>
          <w:p w14:paraId="7B32B2EE">
            <w:pPr>
              <w:shd w:val="clear"/>
              <w:spacing w:line="360" w:lineRule="auto"/>
              <w:rPr>
                <w:rFonts w:hint="eastAsia" w:ascii="宋体" w:hAnsi="宋体" w:eastAsia="宋体" w:cs="宋体"/>
                <w:szCs w:val="21"/>
              </w:rPr>
            </w:pPr>
            <w:r>
              <w:rPr>
                <w:rFonts w:hint="eastAsia" w:ascii="宋体" w:hAnsi="宋体" w:eastAsia="宋体" w:cs="宋体"/>
                <w:szCs w:val="21"/>
              </w:rPr>
              <w:t>（1）正本</w:t>
            </w:r>
            <w:r>
              <w:rPr>
                <w:rFonts w:hint="eastAsia" w:ascii="宋体" w:hAnsi="宋体" w:eastAsia="宋体" w:cs="宋体"/>
                <w:szCs w:val="21"/>
                <w:u w:val="single"/>
              </w:rPr>
              <w:t>1</w:t>
            </w:r>
            <w:r>
              <w:rPr>
                <w:rFonts w:hint="eastAsia" w:ascii="宋体" w:hAnsi="宋体" w:eastAsia="宋体" w:cs="宋体"/>
                <w:szCs w:val="21"/>
              </w:rPr>
              <w:t>份、副本</w:t>
            </w:r>
            <w:r>
              <w:rPr>
                <w:rFonts w:hint="eastAsia" w:ascii="宋体" w:hAnsi="宋体" w:eastAsia="宋体" w:cs="宋体"/>
                <w:szCs w:val="21"/>
                <w:u w:val="single"/>
              </w:rPr>
              <w:t xml:space="preserve">  5  </w:t>
            </w:r>
            <w:r>
              <w:rPr>
                <w:rFonts w:hint="eastAsia" w:ascii="宋体" w:hAnsi="宋体" w:eastAsia="宋体" w:cs="宋体"/>
                <w:szCs w:val="21"/>
              </w:rPr>
              <w:t>份。</w:t>
            </w:r>
          </w:p>
          <w:p w14:paraId="2C03560E">
            <w:pPr>
              <w:shd w:val="clear"/>
              <w:spacing w:line="360" w:lineRule="auto"/>
              <w:rPr>
                <w:rFonts w:hint="eastAsia" w:ascii="宋体" w:hAnsi="宋体" w:eastAsia="宋体" w:cs="宋体"/>
                <w:szCs w:val="21"/>
              </w:rPr>
            </w:pPr>
            <w:r>
              <w:rPr>
                <w:rFonts w:hint="eastAsia" w:ascii="宋体" w:hAnsi="宋体" w:eastAsia="宋体" w:cs="宋体"/>
                <w:szCs w:val="21"/>
              </w:rPr>
              <w:t>（2）电子文件</w:t>
            </w:r>
            <w:r>
              <w:rPr>
                <w:rFonts w:hint="eastAsia" w:ascii="宋体" w:hAnsi="宋体" w:eastAsia="宋体" w:cs="宋体"/>
                <w:szCs w:val="21"/>
                <w:u w:val="single"/>
              </w:rPr>
              <w:t xml:space="preserve"> 1 </w:t>
            </w:r>
            <w:r>
              <w:rPr>
                <w:rFonts w:hint="eastAsia" w:ascii="宋体" w:hAnsi="宋体" w:eastAsia="宋体" w:cs="宋体"/>
                <w:szCs w:val="21"/>
              </w:rPr>
              <w:t>份（☑扫描件 ☑Word）。</w:t>
            </w:r>
          </w:p>
          <w:p w14:paraId="09A1DB71">
            <w:pPr>
              <w:shd w:val="clear"/>
              <w:spacing w:line="360" w:lineRule="auto"/>
              <w:rPr>
                <w:rFonts w:hint="eastAsia" w:ascii="宋体" w:hAnsi="宋体" w:eastAsia="宋体" w:cs="宋体"/>
                <w:szCs w:val="21"/>
              </w:rPr>
            </w:pPr>
            <w:r>
              <w:rPr>
                <w:rFonts w:hint="eastAsia" w:ascii="宋体" w:hAnsi="宋体" w:eastAsia="宋体" w:cs="宋体"/>
                <w:szCs w:val="21"/>
              </w:rPr>
              <w:t>采用光盘或U盘刻录提交。</w:t>
            </w:r>
          </w:p>
        </w:tc>
      </w:tr>
      <w:tr w14:paraId="671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AC06DB5">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30</w:t>
            </w:r>
          </w:p>
        </w:tc>
        <w:tc>
          <w:tcPr>
            <w:tcW w:w="1787" w:type="dxa"/>
            <w:vAlign w:val="center"/>
          </w:tcPr>
          <w:p w14:paraId="7BE845EE">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代理费用</w:t>
            </w:r>
          </w:p>
        </w:tc>
        <w:tc>
          <w:tcPr>
            <w:tcW w:w="6255" w:type="dxa"/>
            <w:gridSpan w:val="2"/>
            <w:vAlign w:val="center"/>
          </w:tcPr>
          <w:p w14:paraId="0DD91FE2">
            <w:pPr>
              <w:shd w:val="clear"/>
              <w:spacing w:line="360" w:lineRule="auto"/>
              <w:rPr>
                <w:rFonts w:hint="eastAsia" w:ascii="宋体" w:hAnsi="宋体" w:eastAsia="宋体" w:cs="宋体"/>
                <w:szCs w:val="21"/>
              </w:rPr>
            </w:pPr>
            <w:r>
              <w:rPr>
                <w:rFonts w:hint="eastAsia" w:ascii="宋体" w:hAnsi="宋体" w:eastAsia="宋体" w:cs="宋体"/>
                <w:szCs w:val="21"/>
              </w:rPr>
              <w:t>代理费用：</w:t>
            </w:r>
          </w:p>
          <w:p w14:paraId="48DB79C8">
            <w:pPr>
              <w:shd w:val="clear"/>
              <w:spacing w:line="360" w:lineRule="auto"/>
              <w:rPr>
                <w:rFonts w:hint="eastAsia" w:ascii="宋体" w:hAnsi="宋体" w:eastAsia="宋体" w:cs="宋体"/>
                <w:szCs w:val="21"/>
              </w:rPr>
            </w:pPr>
            <w:r>
              <w:rPr>
                <w:rFonts w:hint="eastAsia" w:ascii="宋体" w:hAnsi="宋体" w:eastAsia="宋体" w:cs="宋体"/>
                <w:szCs w:val="21"/>
              </w:rPr>
              <w:t>（1）本项目代理费用由</w:t>
            </w:r>
            <w:r>
              <w:rPr>
                <w:rFonts w:hint="eastAsia" w:ascii="宋体" w:hAnsi="宋体" w:eastAsia="宋体" w:cs="宋体"/>
                <w:szCs w:val="21"/>
                <w:u w:val="single"/>
              </w:rPr>
              <w:t>（中标人）</w:t>
            </w:r>
            <w:r>
              <w:rPr>
                <w:rFonts w:hint="eastAsia" w:ascii="宋体" w:hAnsi="宋体" w:eastAsia="宋体" w:cs="宋体"/>
                <w:szCs w:val="21"/>
              </w:rPr>
              <w:t>支付。</w:t>
            </w:r>
          </w:p>
          <w:p w14:paraId="23782222">
            <w:pPr>
              <w:shd w:val="clear"/>
              <w:spacing w:line="360" w:lineRule="auto"/>
              <w:rPr>
                <w:rFonts w:hint="eastAsia" w:ascii="宋体" w:hAnsi="宋体" w:eastAsia="宋体" w:cs="宋体"/>
                <w:szCs w:val="21"/>
              </w:rPr>
            </w:pPr>
            <w:r>
              <w:rPr>
                <w:rFonts w:hint="eastAsia" w:ascii="宋体" w:hAnsi="宋体" w:eastAsia="宋体" w:cs="宋体"/>
                <w:szCs w:val="21"/>
              </w:rPr>
              <w:t>（2）代理费用收取方式及标准：</w:t>
            </w:r>
          </w:p>
          <w:p w14:paraId="1950B534">
            <w:pPr>
              <w:shd w:val="clear"/>
              <w:spacing w:line="360" w:lineRule="auto"/>
              <w:rPr>
                <w:rFonts w:hint="eastAsia" w:ascii="宋体" w:hAnsi="宋体" w:eastAsia="宋体" w:cs="宋体"/>
                <w:szCs w:val="21"/>
              </w:rPr>
            </w:pPr>
            <w:r>
              <w:rPr>
                <w:rFonts w:hint="eastAsia" w:ascii="宋体" w:hAnsi="宋体" w:eastAsia="宋体" w:cs="宋体"/>
                <w:szCs w:val="21"/>
                <w:u w:val="single"/>
              </w:rPr>
              <w:t>采购包1：①以中标金额作为收费的计算基数，按下列收费费率差额定率累进法计算。 ②收费费率标准：中标金额在100万元以下：1.5%；100-500万元：0.8%；500-1000万元：0.45%。本项目招标代理服务费上限金额为人民币陆万元整（￥60000.00），若超过服务费上限金额则按人民币陆万元整（￥60000.00）收取。③中标人以转账或电汇付款方式一次性向采购代理机构缴纳代理服务费。代理服务费缴交账号：开户名：福建省中亿通招标咨询有限公司，开户行：中国工商银行股份有限公司福州屏山支行，账号：1402201009600007936。</w:t>
            </w:r>
          </w:p>
        </w:tc>
      </w:tr>
      <w:tr w14:paraId="6289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853C544">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31</w:t>
            </w:r>
          </w:p>
        </w:tc>
        <w:tc>
          <w:tcPr>
            <w:tcW w:w="1787" w:type="dxa"/>
            <w:vAlign w:val="center"/>
          </w:tcPr>
          <w:p w14:paraId="44C2091A">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其他补充事项</w:t>
            </w:r>
          </w:p>
        </w:tc>
        <w:tc>
          <w:tcPr>
            <w:tcW w:w="6255" w:type="dxa"/>
            <w:gridSpan w:val="2"/>
            <w:vAlign w:val="center"/>
          </w:tcPr>
          <w:p w14:paraId="775C53DC">
            <w:pPr>
              <w:shd w:val="clear"/>
              <w:adjustRightInd w:val="0"/>
              <w:snapToGrid w:val="0"/>
              <w:spacing w:line="360" w:lineRule="auto"/>
              <w:rPr>
                <w:rFonts w:hint="eastAsia" w:ascii="宋体" w:hAnsi="宋体" w:eastAsia="宋体" w:cs="宋体"/>
                <w:szCs w:val="21"/>
              </w:rPr>
            </w:pPr>
            <w:r>
              <w:rPr>
                <w:rFonts w:hint="eastAsia" w:ascii="宋体" w:hAnsi="宋体" w:eastAsia="宋体" w:cs="宋体"/>
                <w:szCs w:val="21"/>
                <w:u w:val="single"/>
              </w:rPr>
              <w:t>无。</w:t>
            </w:r>
          </w:p>
        </w:tc>
      </w:tr>
    </w:tbl>
    <w:p w14:paraId="1C80822B">
      <w:pPr>
        <w:shd w:val="clear"/>
        <w:rPr>
          <w:rFonts w:hint="eastAsia" w:ascii="宋体" w:hAnsi="宋体" w:eastAsia="宋体" w:cs="宋体"/>
        </w:rPr>
      </w:pPr>
    </w:p>
    <w:p w14:paraId="229C8923">
      <w:pPr>
        <w:shd w:val="clear"/>
        <w:rPr>
          <w:rFonts w:hint="eastAsia" w:ascii="宋体" w:hAnsi="宋体" w:eastAsia="宋体" w:cs="宋体"/>
        </w:rPr>
        <w:sectPr>
          <w:pgSz w:w="11906" w:h="16838"/>
          <w:pgMar w:top="1440" w:right="1752" w:bottom="1440" w:left="1752" w:header="851" w:footer="992" w:gutter="0"/>
          <w:cols w:space="720" w:num="1"/>
          <w:titlePg/>
          <w:docGrid w:type="lines" w:linePitch="312" w:charSpace="0"/>
        </w:sectPr>
      </w:pPr>
    </w:p>
    <w:p w14:paraId="5C0D7187">
      <w:pPr>
        <w:shd w:val="clear"/>
        <w:spacing w:line="360" w:lineRule="auto"/>
        <w:ind w:firstLine="422" w:firstLineChars="200"/>
        <w:jc w:val="center"/>
        <w:outlineLvl w:val="1"/>
        <w:rPr>
          <w:rFonts w:hint="eastAsia" w:ascii="宋体" w:hAnsi="宋体" w:eastAsia="宋体" w:cs="宋体"/>
          <w:b/>
          <w:bCs/>
          <w:szCs w:val="21"/>
        </w:rPr>
      </w:pPr>
      <w:bookmarkStart w:id="4" w:name="_Toc5542"/>
      <w:r>
        <w:rPr>
          <w:rFonts w:hint="eastAsia" w:ascii="宋体" w:hAnsi="宋体" w:eastAsia="宋体" w:cs="宋体"/>
          <w:b/>
          <w:bCs/>
          <w:szCs w:val="21"/>
        </w:rPr>
        <w:t>一、总则</w:t>
      </w:r>
      <w:bookmarkEnd w:id="4"/>
    </w:p>
    <w:p w14:paraId="645C4E44">
      <w:pPr>
        <w:shd w:val="clear"/>
        <w:topLinePunct/>
        <w:autoSpaceDE w:val="0"/>
        <w:autoSpaceDN w:val="0"/>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rPr>
        <w:t>1.预算资金</w:t>
      </w:r>
      <w:r>
        <w:rPr>
          <w:rFonts w:hint="eastAsia" w:ascii="宋体" w:hAnsi="宋体" w:eastAsia="宋体" w:cs="宋体"/>
          <w:b/>
          <w:szCs w:val="21"/>
          <w:highlight w:val="none"/>
        </w:rPr>
        <w:t>及来源</w:t>
      </w:r>
    </w:p>
    <w:p w14:paraId="26C11F23">
      <w:pPr>
        <w:shd w:val="clear"/>
        <w:topLinePunct/>
        <w:autoSpaceDE w:val="0"/>
        <w:autoSpaceDN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 本项目已经</w:t>
      </w:r>
      <w:r>
        <w:rPr>
          <w:rFonts w:hint="eastAsia" w:ascii="宋体" w:hAnsi="宋体" w:eastAsia="宋体" w:cs="宋体"/>
          <w:b/>
          <w:szCs w:val="21"/>
          <w:highlight w:val="none"/>
          <w:u w:val="single"/>
        </w:rPr>
        <w:t>国家税务总局福州市税务局</w:t>
      </w:r>
      <w:r>
        <w:rPr>
          <w:rFonts w:hint="eastAsia" w:ascii="宋体" w:hAnsi="宋体" w:eastAsia="宋体" w:cs="宋体"/>
          <w:szCs w:val="21"/>
          <w:highlight w:val="none"/>
        </w:rPr>
        <w:t>批准立项。</w:t>
      </w:r>
    </w:p>
    <w:p w14:paraId="3EC2B107">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none"/>
        </w:rPr>
        <w:t>1.2 本项目预算资金见</w:t>
      </w:r>
      <w:r>
        <w:rPr>
          <w:rFonts w:hint="eastAsia" w:ascii="宋体" w:hAnsi="宋体" w:eastAsia="宋体" w:cs="宋体"/>
          <w:b/>
          <w:bCs/>
          <w:szCs w:val="21"/>
          <w:highlight w:val="none"/>
        </w:rPr>
        <w:t>投标人须知前附表</w:t>
      </w:r>
      <w:r>
        <w:rPr>
          <w:rFonts w:hint="eastAsia" w:ascii="宋体" w:hAnsi="宋体" w:eastAsia="宋体" w:cs="宋体"/>
          <w:szCs w:val="21"/>
          <w:highlight w:val="none"/>
        </w:rPr>
        <w:t>，已列入</w:t>
      </w:r>
      <w:r>
        <w:rPr>
          <w:rFonts w:hint="eastAsia" w:ascii="宋体" w:hAnsi="宋体" w:eastAsia="宋体" w:cs="宋体"/>
          <w:b/>
          <w:szCs w:val="21"/>
          <w:highlight w:val="none"/>
          <w:u w:val="single"/>
        </w:rPr>
        <w:t>国家税务总局福州市税务局</w:t>
      </w:r>
      <w:r>
        <w:rPr>
          <w:rFonts w:hint="eastAsia" w:ascii="宋体" w:hAnsi="宋体" w:eastAsia="宋体" w:cs="宋体"/>
          <w:szCs w:val="21"/>
          <w:highlight w:val="none"/>
        </w:rPr>
        <w:t>预算</w:t>
      </w:r>
      <w:r>
        <w:rPr>
          <w:rFonts w:hint="eastAsia" w:ascii="宋体" w:hAnsi="宋体" w:eastAsia="宋体" w:cs="宋体"/>
          <w:szCs w:val="21"/>
        </w:rPr>
        <w:t>。</w:t>
      </w:r>
    </w:p>
    <w:p w14:paraId="75E8E5B7">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2.合格的产品和服务</w:t>
      </w:r>
    </w:p>
    <w:p w14:paraId="00C53898">
      <w:pPr>
        <w:shd w:val="clear"/>
        <w:tabs>
          <w:tab w:val="left" w:pos="216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 本项目所涉及的所有产品和服务均应来自中国境内（指关境内），合同金额的支付也仅限于这些产品和服务。</w:t>
      </w:r>
    </w:p>
    <w:p w14:paraId="5AF02E2F">
      <w:pPr>
        <w:shd w:val="clear"/>
        <w:tabs>
          <w:tab w:val="left" w:pos="216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2.2 合格的产品和服务即</w:t>
      </w:r>
      <w:r>
        <w:rPr>
          <w:rFonts w:hint="eastAsia" w:ascii="宋体" w:hAnsi="宋体" w:eastAsia="宋体" w:cs="宋体"/>
          <w:b/>
          <w:bCs/>
          <w:szCs w:val="21"/>
        </w:rPr>
        <w:t>采购需求</w:t>
      </w:r>
      <w:r>
        <w:rPr>
          <w:rFonts w:hint="eastAsia" w:ascii="宋体" w:hAnsi="宋体" w:eastAsia="宋体" w:cs="宋体"/>
          <w:szCs w:val="21"/>
        </w:rPr>
        <w:t>见</w:t>
      </w:r>
      <w:r>
        <w:rPr>
          <w:rFonts w:hint="eastAsia" w:ascii="宋体" w:hAnsi="宋体" w:eastAsia="宋体" w:cs="宋体"/>
          <w:b/>
          <w:szCs w:val="21"/>
        </w:rPr>
        <w:t>招标文件（技术部分）。</w:t>
      </w:r>
    </w:p>
    <w:p w14:paraId="55B5E96B">
      <w:pPr>
        <w:shd w:val="clea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 投标人应保证所提供的产品及服务免受第三方提出侵犯其知识产权（专利权、商标权、工业设计权及使用权）的请求及起诉。</w:t>
      </w:r>
    </w:p>
    <w:p w14:paraId="1D4901F1">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3.合格的投标人</w:t>
      </w:r>
    </w:p>
    <w:p w14:paraId="5A46DEE4">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3.1一般规定</w:t>
      </w:r>
    </w:p>
    <w:p w14:paraId="70BAF0D5">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3.1.1投标人应遵守《政府采购法》及其实施条例、《政府采购货物和服务招标投标管理办法》、《政府采购质疑和投诉办法》及有关政府采购的规定，同时还应遵守有关法律、法规和规章的强制性规定。</w:t>
      </w:r>
    </w:p>
    <w:p w14:paraId="4613CB63">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3.1.2投标人的资格要求及本项目的特定资格要求见</w:t>
      </w:r>
      <w:r>
        <w:rPr>
          <w:rFonts w:ascii="宋体" w:hAnsi="宋体" w:cs="宋体"/>
          <w:b/>
          <w:sz w:val="21"/>
          <w:szCs w:val="21"/>
        </w:rPr>
        <w:t>投标人须知前附表</w:t>
      </w:r>
      <w:r>
        <w:rPr>
          <w:rFonts w:ascii="宋体" w:hAnsi="宋体" w:cs="宋体"/>
          <w:sz w:val="21"/>
          <w:szCs w:val="21"/>
        </w:rPr>
        <w:t>。</w:t>
      </w:r>
    </w:p>
    <w:p w14:paraId="082DDF7D">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3.1.3资格条件中所称“重大违法记录”，是指投标人因违法经营受到刑事处罚或者责令停产停业、吊销许可证或者执照、较大数额罚款等行政处罚。</w:t>
      </w:r>
    </w:p>
    <w:p w14:paraId="405F731A">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投标人在参加政府采购活动前3年内因违法经营被禁止在一定期限内参加政府采购活动，期限届满的，可以参加政府采购活动。</w:t>
      </w:r>
    </w:p>
    <w:p w14:paraId="4CB2DD5C">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“较大数额罚款”认定为200万元以上的罚款，法律、行政法规以及国务院有关部门明确规定相关领域“较大数额罚款”标准高于200万元的，从其规定。</w:t>
      </w:r>
    </w:p>
    <w:p w14:paraId="2DD8A934">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3.1.4信用记录要求</w:t>
      </w:r>
    </w:p>
    <w:p w14:paraId="1326DD31">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采购人、采购代理机构应当通过“信用中国”网站（www.creditchina.gov.cn）、中国政府采购网（www.ccgp.gov.cn）等渠道查询投标人的信用记录，并对投标人信用记录进行甄别，对列入失信被执行人、重大税收违法案件当事人名单、政府采购严重违法失信行为记录名单及其他不符合《中华人民共和国政府采购法》第二十二条规定条件的投标人，应当拒绝其参与政府采购活动。</w:t>
      </w:r>
    </w:p>
    <w:p w14:paraId="283C7475">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16C7BC44">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3.2联合体</w:t>
      </w:r>
    </w:p>
    <w:p w14:paraId="59305208">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3.2.1若本项目接受联合体投标，则两个以上的自然人、法人或者其他组织可以组成一个联合体，以一个投标人的身份共同参加政府采购。</w:t>
      </w:r>
    </w:p>
    <w:p w14:paraId="2F5090C1">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3.2.2以联合体形式参加投标的，联合体各方应按第二章要求提供资格条件材料。</w:t>
      </w:r>
    </w:p>
    <w:p w14:paraId="2986FA69">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3.2.3联合体中有同类资质的投标人按照联合体分工承担相同工作的，应当按照资质等级较低的投标人确定资质等级。</w:t>
      </w:r>
    </w:p>
    <w:p w14:paraId="2328F7D6">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3.2.4联合体应当提交联合协议，载明联合体各方承担的工作和义务。</w:t>
      </w:r>
    </w:p>
    <w:p w14:paraId="478516DA">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3.2.5联合体各方应当共同与采购人签订采购合同，就采购合同约定的事项对采购人承担连带责任。</w:t>
      </w:r>
    </w:p>
    <w:p w14:paraId="12EF4484">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3.2.6以联合体形式参加政府采购活动的，联合体各方不得再单独参加或者与其他投标人另外组成联合体参加同一合同项下的政府采购活动。</w:t>
      </w:r>
    </w:p>
    <w:p w14:paraId="1744482F">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3.3禁止规定</w:t>
      </w:r>
    </w:p>
    <w:p w14:paraId="01EC64CE">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3.3.1单位负责人为同一人或者存在直接控股、管理关系的不同投标人，不得参加同一采购包的政府采购活动。否则投标均无效。</w:t>
      </w:r>
    </w:p>
    <w:p w14:paraId="5E80ECFA">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3.3.2除单一来源采购项目外，为采购项目提供整体设计、规范编制或者项目管理、监理、检测等服务的供应商，不得再参加该采购项目的其他采购活动。否则投标无效。</w:t>
      </w:r>
    </w:p>
    <w:p w14:paraId="3D88D728">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4.投标费用</w:t>
      </w:r>
    </w:p>
    <w:p w14:paraId="46E3869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4.1 投标人应承担所有与编写、提交投标文件有关的费用，不论招标的结果如何，采购人在任何情况下均无义务和责任承担这些费用。</w:t>
      </w:r>
    </w:p>
    <w:p w14:paraId="2FE6957A">
      <w:pPr>
        <w:shd w:val="clear"/>
        <w:spacing w:line="360" w:lineRule="auto"/>
        <w:ind w:firstLine="422" w:firstLineChars="200"/>
        <w:jc w:val="center"/>
        <w:outlineLvl w:val="1"/>
        <w:rPr>
          <w:rFonts w:hint="eastAsia" w:ascii="宋体" w:hAnsi="宋体" w:eastAsia="宋体" w:cs="宋体"/>
          <w:b/>
          <w:bCs/>
        </w:rPr>
      </w:pPr>
      <w:bookmarkStart w:id="5" w:name="_Toc27327"/>
      <w:r>
        <w:rPr>
          <w:rFonts w:hint="eastAsia" w:ascii="宋体" w:hAnsi="宋体" w:eastAsia="宋体" w:cs="宋体"/>
          <w:b/>
          <w:bCs/>
        </w:rPr>
        <w:t>二、招标文件</w:t>
      </w:r>
      <w:bookmarkEnd w:id="5"/>
    </w:p>
    <w:p w14:paraId="22D42474">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5.招标文件构成</w:t>
      </w:r>
    </w:p>
    <w:p w14:paraId="1CFBFBC9">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第一部分 商务部分</w:t>
      </w:r>
    </w:p>
    <w:p w14:paraId="3C6716F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（1）招标公告</w:t>
      </w:r>
    </w:p>
    <w:p w14:paraId="60C47BC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（2）投标人须知</w:t>
      </w:r>
    </w:p>
    <w:p w14:paraId="1A4DE75E">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（3）评标方法及标准</w:t>
      </w:r>
    </w:p>
    <w:p w14:paraId="78ECE96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（4）政府采购合同文本</w:t>
      </w:r>
    </w:p>
    <w:p w14:paraId="2020D3F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（5）投标文件格式</w:t>
      </w:r>
    </w:p>
    <w:p w14:paraId="40EFF01C">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第二部分 技术部分</w:t>
      </w:r>
    </w:p>
    <w:p w14:paraId="3CC4735A">
      <w:pPr>
        <w:shd w:val="clear"/>
        <w:topLinePunct/>
        <w:autoSpaceDE w:val="0"/>
        <w:autoSpaceDN w:val="0"/>
        <w:adjustRightInd w:val="0"/>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6.招标文件询问、澄清或修改</w:t>
      </w:r>
    </w:p>
    <w:p w14:paraId="505A1356">
      <w:pPr>
        <w:widowControl/>
        <w:shd w:val="clear"/>
        <w:topLinePunct/>
        <w:autoSpaceDE w:val="0"/>
        <w:autoSpaceDN w:val="0"/>
        <w:adjustRightInd w:val="0"/>
        <w:snapToGrid w:val="0"/>
        <w:spacing w:line="360" w:lineRule="auto"/>
        <w:ind w:firstLine="420" w:firstLineChars="200"/>
        <w:jc w:val="left"/>
        <w:rPr>
          <w:rFonts w:hint="eastAsia" w:ascii="宋体" w:hAnsi="宋体" w:eastAsia="宋体" w:cs="宋体"/>
          <w:b/>
          <w:szCs w:val="21"/>
        </w:rPr>
      </w:pPr>
      <w:r>
        <w:rPr>
          <w:rFonts w:hint="eastAsia" w:ascii="宋体" w:hAnsi="宋体" w:eastAsia="宋体" w:cs="宋体"/>
          <w:szCs w:val="21"/>
        </w:rPr>
        <w:t>6.1 投标人对招标文件如有疑问的，可以向采购人或者采购代理机构提出询问，采购人或者采购代理机构应当在3个工作日内作出答复</w:t>
      </w:r>
      <w:r>
        <w:rPr>
          <w:rFonts w:hint="eastAsia" w:ascii="宋体" w:hAnsi="宋体" w:eastAsia="宋体" w:cs="宋体"/>
          <w:bCs/>
          <w:szCs w:val="21"/>
        </w:rPr>
        <w:t>，但答复的内容不得涉及商业秘密。</w:t>
      </w:r>
      <w:r>
        <w:rPr>
          <w:rFonts w:hint="eastAsia" w:ascii="宋体" w:hAnsi="宋体" w:eastAsia="宋体" w:cs="宋体"/>
          <w:szCs w:val="21"/>
        </w:rPr>
        <w:t>如有必要，采购人或者采购代理机构可对招标文件进行澄清或者修改。</w:t>
      </w:r>
    </w:p>
    <w:p w14:paraId="6CFF0740">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6.2 采购人或者采购代理机构可主动对招标文件进行必要的澄清或者修改，但不得改变采购标的和资格条件。</w:t>
      </w:r>
    </w:p>
    <w:p w14:paraId="43C42F10">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6.3 澄清或者修改应当在原公告发布媒体上发布澄清公告，线上采购项目还应通过国家税务总局政府采购评审管理系统（以下简称“评审管理系统”）通知所有获取招标文件的潜在投标人。</w:t>
      </w:r>
    </w:p>
    <w:p w14:paraId="3E73D69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6.4 澄清或者修改的内容可能影响投标文件编制的，采购人或者采购代理机构应当在投标截止时间至少15日前，以书面形式或通过评审管理系统（适用于线上采购，下同）通知所有获取招标文件的潜在投标人；不足15日的，采购人或者采购代理机构应当顺延提交投标文件的截止时间。</w:t>
      </w:r>
    </w:p>
    <w:p w14:paraId="1D67660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6.5 澄清或者修改的内容为招标文件的组成部分。</w:t>
      </w:r>
    </w:p>
    <w:p w14:paraId="77B9D13B">
      <w:pPr>
        <w:shd w:val="clear"/>
        <w:spacing w:line="360" w:lineRule="auto"/>
        <w:ind w:firstLine="422" w:firstLineChars="200"/>
        <w:jc w:val="center"/>
        <w:outlineLvl w:val="1"/>
        <w:rPr>
          <w:rFonts w:hint="eastAsia" w:ascii="宋体" w:hAnsi="宋体" w:eastAsia="宋体" w:cs="宋体"/>
          <w:b/>
          <w:bCs/>
        </w:rPr>
      </w:pPr>
      <w:bookmarkStart w:id="6" w:name="_Toc4988"/>
      <w:r>
        <w:rPr>
          <w:rFonts w:hint="eastAsia" w:ascii="宋体" w:hAnsi="宋体" w:eastAsia="宋体" w:cs="宋体"/>
          <w:b/>
          <w:bCs/>
        </w:rPr>
        <w:t>三、投标文件</w:t>
      </w:r>
      <w:bookmarkEnd w:id="6"/>
    </w:p>
    <w:p w14:paraId="7570D57A">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w:t>
      </w:r>
      <w:r>
        <w:rPr>
          <w:rFonts w:hint="eastAsia" w:ascii="宋体" w:hAnsi="宋体" w:eastAsia="宋体" w:cs="宋体"/>
          <w:szCs w:val="21"/>
        </w:rPr>
        <w:t>．</w:t>
      </w:r>
      <w:r>
        <w:rPr>
          <w:rFonts w:hint="eastAsia" w:ascii="宋体" w:hAnsi="宋体" w:eastAsia="宋体" w:cs="宋体"/>
          <w:b/>
          <w:szCs w:val="21"/>
        </w:rPr>
        <w:t>投标文件编制</w:t>
      </w:r>
    </w:p>
    <w:p w14:paraId="4A89BD40">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7.1投标文件的编制</w:t>
      </w:r>
    </w:p>
    <w:p w14:paraId="730B7F92">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7.1.1投标人应先仔细阅读招标文件的全部内容后，再进行投标文件的编制。</w:t>
      </w:r>
    </w:p>
    <w:p w14:paraId="47CF8549">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7.1.2投标文件应满足招标文件提出的实质性要求和条件，并保证其所提交的全部资料是不可割离且真实、有效、准确、完整和不具有任何误导性的，否则造成不利后果由投标人承担责任。</w:t>
      </w:r>
    </w:p>
    <w:p w14:paraId="613FEA86">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7.2投标文件的语言</w:t>
      </w:r>
    </w:p>
    <w:p w14:paraId="21DAE9E4">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7.2.1除招标文件另有规定外，投标文件应使用中文文本并使用中文简化字，若有不同文本，以中文简化字文本为准。</w:t>
      </w:r>
    </w:p>
    <w:p w14:paraId="3C748B6D">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7.2.2投标文件提供的全部资料中，若属于非中文描述的，应同时提供中文简化字译本。</w:t>
      </w:r>
    </w:p>
    <w:p w14:paraId="0BF15B59">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7.2.3除在招标文件的要求中另有规定外，投标文件计量单位应使用中华人民共和国法定计量单位。</w:t>
      </w:r>
    </w:p>
    <w:p w14:paraId="699109B7">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7.3投标人制作投标文件前须提前办理数字证书和电子签章，办理方式和注意事项详见网站《供应商操作手册》。供应商在国家税务总局集中采购中心网站（https://swcg.chinatax.gov.cn） “下载中心”下载并安装“供应商投标工具”，使用投标工具编制投标文件。（线上采购项目适用）</w:t>
      </w:r>
    </w:p>
    <w:p w14:paraId="08DFD696">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8.投标文件的组成</w:t>
      </w:r>
    </w:p>
    <w:p w14:paraId="15DA9F1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8.1 投标文件包括商务部分和技术部分。</w:t>
      </w:r>
    </w:p>
    <w:p w14:paraId="53C11AE7">
      <w:pPr>
        <w:shd w:val="clear"/>
        <w:topLinePunct/>
        <w:autoSpaceDE w:val="0"/>
        <w:autoSpaceDN w:val="0"/>
        <w:adjustRightInd w:val="0"/>
        <w:snapToGrid w:val="0"/>
        <w:spacing w:line="360" w:lineRule="auto"/>
        <w:ind w:firstLine="428" w:firstLineChars="204"/>
        <w:rPr>
          <w:rFonts w:hint="eastAsia" w:ascii="宋体" w:hAnsi="宋体" w:eastAsia="宋体" w:cs="宋体"/>
          <w:szCs w:val="21"/>
        </w:rPr>
      </w:pPr>
      <w:r>
        <w:rPr>
          <w:rFonts w:hint="eastAsia" w:ascii="宋体" w:hAnsi="宋体" w:eastAsia="宋体" w:cs="宋体"/>
          <w:szCs w:val="21"/>
        </w:rPr>
        <w:t>8.2 投标文件</w:t>
      </w:r>
      <w:r>
        <w:rPr>
          <w:rFonts w:hint="eastAsia" w:ascii="宋体" w:hAnsi="宋体" w:eastAsia="宋体" w:cs="宋体"/>
          <w:b/>
          <w:bCs/>
          <w:szCs w:val="21"/>
        </w:rPr>
        <w:t>商务部分</w:t>
      </w:r>
      <w:r>
        <w:rPr>
          <w:rFonts w:hint="eastAsia" w:ascii="宋体" w:hAnsi="宋体" w:eastAsia="宋体" w:cs="宋体"/>
          <w:szCs w:val="21"/>
        </w:rPr>
        <w:t>主要包括的文件和资料：</w:t>
      </w:r>
    </w:p>
    <w:p w14:paraId="1DBD02D2">
      <w:pPr>
        <w:shd w:val="clear"/>
        <w:topLinePunct/>
        <w:autoSpaceDE w:val="0"/>
        <w:autoSpaceDN w:val="0"/>
        <w:adjustRightInd w:val="0"/>
        <w:snapToGrid w:val="0"/>
        <w:spacing w:line="360" w:lineRule="auto"/>
        <w:ind w:firstLine="428" w:firstLineChars="204"/>
        <w:rPr>
          <w:rFonts w:hint="eastAsia" w:ascii="宋体" w:hAnsi="宋体" w:eastAsia="宋体" w:cs="宋体"/>
          <w:szCs w:val="21"/>
        </w:rPr>
      </w:pPr>
      <w:r>
        <w:rPr>
          <w:rFonts w:hint="eastAsia" w:ascii="宋体" w:hAnsi="宋体" w:eastAsia="宋体" w:cs="宋体"/>
          <w:szCs w:val="21"/>
        </w:rPr>
        <w:t>8.2.1 资格证明文件，见</w:t>
      </w:r>
      <w:r>
        <w:rPr>
          <w:rFonts w:hint="eastAsia" w:ascii="宋体" w:hAnsi="宋体" w:eastAsia="宋体" w:cs="宋体"/>
          <w:b/>
          <w:szCs w:val="21"/>
        </w:rPr>
        <w:t>投标人须知前附表。</w:t>
      </w:r>
    </w:p>
    <w:p w14:paraId="3DDE0F20">
      <w:pPr>
        <w:shd w:val="clear"/>
        <w:overflowPunct w:val="0"/>
        <w:autoSpaceDE w:val="0"/>
        <w:autoSpaceDN w:val="0"/>
        <w:adjustRightInd w:val="0"/>
        <w:snapToGrid w:val="0"/>
        <w:spacing w:line="360" w:lineRule="auto"/>
        <w:ind w:firstLine="426" w:firstLineChars="203"/>
        <w:rPr>
          <w:rFonts w:hint="eastAsia" w:ascii="宋体" w:hAnsi="宋体" w:eastAsia="宋体" w:cs="宋体"/>
          <w:szCs w:val="21"/>
        </w:rPr>
      </w:pPr>
      <w:r>
        <w:rPr>
          <w:rFonts w:hint="eastAsia" w:ascii="宋体" w:hAnsi="宋体" w:eastAsia="宋体" w:cs="宋体"/>
          <w:szCs w:val="21"/>
        </w:rPr>
        <w:t>8.2.2 其他文件及资料，见</w:t>
      </w:r>
      <w:r>
        <w:rPr>
          <w:rFonts w:hint="eastAsia" w:ascii="宋体" w:hAnsi="宋体" w:eastAsia="宋体" w:cs="宋体"/>
          <w:b/>
          <w:szCs w:val="21"/>
        </w:rPr>
        <w:t>投标人须知前附表。</w:t>
      </w:r>
    </w:p>
    <w:p w14:paraId="4035C743">
      <w:pPr>
        <w:shd w:val="clear"/>
        <w:overflowPunct w:val="0"/>
        <w:autoSpaceDE w:val="0"/>
        <w:autoSpaceDN w:val="0"/>
        <w:adjustRightInd w:val="0"/>
        <w:snapToGrid w:val="0"/>
        <w:spacing w:line="360" w:lineRule="auto"/>
        <w:ind w:firstLine="426" w:firstLineChars="203"/>
        <w:rPr>
          <w:rFonts w:hint="eastAsia" w:ascii="宋体" w:hAnsi="宋体" w:eastAsia="宋体" w:cs="宋体"/>
          <w:szCs w:val="21"/>
        </w:rPr>
      </w:pPr>
      <w:r>
        <w:rPr>
          <w:rFonts w:hint="eastAsia" w:ascii="宋体" w:hAnsi="宋体" w:eastAsia="宋体" w:cs="宋体"/>
          <w:szCs w:val="21"/>
        </w:rPr>
        <w:t>8.3 投标文件</w:t>
      </w:r>
      <w:r>
        <w:rPr>
          <w:rFonts w:hint="eastAsia" w:ascii="宋体" w:hAnsi="宋体" w:eastAsia="宋体" w:cs="宋体"/>
          <w:b/>
          <w:bCs/>
          <w:szCs w:val="21"/>
        </w:rPr>
        <w:t>技术部分</w:t>
      </w:r>
      <w:r>
        <w:rPr>
          <w:rFonts w:hint="eastAsia" w:ascii="宋体" w:hAnsi="宋体" w:eastAsia="宋体" w:cs="宋体"/>
          <w:szCs w:val="21"/>
        </w:rPr>
        <w:t>主要包括的文件及资料，见</w:t>
      </w:r>
      <w:r>
        <w:rPr>
          <w:rFonts w:hint="eastAsia" w:ascii="宋体" w:hAnsi="宋体" w:eastAsia="宋体" w:cs="宋体"/>
          <w:b/>
          <w:szCs w:val="21"/>
        </w:rPr>
        <w:t>投标人须知前附表。</w:t>
      </w:r>
    </w:p>
    <w:p w14:paraId="29A97DC8">
      <w:pPr>
        <w:shd w:val="clear"/>
        <w:overflowPunct w:val="0"/>
        <w:autoSpaceDE w:val="0"/>
        <w:autoSpaceDN w:val="0"/>
        <w:adjustRightInd w:val="0"/>
        <w:snapToGrid w:val="0"/>
        <w:spacing w:line="360" w:lineRule="auto"/>
        <w:ind w:firstLine="426" w:firstLineChars="203"/>
        <w:rPr>
          <w:rFonts w:hint="eastAsia" w:ascii="宋体" w:hAnsi="宋体" w:eastAsia="宋体" w:cs="宋体"/>
          <w:szCs w:val="21"/>
        </w:rPr>
      </w:pPr>
      <w:r>
        <w:rPr>
          <w:rFonts w:hint="eastAsia" w:ascii="宋体" w:hAnsi="宋体" w:eastAsia="宋体" w:cs="宋体"/>
          <w:szCs w:val="21"/>
        </w:rPr>
        <w:t>8.4 证明资料如标明有效期的，必须在有效期内。</w:t>
      </w:r>
    </w:p>
    <w:p w14:paraId="4C175BAB">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9.报价要求</w:t>
      </w:r>
    </w:p>
    <w:p w14:paraId="3A059BC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9.1 除招标文件另有规定外，投标应以人民币报价，线上采购项目还须按照投标工具的流程和提示编制并上传投标报价表。</w:t>
      </w:r>
    </w:p>
    <w:p w14:paraId="1BC8613E">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9.2 本项目不接受任何形式的赠送、“零”报价和折扣报价。</w:t>
      </w:r>
    </w:p>
    <w:p w14:paraId="52E46DA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9.3 本项目以投标报价为依据计算价格分。投标报价应包括招标文件中要求投标人承担所有工作内容的全部费用。</w:t>
      </w:r>
    </w:p>
    <w:p w14:paraId="57F50D3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8AFDF1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9.5 最低报价不能作为中标的保证。</w:t>
      </w:r>
    </w:p>
    <w:p w14:paraId="512125EC">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10.投标文件的书写、密封、签署、盖章</w:t>
      </w:r>
    </w:p>
    <w:p w14:paraId="1DA1F43C">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10.1书写</w:t>
      </w:r>
    </w:p>
    <w:p w14:paraId="5F9B7E7D">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10.1.1投标文件应使用不能擦去的墨料或墨水打印、书写。</w:t>
      </w:r>
    </w:p>
    <w:p w14:paraId="46C90632">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10.1.2投标文件内容应没有涂改或行间插字。若有前述改动，在改动处应由单位负责人（投标人代表）签字确认或加盖投标人的单位公章或校正章。</w:t>
      </w:r>
    </w:p>
    <w:p w14:paraId="134DD057">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10.2密封</w:t>
      </w:r>
    </w:p>
    <w:p w14:paraId="61D5ADFE">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10.2.1投标文件应胶装或装订成册，避免材料散装、脱落。</w:t>
      </w:r>
    </w:p>
    <w:p w14:paraId="37F88ECA">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10.2.2投标文件应使用不透明的牛皮纸或档案袋等材料密封包装，并在外包装封面注明“正本”或“副本”，以及项目编号、项目名称、开标时间等信息，避免投标文件被误拆或提前拆封。投标文件正本应按上述要求制作。副本可按上述要求制作，也可用正本的完整复印件，并与正本保持一致（若不一致，以正本为准）</w:t>
      </w:r>
    </w:p>
    <w:p w14:paraId="23C2070A">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10.3签署、盖章</w:t>
      </w:r>
    </w:p>
    <w:p w14:paraId="6CB9930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10.3.1投标文件中要求签字处应由投标人的单位负责人（投标人代表）签字或加盖个人印章。</w:t>
      </w:r>
    </w:p>
    <w:p w14:paraId="6E633C25">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10.3.2投标文件必须按照招标文件给出文件格式的签署要求进行签署。</w:t>
      </w:r>
    </w:p>
    <w:p w14:paraId="72AB206E">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10.3.3投标人在</w:t>
      </w:r>
      <w:r>
        <w:rPr>
          <w:rFonts w:hint="eastAsia" w:ascii="宋体" w:hAnsi="宋体" w:eastAsia="宋体" w:cs="宋体"/>
          <w:b/>
          <w:bCs/>
          <w:szCs w:val="21"/>
        </w:rPr>
        <w:t>“投标函”“法定代表人授权委托书”</w:t>
      </w:r>
      <w:r>
        <w:rPr>
          <w:rFonts w:hint="eastAsia" w:ascii="宋体" w:hAnsi="宋体" w:eastAsia="宋体" w:cs="宋体"/>
          <w:szCs w:val="21"/>
        </w:rPr>
        <w:t>上应当按格式要求加盖与投标人名称全称一致的标准公章，并按照招标文件第五章投标文件格式中的相应格式文件要求签署全名或加盖名章。</w:t>
      </w:r>
    </w:p>
    <w:p w14:paraId="30AF195B">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10.3.4投标文件中的“盖章”指加盖投标人的“公章”，而非“合同专用章”、“投标专用章”等其他非公章。</w:t>
      </w:r>
    </w:p>
    <w:p w14:paraId="2B03096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10.3.5线上采购项目可以使用电子签章。</w:t>
      </w:r>
    </w:p>
    <w:p w14:paraId="4C17EC8D">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w:t>
      </w:r>
      <w:r>
        <w:rPr>
          <w:rFonts w:hint="eastAsia" w:ascii="宋体" w:hAnsi="宋体" w:eastAsia="宋体" w:cs="宋体"/>
          <w:szCs w:val="21"/>
        </w:rPr>
        <w:t>．</w:t>
      </w:r>
      <w:r>
        <w:rPr>
          <w:rFonts w:hint="eastAsia" w:ascii="宋体" w:hAnsi="宋体" w:eastAsia="宋体" w:cs="宋体"/>
          <w:b/>
          <w:szCs w:val="21"/>
        </w:rPr>
        <w:t>投标有效期</w:t>
      </w:r>
    </w:p>
    <w:p w14:paraId="206B8EC6">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11.1 投标有效期见</w:t>
      </w:r>
      <w:r>
        <w:rPr>
          <w:rFonts w:hint="eastAsia" w:ascii="宋体" w:hAnsi="宋体" w:eastAsia="宋体" w:cs="宋体"/>
          <w:b/>
          <w:szCs w:val="21"/>
        </w:rPr>
        <w:t>投标人须知前附表</w:t>
      </w:r>
      <w:r>
        <w:rPr>
          <w:rFonts w:hint="eastAsia" w:ascii="宋体" w:hAnsi="宋体" w:eastAsia="宋体" w:cs="宋体"/>
          <w:szCs w:val="21"/>
        </w:rPr>
        <w:t>，在此期间，投标文件对投标人具有法律约束力，以保证采购人或者采购代理机构有足够的时间完成评标、定标以及签订合同。投标文件中承诺的投标有效期应当不少于招标文件中载明的投标有效期，否则作为无效投标处理。</w:t>
      </w:r>
    </w:p>
    <w:p w14:paraId="3468226C">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11.2 特殊情况下，在原投标有效期期满之前，采购人或者采购代理机构可征得投标人同意延长投标有效期。</w:t>
      </w:r>
    </w:p>
    <w:p w14:paraId="5CD14809">
      <w:pPr>
        <w:shd w:val="clear"/>
        <w:spacing w:line="360" w:lineRule="auto"/>
        <w:ind w:firstLine="422" w:firstLineChars="200"/>
        <w:jc w:val="center"/>
        <w:outlineLvl w:val="1"/>
        <w:rPr>
          <w:rFonts w:hint="eastAsia" w:ascii="宋体" w:hAnsi="宋体" w:eastAsia="宋体" w:cs="宋体"/>
          <w:b/>
          <w:bCs/>
        </w:rPr>
      </w:pPr>
      <w:bookmarkStart w:id="7" w:name="_Toc11355"/>
      <w:r>
        <w:rPr>
          <w:rFonts w:hint="eastAsia" w:ascii="宋体" w:hAnsi="宋体" w:eastAsia="宋体" w:cs="宋体"/>
          <w:b/>
          <w:bCs/>
        </w:rPr>
        <w:t>四、投标文件递交</w:t>
      </w:r>
      <w:bookmarkEnd w:id="7"/>
    </w:p>
    <w:p w14:paraId="1A6B25B6">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12</w:t>
      </w:r>
      <w:r>
        <w:rPr>
          <w:rFonts w:hint="eastAsia" w:ascii="宋体" w:hAnsi="宋体" w:eastAsia="宋体" w:cs="宋体"/>
          <w:szCs w:val="21"/>
        </w:rPr>
        <w:t>．</w:t>
      </w:r>
      <w:r>
        <w:rPr>
          <w:rFonts w:hint="eastAsia" w:ascii="宋体" w:hAnsi="宋体" w:eastAsia="宋体" w:cs="宋体"/>
          <w:b/>
          <w:szCs w:val="21"/>
        </w:rPr>
        <w:t>投标文件递交</w:t>
      </w:r>
    </w:p>
    <w:p w14:paraId="2AC0BC5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12.1 投标人应当在</w:t>
      </w:r>
      <w:r>
        <w:rPr>
          <w:rFonts w:hint="eastAsia" w:ascii="宋体" w:hAnsi="宋体" w:eastAsia="宋体" w:cs="宋体"/>
          <w:b/>
          <w:szCs w:val="21"/>
        </w:rPr>
        <w:t>投标人须知前附表</w:t>
      </w:r>
      <w:r>
        <w:rPr>
          <w:rFonts w:hint="eastAsia" w:ascii="宋体" w:hAnsi="宋体" w:eastAsia="宋体" w:cs="宋体"/>
          <w:szCs w:val="21"/>
        </w:rPr>
        <w:t>要求提交投标文件截止时间前，根据《投标人须知前附表》载明方式提交投标文件。提交投标文件截止时间后，递交投标文件的投标将被拒绝。</w:t>
      </w:r>
    </w:p>
    <w:p w14:paraId="2A1D42B3">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12.2 线上采购项目应登录评审管理系统并使用投标工具加密上传投标文件。除上述方式之外，不接受投标人以纸质文件以及其他任何方式提交的投标文件。投标人应充分考虑网络传输时间等因素，合理安排上传时间。提交投标文件截止时间后，评审管理系统不提供投标文件上传功能。投标人未完成投标文件上传的，投标将被拒绝。</w:t>
      </w:r>
    </w:p>
    <w:p w14:paraId="4450E5EF">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13</w:t>
      </w:r>
      <w:r>
        <w:rPr>
          <w:rFonts w:hint="eastAsia" w:ascii="宋体" w:hAnsi="宋体" w:eastAsia="宋体" w:cs="宋体"/>
          <w:szCs w:val="21"/>
        </w:rPr>
        <w:t>．</w:t>
      </w:r>
      <w:r>
        <w:rPr>
          <w:rFonts w:hint="eastAsia" w:ascii="宋体" w:hAnsi="宋体" w:eastAsia="宋体" w:cs="宋体"/>
          <w:b/>
          <w:szCs w:val="21"/>
        </w:rPr>
        <w:t>投标文件补充、修改或撤回</w:t>
      </w:r>
    </w:p>
    <w:p w14:paraId="031C3919">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13.1 投标人在投标截止时间前，可以对所递交的投标文件进行补充、修改或者撤回，并书面通知采购人或者采购代理机构。补充、修改的内容应当按照招标文件要求签署、盖章、密封后，作为投标文件的组成部分。</w:t>
      </w:r>
    </w:p>
    <w:p w14:paraId="23427B6B">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13.2 线上采购项目，投标人在投标截止时间前，可以登录评审管理系统对所提交的投标文件进行撤回、补充、修改、重新提交。补充、修改的内容应当按照招标文件要求签署、盖章。</w:t>
      </w:r>
    </w:p>
    <w:p w14:paraId="7A7FC5DA">
      <w:pPr>
        <w:widowControl/>
        <w:shd w:val="clear"/>
        <w:topLinePunct/>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13.3 提交投标文件截止时间后，不支持对已提交的投标文件作任何补充、修改或者撤回。</w:t>
      </w:r>
    </w:p>
    <w:p w14:paraId="55E865E8">
      <w:pPr>
        <w:shd w:val="clear"/>
        <w:spacing w:line="360" w:lineRule="auto"/>
        <w:ind w:firstLine="422" w:firstLineChars="200"/>
        <w:jc w:val="center"/>
        <w:outlineLvl w:val="1"/>
        <w:rPr>
          <w:rFonts w:hint="eastAsia" w:ascii="宋体" w:hAnsi="宋体" w:eastAsia="宋体" w:cs="宋体"/>
          <w:b/>
          <w:bCs/>
        </w:rPr>
      </w:pPr>
      <w:bookmarkStart w:id="8" w:name="_Toc18159"/>
      <w:r>
        <w:rPr>
          <w:rFonts w:hint="eastAsia" w:ascii="宋体" w:hAnsi="宋体" w:eastAsia="宋体" w:cs="宋体"/>
          <w:b/>
          <w:bCs/>
        </w:rPr>
        <w:t>五、开标与评标</w:t>
      </w:r>
      <w:bookmarkEnd w:id="8"/>
    </w:p>
    <w:p w14:paraId="0D4BEE07">
      <w:pPr>
        <w:shd w:val="clear"/>
        <w:topLinePunct/>
        <w:autoSpaceDE w:val="0"/>
        <w:autoSpaceDN w:val="0"/>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14</w:t>
      </w:r>
      <w:r>
        <w:rPr>
          <w:rFonts w:hint="eastAsia" w:ascii="宋体" w:hAnsi="宋体" w:eastAsia="宋体" w:cs="宋体"/>
          <w:szCs w:val="21"/>
        </w:rPr>
        <w:t>．</w:t>
      </w:r>
      <w:r>
        <w:rPr>
          <w:rFonts w:hint="eastAsia" w:ascii="宋体" w:hAnsi="宋体" w:eastAsia="宋体" w:cs="宋体"/>
          <w:b/>
          <w:szCs w:val="21"/>
        </w:rPr>
        <w:t>开标</w:t>
      </w:r>
    </w:p>
    <w:p w14:paraId="2749D8B4">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14.1 开标在招标文件确定的提交投标文件截止时间的同一时间进行。开标地点详见</w:t>
      </w:r>
      <w:r>
        <w:rPr>
          <w:rFonts w:hint="eastAsia" w:ascii="宋体" w:hAnsi="宋体" w:eastAsia="宋体" w:cs="宋体"/>
          <w:b/>
          <w:szCs w:val="21"/>
        </w:rPr>
        <w:t>投标人须知前附表</w:t>
      </w:r>
      <w:r>
        <w:rPr>
          <w:rFonts w:hint="eastAsia" w:ascii="宋体" w:hAnsi="宋体" w:eastAsia="宋体" w:cs="宋体"/>
          <w:szCs w:val="21"/>
        </w:rPr>
        <w:t>。</w:t>
      </w:r>
    </w:p>
    <w:p w14:paraId="4CD8337D">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14.2 开标由采购人或者采购代理机构主持，邀请投标人参加。评标委员会成员不得参加开标活动。</w:t>
      </w:r>
    </w:p>
    <w:p w14:paraId="6A3342EA">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14.3 开标时，由投标人或者其推选的代表检查投标文件的密封情况；经确认无误后，由采购人或者采购代理机构工作人员当众拆封，宣布投标人名称、投标价格和招标文件规定的需要宣布的其他内容。</w:t>
      </w:r>
    </w:p>
    <w:p w14:paraId="008AE0D8">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14.4 开标过程由采购人或者采购代理机构负责记录，由参加开标的各投标人代表和相关工作人员签字确认后随采购文件一并存档。投标人未参加开标的，视同认可开标结果。</w:t>
      </w:r>
    </w:p>
    <w:p w14:paraId="0BB00113">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06EA743">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14.6 在政府采购活动中，采购人员及相关人员与投标人有下列利害关系之一的，应当回避：</w:t>
      </w:r>
    </w:p>
    <w:p w14:paraId="2639595B">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（1）参加采购活动前3年内与投标人存在劳动关系；</w:t>
      </w:r>
    </w:p>
    <w:p w14:paraId="4197074B">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（2）参加采购活动前3年内担任投标人的董事、监事；</w:t>
      </w:r>
    </w:p>
    <w:p w14:paraId="2894D945">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（3）参加采购活动前3年内是投标人的控股股东或者实际控制人；</w:t>
      </w:r>
    </w:p>
    <w:p w14:paraId="1C662DC2">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（4）与投标人的法定代表人或者负责人有夫妻、直系血亲、三代以内旁系血亲或者近姻亲关系；</w:t>
      </w:r>
    </w:p>
    <w:p w14:paraId="5B9CAB6F">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（5）与投标人有其他可能影响政府采购活动公平、公正进行的关系。</w:t>
      </w:r>
    </w:p>
    <w:p w14:paraId="56AC0D63">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投标人认为采购人员及相关人员（包括评标委员会的组成人员）与其他投标人有利害关系的，可以向采购人或者采购代理机构书面提出回避申请，并说明理由。采购人或者采购代理机构应当及时询问被申请回避人员，有利害关系的被申请回避人员应当回避。</w:t>
      </w:r>
    </w:p>
    <w:p w14:paraId="698B9A06">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14.7 对线上采购项目，采购人或者采购代理机构将在</w:t>
      </w:r>
      <w:r>
        <w:rPr>
          <w:rFonts w:hint="eastAsia" w:ascii="宋体" w:hAnsi="宋体" w:eastAsia="宋体" w:cs="宋体"/>
          <w:b/>
          <w:szCs w:val="21"/>
        </w:rPr>
        <w:t>投标人须知前附表</w:t>
      </w:r>
      <w:r>
        <w:rPr>
          <w:rFonts w:hint="eastAsia" w:ascii="宋体" w:hAnsi="宋体" w:eastAsia="宋体" w:cs="宋体"/>
          <w:szCs w:val="21"/>
        </w:rPr>
        <w:t>规定的时间进行电子开标，采购人或者采购代理机构将对开标、评标现场活动进行全程录音录像，音像资料作为采购文件一并存档。开标由采购人或者采购代理机构主持，投标人通过登录评审管理系统进入开标大厅远程参加。</w:t>
      </w:r>
    </w:p>
    <w:p w14:paraId="7CC00BD2">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15</w:t>
      </w:r>
      <w:r>
        <w:rPr>
          <w:rFonts w:hint="eastAsia" w:ascii="宋体" w:hAnsi="宋体" w:eastAsia="宋体" w:cs="宋体"/>
          <w:szCs w:val="21"/>
        </w:rPr>
        <w:t>．</w:t>
      </w:r>
      <w:r>
        <w:rPr>
          <w:rFonts w:hint="eastAsia" w:ascii="宋体" w:hAnsi="宋体" w:eastAsia="宋体" w:cs="宋体"/>
          <w:b/>
          <w:szCs w:val="21"/>
        </w:rPr>
        <w:t>投标资格审查</w:t>
      </w:r>
    </w:p>
    <w:p w14:paraId="40973EF6">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15.1 公开招标采购项目开标结束后，由采购人或者采购代理机构依法对投标人的资格进行审查，以确定投标人是否具备投标资格。</w:t>
      </w:r>
    </w:p>
    <w:p w14:paraId="1800FBD3">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15.1.1 审查投标人按照8.2.1提交的</w:t>
      </w:r>
      <w:r>
        <w:rPr>
          <w:rFonts w:hint="eastAsia" w:ascii="宋体" w:hAnsi="宋体" w:eastAsia="宋体" w:cs="宋体"/>
          <w:b/>
          <w:szCs w:val="21"/>
        </w:rPr>
        <w:t>“资格证明文件”</w:t>
      </w:r>
      <w:r>
        <w:rPr>
          <w:rFonts w:hint="eastAsia" w:ascii="宋体" w:hAnsi="宋体" w:eastAsia="宋体" w:cs="宋体"/>
          <w:szCs w:val="21"/>
        </w:rPr>
        <w:t>。</w:t>
      </w:r>
    </w:p>
    <w:p w14:paraId="6A0F24D4">
      <w:pPr>
        <w:shd w:val="clear"/>
        <w:topLinePunct/>
        <w:autoSpaceDE w:val="0"/>
        <w:autoSpaceDN w:val="0"/>
        <w:adjustRightInd w:val="0"/>
        <w:snapToGrid w:val="0"/>
        <w:spacing w:line="360" w:lineRule="auto"/>
        <w:ind w:firstLine="420" w:firstLineChars="200"/>
        <w:rPr>
          <w:rFonts w:hint="eastAsia" w:ascii="宋体" w:hAnsi="宋体" w:eastAsia="宋体" w:cs="宋体"/>
          <w:b/>
          <w:bCs/>
          <w:szCs w:val="21"/>
        </w:rPr>
      </w:pPr>
      <w:r>
        <w:rPr>
          <w:rFonts w:hint="eastAsia" w:ascii="宋体" w:hAnsi="宋体" w:eastAsia="宋体" w:cs="宋体"/>
          <w:szCs w:val="21"/>
        </w:rPr>
        <w:t>15.1.2 信用记录审查。</w:t>
      </w:r>
      <w:r>
        <w:rPr>
          <w:rFonts w:hint="eastAsia" w:ascii="宋体" w:hAnsi="宋体" w:eastAsia="宋体" w:cs="宋体"/>
          <w:b/>
          <w:bCs/>
          <w:szCs w:val="21"/>
        </w:rPr>
        <w:t>见投标人须知前附表。</w:t>
      </w:r>
    </w:p>
    <w:p w14:paraId="7A4929DC">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15.2 未通过资格审查的投标人，其投标无效。</w:t>
      </w:r>
    </w:p>
    <w:p w14:paraId="7E380D40">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15.3 合格投标人不足3家的，不得评标。</w:t>
      </w:r>
    </w:p>
    <w:p w14:paraId="3A2E2654">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16</w:t>
      </w:r>
      <w:r>
        <w:rPr>
          <w:rFonts w:hint="eastAsia" w:ascii="宋体" w:hAnsi="宋体" w:eastAsia="宋体" w:cs="宋体"/>
          <w:szCs w:val="21"/>
        </w:rPr>
        <w:t>．</w:t>
      </w:r>
      <w:r>
        <w:rPr>
          <w:rFonts w:hint="eastAsia" w:ascii="宋体" w:hAnsi="宋体" w:eastAsia="宋体" w:cs="宋体"/>
          <w:b/>
          <w:szCs w:val="21"/>
        </w:rPr>
        <w:t>评标委员会的组成</w:t>
      </w:r>
    </w:p>
    <w:p w14:paraId="29468EC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16.1 采购人或者采购代理机构根据有关法律法规规定组建评标委员会，评标委员会由采购人代表和评审专家组成。</w:t>
      </w:r>
    </w:p>
    <w:p w14:paraId="29071CF4">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17</w:t>
      </w:r>
      <w:r>
        <w:rPr>
          <w:rFonts w:hint="eastAsia" w:ascii="宋体" w:hAnsi="宋体" w:eastAsia="宋体" w:cs="宋体"/>
          <w:szCs w:val="21"/>
        </w:rPr>
        <w:t>．</w:t>
      </w:r>
      <w:r>
        <w:rPr>
          <w:rFonts w:hint="eastAsia" w:ascii="宋体" w:hAnsi="宋体" w:eastAsia="宋体" w:cs="宋体"/>
          <w:b/>
          <w:szCs w:val="21"/>
        </w:rPr>
        <w:t>投标符合性审查</w:t>
      </w:r>
    </w:p>
    <w:p w14:paraId="26724AA2">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17.1 评标委员会对符合资格的投标人的投标文件进行符合性审查，以确定其是否符合招标文件的商务、技术等实质性要求。</w:t>
      </w:r>
    </w:p>
    <w:p w14:paraId="0C325A03">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17.2 未通过符合性审查的投标人，其投标无效。</w:t>
      </w:r>
    </w:p>
    <w:p w14:paraId="6AD2675C">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17.3 通过符合性审查的投标人不足3家的，应予以废标。</w:t>
      </w:r>
    </w:p>
    <w:p w14:paraId="55E63142">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18</w:t>
      </w:r>
      <w:r>
        <w:rPr>
          <w:rFonts w:hint="eastAsia" w:ascii="宋体" w:hAnsi="宋体" w:eastAsia="宋体" w:cs="宋体"/>
          <w:szCs w:val="21"/>
        </w:rPr>
        <w:t>．</w:t>
      </w:r>
      <w:r>
        <w:rPr>
          <w:rFonts w:hint="eastAsia" w:ascii="宋体" w:hAnsi="宋体" w:eastAsia="宋体" w:cs="宋体"/>
          <w:b/>
          <w:szCs w:val="21"/>
        </w:rPr>
        <w:t>投标文件的澄清</w:t>
      </w:r>
    </w:p>
    <w:p w14:paraId="7F4FDD47">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18.1对于投标文件中含义不明确、同类问题表述不一致或者有明显文字和计算错误的内容，评标委员会应当以书面形式要求投标人作出必要的澄清、说明或者补正。</w:t>
      </w:r>
    </w:p>
    <w:p w14:paraId="7C354E86">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18.2投标人的澄清、说明或者补正应当采用书面形式，并加盖公章，或者由法定代表人或其授权的代表签字。（线上采购项目的通过评审管理系统上传加盖电子公章的扫描件）。投标人的澄清、说明或者补正不得超出投标文件的范围或者改变投标文件的实质性内容。</w:t>
      </w:r>
    </w:p>
    <w:p w14:paraId="18428CAE">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18.3关于投标描述（即投标文件中描述的内容）</w:t>
      </w:r>
    </w:p>
    <w:p w14:paraId="69C9B5D9">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（1）投标描述前后不一致且不涉及证明材料的：按照本节第18.1条规定执行。</w:t>
      </w:r>
    </w:p>
    <w:p w14:paraId="6DD14396">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（2）投标描述与证明材料不一致或多份证明材料之间不一致的：</w:t>
      </w:r>
    </w:p>
    <w:p w14:paraId="3D1AEDB7">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①评标委员会将要求投标人进行书面澄清，无法澄清的将按照不利于投标人的内容进行评标。</w:t>
      </w:r>
    </w:p>
    <w:p w14:paraId="3EAB89B9">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②投标人按照要求进行澄清的，采购人以澄清内容为准进行验收；投标人未按照要求进行澄清的，采购人以投标描述或证明材料中有利于采购人的内容进行验收。投标人应对证明材料的真实性、有效性承担责任。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0CC4BF8">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C3E041B">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18.4 除评标委员会要求投标人做出的澄清、说明或者补正以外，评标委员会不接受投标人的任何询问、说明、更改及文件。</w:t>
      </w:r>
    </w:p>
    <w:p w14:paraId="031AA732">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18.5 投标人的澄清必须在规定的时间内提交。</w:t>
      </w:r>
    </w:p>
    <w:p w14:paraId="3C5147B5">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19</w:t>
      </w:r>
      <w:r>
        <w:rPr>
          <w:rFonts w:hint="eastAsia" w:ascii="宋体" w:hAnsi="宋体" w:eastAsia="宋体" w:cs="宋体"/>
          <w:szCs w:val="21"/>
        </w:rPr>
        <w:t>．</w:t>
      </w:r>
      <w:r>
        <w:rPr>
          <w:rFonts w:hint="eastAsia" w:ascii="宋体" w:hAnsi="宋体" w:eastAsia="宋体" w:cs="宋体"/>
          <w:b/>
          <w:szCs w:val="21"/>
        </w:rPr>
        <w:t>核价原则</w:t>
      </w:r>
    </w:p>
    <w:p w14:paraId="1817E30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 xml:space="preserve">19.1 </w:t>
      </w:r>
      <w:r>
        <w:rPr>
          <w:rFonts w:hint="eastAsia" w:ascii="宋体" w:hAnsi="宋体" w:eastAsia="宋体" w:cs="宋体"/>
          <w:szCs w:val="21"/>
        </w:rPr>
        <w:t>投标文件报价出现前后不一致的，除招标文件另有规定外，按照下列规定修正：</w:t>
      </w:r>
    </w:p>
    <w:p w14:paraId="34A6BA3C">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（1）投标文件中开标一览表（总报价表）内容与投标文件中相应内容不一致的，以开标一览表（总报价表）为准；</w:t>
      </w:r>
    </w:p>
    <w:p w14:paraId="35D3790C">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（2）大写金额和小写金额不一致的，以大写金额为准；</w:t>
      </w:r>
    </w:p>
    <w:p w14:paraId="35113A9F">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（3）单价金额小数点或者百分比有明显错位的，以开标一览表的总价为准，并修改单价；</w:t>
      </w:r>
    </w:p>
    <w:p w14:paraId="72B5251A">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496AE0D0">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（5）同时出现两种以上不一致的，按照前款规定的顺序修正。修正后的报价按照18.2条的规定经投标人确认后产生约束力，投标人不确认的，其投标无效。</w:t>
      </w:r>
    </w:p>
    <w:p w14:paraId="3A96D503">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20</w:t>
      </w:r>
      <w:r>
        <w:rPr>
          <w:rFonts w:hint="eastAsia" w:ascii="宋体" w:hAnsi="宋体" w:eastAsia="宋体" w:cs="宋体"/>
          <w:szCs w:val="21"/>
        </w:rPr>
        <w:t>．</w:t>
      </w:r>
      <w:r>
        <w:rPr>
          <w:rFonts w:hint="eastAsia" w:ascii="宋体" w:hAnsi="宋体" w:eastAsia="宋体" w:cs="宋体"/>
          <w:b/>
          <w:szCs w:val="21"/>
        </w:rPr>
        <w:t>投标无效</w:t>
      </w:r>
    </w:p>
    <w:p w14:paraId="47E0C14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20.1 投标人及投标文件有下列情况之一的，应当在资格审查时按照投标无效处理：</w:t>
      </w:r>
    </w:p>
    <w:p w14:paraId="5A86918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不具备招标文件中规定的资格要求的；</w:t>
      </w:r>
    </w:p>
    <w:p w14:paraId="558D62DF">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投标文件组成中“资格证明文件”未提供或无效的；</w:t>
      </w:r>
    </w:p>
    <w:p w14:paraId="02697679">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 未通过信用记录审查或未提供相关证明材料的。</w:t>
      </w:r>
    </w:p>
    <w:p w14:paraId="4AC08BE6">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20.2 投标人及投标文件有下列情况之一的，应当在符合性审查时按照投标无效处理：</w:t>
      </w:r>
    </w:p>
    <w:p w14:paraId="75EB7D5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投标文件组成中除“资格证明文件”外，★条款相关文件及资料未提供或提供无效的；</w:t>
      </w:r>
    </w:p>
    <w:p w14:paraId="3415D36B">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投标文件未按招标文件要求签署、盖章的；</w:t>
      </w:r>
    </w:p>
    <w:p w14:paraId="663D5BA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 投标报价超过招标文件中规定的预算金额或者最高限价的；</w:t>
      </w:r>
    </w:p>
    <w:p w14:paraId="2018913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 投标有效期不足的；</w:t>
      </w:r>
    </w:p>
    <w:p w14:paraId="2A79C84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 投标文件含有采购人不能接受的附加条件的；</w:t>
      </w:r>
    </w:p>
    <w:p w14:paraId="6C01D4C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20.3 除20.1及20.2情形外，投标人及投标文件有下列情况之一的，应当按照投标无效处理：</w:t>
      </w:r>
    </w:p>
    <w:p w14:paraId="3B4E952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提供虚假投标文件材料的；</w:t>
      </w:r>
    </w:p>
    <w:p w14:paraId="186DC5D0">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投标人串通投标的；</w:t>
      </w:r>
    </w:p>
    <w:p w14:paraId="6929418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 投标报价明显低于其他通过符合性审查投标人的报价，且不能证明其报价合理性的。</w:t>
      </w:r>
    </w:p>
    <w:p w14:paraId="1FB1133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 法律、法规和招标文件规定的其他无效情形。</w:t>
      </w:r>
    </w:p>
    <w:p w14:paraId="087FCE54">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21</w:t>
      </w:r>
      <w:r>
        <w:rPr>
          <w:rFonts w:hint="eastAsia" w:ascii="宋体" w:hAnsi="宋体" w:eastAsia="宋体" w:cs="宋体"/>
          <w:szCs w:val="21"/>
        </w:rPr>
        <w:t>．</w:t>
      </w:r>
      <w:r>
        <w:rPr>
          <w:rFonts w:hint="eastAsia" w:ascii="宋体" w:hAnsi="宋体" w:eastAsia="宋体" w:cs="宋体"/>
          <w:b/>
          <w:szCs w:val="21"/>
        </w:rPr>
        <w:t>比较与评价</w:t>
      </w:r>
    </w:p>
    <w:p w14:paraId="7B97130E">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21.1 评标委员会按照招标文件中规定的评标方法和标准，对符合性审查合格的投标文件进行商务和技术评估，综合比较与评价。</w:t>
      </w:r>
    </w:p>
    <w:p w14:paraId="67A42BE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21.2 价格分应当采用低价优先法计算。小型、微型企业和监狱企业、残疾人福利性单位的投标报价按照</w:t>
      </w:r>
      <w:r>
        <w:rPr>
          <w:rFonts w:hint="eastAsia" w:ascii="宋体" w:hAnsi="宋体" w:eastAsia="宋体" w:cs="宋体"/>
          <w:b/>
          <w:szCs w:val="21"/>
        </w:rPr>
        <w:t>投标人须知前附表</w:t>
      </w:r>
      <w:r>
        <w:rPr>
          <w:rFonts w:hint="eastAsia" w:ascii="宋体" w:hAnsi="宋体" w:eastAsia="宋体" w:cs="宋体"/>
          <w:szCs w:val="21"/>
        </w:rPr>
        <w:t>规定，分别给予扣除，并以扣除后的报价计算价格分。未提供《中小型企业声明函》、《监狱企业证明文件》、《残疾人福利性单位声明函》的，价格不予扣除。同一投标人不得重复享受价格扣除政策。</w:t>
      </w:r>
    </w:p>
    <w:p w14:paraId="3D6378D2">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21.3 评标委员会各成员独立对每个投标人的投标文件进行评价，并汇总得出每个投标人的评审得分。</w:t>
      </w:r>
    </w:p>
    <w:p w14:paraId="40C5AAA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21.4 评标结果按评审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F136871">
      <w:pPr>
        <w:shd w:val="clear"/>
        <w:topLinePunct/>
        <w:autoSpaceDE w:val="0"/>
        <w:autoSpaceDN w:val="0"/>
        <w:adjustRightInd w:val="0"/>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21.5 评标方法及标准</w:t>
      </w:r>
      <w:r>
        <w:rPr>
          <w:rFonts w:hint="eastAsia" w:ascii="宋体" w:hAnsi="宋体" w:eastAsia="宋体" w:cs="宋体"/>
          <w:b/>
          <w:szCs w:val="21"/>
        </w:rPr>
        <w:t>详见招标文件商务部分第三章。</w:t>
      </w:r>
    </w:p>
    <w:p w14:paraId="65CA2174">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21.6 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p w14:paraId="35240687">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22</w:t>
      </w:r>
      <w:r>
        <w:rPr>
          <w:rFonts w:hint="eastAsia" w:ascii="宋体" w:hAnsi="宋体" w:eastAsia="宋体" w:cs="宋体"/>
          <w:szCs w:val="21"/>
        </w:rPr>
        <w:t>．</w:t>
      </w:r>
      <w:r>
        <w:rPr>
          <w:rFonts w:hint="eastAsia" w:ascii="宋体" w:hAnsi="宋体" w:eastAsia="宋体" w:cs="宋体"/>
          <w:b/>
          <w:szCs w:val="21"/>
        </w:rPr>
        <w:t>废标</w:t>
      </w:r>
    </w:p>
    <w:p w14:paraId="44C9161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22.1 在招标采购中，出现下列情形之一的，应予废标：</w:t>
      </w:r>
    </w:p>
    <w:p w14:paraId="2CC7BCE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（1）符合专业条件的供应商或者对招标文件作实质响应的供应商不足三家的；</w:t>
      </w:r>
    </w:p>
    <w:p w14:paraId="3EFD153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（2）出现影响采购公正的违法、违规行为的；</w:t>
      </w:r>
    </w:p>
    <w:p w14:paraId="36F4DD82">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（3）投标人的报价均超过了采购预算，采购人不能支付的；</w:t>
      </w:r>
    </w:p>
    <w:p w14:paraId="380154A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（4）因重大变故，采购任务取消的。</w:t>
      </w:r>
    </w:p>
    <w:p w14:paraId="7F8F257D">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22.2 废标后，采购人或者采购代理机构将废标理由通知所有投标人。</w:t>
      </w:r>
    </w:p>
    <w:p w14:paraId="20C69F1B">
      <w:pPr>
        <w:shd w:val="clear"/>
        <w:spacing w:line="360" w:lineRule="auto"/>
        <w:ind w:firstLine="422" w:firstLineChars="200"/>
        <w:jc w:val="center"/>
        <w:outlineLvl w:val="1"/>
        <w:rPr>
          <w:rFonts w:hint="eastAsia" w:ascii="宋体" w:hAnsi="宋体" w:eastAsia="宋体" w:cs="宋体"/>
          <w:b/>
          <w:bCs/>
        </w:rPr>
      </w:pPr>
      <w:bookmarkStart w:id="9" w:name="_Toc11341"/>
      <w:r>
        <w:rPr>
          <w:rFonts w:hint="eastAsia" w:ascii="宋体" w:hAnsi="宋体" w:eastAsia="宋体" w:cs="宋体"/>
          <w:b/>
          <w:bCs/>
        </w:rPr>
        <w:t>六、中标和合同</w:t>
      </w:r>
      <w:bookmarkEnd w:id="9"/>
    </w:p>
    <w:p w14:paraId="42BB39B4">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23</w:t>
      </w:r>
      <w:r>
        <w:rPr>
          <w:rFonts w:hint="eastAsia" w:ascii="宋体" w:hAnsi="宋体" w:eastAsia="宋体" w:cs="宋体"/>
          <w:szCs w:val="21"/>
        </w:rPr>
        <w:t>．</w:t>
      </w:r>
      <w:r>
        <w:rPr>
          <w:rFonts w:hint="eastAsia" w:ascii="宋体" w:hAnsi="宋体" w:eastAsia="宋体" w:cs="宋体"/>
          <w:b/>
          <w:szCs w:val="21"/>
        </w:rPr>
        <w:t>中标</w:t>
      </w:r>
    </w:p>
    <w:p w14:paraId="52EA8B3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23.1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D69BFA6">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采购人自行组织招标的，采购人应当在评标结束后5个工作日内，按评标报告推荐的中标候选人顺序确定中标人。</w:t>
      </w:r>
    </w:p>
    <w:p w14:paraId="3A34B3A6">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23.2 采购人或者采购代理机构应当自中标人确定之日起2个工作日内，在</w:t>
      </w:r>
      <w:r>
        <w:rPr>
          <w:rFonts w:hint="eastAsia" w:ascii="宋体" w:hAnsi="宋体" w:eastAsia="宋体" w:cs="宋体"/>
          <w:b/>
          <w:szCs w:val="21"/>
        </w:rPr>
        <w:t>投标人须知前附表</w:t>
      </w:r>
      <w:r>
        <w:rPr>
          <w:rFonts w:hint="eastAsia" w:ascii="宋体" w:hAnsi="宋体" w:eastAsia="宋体" w:cs="宋体"/>
          <w:szCs w:val="21"/>
        </w:rPr>
        <w:t>规定的媒体上公告中标结果，招标文件应随中标结果同时公告。中标公告期限为1个工作日。</w:t>
      </w:r>
    </w:p>
    <w:p w14:paraId="0B952E74">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23.3 在公告中标结果的同时，采购人或者采购代理机构应当向中标人发出中标通知书（对线上采购项目，通过评审管理系统发出中标通知书）；对未通过资格审查的投标人，告知其未通过的原因；采用综合评分法评审的，同时告知未中标人本人的评审得分与排序。</w:t>
      </w:r>
    </w:p>
    <w:p w14:paraId="7C083F8F">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23.4 中标通知书发出后，采购人或者采购代理机构不得违法改变中标结果，中标人无正当理由不得放弃中标。</w:t>
      </w:r>
    </w:p>
    <w:p w14:paraId="1B1297A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23.5 中标通知书对采购人和中标人具有同等法律效力。</w:t>
      </w:r>
    </w:p>
    <w:p w14:paraId="065DC7AC">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24</w:t>
      </w:r>
      <w:r>
        <w:rPr>
          <w:rFonts w:hint="eastAsia" w:ascii="宋体" w:hAnsi="宋体" w:eastAsia="宋体" w:cs="宋体"/>
          <w:szCs w:val="21"/>
        </w:rPr>
        <w:t>．</w:t>
      </w:r>
      <w:r>
        <w:rPr>
          <w:rFonts w:hint="eastAsia" w:ascii="宋体" w:hAnsi="宋体" w:eastAsia="宋体" w:cs="宋体"/>
          <w:b/>
          <w:szCs w:val="21"/>
        </w:rPr>
        <w:t>签订合同</w:t>
      </w:r>
    </w:p>
    <w:p w14:paraId="01BAF9F7">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24.1 采购人应当自中标通知书发出之日起30日内，按照招标文件和中标人投标文件的规定，与中标人签订合同。若为</w:t>
      </w:r>
      <w:r>
        <w:rPr>
          <w:rFonts w:hint="eastAsia" w:ascii="宋体" w:hAnsi="宋体" w:eastAsia="宋体" w:cs="宋体"/>
          <w:szCs w:val="21"/>
          <w:u w:val="single"/>
        </w:rPr>
        <w:t>线上采购项目可通过评审管理系统签订合同</w:t>
      </w:r>
      <w:r>
        <w:rPr>
          <w:rFonts w:hint="eastAsia" w:ascii="宋体" w:hAnsi="宋体" w:eastAsia="宋体" w:cs="宋体"/>
          <w:szCs w:val="21"/>
        </w:rPr>
        <w:t>。</w:t>
      </w:r>
    </w:p>
    <w:p w14:paraId="2ED86AF7">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24.2 所签订的合同不得对招标文件确定的事项和中标人投标文件作实质性修改。</w:t>
      </w:r>
    </w:p>
    <w:p w14:paraId="7414C9CF">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24.3 采购人不得向中标人提出任何不合理的要求作为签订合同的条件。</w:t>
      </w:r>
    </w:p>
    <w:p w14:paraId="363C50C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24.4 中标人拒绝与采购人签订合同的，采购人可以按照评审报告推荐的中标候选人名单排序，确定下一候选人为中标人，也可以重新开展政府采购活动。</w:t>
      </w:r>
    </w:p>
    <w:p w14:paraId="7A5A6A27">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25</w:t>
      </w:r>
      <w:r>
        <w:rPr>
          <w:rFonts w:hint="eastAsia" w:ascii="宋体" w:hAnsi="宋体" w:eastAsia="宋体" w:cs="宋体"/>
          <w:szCs w:val="21"/>
        </w:rPr>
        <w:t>．</w:t>
      </w:r>
      <w:r>
        <w:rPr>
          <w:rFonts w:hint="eastAsia" w:ascii="宋体" w:hAnsi="宋体" w:eastAsia="宋体" w:cs="宋体"/>
          <w:b/>
          <w:szCs w:val="21"/>
        </w:rPr>
        <w:t>履约保证金</w:t>
      </w:r>
    </w:p>
    <w:p w14:paraId="685BB310">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25.1 需提交履约保证金的项目，中标人应在合同签订之日起30日内，按照</w:t>
      </w:r>
      <w:r>
        <w:rPr>
          <w:rFonts w:hint="eastAsia" w:ascii="宋体" w:hAnsi="宋体" w:eastAsia="宋体" w:cs="宋体"/>
          <w:b/>
          <w:szCs w:val="21"/>
        </w:rPr>
        <w:t>投标人须知前附表</w:t>
      </w:r>
      <w:r>
        <w:rPr>
          <w:rFonts w:hint="eastAsia" w:ascii="宋体" w:hAnsi="宋体" w:eastAsia="宋体" w:cs="宋体"/>
          <w:szCs w:val="21"/>
        </w:rPr>
        <w:t>的规定，向采购人提交履约保证金。</w:t>
      </w:r>
    </w:p>
    <w:p w14:paraId="4F1C29AB">
      <w:pPr>
        <w:shd w:val="clear"/>
        <w:spacing w:line="360" w:lineRule="auto"/>
        <w:ind w:firstLine="422" w:firstLineChars="200"/>
        <w:jc w:val="center"/>
        <w:outlineLvl w:val="1"/>
        <w:rPr>
          <w:rFonts w:hint="eastAsia" w:ascii="宋体" w:hAnsi="宋体" w:eastAsia="宋体" w:cs="宋体"/>
          <w:b/>
          <w:bCs/>
        </w:rPr>
      </w:pPr>
      <w:bookmarkStart w:id="10" w:name="_Toc28369"/>
      <w:r>
        <w:rPr>
          <w:rFonts w:hint="eastAsia" w:ascii="宋体" w:hAnsi="宋体" w:eastAsia="宋体" w:cs="宋体"/>
          <w:b/>
          <w:bCs/>
        </w:rPr>
        <w:t>七、询问和质疑</w:t>
      </w:r>
      <w:bookmarkEnd w:id="10"/>
    </w:p>
    <w:p w14:paraId="055AB56D">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26. 询问</w:t>
      </w:r>
    </w:p>
    <w:p w14:paraId="686CFD50">
      <w:pPr>
        <w:shd w:val="clear"/>
        <w:topLinePunct/>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26.1潜在投标人、投标人对政府采购活动事项有疑问的，可以向采购人或者采购代理机构提出询问，采购人或者采购代理机构应当在3个工作日内对依法提出的询问作出答复，但答复的内容不得涉及商业秘密。</w:t>
      </w:r>
    </w:p>
    <w:p w14:paraId="497364F1">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27</w:t>
      </w:r>
      <w:r>
        <w:rPr>
          <w:rFonts w:hint="eastAsia" w:ascii="宋体" w:hAnsi="宋体" w:eastAsia="宋体" w:cs="宋体"/>
          <w:szCs w:val="21"/>
        </w:rPr>
        <w:t>．</w:t>
      </w:r>
      <w:r>
        <w:rPr>
          <w:rFonts w:hint="eastAsia" w:ascii="宋体" w:hAnsi="宋体" w:eastAsia="宋体" w:cs="宋体"/>
          <w:b/>
          <w:szCs w:val="21"/>
        </w:rPr>
        <w:t>质疑</w:t>
      </w:r>
    </w:p>
    <w:p w14:paraId="1463F83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27.1潜在投标人、投标人（统称质疑人）认为招标文件、招标过程和中标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eastAsia" w:ascii="宋体" w:hAnsi="宋体" w:eastAsia="宋体" w:cs="宋体"/>
          <w:b/>
          <w:bCs/>
          <w:szCs w:val="21"/>
        </w:rPr>
        <w:t>见</w:t>
      </w:r>
      <w:r>
        <w:rPr>
          <w:rFonts w:hint="eastAsia" w:ascii="宋体" w:hAnsi="宋体" w:eastAsia="宋体" w:cs="宋体"/>
          <w:b/>
          <w:szCs w:val="21"/>
        </w:rPr>
        <w:t>投标人须知前附表</w:t>
      </w:r>
      <w:r>
        <w:rPr>
          <w:rFonts w:hint="eastAsia" w:ascii="宋体" w:hAnsi="宋体" w:eastAsia="宋体" w:cs="宋体"/>
          <w:szCs w:val="21"/>
        </w:rPr>
        <w:t>。</w:t>
      </w:r>
    </w:p>
    <w:p w14:paraId="161300E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27.2在法定质疑期内，针对同一采购程序环节的质疑应一次性提出。</w:t>
      </w:r>
    </w:p>
    <w:p w14:paraId="4AE948E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27.3质疑人应知其权益受到损害之日，是指： </w:t>
      </w:r>
    </w:p>
    <w:p w14:paraId="3CBCE19E">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（1）对可以质疑的采购文件提出质疑的，为收到采购文件之日或者采购文件公告期限届满之日；</w:t>
      </w:r>
    </w:p>
    <w:p w14:paraId="5F82169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（2）对采购过程提出质疑的，为各采购程序环节结束之日；</w:t>
      </w:r>
    </w:p>
    <w:p w14:paraId="4BD222D3">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（3）对中标结果提出质疑的，为中标结果公告期限届满之日。</w:t>
      </w:r>
    </w:p>
    <w:p w14:paraId="6FBA3274">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27.4质疑应当有明确的请求和必要的证明材料。供应商为自然人的，应当由本人签字；供应商为法人或者其他组织的，应当由法定代表人、主要负责人，或者其授权代表签字或者签章，并加盖公章。</w:t>
      </w:r>
    </w:p>
    <w:p w14:paraId="501006C1">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27.5 采购人或者代理机构应当在收到供应商的质疑函后7个工作日内，对质疑内容作出答复，</w:t>
      </w:r>
      <w:r>
        <w:rPr>
          <w:rFonts w:hint="eastAsia" w:ascii="宋体" w:hAnsi="宋体" w:eastAsia="宋体" w:cs="宋体"/>
          <w:bCs/>
          <w:szCs w:val="21"/>
        </w:rPr>
        <w:t>书面形式</w:t>
      </w:r>
      <w:r>
        <w:rPr>
          <w:rFonts w:hint="eastAsia" w:ascii="宋体" w:hAnsi="宋体" w:eastAsia="宋体" w:cs="宋体"/>
          <w:szCs w:val="21"/>
        </w:rPr>
        <w:t>通知质疑供应商和其他有关供应商，但答复内容不得涉及商业秘密。</w:t>
      </w:r>
    </w:p>
    <w:p w14:paraId="6FFCE812">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27.6质疑人对采购人、采购代理机构的答复不满意或者采购人、采购代理机构未在规定的时间内作出答复的，可以在答复期满后15个工作日内向同级人民政府财政部门投诉。</w:t>
      </w:r>
    </w:p>
    <w:p w14:paraId="3ACCEFBE">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27.7投诉应当有明确的请求和必要的证明材料。投诉的事项不得超出已质疑事项的范围。</w:t>
      </w:r>
    </w:p>
    <w:p w14:paraId="4B382588">
      <w:pPr>
        <w:shd w:val="clear"/>
        <w:spacing w:line="360" w:lineRule="auto"/>
        <w:ind w:firstLine="422" w:firstLineChars="200"/>
        <w:jc w:val="center"/>
        <w:outlineLvl w:val="1"/>
        <w:rPr>
          <w:rFonts w:hint="eastAsia" w:ascii="宋体" w:hAnsi="宋体" w:eastAsia="宋体" w:cs="宋体"/>
          <w:b/>
          <w:bCs/>
        </w:rPr>
      </w:pPr>
      <w:bookmarkStart w:id="11" w:name="_Toc22942"/>
      <w:r>
        <w:rPr>
          <w:rFonts w:hint="eastAsia" w:ascii="宋体" w:hAnsi="宋体" w:eastAsia="宋体" w:cs="宋体"/>
          <w:b/>
          <w:bCs/>
        </w:rPr>
        <w:t>八、其他</w:t>
      </w:r>
      <w:bookmarkEnd w:id="11"/>
    </w:p>
    <w:p w14:paraId="5E946886">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bookmarkStart w:id="12" w:name="_Toc233181902"/>
      <w:bookmarkStart w:id="13" w:name="_Toc319519285"/>
      <w:bookmarkStart w:id="14" w:name="_Toc217989361"/>
      <w:bookmarkStart w:id="15" w:name="_Toc262111390"/>
      <w:r>
        <w:rPr>
          <w:rFonts w:hint="eastAsia" w:ascii="宋体" w:hAnsi="宋体" w:eastAsia="宋体" w:cs="宋体"/>
          <w:b/>
          <w:szCs w:val="21"/>
        </w:rPr>
        <w:t>28</w:t>
      </w:r>
      <w:r>
        <w:rPr>
          <w:rFonts w:hint="eastAsia" w:ascii="宋体" w:hAnsi="宋体" w:eastAsia="宋体" w:cs="宋体"/>
          <w:szCs w:val="21"/>
        </w:rPr>
        <w:t>．</w:t>
      </w:r>
      <w:r>
        <w:rPr>
          <w:rFonts w:hint="eastAsia" w:ascii="宋体" w:hAnsi="宋体" w:eastAsia="宋体" w:cs="宋体"/>
          <w:b/>
          <w:szCs w:val="21"/>
        </w:rPr>
        <w:t>保密</w:t>
      </w:r>
    </w:p>
    <w:p w14:paraId="0BC6873E">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28.1采购人、采购代理机构应当采取必要措施，保证评标在严格保密的情况下进行。除采购人代表、评标现场组织人员外，采购人的其他工作人员以及与评标工作无关的人员不得进入评标现场。</w:t>
      </w:r>
    </w:p>
    <w:p w14:paraId="78C54F6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28.2 评标委员会成员和参与评标工作的有关人员对评标情况以及在评标过程中获悉的国家秘密、商业秘密负有保密责任。</w:t>
      </w:r>
    </w:p>
    <w:p w14:paraId="029EA1D0">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29. 知识产权与规避专利、版权纠纷</w:t>
      </w:r>
      <w:bookmarkEnd w:id="12"/>
      <w:bookmarkEnd w:id="13"/>
      <w:bookmarkEnd w:id="14"/>
      <w:bookmarkEnd w:id="15"/>
    </w:p>
    <w:p w14:paraId="1877BD29">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29.1 知识产权</w:t>
      </w:r>
    </w:p>
    <w:p w14:paraId="1EA704C8">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29.1.1 项目系统的版权属于采购人所有，中标人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01001F58">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 规避专利、版权纠纷</w:t>
      </w:r>
    </w:p>
    <w:p w14:paraId="13F6755A">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29.2.1 投标人应保证其投标方案中的有关软件、文件、图纸等没有违反有关专利和版权等知识产权的规定。</w:t>
      </w:r>
    </w:p>
    <w:p w14:paraId="3FA5C1A6">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29.2.2 中标人应保证采购人在中华人民共和国使用本项目成果任何一部分、或接受乙方服务时，免受第三方提出的侵犯其专利权、商标权或工业设计权等知识产权的索赔或起诉。</w:t>
      </w:r>
    </w:p>
    <w:p w14:paraId="17AF06B1">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29.2.3 如果采购人在使用本项目任何一部分时被任何第三方诉称侵犯了第三方知识产权或任何其它权利，中标人应负责处理这一指控并应以中标人的名义自负费用向起诉方提出抗辩。由此可能产生的一切法律责任和经济责任均由中标人承担。</w:t>
      </w:r>
    </w:p>
    <w:p w14:paraId="024F4D88">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29.2.4 如果采购人发现任何第三方在采购人未被许可的范围内非法使用采购人获得的知识产权，采购人应通知中标人。中标人应在收到采购人通知后14天内采取行动制止非法使用行为，否则由中标人承担相应的责任。</w:t>
      </w:r>
    </w:p>
    <w:p w14:paraId="092FC844">
      <w:pPr>
        <w:shd w:val="clear"/>
        <w:spacing w:line="360" w:lineRule="auto"/>
        <w:rPr>
          <w:rFonts w:hint="eastAsia" w:ascii="宋体" w:hAnsi="宋体" w:eastAsia="宋体" w:cs="宋体"/>
          <w:szCs w:val="21"/>
        </w:rPr>
        <w:sectPr>
          <w:pgSz w:w="11906" w:h="16838"/>
          <w:pgMar w:top="1440" w:right="1752" w:bottom="1440" w:left="1752" w:header="851" w:footer="992" w:gutter="0"/>
          <w:cols w:space="720" w:num="1"/>
          <w:titlePg/>
          <w:docGrid w:type="lines" w:linePitch="312" w:charSpace="0"/>
        </w:sectPr>
      </w:pPr>
    </w:p>
    <w:p w14:paraId="3498279F">
      <w:pPr>
        <w:shd w:val="clear"/>
        <w:jc w:val="center"/>
        <w:outlineLvl w:val="0"/>
        <w:rPr>
          <w:rFonts w:hint="eastAsia" w:ascii="宋体" w:hAnsi="宋体" w:eastAsia="宋体" w:cs="宋体"/>
          <w:sz w:val="28"/>
          <w:szCs w:val="28"/>
        </w:rPr>
      </w:pPr>
      <w:bookmarkStart w:id="16" w:name="_Toc1298913388"/>
      <w:bookmarkStart w:id="17" w:name="_Toc1762322514"/>
      <w:bookmarkStart w:id="18" w:name="_Toc1380332034"/>
      <w:bookmarkStart w:id="19" w:name="_Toc1481241717"/>
      <w:bookmarkStart w:id="20" w:name="_Toc9114"/>
      <w:bookmarkStart w:id="21" w:name="_Toc937455070"/>
      <w:bookmarkStart w:id="22" w:name="_Toc38030149"/>
      <w:bookmarkStart w:id="23" w:name="_Toc525052846"/>
      <w:bookmarkStart w:id="24" w:name="_Toc1168671576"/>
      <w:r>
        <w:rPr>
          <w:rFonts w:hint="eastAsia" w:ascii="宋体" w:hAnsi="宋体" w:eastAsia="宋体" w:cs="宋体"/>
          <w:b/>
          <w:bCs/>
          <w:sz w:val="28"/>
          <w:szCs w:val="28"/>
        </w:rPr>
        <w:t>第三章  评标方法及标准</w:t>
      </w:r>
      <w:bookmarkEnd w:id="16"/>
      <w:bookmarkEnd w:id="17"/>
      <w:bookmarkEnd w:id="18"/>
      <w:bookmarkEnd w:id="19"/>
      <w:bookmarkEnd w:id="20"/>
      <w:bookmarkEnd w:id="21"/>
      <w:bookmarkEnd w:id="22"/>
      <w:bookmarkEnd w:id="23"/>
      <w:bookmarkEnd w:id="24"/>
    </w:p>
    <w:p w14:paraId="2AB6BEA5">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1.评标方法</w:t>
      </w:r>
    </w:p>
    <w:p w14:paraId="702284C0">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 本项目评标方法：</w:t>
      </w:r>
      <w:r>
        <w:rPr>
          <w:rFonts w:hint="eastAsia" w:ascii="宋体" w:hAnsi="宋体" w:eastAsia="宋体" w:cs="宋体"/>
          <w:b/>
          <w:szCs w:val="21"/>
          <w:u w:val="single"/>
        </w:rPr>
        <w:t>采用综合评分法</w:t>
      </w:r>
    </w:p>
    <w:p w14:paraId="3219E003">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2.评标标准</w:t>
      </w:r>
    </w:p>
    <w:p w14:paraId="46D38EFE">
      <w:pPr>
        <w:pStyle w:val="76"/>
        <w:widowControl w:val="0"/>
        <w:shd w:val="clear"/>
        <w:spacing w:line="360" w:lineRule="auto"/>
        <w:ind w:firstLine="420" w:firstLineChars="200"/>
        <w:jc w:val="both"/>
        <w:rPr>
          <w:rFonts w:ascii="宋体" w:hAnsi="宋体" w:cs="宋体"/>
          <w:sz w:val="21"/>
          <w:szCs w:val="21"/>
          <w:highlight w:val="none"/>
        </w:rPr>
      </w:pPr>
      <w:r>
        <w:rPr>
          <w:rFonts w:ascii="宋体" w:hAnsi="宋体" w:cs="宋体"/>
          <w:sz w:val="21"/>
          <w:szCs w:val="21"/>
        </w:rPr>
        <w:t>2.1 本项目</w:t>
      </w:r>
      <w:r>
        <w:rPr>
          <w:rFonts w:ascii="宋体" w:hAnsi="宋体" w:cs="宋体"/>
          <w:b/>
          <w:sz w:val="21"/>
          <w:szCs w:val="21"/>
          <w:u w:val="single"/>
        </w:rPr>
        <w:t>采用综合评分法</w:t>
      </w:r>
      <w:r>
        <w:rPr>
          <w:rFonts w:ascii="宋体" w:hAnsi="宋体" w:cs="宋体"/>
          <w:sz w:val="21"/>
          <w:szCs w:val="21"/>
        </w:rPr>
        <w:t>进行评标，综合评分法是指投标文件满足招标文件全部实质性要求，且按照评审因素的量化指标评审得分最高的投标人为中标候选人的评标方法。评审因素主要内容如</w:t>
      </w:r>
      <w:r>
        <w:rPr>
          <w:rFonts w:ascii="宋体" w:hAnsi="宋体" w:cs="宋体"/>
          <w:sz w:val="21"/>
          <w:szCs w:val="21"/>
          <w:highlight w:val="none"/>
        </w:rPr>
        <w:t>下表。</w:t>
      </w:r>
    </w:p>
    <w:p w14:paraId="5FBCFEAC">
      <w:pPr>
        <w:shd w:val="clear"/>
        <w:topLinePunct/>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 本项目价格分值为</w:t>
      </w:r>
      <w:r>
        <w:rPr>
          <w:rFonts w:hint="eastAsia" w:ascii="宋体" w:hAnsi="宋体" w:eastAsia="宋体" w:cs="宋体"/>
          <w:szCs w:val="21"/>
          <w:highlight w:val="none"/>
          <w:u w:val="single"/>
        </w:rPr>
        <w:t xml:space="preserve">  18  </w:t>
      </w:r>
      <w:r>
        <w:rPr>
          <w:rFonts w:hint="eastAsia" w:ascii="宋体" w:hAnsi="宋体" w:eastAsia="宋体" w:cs="宋体"/>
          <w:szCs w:val="21"/>
          <w:highlight w:val="none"/>
        </w:rPr>
        <w:t>分，商务因素</w:t>
      </w:r>
      <w:r>
        <w:rPr>
          <w:rFonts w:hint="eastAsia" w:ascii="宋体" w:hAnsi="宋体" w:eastAsia="宋体" w:cs="宋体"/>
          <w:szCs w:val="21"/>
          <w:highlight w:val="none"/>
          <w:u w:val="single"/>
        </w:rPr>
        <w:t xml:space="preserve">  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分，技术因素</w:t>
      </w:r>
      <w:r>
        <w:rPr>
          <w:rFonts w:hint="eastAsia" w:ascii="宋体" w:hAnsi="宋体" w:eastAsia="宋体" w:cs="宋体"/>
          <w:szCs w:val="21"/>
          <w:highlight w:val="none"/>
          <w:u w:val="single"/>
        </w:rPr>
        <w:t xml:space="preserve">  5</w:t>
      </w:r>
      <w:r>
        <w:rPr>
          <w:rFonts w:hint="eastAsia" w:ascii="宋体" w:hAnsi="宋体" w:eastAsia="宋体" w:cs="宋体"/>
          <w:szCs w:val="21"/>
          <w:highlight w:val="none"/>
          <w:u w:val="single"/>
          <w:lang w:val="en-US" w:eastAsia="zh-CN"/>
        </w:rPr>
        <w:t>7</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p w14:paraId="0247F6DA">
      <w:pPr>
        <w:pStyle w:val="63"/>
        <w:shd w:val="clear"/>
        <w:spacing w:line="460" w:lineRule="exact"/>
        <w:ind w:left="420" w:firstLine="0" w:firstLineChars="0"/>
        <w:rPr>
          <w:rFonts w:ascii="Times New Roman" w:hAnsi="Times New Roman"/>
          <w:b/>
          <w:bCs/>
          <w:szCs w:val="21"/>
          <w:highlight w:val="none"/>
        </w:rPr>
      </w:pPr>
      <w:r>
        <w:rPr>
          <w:rFonts w:hint="eastAsia" w:ascii="Times New Roman" w:hAnsi="Times New Roman"/>
          <w:b/>
          <w:bCs/>
          <w:szCs w:val="21"/>
          <w:highlight w:val="none"/>
        </w:rPr>
        <w:t>各部份评分分值分布如下：</w:t>
      </w:r>
    </w:p>
    <w:p w14:paraId="7A939DFE">
      <w:pPr>
        <w:pStyle w:val="63"/>
        <w:shd w:val="clear"/>
        <w:spacing w:line="460" w:lineRule="exact"/>
        <w:ind w:left="420" w:firstLine="0" w:firstLineChars="0"/>
        <w:rPr>
          <w:rFonts w:ascii="Times New Roman" w:hAnsi="Times New Roman"/>
          <w:b/>
          <w:bCs/>
          <w:szCs w:val="21"/>
        </w:rPr>
      </w:pPr>
      <w:r>
        <w:rPr>
          <w:rFonts w:ascii="Times New Roman" w:hAnsi="Times New Roman"/>
          <w:b/>
          <w:bCs/>
          <w:szCs w:val="21"/>
          <w:highlight w:val="none"/>
        </w:rPr>
        <w:t>A</w:t>
      </w:r>
      <w:r>
        <w:rPr>
          <w:rFonts w:hint="eastAsia" w:ascii="Times New Roman" w:hAnsi="Times New Roman"/>
          <w:b/>
          <w:bCs/>
          <w:szCs w:val="21"/>
          <w:highlight w:val="none"/>
        </w:rPr>
        <w:t>：报价部分评</w:t>
      </w:r>
      <w:r>
        <w:rPr>
          <w:rFonts w:hint="eastAsia" w:ascii="Times New Roman" w:hAnsi="Times New Roman"/>
          <w:b/>
          <w:bCs/>
          <w:szCs w:val="21"/>
        </w:rPr>
        <w:t>分：满分18分</w:t>
      </w:r>
    </w:p>
    <w:p w14:paraId="30DE6EF2">
      <w:pPr>
        <w:pStyle w:val="63"/>
        <w:shd w:val="clear"/>
        <w:spacing w:line="460" w:lineRule="exact"/>
        <w:ind w:left="420" w:firstLine="0" w:firstLineChars="0"/>
        <w:rPr>
          <w:rFonts w:ascii="Times New Roman" w:hAnsi="Times New Roman"/>
          <w:b/>
          <w:bCs/>
          <w:szCs w:val="21"/>
        </w:rPr>
      </w:pPr>
      <w:r>
        <w:rPr>
          <w:rFonts w:hint="eastAsia" w:ascii="Times New Roman" w:hAnsi="Times New Roman"/>
          <w:b/>
          <w:bCs/>
          <w:szCs w:val="21"/>
        </w:rPr>
        <w:t>B：技术因素评分：满分5</w:t>
      </w:r>
      <w:r>
        <w:rPr>
          <w:rFonts w:hint="eastAsia" w:ascii="Times New Roman" w:hAnsi="Times New Roman"/>
          <w:b/>
          <w:bCs/>
          <w:szCs w:val="21"/>
          <w:lang w:val="en-US" w:eastAsia="zh-CN"/>
        </w:rPr>
        <w:t>7</w:t>
      </w:r>
      <w:r>
        <w:rPr>
          <w:rFonts w:hint="eastAsia" w:ascii="Times New Roman" w:hAnsi="Times New Roman"/>
          <w:b/>
          <w:bCs/>
          <w:szCs w:val="21"/>
        </w:rPr>
        <w:t>分</w:t>
      </w:r>
    </w:p>
    <w:p w14:paraId="4B892FB3">
      <w:pPr>
        <w:pStyle w:val="63"/>
        <w:shd w:val="clear"/>
        <w:spacing w:line="460" w:lineRule="exact"/>
        <w:ind w:left="420" w:firstLine="0" w:firstLineChars="0"/>
        <w:rPr>
          <w:rFonts w:ascii="Times New Roman" w:hAnsi="Times New Roman"/>
          <w:b/>
          <w:bCs/>
          <w:szCs w:val="21"/>
        </w:rPr>
      </w:pPr>
      <w:r>
        <w:rPr>
          <w:rFonts w:hint="eastAsia" w:ascii="Times New Roman" w:hAnsi="Times New Roman"/>
          <w:b/>
          <w:bCs/>
          <w:szCs w:val="21"/>
        </w:rPr>
        <w:t>C：商务因素评分：满分2</w:t>
      </w:r>
      <w:r>
        <w:rPr>
          <w:rFonts w:hint="eastAsia" w:ascii="Times New Roman" w:hAnsi="Times New Roman"/>
          <w:b/>
          <w:bCs/>
          <w:szCs w:val="21"/>
          <w:lang w:val="en-US" w:eastAsia="zh-CN"/>
        </w:rPr>
        <w:t>5</w:t>
      </w:r>
      <w:r>
        <w:rPr>
          <w:rFonts w:hint="eastAsia" w:ascii="Times New Roman" w:hAnsi="Times New Roman"/>
          <w:b/>
          <w:bCs/>
          <w:szCs w:val="21"/>
        </w:rPr>
        <w:t>分</w:t>
      </w:r>
    </w:p>
    <w:p w14:paraId="60481864">
      <w:pPr>
        <w:pStyle w:val="63"/>
        <w:shd w:val="clear"/>
        <w:spacing w:line="460" w:lineRule="exact"/>
        <w:rPr>
          <w:rFonts w:ascii="宋体" w:cs="宋体"/>
        </w:rPr>
      </w:pPr>
      <w:r>
        <w:rPr>
          <w:rFonts w:hint="eastAsia" w:ascii="宋体" w:hAnsi="宋体" w:cs="宋体"/>
        </w:rPr>
        <w:t>各评委评分</w:t>
      </w:r>
      <w:r>
        <w:rPr>
          <w:rFonts w:ascii="宋体" w:hAnsi="宋体" w:cs="宋体"/>
        </w:rPr>
        <w:t>B</w:t>
      </w:r>
      <w:r>
        <w:rPr>
          <w:rFonts w:hint="eastAsia" w:ascii="宋体" w:hAnsi="宋体" w:cs="宋体"/>
          <w:szCs w:val="21"/>
        </w:rPr>
        <w:t>、</w:t>
      </w:r>
      <w:r>
        <w:rPr>
          <w:rFonts w:hint="eastAsia" w:ascii="宋体" w:hAnsi="宋体" w:cs="宋体"/>
        </w:rPr>
        <w:t>C部分分别取算术平均值为最终得分，并取小数点后的</w:t>
      </w:r>
      <w:r>
        <w:rPr>
          <w:rFonts w:ascii="宋体" w:hAnsi="宋体" w:cs="宋体"/>
        </w:rPr>
        <w:t>2</w:t>
      </w:r>
      <w:r>
        <w:rPr>
          <w:rFonts w:hint="eastAsia" w:ascii="宋体" w:hAnsi="宋体" w:cs="宋体"/>
        </w:rPr>
        <w:t>位数。</w:t>
      </w:r>
    </w:p>
    <w:tbl>
      <w:tblPr>
        <w:tblStyle w:val="32"/>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81"/>
        <w:gridCol w:w="1162"/>
        <w:gridCol w:w="5842"/>
        <w:gridCol w:w="838"/>
      </w:tblGrid>
      <w:tr w14:paraId="0AF4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27F9784E">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681" w:type="dxa"/>
            <w:noWrap/>
            <w:vAlign w:val="center"/>
          </w:tcPr>
          <w:p w14:paraId="27BDAEC8">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评审因素</w:t>
            </w:r>
          </w:p>
        </w:tc>
        <w:tc>
          <w:tcPr>
            <w:tcW w:w="1162" w:type="dxa"/>
            <w:noWrap/>
            <w:vAlign w:val="center"/>
          </w:tcPr>
          <w:p w14:paraId="186DC428">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主要内容</w:t>
            </w:r>
          </w:p>
        </w:tc>
        <w:tc>
          <w:tcPr>
            <w:tcW w:w="5842" w:type="dxa"/>
            <w:noWrap/>
            <w:vAlign w:val="center"/>
          </w:tcPr>
          <w:p w14:paraId="5CC9C80A">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指标要求</w:t>
            </w:r>
          </w:p>
        </w:tc>
        <w:tc>
          <w:tcPr>
            <w:tcW w:w="838" w:type="dxa"/>
            <w:noWrap/>
            <w:vAlign w:val="center"/>
          </w:tcPr>
          <w:p w14:paraId="3DB3EC2F">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细项</w:t>
            </w:r>
          </w:p>
          <w:p w14:paraId="3144658B">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分值</w:t>
            </w:r>
          </w:p>
        </w:tc>
      </w:tr>
      <w:tr w14:paraId="794B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11F1767B">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w:t>
            </w:r>
          </w:p>
        </w:tc>
        <w:tc>
          <w:tcPr>
            <w:tcW w:w="681" w:type="dxa"/>
            <w:noWrap/>
            <w:vAlign w:val="center"/>
          </w:tcPr>
          <w:p w14:paraId="5BAD9681">
            <w:pPr>
              <w:shd w:val="clear"/>
              <w:spacing w:line="560" w:lineRule="exact"/>
              <w:rPr>
                <w:rFonts w:hint="eastAsia" w:ascii="宋体" w:hAnsi="宋体" w:eastAsia="宋体" w:cs="宋体"/>
                <w:kern w:val="0"/>
                <w:szCs w:val="21"/>
                <w:lang w:val="zh-CN"/>
              </w:rPr>
            </w:pPr>
            <w:r>
              <w:rPr>
                <w:rFonts w:hint="eastAsia" w:ascii="宋体" w:hAnsi="宋体" w:eastAsia="宋体" w:cs="宋体"/>
                <w:kern w:val="0"/>
                <w:szCs w:val="21"/>
                <w:lang w:val="zh-CN"/>
              </w:rPr>
              <w:t>投标报价</w:t>
            </w:r>
          </w:p>
        </w:tc>
        <w:tc>
          <w:tcPr>
            <w:tcW w:w="1162" w:type="dxa"/>
            <w:noWrap/>
            <w:vAlign w:val="center"/>
          </w:tcPr>
          <w:p w14:paraId="43E47BC2">
            <w:pPr>
              <w:shd w:val="clear"/>
              <w:spacing w:line="560" w:lineRule="exact"/>
              <w:jc w:val="center"/>
              <w:rPr>
                <w:rFonts w:hint="eastAsia" w:ascii="宋体" w:hAnsi="宋体" w:eastAsia="宋体" w:cs="宋体"/>
                <w:kern w:val="0"/>
                <w:szCs w:val="21"/>
                <w:lang w:val="zh-CN"/>
              </w:rPr>
            </w:pPr>
            <w:r>
              <w:rPr>
                <w:rFonts w:hint="eastAsia" w:ascii="宋体" w:hAnsi="宋体" w:eastAsia="宋体" w:cs="宋体"/>
                <w:kern w:val="0"/>
                <w:szCs w:val="21"/>
              </w:rPr>
              <w:t>A.</w:t>
            </w:r>
            <w:r>
              <w:rPr>
                <w:rFonts w:hint="eastAsia" w:ascii="宋体" w:hAnsi="宋体" w:eastAsia="宋体" w:cs="宋体"/>
                <w:kern w:val="0"/>
                <w:szCs w:val="21"/>
                <w:lang w:val="zh-CN"/>
              </w:rPr>
              <w:t>价 格</w:t>
            </w:r>
          </w:p>
        </w:tc>
        <w:tc>
          <w:tcPr>
            <w:tcW w:w="5842" w:type="dxa"/>
            <w:noWrap/>
            <w:vAlign w:val="center"/>
          </w:tcPr>
          <w:p w14:paraId="17C53401">
            <w:pPr>
              <w:shd w:val="clear"/>
              <w:spacing w:line="560" w:lineRule="exact"/>
              <w:rPr>
                <w:rFonts w:hint="eastAsia" w:ascii="宋体" w:hAnsi="宋体" w:eastAsia="宋体" w:cs="宋体"/>
                <w:szCs w:val="21"/>
                <w:lang w:val="zh-CN"/>
              </w:rPr>
            </w:pPr>
            <w:r>
              <w:rPr>
                <w:rFonts w:hint="eastAsia" w:ascii="宋体" w:hAnsi="宋体" w:eastAsia="宋体" w:cs="宋体"/>
                <w:szCs w:val="21"/>
                <w:lang w:val="zh-CN"/>
              </w:rPr>
              <w:t>投标报价得分＝(评标基准价/投标报价)×价格分值</w:t>
            </w:r>
          </w:p>
          <w:p w14:paraId="06082903">
            <w:pPr>
              <w:shd w:val="clear"/>
              <w:spacing w:line="560" w:lineRule="exact"/>
              <w:rPr>
                <w:rFonts w:hint="eastAsia" w:ascii="宋体" w:hAnsi="宋体" w:eastAsia="宋体" w:cs="宋体"/>
                <w:szCs w:val="21"/>
                <w:lang w:val="zh-CN"/>
              </w:rPr>
            </w:pPr>
            <w:r>
              <w:rPr>
                <w:rFonts w:hint="eastAsia" w:ascii="宋体" w:hAnsi="宋体" w:eastAsia="宋体" w:cs="宋体"/>
                <w:szCs w:val="21"/>
                <w:lang w:val="zh-CN"/>
              </w:rPr>
              <w:t>评标基准价是指满足招标文件要求且价格最低的投标报价，计算分数时四舍五入取小数点后两位。</w:t>
            </w:r>
          </w:p>
          <w:p w14:paraId="04D94631">
            <w:pPr>
              <w:shd w:val="clear"/>
              <w:spacing w:line="560" w:lineRule="exact"/>
              <w:rPr>
                <w:rFonts w:hint="eastAsia" w:ascii="宋体" w:hAnsi="宋体" w:eastAsia="宋体" w:cs="宋体"/>
                <w:szCs w:val="21"/>
                <w:lang w:val="zh-CN"/>
              </w:rPr>
            </w:pPr>
            <w:r>
              <w:rPr>
                <w:rFonts w:hint="eastAsia" w:ascii="宋体" w:hAnsi="宋体" w:eastAsia="宋体" w:cs="宋体"/>
                <w:szCs w:val="21"/>
                <w:lang w:val="zh-CN"/>
              </w:rPr>
              <w:t>注：采购人不接受投标人的恶意低价竞争。评标委员会认为投标人的报价明显低于其他通过符合性审查投标人的报价，有可能影响服务质量或者不能诚信履约的，要求其在评标现场合理的时间内提供书面说明，并提交相关证明材料；投标人不能证明其报价合理性的，评标委员会将其作为无效投标处理。</w:t>
            </w:r>
          </w:p>
        </w:tc>
        <w:tc>
          <w:tcPr>
            <w:tcW w:w="838" w:type="dxa"/>
            <w:noWrap/>
            <w:vAlign w:val="center"/>
          </w:tcPr>
          <w:p w14:paraId="4C238199">
            <w:pPr>
              <w:widowControl/>
              <w:shd w:val="clear"/>
              <w:overflowPunct w:val="0"/>
              <w:adjustRightInd w:val="0"/>
              <w:spacing w:line="560" w:lineRule="exact"/>
              <w:jc w:val="center"/>
              <w:textAlignment w:val="baseline"/>
              <w:rPr>
                <w:rFonts w:hint="eastAsia" w:ascii="宋体" w:hAnsi="宋体" w:eastAsia="宋体" w:cs="宋体"/>
                <w:szCs w:val="21"/>
              </w:rPr>
            </w:pPr>
            <w:r>
              <w:rPr>
                <w:rFonts w:hint="eastAsia" w:ascii="宋体" w:hAnsi="宋体" w:eastAsia="宋体" w:cs="宋体"/>
                <w:szCs w:val="21"/>
              </w:rPr>
              <w:t>18</w:t>
            </w:r>
          </w:p>
        </w:tc>
      </w:tr>
      <w:tr w14:paraId="6DD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76C83295">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2</w:t>
            </w:r>
          </w:p>
        </w:tc>
        <w:tc>
          <w:tcPr>
            <w:tcW w:w="681" w:type="dxa"/>
            <w:vMerge w:val="restart"/>
            <w:noWrap/>
            <w:vAlign w:val="center"/>
          </w:tcPr>
          <w:p w14:paraId="785A9BCA">
            <w:pPr>
              <w:widowControl/>
              <w:shd w:val="clear"/>
              <w:overflowPunct w:val="0"/>
              <w:adjustRightInd w:val="0"/>
              <w:spacing w:line="560" w:lineRule="exact"/>
              <w:jc w:val="center"/>
              <w:textAlignment w:val="baseline"/>
              <w:rPr>
                <w:rFonts w:hint="eastAsia" w:ascii="宋体" w:hAnsi="宋体" w:eastAsia="宋体" w:cs="宋体"/>
                <w:kern w:val="0"/>
                <w:szCs w:val="21"/>
                <w:lang w:val="zh-CN"/>
              </w:rPr>
            </w:pPr>
            <w:r>
              <w:rPr>
                <w:rFonts w:hint="eastAsia" w:ascii="宋体" w:hAnsi="宋体" w:eastAsia="宋体" w:cs="宋体"/>
                <w:kern w:val="0"/>
                <w:szCs w:val="21"/>
                <w:lang w:val="zh-CN"/>
              </w:rPr>
              <w:t>技术因素</w:t>
            </w:r>
          </w:p>
        </w:tc>
        <w:tc>
          <w:tcPr>
            <w:tcW w:w="1162" w:type="dxa"/>
            <w:noWrap/>
            <w:vAlign w:val="center"/>
          </w:tcPr>
          <w:p w14:paraId="359AAF62">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B1.管理方案</w:t>
            </w:r>
          </w:p>
        </w:tc>
        <w:tc>
          <w:tcPr>
            <w:tcW w:w="5842" w:type="dxa"/>
            <w:noWrap/>
          </w:tcPr>
          <w:p w14:paraId="387028D5">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针对本项目的特点、难点提出相应的管理方案（内容包含但不限于①提出相应解决措施；②服务质量管理目标；③制定日常管理制度；④常规信息反馈渠道及处理机制）进行评分：方案包含的要点齐全无缺漏项、内容详细、措施具体、内容与要点相符且能够适用于本项目得5分；方案所包含的要点齐全，内容与要点相符、措施不够具体但基本能够适用于本项目的得4分；方案所包含的要点有缺项、或仅有纲要未展开描述的得3分；未提供任何方案或与本项内容不符合的不得分。</w:t>
            </w:r>
          </w:p>
        </w:tc>
        <w:tc>
          <w:tcPr>
            <w:tcW w:w="838" w:type="dxa"/>
            <w:noWrap/>
            <w:vAlign w:val="center"/>
          </w:tcPr>
          <w:p w14:paraId="221E6C1C">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5</w:t>
            </w:r>
          </w:p>
        </w:tc>
      </w:tr>
      <w:tr w14:paraId="31F7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1CDB4C82">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3</w:t>
            </w:r>
          </w:p>
        </w:tc>
        <w:tc>
          <w:tcPr>
            <w:tcW w:w="681" w:type="dxa"/>
            <w:vMerge w:val="continue"/>
            <w:noWrap/>
            <w:vAlign w:val="center"/>
          </w:tcPr>
          <w:p w14:paraId="5623C552">
            <w:pPr>
              <w:shd w:val="clear"/>
              <w:spacing w:line="560" w:lineRule="exact"/>
              <w:rPr>
                <w:rFonts w:hint="eastAsia" w:ascii="宋体" w:hAnsi="宋体" w:eastAsia="宋体" w:cs="宋体"/>
                <w:kern w:val="0"/>
                <w:szCs w:val="21"/>
                <w:lang w:val="zh-CN"/>
              </w:rPr>
            </w:pPr>
          </w:p>
        </w:tc>
        <w:tc>
          <w:tcPr>
            <w:tcW w:w="1162" w:type="dxa"/>
            <w:noWrap/>
            <w:vAlign w:val="center"/>
          </w:tcPr>
          <w:p w14:paraId="3909C6C5">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B2.公共秩序维护方案</w:t>
            </w:r>
          </w:p>
        </w:tc>
        <w:tc>
          <w:tcPr>
            <w:tcW w:w="5842" w:type="dxa"/>
            <w:noWrap/>
          </w:tcPr>
          <w:p w14:paraId="04AAECF1">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针对本项目制定的公共秩序维护方案（内容包含但不限于①日常治安管理；②安防监控系统管理；③车辆停放管理的人员和时间安排；④质量标准等）进行评分：方案包含的要点齐全无缺漏项、内容详细、措施具体、内容与要点相符且能够适用于本项目得4分；方案所包含的要点齐全，内容与要点相符、措施不够具体但基本能够适用于本项目的得3分；方案所包含的要点有缺项、或仅有纲要未展开描述的得2分；未提供任何方案或与本项内容不符合的不得分。</w:t>
            </w:r>
          </w:p>
        </w:tc>
        <w:tc>
          <w:tcPr>
            <w:tcW w:w="838" w:type="dxa"/>
            <w:noWrap/>
            <w:vAlign w:val="center"/>
          </w:tcPr>
          <w:p w14:paraId="2B6D0AD1">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4</w:t>
            </w:r>
          </w:p>
        </w:tc>
      </w:tr>
      <w:tr w14:paraId="5A0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4FA1F8F6">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4</w:t>
            </w:r>
          </w:p>
        </w:tc>
        <w:tc>
          <w:tcPr>
            <w:tcW w:w="681" w:type="dxa"/>
            <w:vMerge w:val="continue"/>
            <w:noWrap/>
            <w:vAlign w:val="center"/>
          </w:tcPr>
          <w:p w14:paraId="5A8C9A4B">
            <w:pPr>
              <w:shd w:val="clear"/>
              <w:spacing w:line="560" w:lineRule="exact"/>
              <w:rPr>
                <w:rFonts w:hint="eastAsia" w:ascii="宋体" w:hAnsi="宋体" w:eastAsia="宋体" w:cs="宋体"/>
                <w:kern w:val="0"/>
                <w:szCs w:val="21"/>
                <w:lang w:val="zh-CN"/>
              </w:rPr>
            </w:pPr>
          </w:p>
        </w:tc>
        <w:tc>
          <w:tcPr>
            <w:tcW w:w="1162" w:type="dxa"/>
            <w:noWrap/>
            <w:vAlign w:val="center"/>
          </w:tcPr>
          <w:p w14:paraId="2FD165C5">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B3.公用设施设备维护方案</w:t>
            </w:r>
          </w:p>
        </w:tc>
        <w:tc>
          <w:tcPr>
            <w:tcW w:w="5842" w:type="dxa"/>
            <w:noWrap/>
          </w:tcPr>
          <w:p w14:paraId="57C04EF0">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针对本项目制定的公用设施设备维护管理方案（内容包含但不限于①配电系统；②电梯系统；③中央空调系统；④给排水系统；⑤安防监控系统；⑥门禁系统；⑦消防系统的日常运行；⑧维护管理；⑨突发性故障应急等）进行评分：方案包含的要点齐全无缺漏项、内容详细、措施具体、内容与要点相符且能够适用于本项目得4分；方案所包含的要点齐全，内容与要点相符、措施不够具体但基本能够适用于本项目的得3分；方案所包含的要点有缺项、或仅有纲要未展开描述的得2分；未提供任何方案或与本项内容不符合的不得分。</w:t>
            </w:r>
          </w:p>
        </w:tc>
        <w:tc>
          <w:tcPr>
            <w:tcW w:w="838" w:type="dxa"/>
            <w:noWrap/>
            <w:vAlign w:val="center"/>
          </w:tcPr>
          <w:p w14:paraId="2B5F8B8F">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4</w:t>
            </w:r>
          </w:p>
        </w:tc>
      </w:tr>
      <w:tr w14:paraId="6D72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196216B0">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5</w:t>
            </w:r>
          </w:p>
        </w:tc>
        <w:tc>
          <w:tcPr>
            <w:tcW w:w="681" w:type="dxa"/>
            <w:vMerge w:val="continue"/>
            <w:noWrap/>
            <w:vAlign w:val="center"/>
          </w:tcPr>
          <w:p w14:paraId="7AB488D4">
            <w:pPr>
              <w:shd w:val="clear"/>
              <w:spacing w:line="560" w:lineRule="exact"/>
              <w:rPr>
                <w:rFonts w:hint="eastAsia" w:ascii="宋体" w:hAnsi="宋体" w:eastAsia="宋体" w:cs="宋体"/>
                <w:kern w:val="0"/>
                <w:szCs w:val="21"/>
                <w:lang w:val="zh-CN"/>
              </w:rPr>
            </w:pPr>
          </w:p>
        </w:tc>
        <w:tc>
          <w:tcPr>
            <w:tcW w:w="1162" w:type="dxa"/>
            <w:noWrap/>
            <w:vAlign w:val="center"/>
          </w:tcPr>
          <w:p w14:paraId="00A1EDBD">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B4.保洁服务方案</w:t>
            </w:r>
          </w:p>
        </w:tc>
        <w:tc>
          <w:tcPr>
            <w:tcW w:w="5842" w:type="dxa"/>
            <w:noWrap/>
          </w:tcPr>
          <w:p w14:paraId="0FD12DA2">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针对本项目制定的保洁服务方案（内容包含但不限于①日常保洁；②垃圾清运；③卫生消杀服务的内容；④人员配备；⑤作业流程；⑥服务质量标准等）进行评分：方案包含的要点齐全无缺漏项、内容详细、措施具体、内容与要点相符且能够适用于本项目得4分；方案所包含的要点齐全，内容与要点相符、措施不够具体但基本能够适用于本项目的得3分；方案所包含的要点有缺项、或仅有纲要未展开描述的得2分；未提供任何方案或与本项内容不符合的不得分。</w:t>
            </w:r>
          </w:p>
        </w:tc>
        <w:tc>
          <w:tcPr>
            <w:tcW w:w="838" w:type="dxa"/>
            <w:noWrap/>
            <w:vAlign w:val="center"/>
          </w:tcPr>
          <w:p w14:paraId="77EE7599">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4</w:t>
            </w:r>
          </w:p>
        </w:tc>
      </w:tr>
      <w:tr w14:paraId="6C1C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3E80CBF8">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6</w:t>
            </w:r>
          </w:p>
        </w:tc>
        <w:tc>
          <w:tcPr>
            <w:tcW w:w="681" w:type="dxa"/>
            <w:vMerge w:val="continue"/>
            <w:noWrap/>
            <w:vAlign w:val="center"/>
          </w:tcPr>
          <w:p w14:paraId="5DD16C8B">
            <w:pPr>
              <w:shd w:val="clear"/>
              <w:spacing w:line="560" w:lineRule="exact"/>
              <w:rPr>
                <w:rFonts w:hint="eastAsia" w:ascii="宋体" w:hAnsi="宋体" w:eastAsia="宋体" w:cs="宋体"/>
                <w:kern w:val="0"/>
                <w:szCs w:val="21"/>
                <w:lang w:val="zh-CN"/>
              </w:rPr>
            </w:pPr>
          </w:p>
        </w:tc>
        <w:tc>
          <w:tcPr>
            <w:tcW w:w="1162" w:type="dxa"/>
            <w:noWrap/>
            <w:vAlign w:val="center"/>
          </w:tcPr>
          <w:p w14:paraId="1505345D">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B5.绿化养护方案</w:t>
            </w:r>
          </w:p>
        </w:tc>
        <w:tc>
          <w:tcPr>
            <w:tcW w:w="5842" w:type="dxa"/>
            <w:noWrap/>
          </w:tcPr>
          <w:p w14:paraId="2DD1280F">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针对本项目制定的绿化养护服务方案（内容包含但不限于①绿化养护；②病虫害防治的服务内容；③人员配备；④作业流程；⑤服务质量标准等）进行评分：方案包含的要点齐全无缺漏项、内容详细、措施具体、内容与要点相符且能够适用于本项目得4分；方案所包含的要点齐全，内容与要点相符、措施不够具体但基本能够适用于本项目的得3分；方案所包含的要点有缺项、或仅有纲要未展开描述的得2分；未提供任何方案或与本项内容不符合的不得分。</w:t>
            </w:r>
          </w:p>
        </w:tc>
        <w:tc>
          <w:tcPr>
            <w:tcW w:w="838" w:type="dxa"/>
            <w:noWrap/>
            <w:vAlign w:val="center"/>
          </w:tcPr>
          <w:p w14:paraId="06AE5A5A">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4</w:t>
            </w:r>
          </w:p>
        </w:tc>
      </w:tr>
      <w:tr w14:paraId="2251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47B10016">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7</w:t>
            </w:r>
          </w:p>
        </w:tc>
        <w:tc>
          <w:tcPr>
            <w:tcW w:w="681" w:type="dxa"/>
            <w:vMerge w:val="continue"/>
            <w:noWrap/>
            <w:vAlign w:val="center"/>
          </w:tcPr>
          <w:p w14:paraId="3722FFC8">
            <w:pPr>
              <w:shd w:val="clear"/>
              <w:spacing w:line="560" w:lineRule="exact"/>
              <w:rPr>
                <w:rFonts w:hint="eastAsia" w:ascii="宋体" w:hAnsi="宋体" w:eastAsia="宋体" w:cs="宋体"/>
                <w:kern w:val="0"/>
                <w:szCs w:val="21"/>
                <w:lang w:val="zh-CN"/>
              </w:rPr>
            </w:pPr>
          </w:p>
        </w:tc>
        <w:tc>
          <w:tcPr>
            <w:tcW w:w="1162" w:type="dxa"/>
            <w:noWrap/>
            <w:vAlign w:val="center"/>
          </w:tcPr>
          <w:p w14:paraId="793E5F86">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B6.会务服务方案</w:t>
            </w:r>
          </w:p>
        </w:tc>
        <w:tc>
          <w:tcPr>
            <w:tcW w:w="5842" w:type="dxa"/>
            <w:noWrap/>
          </w:tcPr>
          <w:p w14:paraId="6C4A54C1">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针对本项目制定的会务服务方案（内容包含但不限于①会前准备；②会中服务；③会后整理等）进行评分：方案包含的要点齐全无缺漏项、内容详细、措施具体、内容与要点相符且能够适用于本项目得4分；方案所包含的要点齐全，内容与要点相符、措施不够具体但基本能够适用于本项目的得3分；方案所包含的要点有缺项、或仅有纲要未展开描述的得2分；未提供任何方案或与本项内容不符合的不得分。</w:t>
            </w:r>
          </w:p>
        </w:tc>
        <w:tc>
          <w:tcPr>
            <w:tcW w:w="838" w:type="dxa"/>
            <w:noWrap/>
            <w:vAlign w:val="center"/>
          </w:tcPr>
          <w:p w14:paraId="3E1EA8C0">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4</w:t>
            </w:r>
          </w:p>
        </w:tc>
      </w:tr>
      <w:tr w14:paraId="2771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14:paraId="40FF37AF">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8</w:t>
            </w:r>
          </w:p>
        </w:tc>
        <w:tc>
          <w:tcPr>
            <w:tcW w:w="681" w:type="dxa"/>
            <w:vMerge w:val="continue"/>
            <w:noWrap/>
            <w:vAlign w:val="center"/>
          </w:tcPr>
          <w:p w14:paraId="04210FA4">
            <w:pPr>
              <w:shd w:val="clear"/>
              <w:spacing w:line="560" w:lineRule="exact"/>
              <w:rPr>
                <w:rFonts w:hint="eastAsia" w:ascii="宋体" w:hAnsi="宋体" w:eastAsia="宋体" w:cs="宋体"/>
                <w:kern w:val="0"/>
                <w:szCs w:val="21"/>
                <w:lang w:val="zh-CN"/>
              </w:rPr>
            </w:pPr>
          </w:p>
        </w:tc>
        <w:tc>
          <w:tcPr>
            <w:tcW w:w="1162" w:type="dxa"/>
            <w:noWrap/>
            <w:vAlign w:val="center"/>
          </w:tcPr>
          <w:p w14:paraId="77F9C99A">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B7.突发事件应急保障预案</w:t>
            </w:r>
          </w:p>
        </w:tc>
        <w:tc>
          <w:tcPr>
            <w:tcW w:w="5842" w:type="dxa"/>
            <w:noWrap/>
          </w:tcPr>
          <w:p w14:paraId="42E49B40">
            <w:pPr>
              <w:shd w:val="clear"/>
              <w:spacing w:line="560" w:lineRule="exact"/>
              <w:rPr>
                <w:rFonts w:hint="eastAsia" w:ascii="宋体" w:hAnsi="宋体" w:eastAsia="宋体" w:cs="宋体"/>
                <w:szCs w:val="21"/>
                <w:lang w:val="zh-CN"/>
              </w:rPr>
            </w:pPr>
            <w:r>
              <w:rPr>
                <w:rFonts w:hint="eastAsia" w:ascii="宋体" w:hAnsi="宋体" w:eastAsia="宋体" w:cs="宋体"/>
                <w:color w:val="000000"/>
                <w:szCs w:val="21"/>
              </w:rPr>
              <w:t>根据投标人制定的突发事件应急保障预案（包含但不限于①防灾减灾&lt;地震、台风、暴雨等自然灾害&gt;；②安全事故&lt;火灾、暴恐、投毒、治安案件、危化品管理、食物中毒&gt;；③公共卫生事件如疫情以及意外伤亡等）进行评分：方案包含的要点齐全无缺漏项、内容详细、措施具体、内容与要点相符且能够适用于本项目得5分；方案所包含的要点齐全，内容与要点相符、措施不够具体但基本能够适用于本项目的得4分；方案所包含的要点有缺项、或仅有纲要未展开描述的得3分；未提供任何方案或与本项内容不符合的不得分。</w:t>
            </w:r>
          </w:p>
        </w:tc>
        <w:tc>
          <w:tcPr>
            <w:tcW w:w="838" w:type="dxa"/>
            <w:noWrap/>
            <w:vAlign w:val="center"/>
          </w:tcPr>
          <w:p w14:paraId="7E6A5E3E">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5</w:t>
            </w:r>
          </w:p>
        </w:tc>
      </w:tr>
      <w:tr w14:paraId="75D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4A21A1B7">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9</w:t>
            </w:r>
          </w:p>
        </w:tc>
        <w:tc>
          <w:tcPr>
            <w:tcW w:w="681" w:type="dxa"/>
            <w:vMerge w:val="continue"/>
            <w:noWrap/>
            <w:vAlign w:val="center"/>
          </w:tcPr>
          <w:p w14:paraId="2FB60EEF">
            <w:pPr>
              <w:widowControl/>
              <w:shd w:val="clear"/>
              <w:overflowPunct w:val="0"/>
              <w:adjustRightInd w:val="0"/>
              <w:spacing w:line="560" w:lineRule="exact"/>
              <w:jc w:val="center"/>
              <w:textAlignment w:val="baseline"/>
              <w:rPr>
                <w:rFonts w:hint="eastAsia" w:ascii="宋体" w:hAnsi="宋体" w:eastAsia="宋体" w:cs="宋体"/>
                <w:kern w:val="0"/>
                <w:szCs w:val="21"/>
                <w:lang w:val="zh-CN"/>
              </w:rPr>
            </w:pPr>
          </w:p>
        </w:tc>
        <w:tc>
          <w:tcPr>
            <w:tcW w:w="1162" w:type="dxa"/>
            <w:vMerge w:val="restart"/>
            <w:shd w:val="clear" w:color="auto" w:fill="auto"/>
            <w:noWrap/>
            <w:vAlign w:val="center"/>
          </w:tcPr>
          <w:p w14:paraId="54478D4B">
            <w:pPr>
              <w:shd w:val="clear"/>
              <w:spacing w:line="560" w:lineRule="exact"/>
              <w:jc w:val="center"/>
              <w:rPr>
                <w:rFonts w:hint="eastAsia" w:ascii="宋体" w:hAnsi="宋体" w:eastAsia="宋体" w:cs="宋体"/>
                <w:kern w:val="0"/>
                <w:szCs w:val="21"/>
              </w:rPr>
            </w:pPr>
            <w:r>
              <w:rPr>
                <w:rFonts w:hint="eastAsia" w:ascii="宋体" w:hAnsi="宋体" w:eastAsia="宋体" w:cs="宋体"/>
                <w:kern w:val="0"/>
                <w:szCs w:val="21"/>
              </w:rPr>
              <w:t>B8.</w:t>
            </w:r>
            <w:r>
              <w:rPr>
                <w:rFonts w:hint="eastAsia" w:ascii="宋体" w:hAnsi="宋体" w:eastAsia="宋体" w:cs="宋体"/>
                <w:color w:val="000000"/>
                <w:szCs w:val="21"/>
              </w:rPr>
              <w:t>项目团队（同一人不重复得分）</w:t>
            </w:r>
          </w:p>
        </w:tc>
        <w:tc>
          <w:tcPr>
            <w:tcW w:w="5842" w:type="dxa"/>
            <w:shd w:val="clear" w:color="auto" w:fill="auto"/>
            <w:noWrap/>
          </w:tcPr>
          <w:p w14:paraId="66AAC494">
            <w:pPr>
              <w:shd w:val="clear"/>
              <w:spacing w:line="560" w:lineRule="exact"/>
              <w:rPr>
                <w:rFonts w:hint="eastAsia" w:ascii="宋体" w:hAnsi="宋体" w:eastAsia="宋体" w:cs="宋体"/>
                <w:kern w:val="0"/>
                <w:szCs w:val="21"/>
                <w:lang w:val="zh-CN"/>
              </w:rPr>
            </w:pPr>
            <w:r>
              <w:rPr>
                <w:rFonts w:hint="eastAsia" w:ascii="宋体" w:hAnsi="宋体" w:eastAsia="宋体" w:cs="宋体"/>
                <w:color w:val="000000"/>
                <w:szCs w:val="21"/>
              </w:rPr>
              <w:t>B8.1项目经理：投标人拟派驻本项目的项目负责人（项目经理）具有：①本科及以上学历的得2分；②5年及以上物业管理经验（截止至2025年5月31日）的得2分。本项满分4分。须提供该人员毕业证书复印件（或学信网查询截图）、有效身份证复印件、物业项目管理经验证明</w:t>
            </w:r>
            <w:r>
              <w:rPr>
                <w:rFonts w:hint="eastAsia" w:ascii="宋体" w:hAnsi="宋体" w:eastAsia="宋体" w:cs="宋体"/>
                <w:color w:val="000000"/>
                <w:szCs w:val="21"/>
                <w:lang w:val="en-US" w:eastAsia="zh-CN"/>
              </w:rPr>
              <w:t>[</w:t>
            </w:r>
            <w:r>
              <w:rPr>
                <w:rFonts w:hint="eastAsia"/>
              </w:rPr>
              <w:t>如项目合同（体现人员信息）或业主证明材料（经业主单位盖章）等能体现对应人员的工作经验证明材料</w:t>
            </w:r>
            <w:r>
              <w:rPr>
                <w:rFonts w:hint="eastAsia" w:ascii="宋体" w:hAnsi="宋体" w:eastAsia="宋体" w:cs="宋体"/>
                <w:szCs w:val="21"/>
                <w:lang w:val="en-US" w:eastAsia="zh-CN"/>
              </w:rPr>
              <w:t>]</w:t>
            </w:r>
            <w:r>
              <w:rPr>
                <w:rFonts w:hint="eastAsia" w:ascii="宋体" w:hAnsi="宋体" w:eastAsia="宋体" w:cs="宋体"/>
                <w:color w:val="000000"/>
                <w:szCs w:val="21"/>
              </w:rPr>
              <w:t>以及投标截止时间前六个月(不含投标截止时间当月)中任一个月份投标人为其缴交社保的证明材料复印件</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若为投标文件递交截止时间的当月成立的供应商,可提供依法缴纳社会保障资金承诺书（格式自拟）视同满足社保要求</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，未提供或不符合要求的不得分。</w:t>
            </w:r>
          </w:p>
        </w:tc>
        <w:tc>
          <w:tcPr>
            <w:tcW w:w="838" w:type="dxa"/>
            <w:noWrap/>
            <w:vAlign w:val="center"/>
          </w:tcPr>
          <w:p w14:paraId="260D5B20">
            <w:pPr>
              <w:shd w:val="clear"/>
              <w:spacing w:line="560" w:lineRule="exact"/>
              <w:jc w:val="center"/>
              <w:rPr>
                <w:rFonts w:hint="eastAsia" w:ascii="宋体" w:hAnsi="宋体" w:eastAsia="宋体" w:cs="宋体"/>
                <w:szCs w:val="21"/>
              </w:rPr>
            </w:pPr>
            <w:r>
              <w:rPr>
                <w:rFonts w:hint="eastAsia" w:ascii="宋体" w:hAnsi="宋体" w:eastAsia="宋体" w:cs="宋体"/>
                <w:szCs w:val="21"/>
              </w:rPr>
              <w:t>4</w:t>
            </w:r>
          </w:p>
        </w:tc>
      </w:tr>
      <w:tr w14:paraId="19B8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0A8EA1D0">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10</w:t>
            </w:r>
          </w:p>
        </w:tc>
        <w:tc>
          <w:tcPr>
            <w:tcW w:w="681" w:type="dxa"/>
            <w:vMerge w:val="continue"/>
            <w:noWrap/>
            <w:vAlign w:val="center"/>
          </w:tcPr>
          <w:p w14:paraId="0CF04B54">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vMerge w:val="continue"/>
            <w:noWrap/>
            <w:vAlign w:val="center"/>
          </w:tcPr>
          <w:p w14:paraId="1D63425B">
            <w:pPr>
              <w:shd w:val="clear"/>
              <w:spacing w:line="560" w:lineRule="exact"/>
              <w:jc w:val="center"/>
              <w:rPr>
                <w:rFonts w:hint="eastAsia" w:ascii="宋体" w:hAnsi="宋体" w:eastAsia="宋体" w:cs="宋体"/>
                <w:kern w:val="0"/>
                <w:szCs w:val="21"/>
                <w:lang w:val="zh-CN"/>
              </w:rPr>
            </w:pPr>
          </w:p>
        </w:tc>
        <w:tc>
          <w:tcPr>
            <w:tcW w:w="5842" w:type="dxa"/>
            <w:noWrap/>
          </w:tcPr>
          <w:p w14:paraId="12B295EE">
            <w:pPr>
              <w:shd w:val="clear"/>
              <w:spacing w:line="560" w:lineRule="exact"/>
              <w:rPr>
                <w:rFonts w:hint="eastAsia" w:ascii="宋体" w:hAnsi="宋体" w:eastAsia="宋体" w:cs="宋体"/>
                <w:kern w:val="0"/>
                <w:szCs w:val="21"/>
                <w:lang w:val="zh-CN"/>
              </w:rPr>
            </w:pPr>
            <w:r>
              <w:rPr>
                <w:rFonts w:hint="eastAsia" w:ascii="宋体" w:hAnsi="宋体" w:eastAsia="宋体" w:cs="宋体"/>
                <w:color w:val="000000"/>
                <w:szCs w:val="21"/>
              </w:rPr>
              <w:t>B8.2综合主管：投标人拟派驻本项目的综合主管具有：①本科及以上学历，得2分；②5年及以上物业服务工作经验（截止至2025年5月31日），得2分。须提供以上人员毕业证书复印件（或学信网查询截图）、有效身份证复印件、物业服务工作经验证明</w:t>
            </w:r>
            <w:r>
              <w:rPr>
                <w:rFonts w:hint="eastAsia" w:ascii="宋体" w:hAnsi="宋体" w:eastAsia="宋体" w:cs="宋体"/>
                <w:szCs w:val="21"/>
                <w:lang w:val="en-US" w:eastAsia="zh-CN"/>
              </w:rPr>
              <w:t>[</w:t>
            </w:r>
            <w:r>
              <w:rPr>
                <w:rFonts w:hint="eastAsia" w:ascii="宋体" w:hAnsi="宋体" w:eastAsia="宋体" w:cs="宋体"/>
                <w:szCs w:val="21"/>
              </w:rPr>
              <w:t>如</w:t>
            </w:r>
            <w:r>
              <w:rPr>
                <w:rFonts w:hint="eastAsia"/>
              </w:rPr>
              <w:t>项目合同（体现人员信息）或业主证明材料（经业主单位盖章）等能体现对应人员的工作经验证明材料</w:t>
            </w:r>
            <w:r>
              <w:rPr>
                <w:rFonts w:hint="eastAsia"/>
                <w:lang w:val="en-US" w:eastAsia="zh-CN"/>
              </w:rPr>
              <w:t>]</w:t>
            </w:r>
            <w:r>
              <w:rPr>
                <w:rFonts w:hint="eastAsia" w:ascii="宋体" w:hAnsi="宋体" w:eastAsia="宋体" w:cs="宋体"/>
                <w:color w:val="000000"/>
                <w:szCs w:val="21"/>
              </w:rPr>
              <w:t>以及投标截止时间前六个月(不含投标截止时间当月)中任一个月份投标人为其缴交社保的证明材料复印件</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若为投标文件递交截止时间的当月成立的供应商,可提供依法缴纳社会保障资金承诺书（格式自拟）视同满足社保要求</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，未提供或不符合要求的不得分。</w:t>
            </w:r>
          </w:p>
        </w:tc>
        <w:tc>
          <w:tcPr>
            <w:tcW w:w="838" w:type="dxa"/>
            <w:noWrap/>
            <w:vAlign w:val="center"/>
          </w:tcPr>
          <w:p w14:paraId="6E9D5623">
            <w:pPr>
              <w:shd w:val="clear"/>
              <w:spacing w:line="560" w:lineRule="exact"/>
              <w:jc w:val="center"/>
              <w:rPr>
                <w:rFonts w:hint="eastAsia" w:ascii="宋体" w:hAnsi="宋体" w:eastAsia="宋体" w:cs="宋体"/>
                <w:szCs w:val="21"/>
              </w:rPr>
            </w:pPr>
            <w:r>
              <w:rPr>
                <w:rFonts w:hint="eastAsia" w:ascii="宋体" w:hAnsi="宋体" w:eastAsia="宋体" w:cs="宋体"/>
                <w:szCs w:val="21"/>
              </w:rPr>
              <w:t>4</w:t>
            </w:r>
          </w:p>
        </w:tc>
      </w:tr>
      <w:tr w14:paraId="22CD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0ED1295A">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11</w:t>
            </w:r>
          </w:p>
        </w:tc>
        <w:tc>
          <w:tcPr>
            <w:tcW w:w="681" w:type="dxa"/>
            <w:vMerge w:val="continue"/>
            <w:noWrap/>
          </w:tcPr>
          <w:p w14:paraId="5434221A">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vMerge w:val="continue"/>
            <w:noWrap/>
            <w:vAlign w:val="center"/>
          </w:tcPr>
          <w:p w14:paraId="2C33D008">
            <w:pPr>
              <w:shd w:val="clear"/>
              <w:spacing w:line="560" w:lineRule="exact"/>
              <w:jc w:val="center"/>
              <w:rPr>
                <w:rFonts w:hint="eastAsia" w:ascii="宋体" w:hAnsi="宋体" w:eastAsia="宋体" w:cs="宋体"/>
                <w:kern w:val="0"/>
                <w:szCs w:val="21"/>
                <w:lang w:val="zh-CN"/>
              </w:rPr>
            </w:pPr>
          </w:p>
        </w:tc>
        <w:tc>
          <w:tcPr>
            <w:tcW w:w="5842" w:type="dxa"/>
            <w:noWrap/>
          </w:tcPr>
          <w:p w14:paraId="72886A48">
            <w:pPr>
              <w:shd w:val="clear"/>
              <w:spacing w:line="560" w:lineRule="exact"/>
              <w:rPr>
                <w:rFonts w:hint="eastAsia" w:ascii="宋体" w:hAnsi="宋体" w:eastAsia="宋体" w:cs="宋体"/>
                <w:kern w:val="0"/>
                <w:szCs w:val="21"/>
                <w:lang w:val="zh-CN"/>
              </w:rPr>
            </w:pPr>
            <w:r>
              <w:rPr>
                <w:rFonts w:hint="eastAsia" w:ascii="宋体" w:hAnsi="宋体" w:eastAsia="宋体" w:cs="宋体"/>
                <w:color w:val="000000"/>
                <w:szCs w:val="21"/>
              </w:rPr>
              <w:t>B8.3客服人员：投标人拟派驻本项目的客服人员（任一前台接待员）具有：①本科及以上学历，得1分；②5年及以上物业服务工作经验（截止至2025年5月31日），得1分。须提供以上人员毕业证书复印件（或学信网查询截图）、有效身份证复印件、物业服务工作经验证明</w:t>
            </w:r>
            <w:r>
              <w:rPr>
                <w:rFonts w:hint="eastAsia" w:ascii="宋体" w:hAnsi="宋体" w:eastAsia="宋体" w:cs="宋体"/>
                <w:szCs w:val="21"/>
                <w:lang w:val="en-US" w:eastAsia="zh-CN"/>
              </w:rPr>
              <w:t>[</w:t>
            </w:r>
            <w:r>
              <w:rPr>
                <w:rFonts w:hint="eastAsia" w:ascii="宋体" w:hAnsi="宋体" w:eastAsia="宋体" w:cs="宋体"/>
                <w:szCs w:val="21"/>
              </w:rPr>
              <w:t>如</w:t>
            </w:r>
            <w:r>
              <w:rPr>
                <w:rFonts w:hint="eastAsia"/>
              </w:rPr>
              <w:t>项目合同（体现人员信息）或业主证明材料（经业主单位盖章）等能体现对应人员的工作经验证明材料</w:t>
            </w:r>
            <w:r>
              <w:rPr>
                <w:rFonts w:hint="eastAsia"/>
                <w:lang w:val="en-US" w:eastAsia="zh-CN"/>
              </w:rPr>
              <w:t>]</w:t>
            </w:r>
            <w:r>
              <w:rPr>
                <w:rFonts w:hint="eastAsia" w:ascii="宋体" w:hAnsi="宋体" w:eastAsia="宋体" w:cs="宋体"/>
                <w:color w:val="000000"/>
                <w:szCs w:val="21"/>
              </w:rPr>
              <w:t>以及投标截止时间前六个月(不含投标截止时间当月)中任一个月份投标人为其缴交社保的证明材料复印件</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若为投标文件递交截止时间的当月成立的供应商,可提供依法缴纳社会保障资金承诺书（格式自拟）视同满足社保要求</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，未提供或不符合要求的不得分。</w:t>
            </w:r>
          </w:p>
        </w:tc>
        <w:tc>
          <w:tcPr>
            <w:tcW w:w="838" w:type="dxa"/>
            <w:noWrap/>
            <w:vAlign w:val="center"/>
          </w:tcPr>
          <w:p w14:paraId="20F84198">
            <w:pPr>
              <w:shd w:val="clear"/>
              <w:spacing w:line="5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r>
      <w:tr w14:paraId="4CE9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1C6B45EB">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12</w:t>
            </w:r>
          </w:p>
        </w:tc>
        <w:tc>
          <w:tcPr>
            <w:tcW w:w="681" w:type="dxa"/>
            <w:vMerge w:val="continue"/>
            <w:noWrap/>
          </w:tcPr>
          <w:p w14:paraId="6D99D4A9">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vMerge w:val="continue"/>
            <w:shd w:val="clear" w:color="auto" w:fill="auto"/>
            <w:noWrap/>
            <w:vAlign w:val="center"/>
          </w:tcPr>
          <w:p w14:paraId="037DB2CC">
            <w:pPr>
              <w:shd w:val="clear"/>
              <w:spacing w:line="560" w:lineRule="exact"/>
              <w:jc w:val="center"/>
              <w:rPr>
                <w:rFonts w:hint="eastAsia" w:ascii="宋体" w:hAnsi="宋体" w:eastAsia="宋体" w:cs="宋体"/>
                <w:kern w:val="0"/>
                <w:szCs w:val="21"/>
              </w:rPr>
            </w:pPr>
          </w:p>
        </w:tc>
        <w:tc>
          <w:tcPr>
            <w:tcW w:w="5842" w:type="dxa"/>
            <w:shd w:val="clear" w:color="auto" w:fill="auto"/>
            <w:noWrap/>
          </w:tcPr>
          <w:p w14:paraId="46D02BA3">
            <w:pPr>
              <w:shd w:val="clear"/>
              <w:spacing w:line="560" w:lineRule="exact"/>
              <w:rPr>
                <w:rFonts w:hint="eastAsia" w:ascii="宋体" w:hAnsi="宋体" w:eastAsia="宋体" w:cs="宋体"/>
                <w:kern w:val="0"/>
                <w:szCs w:val="21"/>
              </w:rPr>
            </w:pPr>
            <w:r>
              <w:rPr>
                <w:rFonts w:hint="eastAsia" w:ascii="宋体" w:hAnsi="宋体" w:eastAsia="宋体" w:cs="宋体"/>
                <w:color w:val="000000"/>
                <w:szCs w:val="21"/>
              </w:rPr>
              <w:t>B8.4工程主管：投标人拟派本项目的工程主管具有：①本科及以上学历，得2分；②5年及以上物业服务工程类工作经验（截止至2025年5月31日），得2分；③年龄50周岁以下（截止至2025年5月31日），得2分。须提供以上人员相关毕业证书复印件（或学信网查询截图）、有效身份证复印件、物业服务工程类工作经验证明</w:t>
            </w:r>
            <w:r>
              <w:rPr>
                <w:rFonts w:hint="eastAsia" w:ascii="宋体" w:hAnsi="宋体" w:eastAsia="宋体" w:cs="宋体"/>
                <w:szCs w:val="21"/>
                <w:lang w:val="en-US" w:eastAsia="zh-CN"/>
              </w:rPr>
              <w:t>[</w:t>
            </w:r>
            <w:r>
              <w:rPr>
                <w:rFonts w:hint="eastAsia" w:ascii="宋体" w:hAnsi="宋体" w:eastAsia="宋体" w:cs="宋体"/>
                <w:szCs w:val="21"/>
              </w:rPr>
              <w:t>如</w:t>
            </w:r>
            <w:r>
              <w:rPr>
                <w:rFonts w:hint="eastAsia"/>
              </w:rPr>
              <w:t>项目合同（体现人员信息）或业主证明材料（经业主单位盖章）等能体现对应人员的工作经验证明材料</w:t>
            </w:r>
            <w:r>
              <w:rPr>
                <w:rFonts w:hint="eastAsia"/>
                <w:lang w:val="en-US" w:eastAsia="zh-CN"/>
              </w:rPr>
              <w:t>]</w:t>
            </w:r>
            <w:r>
              <w:rPr>
                <w:rFonts w:hint="eastAsia" w:ascii="宋体" w:hAnsi="宋体" w:eastAsia="宋体" w:cs="宋体"/>
                <w:color w:val="000000"/>
                <w:szCs w:val="21"/>
              </w:rPr>
              <w:t>以及投标截止时间前六个月(不含投标截止时间当月)中任一个月份投标人为其缴交社保的证明材料复印件</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若为投标文件递交截止时间的当月成立的供应商,可提供依法缴纳社会保障资金承诺书（格式自拟）视同满足社保要求</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，未提供或不符合要求的均不得分。</w:t>
            </w:r>
          </w:p>
        </w:tc>
        <w:tc>
          <w:tcPr>
            <w:tcW w:w="838" w:type="dxa"/>
            <w:noWrap/>
            <w:vAlign w:val="center"/>
          </w:tcPr>
          <w:p w14:paraId="689982C5">
            <w:pPr>
              <w:shd w:val="clear"/>
              <w:spacing w:line="560" w:lineRule="exact"/>
              <w:jc w:val="center"/>
              <w:rPr>
                <w:rFonts w:hint="eastAsia" w:ascii="宋体" w:hAnsi="宋体" w:eastAsia="宋体" w:cs="宋体"/>
                <w:szCs w:val="21"/>
              </w:rPr>
            </w:pPr>
            <w:r>
              <w:rPr>
                <w:rFonts w:hint="eastAsia" w:ascii="宋体" w:hAnsi="宋体" w:eastAsia="宋体" w:cs="宋体"/>
                <w:szCs w:val="21"/>
              </w:rPr>
              <w:t>6</w:t>
            </w:r>
          </w:p>
        </w:tc>
      </w:tr>
      <w:tr w14:paraId="0C7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7E54B7A3">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13</w:t>
            </w:r>
          </w:p>
        </w:tc>
        <w:tc>
          <w:tcPr>
            <w:tcW w:w="681" w:type="dxa"/>
            <w:vMerge w:val="continue"/>
            <w:noWrap/>
          </w:tcPr>
          <w:p w14:paraId="15E534C3">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vMerge w:val="continue"/>
            <w:noWrap/>
            <w:vAlign w:val="center"/>
          </w:tcPr>
          <w:p w14:paraId="6111B897">
            <w:pPr>
              <w:shd w:val="clear"/>
              <w:spacing w:line="560" w:lineRule="exact"/>
              <w:jc w:val="center"/>
              <w:rPr>
                <w:rFonts w:hint="eastAsia" w:ascii="宋体" w:hAnsi="宋体" w:eastAsia="宋体" w:cs="宋体"/>
                <w:kern w:val="0"/>
                <w:szCs w:val="21"/>
              </w:rPr>
            </w:pPr>
          </w:p>
        </w:tc>
        <w:tc>
          <w:tcPr>
            <w:tcW w:w="5842" w:type="dxa"/>
            <w:noWrap/>
          </w:tcPr>
          <w:p w14:paraId="18967F8D">
            <w:pPr>
              <w:pStyle w:val="16"/>
              <w:shd w:val="clear"/>
              <w:spacing w:line="560" w:lineRule="exact"/>
              <w:rPr>
                <w:rFonts w:hint="eastAsia" w:ascii="宋体" w:hAnsi="宋体" w:cs="宋体"/>
                <w:kern w:val="0"/>
                <w:szCs w:val="21"/>
              </w:rPr>
            </w:pPr>
            <w:r>
              <w:rPr>
                <w:rFonts w:hint="eastAsia" w:ascii="宋体" w:hAnsi="宋体" w:cs="宋体"/>
                <w:color w:val="000000"/>
                <w:szCs w:val="21"/>
              </w:rPr>
              <w:t>B8.5投标人拟投入本项目的工程技术人员，其中一人具有①大专及以上学历，得1分；②政府职能部门颁发的高压电工作业证，得1分；③团队人员均满足年龄50周岁以下（截止至2025年5月31日），得1分；④5年及以上物业服务工程类工作经验（截止至2025年5月31日），得1分。须提供以上人员相关证书复印件、毕业证书复印件（或学信网查询截图）、有效身份证复印件、物业服务工程类工作经验证明</w:t>
            </w:r>
            <w:r>
              <w:rPr>
                <w:rFonts w:hint="eastAsia" w:ascii="宋体" w:hAnsi="宋体" w:cs="宋体"/>
                <w:color w:val="000000"/>
                <w:szCs w:val="21"/>
                <w:lang w:val="en-US" w:eastAsia="zh-CN"/>
              </w:rPr>
              <w:t>[</w:t>
            </w:r>
            <w:r>
              <w:rPr>
                <w:rFonts w:hint="eastAsia"/>
              </w:rPr>
              <w:t>如项目合同（体现人员信息）或业主证明材料（经业主单位盖章）等能体现对应人员的工作经验证明材料</w:t>
            </w:r>
            <w:r>
              <w:rPr>
                <w:rFonts w:hint="eastAsia" w:ascii="宋体" w:hAnsi="宋体" w:cs="宋体"/>
                <w:szCs w:val="21"/>
                <w:lang w:val="en-US" w:eastAsia="zh-CN"/>
              </w:rPr>
              <w:t>]</w:t>
            </w:r>
            <w:r>
              <w:rPr>
                <w:rFonts w:hint="eastAsia"/>
              </w:rPr>
              <w:t>以</w:t>
            </w:r>
            <w:r>
              <w:rPr>
                <w:rFonts w:hint="eastAsia" w:ascii="宋体" w:hAnsi="宋体" w:cs="宋体"/>
                <w:color w:val="000000"/>
                <w:szCs w:val="21"/>
              </w:rPr>
              <w:t>及投标截止时间前六个月(不含投标截止时间当月)中任一个月份投标人为其缴交社保的证明材料复印件</w:t>
            </w:r>
            <w:r>
              <w:rPr>
                <w:rFonts w:hint="eastAsia" w:ascii="宋体" w:hAnsi="宋体" w:cs="宋体"/>
                <w:color w:val="000000"/>
                <w:szCs w:val="21"/>
                <w:lang w:val="en-US" w:eastAsia="zh-CN"/>
              </w:rPr>
              <w:t>[</w:t>
            </w:r>
            <w:r>
              <w:rPr>
                <w:rFonts w:hint="eastAsia" w:ascii="宋体" w:hAnsi="宋体" w:cs="宋体"/>
                <w:color w:val="000000"/>
                <w:szCs w:val="21"/>
              </w:rPr>
              <w:t>若为投标文件递交截止时间的当月成立的供应商,</w:t>
            </w:r>
            <w:r>
              <w:rPr>
                <w:rFonts w:hint="eastAsia" w:ascii="宋体" w:hAnsi="宋体" w:eastAsia="宋体" w:cs="宋体"/>
                <w:color w:val="000000"/>
                <w:szCs w:val="21"/>
              </w:rPr>
              <w:t>可提供依法缴纳社会保障资金承诺书（格式自拟）</w:t>
            </w:r>
            <w:r>
              <w:rPr>
                <w:rFonts w:hint="eastAsia" w:ascii="宋体" w:hAnsi="宋体" w:cs="宋体"/>
                <w:color w:val="000000"/>
                <w:szCs w:val="21"/>
              </w:rPr>
              <w:t>视同满足社保要求</w:t>
            </w:r>
            <w:r>
              <w:rPr>
                <w:rFonts w:hint="eastAsia" w:ascii="宋体" w:hAnsi="宋体" w:cs="宋体"/>
                <w:color w:val="000000"/>
                <w:szCs w:val="21"/>
                <w:lang w:val="en-US" w:eastAsia="zh-CN"/>
              </w:rPr>
              <w:t>]</w:t>
            </w:r>
            <w:r>
              <w:rPr>
                <w:rFonts w:hint="eastAsia" w:ascii="宋体" w:hAnsi="宋体" w:cs="宋体"/>
                <w:color w:val="000000"/>
                <w:szCs w:val="21"/>
              </w:rPr>
              <w:t>，未提供或不符合要求的均不得分。</w:t>
            </w:r>
          </w:p>
        </w:tc>
        <w:tc>
          <w:tcPr>
            <w:tcW w:w="838" w:type="dxa"/>
            <w:noWrap/>
            <w:vAlign w:val="center"/>
          </w:tcPr>
          <w:p w14:paraId="32DA1B47">
            <w:pPr>
              <w:shd w:val="clear"/>
              <w:spacing w:line="560" w:lineRule="exact"/>
              <w:jc w:val="center"/>
              <w:rPr>
                <w:rFonts w:hint="eastAsia" w:ascii="宋体" w:hAnsi="宋体" w:eastAsia="宋体" w:cs="宋体"/>
                <w:szCs w:val="21"/>
              </w:rPr>
            </w:pPr>
            <w:r>
              <w:rPr>
                <w:rFonts w:hint="eastAsia" w:ascii="宋体" w:hAnsi="宋体" w:eastAsia="宋体" w:cs="宋体"/>
                <w:szCs w:val="21"/>
              </w:rPr>
              <w:t>4</w:t>
            </w:r>
          </w:p>
        </w:tc>
      </w:tr>
      <w:tr w14:paraId="09AE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66D786A1">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14</w:t>
            </w:r>
          </w:p>
        </w:tc>
        <w:tc>
          <w:tcPr>
            <w:tcW w:w="681" w:type="dxa"/>
            <w:vMerge w:val="continue"/>
            <w:noWrap/>
          </w:tcPr>
          <w:p w14:paraId="1B3968F1">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vMerge w:val="continue"/>
            <w:shd w:val="clear" w:color="auto" w:fill="auto"/>
            <w:noWrap/>
            <w:vAlign w:val="center"/>
          </w:tcPr>
          <w:p w14:paraId="38F8108C">
            <w:pPr>
              <w:shd w:val="clear"/>
              <w:spacing w:line="560" w:lineRule="exact"/>
              <w:jc w:val="center"/>
              <w:rPr>
                <w:rFonts w:hint="eastAsia" w:ascii="宋体" w:hAnsi="宋体" w:eastAsia="宋体" w:cs="宋体"/>
                <w:kern w:val="0"/>
                <w:szCs w:val="21"/>
              </w:rPr>
            </w:pPr>
          </w:p>
        </w:tc>
        <w:tc>
          <w:tcPr>
            <w:tcW w:w="5842" w:type="dxa"/>
            <w:shd w:val="clear" w:color="auto" w:fill="auto"/>
            <w:noWrap/>
          </w:tcPr>
          <w:p w14:paraId="0BD1651E">
            <w:pPr>
              <w:shd w:val="clear"/>
              <w:spacing w:line="560" w:lineRule="exact"/>
              <w:rPr>
                <w:rFonts w:hint="eastAsia" w:ascii="宋体" w:hAnsi="宋体" w:eastAsia="宋体" w:cs="宋体"/>
                <w:kern w:val="0"/>
                <w:szCs w:val="21"/>
              </w:rPr>
            </w:pPr>
            <w:r>
              <w:rPr>
                <w:rFonts w:hint="eastAsia" w:ascii="宋体" w:hAnsi="宋体" w:eastAsia="宋体" w:cs="宋体"/>
                <w:color w:val="000000"/>
                <w:szCs w:val="21"/>
              </w:rPr>
              <w:t>B8.6安防队长：投标人拟派驻本项目的安防队长，①具有大专或以上学历，得2分；②具有人社部门颁发的保安员二级/技师及以上证书，得2分。须提供以上人员有效身份证复印件、人社部门颁发的二级/技师及以上保安员职业资格证书、毕业证书复印件（或学信网查询截图）以及投标截止时间前六个月(不含投标截止时间当月)中任一个月份投标人为其缴交社保的证明材料复印件</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若为投标文件递交截止时间的当月成立的供应商,可提供依法缴纳社会保障资金承诺书（格式自拟）视同满足社保要求</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，未提供或不符合要求的均不得分。</w:t>
            </w:r>
          </w:p>
        </w:tc>
        <w:tc>
          <w:tcPr>
            <w:tcW w:w="838" w:type="dxa"/>
            <w:noWrap/>
            <w:vAlign w:val="center"/>
          </w:tcPr>
          <w:p w14:paraId="7793011C">
            <w:pPr>
              <w:shd w:val="clear"/>
              <w:spacing w:line="560" w:lineRule="exact"/>
              <w:jc w:val="center"/>
              <w:rPr>
                <w:rFonts w:hint="eastAsia" w:ascii="宋体" w:hAnsi="宋体" w:eastAsia="宋体" w:cs="宋体"/>
                <w:szCs w:val="21"/>
              </w:rPr>
            </w:pPr>
            <w:r>
              <w:rPr>
                <w:rFonts w:hint="eastAsia" w:ascii="宋体" w:hAnsi="宋体" w:eastAsia="宋体" w:cs="宋体"/>
                <w:szCs w:val="21"/>
              </w:rPr>
              <w:t>4</w:t>
            </w:r>
          </w:p>
        </w:tc>
      </w:tr>
      <w:tr w14:paraId="2A39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49F463C0">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15</w:t>
            </w:r>
          </w:p>
        </w:tc>
        <w:tc>
          <w:tcPr>
            <w:tcW w:w="681" w:type="dxa"/>
            <w:vMerge w:val="continue"/>
            <w:noWrap/>
          </w:tcPr>
          <w:p w14:paraId="6830A940">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vMerge w:val="continue"/>
            <w:noWrap/>
            <w:vAlign w:val="center"/>
          </w:tcPr>
          <w:p w14:paraId="42AECBA8">
            <w:pPr>
              <w:shd w:val="clear"/>
              <w:spacing w:line="560" w:lineRule="exact"/>
              <w:jc w:val="center"/>
              <w:rPr>
                <w:rFonts w:hint="eastAsia" w:ascii="宋体" w:hAnsi="宋体" w:eastAsia="宋体" w:cs="宋体"/>
                <w:kern w:val="0"/>
                <w:szCs w:val="21"/>
              </w:rPr>
            </w:pPr>
          </w:p>
        </w:tc>
        <w:tc>
          <w:tcPr>
            <w:tcW w:w="5842" w:type="dxa"/>
            <w:noWrap/>
          </w:tcPr>
          <w:p w14:paraId="09B30847">
            <w:pPr>
              <w:shd w:val="clear"/>
              <w:spacing w:line="560" w:lineRule="exact"/>
              <w:rPr>
                <w:rFonts w:hint="eastAsia" w:ascii="宋体" w:hAnsi="宋体" w:eastAsia="宋体" w:cs="宋体"/>
                <w:kern w:val="0"/>
                <w:szCs w:val="21"/>
              </w:rPr>
            </w:pPr>
            <w:r>
              <w:rPr>
                <w:rFonts w:hint="eastAsia" w:ascii="宋体" w:hAnsi="宋体" w:eastAsia="宋体" w:cs="宋体"/>
                <w:color w:val="000000"/>
                <w:szCs w:val="21"/>
              </w:rPr>
              <w:t>B8.7投标人拟投入本项目的安保人员持证上岗，其中每有一名退役或</w:t>
            </w:r>
            <w:r>
              <w:rPr>
                <w:rFonts w:hint="eastAsia" w:ascii="宋体" w:hAnsi="宋体" w:eastAsia="宋体" w:cs="宋体"/>
              </w:rPr>
              <w:t>退伍</w:t>
            </w:r>
            <w:r>
              <w:rPr>
                <w:rFonts w:hint="eastAsia" w:ascii="宋体" w:hAnsi="宋体" w:eastAsia="宋体" w:cs="宋体"/>
                <w:color w:val="000000"/>
                <w:szCs w:val="21"/>
              </w:rPr>
              <w:t>军人的得1分，满分3分。须提供上述人员有效身份证复印件、退役或</w:t>
            </w:r>
            <w:r>
              <w:rPr>
                <w:rFonts w:hint="eastAsia" w:ascii="宋体" w:hAnsi="宋体" w:eastAsia="宋体" w:cs="宋体"/>
              </w:rPr>
              <w:t>退伍</w:t>
            </w:r>
            <w:r>
              <w:rPr>
                <w:rFonts w:hint="eastAsia" w:ascii="宋体" w:hAnsi="宋体" w:eastAsia="宋体" w:cs="宋体"/>
                <w:color w:val="000000"/>
                <w:szCs w:val="21"/>
              </w:rPr>
              <w:t>证明或退役军人优待证以及投标截止时间前六个月(不含投标截止时间当月)中任一个月份投标人为其缴交社保的证明材料复印件</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若为投标文件递交截止时间的当月成立的供应商,可提供依法缴纳社会保障资金承诺书（格式自拟）视同满足社保要求</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，未提供或不符合要求的均不得分。</w:t>
            </w:r>
          </w:p>
        </w:tc>
        <w:tc>
          <w:tcPr>
            <w:tcW w:w="838" w:type="dxa"/>
            <w:noWrap/>
            <w:vAlign w:val="center"/>
          </w:tcPr>
          <w:p w14:paraId="3561AB94">
            <w:pPr>
              <w:shd w:val="clear"/>
              <w:spacing w:line="560" w:lineRule="exact"/>
              <w:jc w:val="center"/>
              <w:rPr>
                <w:rFonts w:hint="eastAsia" w:ascii="宋体" w:hAnsi="宋体" w:eastAsia="宋体" w:cs="宋体"/>
                <w:szCs w:val="21"/>
              </w:rPr>
            </w:pPr>
            <w:r>
              <w:rPr>
                <w:rFonts w:hint="eastAsia" w:ascii="宋体" w:hAnsi="宋体" w:eastAsia="宋体" w:cs="宋体"/>
                <w:szCs w:val="21"/>
              </w:rPr>
              <w:t>3</w:t>
            </w:r>
          </w:p>
        </w:tc>
      </w:tr>
      <w:tr w14:paraId="2007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26" w:type="dxa"/>
            <w:gridSpan w:val="5"/>
            <w:noWrap/>
            <w:vAlign w:val="center"/>
          </w:tcPr>
          <w:p w14:paraId="46931BCA">
            <w:pPr>
              <w:widowControl/>
              <w:shd w:val="clear"/>
              <w:overflowPunct w:val="0"/>
              <w:adjustRightInd w:val="0"/>
              <w:spacing w:line="560" w:lineRule="exact"/>
              <w:textAlignment w:val="baseline"/>
              <w:rPr>
                <w:rFonts w:hint="eastAsia" w:ascii="宋体" w:hAnsi="宋体" w:eastAsia="宋体" w:cs="宋体"/>
                <w:szCs w:val="21"/>
                <w:vertAlign w:val="subscript"/>
              </w:rPr>
            </w:pPr>
            <w:r>
              <w:rPr>
                <w:rFonts w:hint="eastAsia" w:ascii="宋体" w:hAnsi="宋体" w:eastAsia="宋体" w:cs="宋体"/>
                <w:szCs w:val="21"/>
              </w:rPr>
              <w:t>各投标人的技术得分=</w:t>
            </w:r>
            <w:r>
              <w:rPr>
                <w:rFonts w:hint="eastAsia" w:ascii="宋体" w:hAnsi="宋体" w:eastAsia="宋体" w:cs="宋体"/>
                <w:kern w:val="0"/>
                <w:szCs w:val="21"/>
              </w:rPr>
              <w:t>B1+B2+B3+B4+B5+B6+B7+B8；</w:t>
            </w:r>
          </w:p>
        </w:tc>
      </w:tr>
      <w:tr w14:paraId="2C04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62F1C3E8">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16</w:t>
            </w:r>
          </w:p>
        </w:tc>
        <w:tc>
          <w:tcPr>
            <w:tcW w:w="681" w:type="dxa"/>
            <w:vMerge w:val="restart"/>
            <w:noWrap/>
            <w:vAlign w:val="center"/>
          </w:tcPr>
          <w:p w14:paraId="0F70DB25">
            <w:pPr>
              <w:widowControl/>
              <w:shd w:val="clear"/>
              <w:overflowPunct w:val="0"/>
              <w:adjustRightInd w:val="0"/>
              <w:spacing w:line="560" w:lineRule="exact"/>
              <w:jc w:val="center"/>
              <w:textAlignment w:val="baseline"/>
              <w:rPr>
                <w:rFonts w:hint="eastAsia" w:ascii="宋体" w:hAnsi="宋体" w:eastAsia="宋体" w:cs="宋体"/>
                <w:kern w:val="0"/>
                <w:szCs w:val="21"/>
                <w:lang w:val="zh-CN"/>
              </w:rPr>
            </w:pPr>
            <w:r>
              <w:rPr>
                <w:rFonts w:hint="eastAsia" w:ascii="宋体" w:hAnsi="宋体" w:eastAsia="宋体" w:cs="宋体"/>
                <w:kern w:val="0"/>
                <w:szCs w:val="21"/>
                <w:lang w:val="zh-CN"/>
              </w:rPr>
              <w:t>商务因素</w:t>
            </w:r>
          </w:p>
        </w:tc>
        <w:tc>
          <w:tcPr>
            <w:tcW w:w="1162" w:type="dxa"/>
            <w:shd w:val="clear" w:color="auto" w:fill="auto"/>
            <w:noWrap/>
            <w:vAlign w:val="center"/>
          </w:tcPr>
          <w:p w14:paraId="3B95565A">
            <w:pPr>
              <w:shd w:val="clear"/>
              <w:spacing w:line="560" w:lineRule="exact"/>
              <w:jc w:val="center"/>
              <w:rPr>
                <w:rFonts w:hint="eastAsia" w:ascii="宋体" w:hAnsi="宋体" w:eastAsia="宋体" w:cs="宋体"/>
                <w:color w:val="000000"/>
                <w:szCs w:val="21"/>
              </w:rPr>
            </w:pPr>
            <w:r>
              <w:rPr>
                <w:rFonts w:hint="eastAsia" w:ascii="宋体" w:hAnsi="宋体" w:eastAsia="宋体" w:cs="宋体"/>
                <w:color w:val="000000"/>
                <w:szCs w:val="21"/>
              </w:rPr>
              <w:t>C1.体系认证</w:t>
            </w:r>
          </w:p>
        </w:tc>
        <w:tc>
          <w:tcPr>
            <w:tcW w:w="5842" w:type="dxa"/>
            <w:shd w:val="clear" w:color="auto" w:fill="auto"/>
            <w:noWrap/>
          </w:tcPr>
          <w:p w14:paraId="6E505A14">
            <w:pPr>
              <w:shd w:val="clear"/>
              <w:spacing w:line="560" w:lineRule="exact"/>
              <w:rPr>
                <w:rFonts w:hint="eastAsia" w:ascii="宋体" w:hAnsi="宋体" w:eastAsia="宋体" w:cs="宋体"/>
                <w:color w:val="000000"/>
                <w:szCs w:val="21"/>
                <w:lang w:val="zh-CN"/>
              </w:rPr>
            </w:pPr>
            <w:r>
              <w:rPr>
                <w:rFonts w:hint="eastAsia" w:ascii="宋体" w:hAnsi="宋体" w:eastAsia="宋体" w:cs="宋体"/>
                <w:color w:val="000000"/>
                <w:szCs w:val="21"/>
              </w:rPr>
              <w:t>根据投标人具有质量管理体系认证、环境管理体系认证、职业健康安全管理体系认证情况进行评分：具备上述每项证书且在有效期内的得1分，满分3分，须提供有效期内的证书复印件，否则不得分。</w:t>
            </w:r>
          </w:p>
        </w:tc>
        <w:tc>
          <w:tcPr>
            <w:tcW w:w="838" w:type="dxa"/>
            <w:shd w:val="clear" w:color="auto" w:fill="auto"/>
            <w:noWrap/>
            <w:vAlign w:val="center"/>
          </w:tcPr>
          <w:p w14:paraId="0FC8E5CF">
            <w:pPr>
              <w:shd w:val="clear"/>
              <w:spacing w:line="560" w:lineRule="exact"/>
              <w:jc w:val="center"/>
              <w:rPr>
                <w:rFonts w:hint="eastAsia" w:ascii="宋体" w:hAnsi="宋体" w:eastAsia="宋体" w:cs="宋体"/>
                <w:color w:val="000000"/>
                <w:szCs w:val="21"/>
              </w:rPr>
            </w:pPr>
            <w:r>
              <w:rPr>
                <w:rFonts w:hint="eastAsia" w:ascii="宋体" w:hAnsi="宋体" w:eastAsia="宋体" w:cs="宋体"/>
                <w:color w:val="000000"/>
                <w:szCs w:val="21"/>
              </w:rPr>
              <w:t>3</w:t>
            </w:r>
          </w:p>
        </w:tc>
      </w:tr>
      <w:tr w14:paraId="5F85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148A3D4B">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17</w:t>
            </w:r>
          </w:p>
        </w:tc>
        <w:tc>
          <w:tcPr>
            <w:tcW w:w="681" w:type="dxa"/>
            <w:vMerge w:val="continue"/>
            <w:noWrap/>
            <w:vAlign w:val="center"/>
          </w:tcPr>
          <w:p w14:paraId="0C67C07A">
            <w:pPr>
              <w:widowControl/>
              <w:shd w:val="clear"/>
              <w:overflowPunct w:val="0"/>
              <w:adjustRightInd w:val="0"/>
              <w:spacing w:line="560" w:lineRule="exact"/>
              <w:jc w:val="center"/>
              <w:textAlignment w:val="baseline"/>
              <w:rPr>
                <w:rFonts w:hint="eastAsia" w:ascii="宋体" w:hAnsi="宋体" w:eastAsia="宋体" w:cs="宋体"/>
                <w:kern w:val="0"/>
                <w:szCs w:val="21"/>
                <w:lang w:val="zh-CN"/>
              </w:rPr>
            </w:pPr>
          </w:p>
        </w:tc>
        <w:tc>
          <w:tcPr>
            <w:tcW w:w="1162" w:type="dxa"/>
            <w:shd w:val="clear" w:color="auto" w:fill="auto"/>
            <w:noWrap/>
            <w:vAlign w:val="center"/>
          </w:tcPr>
          <w:p w14:paraId="6633F1E7">
            <w:pPr>
              <w:shd w:val="clear"/>
              <w:spacing w:line="560" w:lineRule="exact"/>
              <w:jc w:val="center"/>
              <w:rPr>
                <w:rFonts w:hint="eastAsia" w:ascii="宋体" w:hAnsi="宋体" w:eastAsia="宋体" w:cs="宋体"/>
                <w:color w:val="000000"/>
                <w:szCs w:val="21"/>
              </w:rPr>
            </w:pPr>
            <w:r>
              <w:rPr>
                <w:rFonts w:hint="eastAsia" w:ascii="宋体" w:hAnsi="宋体" w:eastAsia="宋体" w:cs="宋体"/>
                <w:color w:val="000000"/>
                <w:szCs w:val="21"/>
              </w:rPr>
              <w:t>C2.项目案例</w:t>
            </w:r>
          </w:p>
        </w:tc>
        <w:tc>
          <w:tcPr>
            <w:tcW w:w="5842" w:type="dxa"/>
            <w:shd w:val="clear" w:color="auto" w:fill="auto"/>
            <w:noWrap/>
          </w:tcPr>
          <w:p w14:paraId="0DF7BFDF">
            <w:pPr>
              <w:shd w:val="clear"/>
              <w:spacing w:line="560" w:lineRule="exact"/>
              <w:rPr>
                <w:rFonts w:hint="eastAsia" w:ascii="宋体" w:hAnsi="宋体" w:eastAsia="宋体" w:cs="宋体"/>
                <w:color w:val="000000"/>
                <w:szCs w:val="21"/>
              </w:rPr>
            </w:pPr>
            <w:r>
              <w:rPr>
                <w:rFonts w:hint="eastAsia" w:ascii="宋体" w:hAnsi="宋体" w:eastAsia="宋体" w:cs="宋体"/>
                <w:color w:val="000000"/>
                <w:szCs w:val="21"/>
              </w:rPr>
              <w:t>根据投标人提供的自2022年1月1日至本项目投标截止时间止（以合同签订日期为准）自身已完成或正在履约的类似</w:t>
            </w:r>
            <w:r>
              <w:rPr>
                <w:rFonts w:hint="eastAsia" w:ascii="宋体" w:hAnsi="宋体" w:eastAsia="宋体" w:cs="宋体"/>
                <w:color w:val="000000"/>
                <w:szCs w:val="21"/>
                <w:lang w:val="en-US" w:eastAsia="zh-CN"/>
              </w:rPr>
              <w:t>非住宅</w:t>
            </w:r>
            <w:r>
              <w:rPr>
                <w:rFonts w:hint="eastAsia" w:ascii="宋体" w:hAnsi="宋体" w:eastAsia="宋体" w:cs="宋体"/>
                <w:color w:val="000000"/>
                <w:szCs w:val="21"/>
              </w:rPr>
              <w:t>管理服务项目【其中管理服务的项目至少应同时包含保洁、会议服务、安保、设施设备维护(工程)、绿化五项中的</w:t>
            </w:r>
            <w:r>
              <w:rPr>
                <w:rFonts w:hint="eastAsia" w:ascii="宋体" w:hAnsi="宋体" w:eastAsia="宋体" w:cs="宋体"/>
                <w:color w:val="000000"/>
                <w:szCs w:val="21"/>
                <w:lang w:val="en-US" w:eastAsia="zh-CN"/>
              </w:rPr>
              <w:t>两</w:t>
            </w:r>
            <w:r>
              <w:rPr>
                <w:rFonts w:hint="eastAsia" w:ascii="宋体" w:hAnsi="宋体" w:eastAsia="宋体" w:cs="宋体"/>
                <w:color w:val="000000"/>
                <w:szCs w:val="21"/>
              </w:rPr>
              <w:t>项内容】的案例情况进行评分：每提供1份案例证明得1分，满分7分。须提供上述案例项目的中标/成交公告（提供相关网站中标/成交公告的下载网页并注明网址）、中标/成交通知书复印件、采购合同文本复印件、以及业主单位或其使用部门出具的验收合格证明文件复印件（尚在履约的提供合同或合同期限内任意一个月的收款凭证及发票），未同时提供的则不得分。同一业主单位或其使用部门出具的案例项目只计算一次。</w:t>
            </w:r>
          </w:p>
        </w:tc>
        <w:tc>
          <w:tcPr>
            <w:tcW w:w="838" w:type="dxa"/>
            <w:shd w:val="clear" w:color="auto" w:fill="auto"/>
            <w:noWrap/>
            <w:vAlign w:val="center"/>
          </w:tcPr>
          <w:p w14:paraId="0C026C9B">
            <w:pPr>
              <w:shd w:val="clear"/>
              <w:spacing w:line="560" w:lineRule="exact"/>
              <w:jc w:val="center"/>
              <w:rPr>
                <w:rFonts w:hint="eastAsia" w:ascii="宋体" w:hAnsi="宋体" w:eastAsia="宋体" w:cs="宋体"/>
                <w:color w:val="000000"/>
                <w:szCs w:val="21"/>
              </w:rPr>
            </w:pPr>
            <w:r>
              <w:rPr>
                <w:rFonts w:hint="eastAsia" w:ascii="宋体" w:hAnsi="宋体" w:eastAsia="宋体" w:cs="宋体"/>
                <w:color w:val="000000"/>
                <w:szCs w:val="21"/>
              </w:rPr>
              <w:t>7</w:t>
            </w:r>
          </w:p>
        </w:tc>
      </w:tr>
      <w:tr w14:paraId="5D69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shd w:val="clear" w:color="auto" w:fill="auto"/>
            <w:noWrap/>
            <w:vAlign w:val="center"/>
          </w:tcPr>
          <w:p w14:paraId="61578DA9">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18</w:t>
            </w:r>
          </w:p>
        </w:tc>
        <w:tc>
          <w:tcPr>
            <w:tcW w:w="681" w:type="dxa"/>
            <w:vMerge w:val="continue"/>
            <w:shd w:val="clear" w:color="auto" w:fill="auto"/>
            <w:noWrap/>
            <w:vAlign w:val="center"/>
          </w:tcPr>
          <w:p w14:paraId="692C5CF7">
            <w:pPr>
              <w:widowControl/>
              <w:shd w:val="clear"/>
              <w:overflowPunct w:val="0"/>
              <w:adjustRightInd w:val="0"/>
              <w:spacing w:line="560" w:lineRule="exact"/>
              <w:jc w:val="center"/>
              <w:textAlignment w:val="baseline"/>
              <w:rPr>
                <w:rFonts w:hint="eastAsia" w:ascii="宋体" w:hAnsi="宋体" w:eastAsia="宋体" w:cs="宋体"/>
                <w:kern w:val="0"/>
                <w:szCs w:val="21"/>
                <w:lang w:val="zh-CN"/>
              </w:rPr>
            </w:pPr>
          </w:p>
        </w:tc>
        <w:tc>
          <w:tcPr>
            <w:tcW w:w="1162" w:type="dxa"/>
            <w:vMerge w:val="restart"/>
            <w:shd w:val="clear" w:color="auto" w:fill="auto"/>
            <w:noWrap/>
            <w:vAlign w:val="center"/>
          </w:tcPr>
          <w:p w14:paraId="4B7752EF">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C3.满意度评价</w:t>
            </w:r>
          </w:p>
        </w:tc>
        <w:tc>
          <w:tcPr>
            <w:tcW w:w="5842" w:type="dxa"/>
            <w:shd w:val="clear" w:color="auto" w:fill="auto"/>
            <w:noWrap/>
          </w:tcPr>
          <w:p w14:paraId="709A48B2">
            <w:pPr>
              <w:shd w:val="clear"/>
              <w:spacing w:line="560" w:lineRule="exact"/>
              <w:rPr>
                <w:rFonts w:hint="eastAsia" w:ascii="宋体" w:hAnsi="宋体" w:eastAsia="宋体" w:cs="宋体"/>
                <w:szCs w:val="21"/>
              </w:rPr>
            </w:pPr>
            <w:r>
              <w:rPr>
                <w:rFonts w:hint="eastAsia" w:ascii="宋体" w:hAnsi="宋体" w:eastAsia="宋体" w:cs="宋体"/>
                <w:color w:val="000000"/>
                <w:szCs w:val="21"/>
              </w:rPr>
              <w:t>根据投标人自身完成的类似</w:t>
            </w:r>
            <w:r>
              <w:rPr>
                <w:rFonts w:hint="eastAsia" w:ascii="宋体" w:hAnsi="宋体" w:eastAsia="宋体" w:cs="宋体"/>
                <w:color w:val="000000"/>
                <w:szCs w:val="21"/>
                <w:lang w:val="en-US" w:eastAsia="zh-CN"/>
              </w:rPr>
              <w:t>非住宅管理服务项目</w:t>
            </w:r>
            <w:r>
              <w:rPr>
                <w:rFonts w:hint="eastAsia" w:ascii="宋体" w:hAnsi="宋体" w:eastAsia="宋体" w:cs="宋体"/>
                <w:color w:val="000000"/>
                <w:szCs w:val="21"/>
              </w:rPr>
              <w:t>的业主单位或其使用部门满意度证明材料进行评分：每提供一份满意度证明材料的得1分,满分7分。每份满意度证明材料须同时包含：中标/成交公告（提供相关网站中标/成交公告的下载网页并注明网址）、中标/成交通知书复印件、采购合同文本复印件、以及业主单位盖章或其使用部门的评价为“满意</w:t>
            </w:r>
            <w:bookmarkStart w:id="66" w:name="_GoBack"/>
            <w:r>
              <w:rPr>
                <w:rFonts w:hint="eastAsia" w:ascii="宋体" w:hAnsi="宋体" w:eastAsia="宋体" w:cs="宋体"/>
                <w:color w:val="000000"/>
                <w:szCs w:val="21"/>
                <w:highlight w:val="none"/>
              </w:rPr>
              <w:t>"或“优秀”等同等意义的满意度证明材料，未同时提供的则不得分。同一业主单位或其使用部门出具的满意度证明只计算一次。C2、C3项可重复计分。</w:t>
            </w:r>
            <w:bookmarkEnd w:id="66"/>
          </w:p>
        </w:tc>
        <w:tc>
          <w:tcPr>
            <w:tcW w:w="838" w:type="dxa"/>
            <w:noWrap/>
            <w:vAlign w:val="center"/>
          </w:tcPr>
          <w:p w14:paraId="2DE55AF8">
            <w:pPr>
              <w:shd w:val="clear"/>
              <w:spacing w:line="560" w:lineRule="exact"/>
              <w:jc w:val="center"/>
              <w:rPr>
                <w:rFonts w:hint="eastAsia" w:ascii="宋体" w:hAnsi="宋体" w:cs="宋体"/>
                <w:szCs w:val="21"/>
              </w:rPr>
            </w:pPr>
            <w:r>
              <w:rPr>
                <w:rFonts w:ascii="宋体" w:hAnsi="宋体" w:eastAsia="宋体" w:cs="宋体"/>
                <w:color w:val="000000"/>
                <w:szCs w:val="21"/>
              </w:rPr>
              <w:t>7</w:t>
            </w:r>
          </w:p>
        </w:tc>
      </w:tr>
      <w:tr w14:paraId="0E4A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shd w:val="clear" w:color="auto" w:fill="auto"/>
            <w:noWrap/>
            <w:vAlign w:val="center"/>
          </w:tcPr>
          <w:p w14:paraId="5EF9C915">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19</w:t>
            </w:r>
          </w:p>
        </w:tc>
        <w:tc>
          <w:tcPr>
            <w:tcW w:w="681" w:type="dxa"/>
            <w:vMerge w:val="continue"/>
            <w:shd w:val="clear" w:color="auto" w:fill="auto"/>
            <w:noWrap/>
            <w:vAlign w:val="center"/>
          </w:tcPr>
          <w:p w14:paraId="372AC4BA">
            <w:pPr>
              <w:widowControl/>
              <w:shd w:val="clear"/>
              <w:overflowPunct w:val="0"/>
              <w:adjustRightInd w:val="0"/>
              <w:spacing w:line="560" w:lineRule="exact"/>
              <w:jc w:val="center"/>
              <w:textAlignment w:val="baseline"/>
              <w:rPr>
                <w:rFonts w:hint="eastAsia" w:ascii="宋体" w:hAnsi="宋体" w:eastAsia="宋体" w:cs="宋体"/>
                <w:kern w:val="0"/>
                <w:szCs w:val="21"/>
                <w:lang w:val="zh-CN"/>
              </w:rPr>
            </w:pPr>
          </w:p>
        </w:tc>
        <w:tc>
          <w:tcPr>
            <w:tcW w:w="1162" w:type="dxa"/>
            <w:shd w:val="clear" w:color="auto" w:fill="auto"/>
            <w:noWrap/>
            <w:vAlign w:val="center"/>
          </w:tcPr>
          <w:p w14:paraId="6FE4453E">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C4.职工权益保障</w:t>
            </w:r>
          </w:p>
        </w:tc>
        <w:tc>
          <w:tcPr>
            <w:tcW w:w="5842" w:type="dxa"/>
            <w:shd w:val="clear" w:color="auto" w:fill="auto"/>
            <w:noWrap/>
          </w:tcPr>
          <w:p w14:paraId="68C55272">
            <w:pPr>
              <w:shd w:val="clear"/>
              <w:spacing w:line="560" w:lineRule="exact"/>
              <w:rPr>
                <w:rFonts w:hint="eastAsia" w:ascii="宋体" w:hAnsi="宋体" w:eastAsia="宋体" w:cs="宋体"/>
                <w:szCs w:val="21"/>
              </w:rPr>
            </w:pPr>
            <w:r>
              <w:rPr>
                <w:rFonts w:hint="eastAsia" w:ascii="宋体" w:hAnsi="宋体" w:eastAsia="宋体" w:cs="宋体"/>
                <w:color w:val="000000"/>
                <w:szCs w:val="21"/>
              </w:rPr>
              <w:t>投标人承诺中标后为本项目所有员工购买个人意外伤害商业保险或雇主责任险且投保赔付金额≥150万元人民币的得4分，100万元≤投保赔付金额＜150万元人民币的得3分，50万元≤投保赔付金额＜100万元人民币的得2分，投保赔付金额＜50万元人民币的不得分。投标人须提供承诺函（格式自拟）加盖公章，否则不得分。</w:t>
            </w:r>
          </w:p>
        </w:tc>
        <w:tc>
          <w:tcPr>
            <w:tcW w:w="838" w:type="dxa"/>
            <w:noWrap/>
            <w:vAlign w:val="center"/>
          </w:tcPr>
          <w:p w14:paraId="714496A0">
            <w:pPr>
              <w:shd w:val="clear"/>
              <w:spacing w:line="560" w:lineRule="exact"/>
              <w:jc w:val="center"/>
              <w:rPr>
                <w:rFonts w:hint="eastAsia" w:ascii="宋体" w:hAnsi="宋体" w:eastAsia="宋体" w:cs="宋体"/>
                <w:szCs w:val="21"/>
              </w:rPr>
            </w:pPr>
            <w:r>
              <w:rPr>
                <w:rFonts w:hint="eastAsia" w:ascii="宋体" w:hAnsi="宋体" w:eastAsia="宋体" w:cs="宋体"/>
                <w:color w:val="000000"/>
                <w:szCs w:val="21"/>
              </w:rPr>
              <w:t>4</w:t>
            </w:r>
          </w:p>
        </w:tc>
      </w:tr>
      <w:tr w14:paraId="129C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14:paraId="2F46A940">
            <w:pPr>
              <w:widowControl/>
              <w:shd w:val="clear"/>
              <w:overflowPunct w:val="0"/>
              <w:adjustRightInd w:val="0"/>
              <w:spacing w:line="56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20</w:t>
            </w:r>
          </w:p>
        </w:tc>
        <w:tc>
          <w:tcPr>
            <w:tcW w:w="681" w:type="dxa"/>
            <w:vMerge w:val="continue"/>
            <w:noWrap/>
          </w:tcPr>
          <w:p w14:paraId="164DCD2E">
            <w:pPr>
              <w:widowControl/>
              <w:shd w:val="clear"/>
              <w:overflowPunct w:val="0"/>
              <w:adjustRightInd w:val="0"/>
              <w:spacing w:line="560" w:lineRule="exact"/>
              <w:jc w:val="left"/>
              <w:textAlignment w:val="baseline"/>
              <w:rPr>
                <w:rFonts w:hint="eastAsia" w:ascii="宋体" w:hAnsi="宋体" w:eastAsia="宋体" w:cs="宋体"/>
                <w:kern w:val="0"/>
                <w:szCs w:val="21"/>
                <w:lang w:val="zh-CN"/>
              </w:rPr>
            </w:pPr>
          </w:p>
        </w:tc>
        <w:tc>
          <w:tcPr>
            <w:tcW w:w="1162" w:type="dxa"/>
            <w:noWrap/>
            <w:vAlign w:val="center"/>
          </w:tcPr>
          <w:p w14:paraId="594F0621">
            <w:pPr>
              <w:shd w:val="clear"/>
              <w:spacing w:line="560" w:lineRule="exact"/>
              <w:jc w:val="center"/>
              <w:rPr>
                <w:rFonts w:hint="eastAsia" w:ascii="宋体" w:hAnsi="宋体" w:eastAsia="宋体" w:cs="宋体"/>
                <w:kern w:val="0"/>
                <w:szCs w:val="21"/>
              </w:rPr>
            </w:pPr>
            <w:r>
              <w:rPr>
                <w:rFonts w:hint="eastAsia" w:ascii="宋体" w:hAnsi="宋体" w:eastAsia="宋体" w:cs="宋体"/>
                <w:color w:val="000000"/>
                <w:szCs w:val="21"/>
              </w:rPr>
              <w:t>C5.应急响应</w:t>
            </w:r>
          </w:p>
        </w:tc>
        <w:tc>
          <w:tcPr>
            <w:tcW w:w="5842" w:type="dxa"/>
            <w:noWrap/>
          </w:tcPr>
          <w:p w14:paraId="44260A76">
            <w:pPr>
              <w:shd w:val="clear"/>
              <w:spacing w:line="560" w:lineRule="exact"/>
              <w:rPr>
                <w:rFonts w:hint="eastAsia" w:ascii="宋体" w:hAnsi="宋体" w:eastAsia="宋体" w:cs="宋体"/>
                <w:kern w:val="0"/>
                <w:szCs w:val="21"/>
              </w:rPr>
            </w:pPr>
            <w:r>
              <w:rPr>
                <w:rFonts w:hint="eastAsia" w:ascii="宋体" w:hAnsi="宋体" w:eastAsia="宋体" w:cs="宋体"/>
                <w:color w:val="000000"/>
                <w:szCs w:val="21"/>
              </w:rPr>
              <w:t>投标人承诺如遇特殊情况需增加后勤保障人员的，能够无条件为采购人临时调派符合要求的保障人员的得</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分。投标人须提供承诺函（格式自拟），并加盖投标人公章，否则不得分。</w:t>
            </w:r>
          </w:p>
        </w:tc>
        <w:tc>
          <w:tcPr>
            <w:tcW w:w="838" w:type="dxa"/>
            <w:noWrap/>
            <w:vAlign w:val="center"/>
          </w:tcPr>
          <w:p w14:paraId="2D80A35B">
            <w:pPr>
              <w:shd w:val="clear"/>
              <w:spacing w:line="560" w:lineRule="exact"/>
              <w:jc w:val="center"/>
              <w:rPr>
                <w:rFonts w:hint="eastAsia" w:ascii="宋体" w:hAnsi="宋体" w:eastAsia="宋体" w:cs="宋体"/>
                <w:szCs w:val="21"/>
                <w:lang w:eastAsia="zh-CN"/>
              </w:rPr>
            </w:pPr>
            <w:r>
              <w:rPr>
                <w:rFonts w:hint="eastAsia" w:ascii="宋体" w:hAnsi="宋体" w:eastAsia="宋体" w:cs="宋体"/>
                <w:color w:val="000000"/>
                <w:szCs w:val="21"/>
                <w:lang w:val="en-US" w:eastAsia="zh-CN"/>
              </w:rPr>
              <w:t>4</w:t>
            </w:r>
          </w:p>
        </w:tc>
      </w:tr>
      <w:tr w14:paraId="03A5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14:paraId="20BACCA2">
            <w:pPr>
              <w:widowControl/>
              <w:shd w:val="clear"/>
              <w:overflowPunct w:val="0"/>
              <w:adjustRightInd w:val="0"/>
              <w:spacing w:line="560" w:lineRule="exact"/>
              <w:textAlignment w:val="baseline"/>
              <w:rPr>
                <w:rFonts w:hint="eastAsia" w:ascii="宋体" w:hAnsi="宋体" w:eastAsia="宋体" w:cs="宋体"/>
                <w:szCs w:val="21"/>
              </w:rPr>
            </w:pPr>
            <w:r>
              <w:rPr>
                <w:rFonts w:hint="eastAsia" w:ascii="宋体" w:hAnsi="宋体" w:eastAsia="宋体" w:cs="宋体"/>
                <w:szCs w:val="21"/>
              </w:rPr>
              <w:t>各投标人的商务得分=C1</w:t>
            </w:r>
            <w:r>
              <w:rPr>
                <w:rFonts w:hint="eastAsia" w:ascii="宋体" w:hAnsi="宋体" w:eastAsia="宋体" w:cs="宋体"/>
                <w:kern w:val="0"/>
                <w:szCs w:val="21"/>
              </w:rPr>
              <w:t>+</w:t>
            </w:r>
            <w:r>
              <w:rPr>
                <w:rFonts w:hint="eastAsia" w:ascii="宋体" w:hAnsi="宋体" w:eastAsia="宋体" w:cs="宋体"/>
                <w:szCs w:val="21"/>
              </w:rPr>
              <w:t>C2</w:t>
            </w:r>
            <w:r>
              <w:rPr>
                <w:rFonts w:hint="eastAsia" w:ascii="宋体" w:hAnsi="宋体" w:eastAsia="宋体" w:cs="宋体"/>
                <w:kern w:val="0"/>
                <w:szCs w:val="21"/>
              </w:rPr>
              <w:t>+</w:t>
            </w:r>
            <w:r>
              <w:rPr>
                <w:rFonts w:hint="eastAsia" w:ascii="宋体" w:hAnsi="宋体" w:eastAsia="宋体" w:cs="宋体"/>
                <w:szCs w:val="21"/>
              </w:rPr>
              <w:t>C3</w:t>
            </w:r>
            <w:r>
              <w:rPr>
                <w:rFonts w:hint="eastAsia" w:ascii="宋体" w:hAnsi="宋体" w:eastAsia="宋体" w:cs="宋体"/>
                <w:kern w:val="0"/>
                <w:szCs w:val="21"/>
              </w:rPr>
              <w:t>+</w:t>
            </w:r>
            <w:r>
              <w:rPr>
                <w:rFonts w:hint="eastAsia" w:ascii="宋体" w:hAnsi="宋体" w:eastAsia="宋体" w:cs="宋体"/>
                <w:szCs w:val="21"/>
              </w:rPr>
              <w:t>C4</w:t>
            </w:r>
            <w:r>
              <w:rPr>
                <w:rFonts w:hint="eastAsia" w:ascii="宋体" w:hAnsi="宋体" w:eastAsia="宋体" w:cs="宋体"/>
                <w:kern w:val="0"/>
                <w:szCs w:val="21"/>
              </w:rPr>
              <w:t>+</w:t>
            </w:r>
            <w:r>
              <w:rPr>
                <w:rFonts w:hint="eastAsia" w:ascii="宋体" w:hAnsi="宋体" w:eastAsia="宋体" w:cs="宋体"/>
                <w:szCs w:val="21"/>
              </w:rPr>
              <w:t>C5</w:t>
            </w:r>
          </w:p>
        </w:tc>
      </w:tr>
      <w:tr w14:paraId="320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14:paraId="2E93110E">
            <w:pPr>
              <w:widowControl/>
              <w:shd w:val="clear"/>
              <w:overflowPunct w:val="0"/>
              <w:adjustRightInd w:val="0"/>
              <w:spacing w:line="560" w:lineRule="exact"/>
              <w:textAlignment w:val="baseline"/>
              <w:rPr>
                <w:rFonts w:hint="eastAsia" w:ascii="宋体" w:hAnsi="宋体" w:eastAsia="宋体" w:cs="宋体"/>
                <w:szCs w:val="21"/>
              </w:rPr>
            </w:pPr>
            <w:r>
              <w:rPr>
                <w:rFonts w:hint="eastAsia" w:ascii="宋体" w:hAnsi="宋体" w:eastAsia="宋体" w:cs="宋体"/>
                <w:snapToGrid w:val="0"/>
                <w:kern w:val="0"/>
                <w:szCs w:val="21"/>
              </w:rPr>
              <w:t>各投标人的最终得分=A+B+C</w:t>
            </w:r>
          </w:p>
        </w:tc>
      </w:tr>
    </w:tbl>
    <w:p w14:paraId="0D797155">
      <w:pPr>
        <w:shd w:val="clear"/>
        <w:topLinePunct/>
        <w:autoSpaceDE w:val="0"/>
        <w:autoSpaceDN w:val="0"/>
        <w:spacing w:line="360" w:lineRule="auto"/>
        <w:ind w:firstLine="420" w:firstLineChars="200"/>
        <w:rPr>
          <w:rFonts w:hint="eastAsia" w:ascii="宋体" w:hAnsi="宋体" w:eastAsia="宋体" w:cs="宋体"/>
          <w:sz w:val="24"/>
        </w:rPr>
      </w:pPr>
      <w:r>
        <w:rPr>
          <w:rFonts w:hint="eastAsia" w:ascii="宋体" w:hAnsi="宋体" w:eastAsia="宋体" w:cs="宋体"/>
          <w:szCs w:val="21"/>
        </w:rPr>
        <w:t>2.3 落实政府采购政策进行价格调整的规则：</w:t>
      </w:r>
    </w:p>
    <w:tbl>
      <w:tblPr>
        <w:tblStyle w:val="33"/>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9"/>
        <w:gridCol w:w="2319"/>
        <w:gridCol w:w="4746"/>
      </w:tblGrid>
      <w:tr w14:paraId="3F13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9" w:type="dxa"/>
            <w:vAlign w:val="center"/>
          </w:tcPr>
          <w:p w14:paraId="1A31F166">
            <w:pPr>
              <w:pStyle w:val="76"/>
              <w:widowControl w:val="0"/>
              <w:shd w:val="clear"/>
              <w:spacing w:line="360" w:lineRule="auto"/>
              <w:jc w:val="center"/>
              <w:rPr>
                <w:rFonts w:ascii="宋体" w:hAnsi="宋体" w:cs="宋体"/>
                <w:b/>
                <w:kern w:val="2"/>
                <w:sz w:val="21"/>
                <w:szCs w:val="21"/>
              </w:rPr>
            </w:pPr>
            <w:r>
              <w:rPr>
                <w:rFonts w:ascii="宋体" w:hAnsi="宋体" w:cs="宋体"/>
                <w:b/>
                <w:kern w:val="2"/>
                <w:sz w:val="21"/>
                <w:szCs w:val="21"/>
              </w:rPr>
              <w:t>政府采购政策</w:t>
            </w:r>
          </w:p>
        </w:tc>
        <w:tc>
          <w:tcPr>
            <w:tcW w:w="2319" w:type="dxa"/>
            <w:vAlign w:val="center"/>
          </w:tcPr>
          <w:p w14:paraId="651F91FA">
            <w:pPr>
              <w:pStyle w:val="76"/>
              <w:widowControl w:val="0"/>
              <w:shd w:val="clear"/>
              <w:spacing w:line="360" w:lineRule="auto"/>
              <w:jc w:val="center"/>
              <w:rPr>
                <w:rFonts w:ascii="宋体" w:hAnsi="宋体" w:cs="宋体"/>
                <w:b/>
                <w:kern w:val="2"/>
                <w:sz w:val="21"/>
                <w:szCs w:val="21"/>
              </w:rPr>
            </w:pPr>
            <w:r>
              <w:rPr>
                <w:rFonts w:ascii="宋体" w:hAnsi="宋体" w:cs="宋体"/>
                <w:b/>
                <w:kern w:val="2"/>
                <w:sz w:val="21"/>
                <w:szCs w:val="21"/>
              </w:rPr>
              <w:t>价格扣除规则</w:t>
            </w:r>
          </w:p>
        </w:tc>
        <w:tc>
          <w:tcPr>
            <w:tcW w:w="4746" w:type="dxa"/>
            <w:vAlign w:val="center"/>
          </w:tcPr>
          <w:p w14:paraId="1502DDE4">
            <w:pPr>
              <w:pStyle w:val="76"/>
              <w:widowControl w:val="0"/>
              <w:shd w:val="clear"/>
              <w:spacing w:line="360" w:lineRule="auto"/>
              <w:jc w:val="center"/>
              <w:rPr>
                <w:rFonts w:ascii="宋体" w:hAnsi="宋体" w:cs="宋体"/>
                <w:b/>
                <w:kern w:val="2"/>
                <w:sz w:val="21"/>
                <w:szCs w:val="21"/>
              </w:rPr>
            </w:pPr>
            <w:r>
              <w:rPr>
                <w:rFonts w:ascii="宋体" w:hAnsi="宋体" w:cs="宋体"/>
                <w:b/>
                <w:kern w:val="2"/>
                <w:sz w:val="21"/>
                <w:szCs w:val="21"/>
              </w:rPr>
              <w:t>享受价格扣除的条件</w:t>
            </w:r>
          </w:p>
        </w:tc>
      </w:tr>
      <w:tr w14:paraId="7D55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19" w:type="dxa"/>
            <w:vAlign w:val="center"/>
          </w:tcPr>
          <w:p w14:paraId="1D5B11A0">
            <w:pPr>
              <w:pStyle w:val="76"/>
              <w:widowControl w:val="0"/>
              <w:shd w:val="clear"/>
              <w:jc w:val="center"/>
              <w:rPr>
                <w:rFonts w:ascii="宋体" w:hAnsi="宋体" w:cs="宋体"/>
                <w:sz w:val="21"/>
                <w:szCs w:val="21"/>
              </w:rPr>
            </w:pPr>
            <w:r>
              <w:rPr>
                <w:rFonts w:ascii="宋体" w:hAnsi="宋体" w:cs="宋体"/>
                <w:sz w:val="21"/>
                <w:szCs w:val="21"/>
              </w:rPr>
              <w:t>节约能源政策</w:t>
            </w:r>
          </w:p>
        </w:tc>
        <w:tc>
          <w:tcPr>
            <w:tcW w:w="7065" w:type="dxa"/>
            <w:gridSpan w:val="2"/>
            <w:tcBorders>
              <w:bottom w:val="single" w:color="auto" w:sz="4" w:space="0"/>
            </w:tcBorders>
            <w:vAlign w:val="center"/>
          </w:tcPr>
          <w:p w14:paraId="560276F6">
            <w:pPr>
              <w:pStyle w:val="76"/>
              <w:widowControl w:val="0"/>
              <w:shd w:val="clear"/>
              <w:jc w:val="center"/>
              <w:rPr>
                <w:rFonts w:ascii="宋体" w:hAnsi="宋体" w:cs="宋体"/>
                <w:sz w:val="21"/>
                <w:szCs w:val="21"/>
              </w:rPr>
            </w:pPr>
            <w:r>
              <w:rPr>
                <w:rFonts w:ascii="宋体" w:hAnsi="宋体" w:cs="宋体"/>
                <w:sz w:val="21"/>
                <w:szCs w:val="21"/>
              </w:rPr>
              <w:t>本项目不适用</w:t>
            </w:r>
          </w:p>
        </w:tc>
      </w:tr>
      <w:tr w14:paraId="61E8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14:paraId="3E897C1A">
            <w:pPr>
              <w:pStyle w:val="76"/>
              <w:widowControl w:val="0"/>
              <w:shd w:val="clear"/>
              <w:jc w:val="center"/>
              <w:rPr>
                <w:rFonts w:ascii="宋体" w:hAnsi="宋体" w:cs="宋体"/>
                <w:sz w:val="21"/>
                <w:szCs w:val="21"/>
              </w:rPr>
            </w:pPr>
            <w:r>
              <w:rPr>
                <w:rFonts w:ascii="宋体" w:hAnsi="宋体" w:cs="宋体"/>
                <w:sz w:val="21"/>
                <w:szCs w:val="21"/>
              </w:rPr>
              <w:t>保护环境政策</w:t>
            </w:r>
          </w:p>
        </w:tc>
        <w:tc>
          <w:tcPr>
            <w:tcW w:w="7065" w:type="dxa"/>
            <w:gridSpan w:val="2"/>
            <w:tcBorders>
              <w:top w:val="single" w:color="auto" w:sz="4" w:space="0"/>
            </w:tcBorders>
            <w:vAlign w:val="center"/>
          </w:tcPr>
          <w:p w14:paraId="1E7E15D2">
            <w:pPr>
              <w:pStyle w:val="76"/>
              <w:widowControl w:val="0"/>
              <w:shd w:val="clear"/>
              <w:jc w:val="center"/>
              <w:rPr>
                <w:rFonts w:ascii="宋体" w:hAnsi="宋体" w:cs="宋体"/>
                <w:sz w:val="21"/>
                <w:szCs w:val="21"/>
              </w:rPr>
            </w:pPr>
            <w:r>
              <w:rPr>
                <w:rFonts w:ascii="宋体" w:hAnsi="宋体" w:cs="宋体"/>
                <w:sz w:val="21"/>
                <w:szCs w:val="21"/>
              </w:rPr>
              <w:t>本项目不适用</w:t>
            </w:r>
          </w:p>
        </w:tc>
      </w:tr>
      <w:tr w14:paraId="79AB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14:paraId="6F542A32">
            <w:pPr>
              <w:pStyle w:val="76"/>
              <w:widowControl w:val="0"/>
              <w:shd w:val="clear"/>
              <w:jc w:val="center"/>
              <w:rPr>
                <w:rFonts w:ascii="宋体" w:hAnsi="宋体" w:cs="宋体"/>
                <w:sz w:val="21"/>
                <w:szCs w:val="21"/>
              </w:rPr>
            </w:pPr>
            <w:r>
              <w:rPr>
                <w:rFonts w:ascii="宋体" w:hAnsi="宋体" w:cs="宋体"/>
                <w:sz w:val="21"/>
                <w:szCs w:val="21"/>
              </w:rPr>
              <w:t>促进中小企业</w:t>
            </w:r>
          </w:p>
          <w:p w14:paraId="49A6123F">
            <w:pPr>
              <w:pStyle w:val="76"/>
              <w:widowControl w:val="0"/>
              <w:shd w:val="clear"/>
              <w:jc w:val="center"/>
              <w:rPr>
                <w:rFonts w:ascii="宋体" w:hAnsi="宋体" w:cs="宋体"/>
                <w:sz w:val="21"/>
                <w:szCs w:val="21"/>
              </w:rPr>
            </w:pPr>
            <w:r>
              <w:rPr>
                <w:rFonts w:ascii="宋体" w:hAnsi="宋体" w:cs="宋体"/>
                <w:sz w:val="21"/>
                <w:szCs w:val="21"/>
              </w:rPr>
              <w:t>发展政策</w:t>
            </w:r>
          </w:p>
        </w:tc>
        <w:tc>
          <w:tcPr>
            <w:tcW w:w="7065" w:type="dxa"/>
            <w:gridSpan w:val="2"/>
            <w:tcBorders>
              <w:top w:val="single" w:color="auto" w:sz="4" w:space="0"/>
            </w:tcBorders>
            <w:vAlign w:val="center"/>
          </w:tcPr>
          <w:p w14:paraId="6EC57AD9">
            <w:pPr>
              <w:pStyle w:val="76"/>
              <w:widowControl w:val="0"/>
              <w:shd w:val="clear"/>
              <w:jc w:val="center"/>
              <w:rPr>
                <w:rFonts w:ascii="宋体" w:hAnsi="宋体" w:cs="宋体"/>
                <w:sz w:val="21"/>
                <w:szCs w:val="21"/>
              </w:rPr>
            </w:pPr>
            <w:r>
              <w:rPr>
                <w:rFonts w:ascii="宋体" w:hAnsi="宋体" w:cs="宋体"/>
                <w:sz w:val="21"/>
                <w:szCs w:val="21"/>
              </w:rPr>
              <w:t>本项目为专门面向中小企业采购，价格扣除不适用。</w:t>
            </w:r>
          </w:p>
        </w:tc>
      </w:tr>
      <w:tr w14:paraId="1284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14:paraId="0CCB576A">
            <w:pPr>
              <w:pStyle w:val="76"/>
              <w:widowControl w:val="0"/>
              <w:shd w:val="clear"/>
              <w:jc w:val="center"/>
              <w:rPr>
                <w:rFonts w:ascii="宋体" w:hAnsi="宋体" w:cs="宋体"/>
                <w:sz w:val="21"/>
                <w:szCs w:val="21"/>
              </w:rPr>
            </w:pPr>
            <w:r>
              <w:rPr>
                <w:rFonts w:ascii="宋体" w:hAnsi="宋体" w:cs="宋体"/>
                <w:sz w:val="21"/>
                <w:szCs w:val="21"/>
              </w:rPr>
              <w:t>促进残疾人就业政策</w:t>
            </w:r>
          </w:p>
        </w:tc>
        <w:tc>
          <w:tcPr>
            <w:tcW w:w="7065" w:type="dxa"/>
            <w:gridSpan w:val="2"/>
            <w:tcBorders>
              <w:top w:val="single" w:color="auto" w:sz="4" w:space="0"/>
            </w:tcBorders>
            <w:vAlign w:val="center"/>
          </w:tcPr>
          <w:p w14:paraId="3A3818EC">
            <w:pPr>
              <w:pStyle w:val="76"/>
              <w:widowControl w:val="0"/>
              <w:shd w:val="clear"/>
              <w:jc w:val="center"/>
              <w:rPr>
                <w:rFonts w:ascii="宋体" w:hAnsi="宋体" w:cs="宋体"/>
                <w:sz w:val="21"/>
                <w:szCs w:val="21"/>
              </w:rPr>
            </w:pPr>
            <w:r>
              <w:rPr>
                <w:rFonts w:ascii="宋体" w:hAnsi="宋体" w:cs="宋体"/>
                <w:sz w:val="21"/>
                <w:szCs w:val="21"/>
              </w:rPr>
              <w:t>本项目为专门面向中小企业采购，价格扣除不适用。</w:t>
            </w:r>
          </w:p>
        </w:tc>
      </w:tr>
      <w:tr w14:paraId="01AD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14:paraId="6BE80C5D">
            <w:pPr>
              <w:pStyle w:val="76"/>
              <w:widowControl w:val="0"/>
              <w:shd w:val="clear"/>
              <w:jc w:val="center"/>
              <w:rPr>
                <w:rFonts w:ascii="宋体" w:hAnsi="宋体" w:cs="宋体"/>
                <w:sz w:val="21"/>
                <w:szCs w:val="21"/>
              </w:rPr>
            </w:pPr>
            <w:r>
              <w:rPr>
                <w:rFonts w:ascii="宋体" w:hAnsi="宋体" w:cs="宋体"/>
                <w:sz w:val="21"/>
                <w:szCs w:val="21"/>
              </w:rPr>
              <w:t>支持监狱企业</w:t>
            </w:r>
          </w:p>
          <w:p w14:paraId="0E38A107">
            <w:pPr>
              <w:pStyle w:val="76"/>
              <w:widowControl w:val="0"/>
              <w:shd w:val="clear"/>
              <w:jc w:val="center"/>
              <w:rPr>
                <w:rFonts w:ascii="宋体" w:hAnsi="宋体" w:cs="宋体"/>
                <w:sz w:val="21"/>
                <w:szCs w:val="21"/>
              </w:rPr>
            </w:pPr>
            <w:r>
              <w:rPr>
                <w:rFonts w:ascii="宋体" w:hAnsi="宋体" w:cs="宋体"/>
                <w:sz w:val="21"/>
                <w:szCs w:val="21"/>
              </w:rPr>
              <w:t>发展政策</w:t>
            </w:r>
          </w:p>
        </w:tc>
        <w:tc>
          <w:tcPr>
            <w:tcW w:w="7065" w:type="dxa"/>
            <w:gridSpan w:val="2"/>
            <w:tcBorders>
              <w:top w:val="single" w:color="auto" w:sz="4" w:space="0"/>
            </w:tcBorders>
            <w:vAlign w:val="center"/>
          </w:tcPr>
          <w:p w14:paraId="3555574D">
            <w:pPr>
              <w:pStyle w:val="76"/>
              <w:widowControl w:val="0"/>
              <w:shd w:val="clear"/>
              <w:jc w:val="center"/>
              <w:rPr>
                <w:rFonts w:ascii="宋体" w:hAnsi="宋体" w:cs="宋体"/>
                <w:sz w:val="21"/>
                <w:szCs w:val="21"/>
              </w:rPr>
            </w:pPr>
            <w:r>
              <w:rPr>
                <w:rFonts w:ascii="宋体" w:hAnsi="宋体" w:cs="宋体"/>
                <w:sz w:val="21"/>
                <w:szCs w:val="21"/>
              </w:rPr>
              <w:t>本项目为专门面向中小企业采购，价格扣除不适用。</w:t>
            </w:r>
          </w:p>
        </w:tc>
      </w:tr>
    </w:tbl>
    <w:p w14:paraId="43C657FF">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2.4推荐中标候选人</w:t>
      </w:r>
    </w:p>
    <w:p w14:paraId="76115436">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2.4.1按评审后得分由高到低顺序排列。得分相同的，按投标报价由低到高顺序排列。得分且投标报价相同的并列。</w:t>
      </w:r>
    </w:p>
    <w:p w14:paraId="2EA268F8">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2.4.2本采购包推荐中标候选人的数量：</w:t>
      </w:r>
      <w:r>
        <w:rPr>
          <w:rFonts w:hint="eastAsia" w:ascii="宋体" w:hAnsi="宋体" w:eastAsia="宋体" w:cs="宋体"/>
          <w:szCs w:val="21"/>
          <w:u w:val="single"/>
        </w:rPr>
        <w:t xml:space="preserve">  1  </w:t>
      </w:r>
      <w:r>
        <w:rPr>
          <w:rFonts w:hint="eastAsia" w:ascii="宋体" w:hAnsi="宋体" w:eastAsia="宋体" w:cs="宋体"/>
          <w:szCs w:val="21"/>
        </w:rPr>
        <w:t>家。</w:t>
      </w:r>
    </w:p>
    <w:p w14:paraId="57EF033F">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2.4.3中标人数量：</w:t>
      </w:r>
      <w:r>
        <w:rPr>
          <w:rFonts w:hint="eastAsia" w:ascii="宋体" w:hAnsi="宋体" w:eastAsia="宋体" w:cs="宋体"/>
          <w:szCs w:val="21"/>
          <w:u w:val="single"/>
        </w:rPr>
        <w:t xml:space="preserve">  1  </w:t>
      </w:r>
      <w:r>
        <w:rPr>
          <w:rFonts w:hint="eastAsia" w:ascii="宋体" w:hAnsi="宋体" w:eastAsia="宋体" w:cs="宋体"/>
          <w:szCs w:val="21"/>
        </w:rPr>
        <w:t>家。</w:t>
      </w:r>
    </w:p>
    <w:p w14:paraId="5806DAC7">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中标候选人并列的，按照</w:t>
      </w:r>
      <w:r>
        <w:rPr>
          <w:rFonts w:hint="eastAsia" w:ascii="宋体" w:hAnsi="宋体" w:eastAsia="宋体" w:cs="宋体"/>
          <w:b/>
          <w:bCs/>
          <w:szCs w:val="21"/>
          <w:u w:val="single"/>
        </w:rPr>
        <w:t xml:space="preserve"> “技术部分”的得分高低排序；若技术部分得分也相同的，则按“商务部分”的得分高低排序；若三部分都一样采取随机抽取 </w:t>
      </w:r>
      <w:r>
        <w:rPr>
          <w:rFonts w:hint="eastAsia" w:ascii="宋体" w:hAnsi="宋体" w:eastAsia="宋体" w:cs="宋体"/>
          <w:szCs w:val="21"/>
        </w:rPr>
        <w:t>的方式确定中标人。招标文件未规定的，采取随机抽取的方式确定。</w:t>
      </w:r>
    </w:p>
    <w:p w14:paraId="4DD81691">
      <w:pPr>
        <w:shd w:val="clear"/>
        <w:rPr>
          <w:rFonts w:hint="eastAsia" w:ascii="宋体" w:hAnsi="宋体" w:eastAsia="宋体" w:cs="宋体"/>
          <w:szCs w:val="21"/>
        </w:rPr>
        <w:sectPr>
          <w:pgSz w:w="11906" w:h="16838"/>
          <w:pgMar w:top="1440" w:right="1752" w:bottom="1440" w:left="1752" w:header="851" w:footer="992" w:gutter="0"/>
          <w:cols w:space="720" w:num="1"/>
          <w:titlePg/>
          <w:docGrid w:type="lines" w:linePitch="312" w:charSpace="0"/>
        </w:sectPr>
      </w:pPr>
    </w:p>
    <w:p w14:paraId="76B65BAE">
      <w:pPr>
        <w:shd w:val="clear"/>
        <w:jc w:val="center"/>
        <w:outlineLvl w:val="0"/>
        <w:rPr>
          <w:rFonts w:hint="eastAsia" w:ascii="宋体" w:hAnsi="宋体" w:eastAsia="宋体" w:cs="宋体"/>
          <w:b/>
          <w:bCs/>
          <w:sz w:val="28"/>
          <w:szCs w:val="28"/>
        </w:rPr>
      </w:pPr>
      <w:bookmarkStart w:id="25" w:name="_Toc1914430521"/>
      <w:bookmarkStart w:id="26" w:name="_Toc525052847"/>
      <w:bookmarkStart w:id="27" w:name="_Toc353483817"/>
      <w:bookmarkStart w:id="28" w:name="_Toc1505390621"/>
      <w:bookmarkStart w:id="29" w:name="_Toc38030150"/>
      <w:bookmarkStart w:id="30" w:name="_Toc1406510925"/>
      <w:bookmarkStart w:id="31" w:name="_Toc556"/>
      <w:bookmarkStart w:id="32" w:name="_Toc614538032"/>
      <w:bookmarkStart w:id="33" w:name="_Toc1484421284"/>
      <w:r>
        <w:rPr>
          <w:rFonts w:hint="eastAsia" w:ascii="宋体" w:hAnsi="宋体" w:eastAsia="宋体" w:cs="宋体"/>
          <w:b/>
          <w:bCs/>
          <w:sz w:val="28"/>
          <w:szCs w:val="28"/>
        </w:rPr>
        <w:t>第四章  政府采购合同文本</w:t>
      </w:r>
      <w:bookmarkEnd w:id="25"/>
      <w:bookmarkEnd w:id="26"/>
      <w:bookmarkEnd w:id="27"/>
      <w:bookmarkEnd w:id="28"/>
      <w:bookmarkEnd w:id="29"/>
      <w:bookmarkEnd w:id="30"/>
      <w:bookmarkEnd w:id="31"/>
      <w:bookmarkEnd w:id="32"/>
      <w:bookmarkEnd w:id="33"/>
    </w:p>
    <w:p w14:paraId="3DAF93AF">
      <w:pPr>
        <w:pStyle w:val="21"/>
        <w:shd w:val="clear"/>
        <w:jc w:val="center"/>
        <w:rPr>
          <w:rFonts w:hint="eastAsia" w:hAnsi="宋体" w:cs="宋体"/>
          <w:b/>
          <w:sz w:val="96"/>
          <w:szCs w:val="96"/>
        </w:rPr>
      </w:pPr>
    </w:p>
    <w:p w14:paraId="7A82F5BB">
      <w:pPr>
        <w:pStyle w:val="21"/>
        <w:shd w:val="clear"/>
        <w:jc w:val="cente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合 同 书</w:t>
      </w:r>
    </w:p>
    <w:p w14:paraId="17A160D3">
      <w:pPr>
        <w:pStyle w:val="21"/>
        <w:shd w:val="clear"/>
        <w:jc w:val="center"/>
        <w:rPr>
          <w:rFonts w:hint="eastAsia" w:ascii="华文中宋" w:hAnsi="华文中宋" w:eastAsia="华文中宋" w:cs="华文中宋"/>
          <w:bCs/>
          <w:sz w:val="32"/>
          <w:szCs w:val="32"/>
        </w:rPr>
      </w:pPr>
    </w:p>
    <w:p w14:paraId="4C0FD12C">
      <w:pPr>
        <w:shd w:val="clear"/>
        <w:tabs>
          <w:tab w:val="left" w:pos="540"/>
          <w:tab w:val="left" w:pos="1080"/>
          <w:tab w:val="left" w:pos="1440"/>
        </w:tabs>
        <w:snapToGrid w:val="0"/>
        <w:jc w:val="center"/>
        <w:rPr>
          <w:rFonts w:hint="eastAsia" w:ascii="宋体" w:hAnsi="宋体" w:cs="宋体"/>
          <w:sz w:val="32"/>
          <w:szCs w:val="32"/>
        </w:rPr>
      </w:pPr>
    </w:p>
    <w:p w14:paraId="0CD1F26F">
      <w:pPr>
        <w:shd w:val="clear"/>
        <w:tabs>
          <w:tab w:val="left" w:pos="540"/>
          <w:tab w:val="left" w:pos="1080"/>
          <w:tab w:val="left" w:pos="1440"/>
        </w:tabs>
        <w:snapToGrid w:val="0"/>
        <w:jc w:val="center"/>
        <w:rPr>
          <w:rFonts w:hint="eastAsia" w:ascii="宋体" w:hAnsi="宋体" w:cs="宋体"/>
          <w:sz w:val="32"/>
          <w:szCs w:val="32"/>
        </w:rPr>
      </w:pPr>
    </w:p>
    <w:p w14:paraId="6FB1616F">
      <w:pPr>
        <w:shd w:val="clear"/>
        <w:tabs>
          <w:tab w:val="left" w:pos="540"/>
          <w:tab w:val="left" w:pos="1080"/>
          <w:tab w:val="left" w:pos="1440"/>
        </w:tabs>
        <w:snapToGrid w:val="0"/>
        <w:jc w:val="center"/>
        <w:rPr>
          <w:rFonts w:hint="eastAsia" w:ascii="宋体" w:hAnsi="宋体" w:cs="宋体"/>
          <w:sz w:val="32"/>
          <w:szCs w:val="32"/>
        </w:rPr>
      </w:pPr>
    </w:p>
    <w:p w14:paraId="1E423EA9">
      <w:pPr>
        <w:shd w:val="clear"/>
        <w:tabs>
          <w:tab w:val="left" w:pos="540"/>
          <w:tab w:val="left" w:pos="1080"/>
          <w:tab w:val="left" w:pos="1440"/>
        </w:tabs>
        <w:snapToGrid w:val="0"/>
        <w:ind w:left="1680" w:leftChars="800"/>
        <w:jc w:val="center"/>
        <w:rPr>
          <w:rFonts w:hint="eastAsia" w:ascii="宋体" w:hAnsi="宋体" w:cs="宋体"/>
          <w:sz w:val="32"/>
          <w:szCs w:val="32"/>
        </w:rPr>
      </w:pPr>
    </w:p>
    <w:p w14:paraId="2AEA4AC6">
      <w:pPr>
        <w:shd w:val="clear"/>
        <w:tabs>
          <w:tab w:val="left" w:pos="2160"/>
        </w:tabs>
        <w:topLinePunct/>
        <w:autoSpaceDE w:val="0"/>
        <w:autoSpaceDN w:val="0"/>
        <w:snapToGrid w:val="0"/>
        <w:spacing w:line="360" w:lineRule="auto"/>
        <w:ind w:left="2100" w:leftChars="1000"/>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项目名称：</w:t>
      </w:r>
      <w:r>
        <w:rPr>
          <w:rFonts w:hint="eastAsia" w:ascii="方正小标宋简体" w:hAnsi="方正小标宋简体" w:eastAsia="方正小标宋简体" w:cs="方正小标宋简体"/>
          <w:bCs/>
          <w:sz w:val="24"/>
          <w:szCs w:val="24"/>
          <w:u w:val="single"/>
        </w:rPr>
        <w:t xml:space="preserve">                   </w:t>
      </w:r>
    </w:p>
    <w:p w14:paraId="038B3167">
      <w:pPr>
        <w:shd w:val="clear"/>
        <w:tabs>
          <w:tab w:val="left" w:pos="2160"/>
        </w:tabs>
        <w:topLinePunct/>
        <w:autoSpaceDE w:val="0"/>
        <w:autoSpaceDN w:val="0"/>
        <w:snapToGrid w:val="0"/>
        <w:spacing w:line="360" w:lineRule="auto"/>
        <w:ind w:left="2100" w:leftChars="1000"/>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包    号：</w:t>
      </w:r>
      <w:r>
        <w:rPr>
          <w:rFonts w:hint="eastAsia" w:ascii="方正小标宋简体" w:hAnsi="方正小标宋简体" w:eastAsia="方正小标宋简体" w:cs="方正小标宋简体"/>
          <w:bCs/>
          <w:sz w:val="24"/>
          <w:szCs w:val="24"/>
          <w:u w:val="single"/>
        </w:rPr>
        <w:t xml:space="preserve">                   </w:t>
      </w:r>
    </w:p>
    <w:p w14:paraId="68847B28">
      <w:pPr>
        <w:shd w:val="clear"/>
        <w:tabs>
          <w:tab w:val="left" w:pos="540"/>
          <w:tab w:val="left" w:pos="1080"/>
          <w:tab w:val="left" w:pos="1440"/>
        </w:tabs>
        <w:snapToGrid w:val="0"/>
        <w:spacing w:line="360" w:lineRule="auto"/>
        <w:ind w:left="2100" w:leftChars="1000"/>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合同编号：</w:t>
      </w:r>
      <w:r>
        <w:rPr>
          <w:rFonts w:hint="eastAsia" w:ascii="方正小标宋简体" w:hAnsi="方正小标宋简体" w:eastAsia="方正小标宋简体" w:cs="方正小标宋简体"/>
          <w:bCs/>
          <w:sz w:val="24"/>
          <w:szCs w:val="24"/>
          <w:u w:val="single"/>
        </w:rPr>
        <w:t xml:space="preserve">                   </w:t>
      </w:r>
      <w:r>
        <w:rPr>
          <w:rFonts w:hint="eastAsia" w:ascii="方正小标宋简体" w:hAnsi="方正小标宋简体" w:eastAsia="方正小标宋简体" w:cs="方正小标宋简体"/>
          <w:bCs/>
          <w:sz w:val="24"/>
          <w:szCs w:val="24"/>
        </w:rPr>
        <w:t xml:space="preserve"> </w:t>
      </w:r>
    </w:p>
    <w:p w14:paraId="4A20D1E1">
      <w:pPr>
        <w:shd w:val="clear"/>
        <w:tabs>
          <w:tab w:val="left" w:pos="2160"/>
        </w:tabs>
        <w:topLinePunct/>
        <w:autoSpaceDE w:val="0"/>
        <w:autoSpaceDN w:val="0"/>
        <w:snapToGrid w:val="0"/>
        <w:spacing w:line="360" w:lineRule="auto"/>
        <w:ind w:left="2880" w:leftChars="800" w:hanging="1200" w:hangingChars="500"/>
        <w:rPr>
          <w:rFonts w:hint="eastAsia" w:ascii="方正小标宋简体" w:hAnsi="方正小标宋简体" w:eastAsia="方正小标宋简体" w:cs="方正小标宋简体"/>
          <w:bCs/>
          <w:sz w:val="24"/>
          <w:szCs w:val="24"/>
        </w:rPr>
      </w:pPr>
    </w:p>
    <w:p w14:paraId="0556A959">
      <w:pPr>
        <w:pStyle w:val="21"/>
        <w:shd w:val="clear"/>
        <w:spacing w:line="460" w:lineRule="exact"/>
        <w:jc w:val="center"/>
        <w:rPr>
          <w:rFonts w:hint="eastAsia" w:ascii="方正小标宋简体" w:hAnsi="方正小标宋简体" w:eastAsia="方正小标宋简体" w:cs="方正小标宋简体"/>
          <w:bCs/>
          <w:sz w:val="24"/>
          <w:szCs w:val="24"/>
        </w:rPr>
      </w:pPr>
    </w:p>
    <w:p w14:paraId="25DC93E6">
      <w:pPr>
        <w:pStyle w:val="21"/>
        <w:shd w:val="clear"/>
        <w:tabs>
          <w:tab w:val="left" w:pos="3045"/>
        </w:tabs>
        <w:spacing w:line="460" w:lineRule="exact"/>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ab/>
      </w:r>
    </w:p>
    <w:p w14:paraId="0C47BDF9">
      <w:pPr>
        <w:pStyle w:val="21"/>
        <w:shd w:val="clear"/>
        <w:spacing w:line="460" w:lineRule="exact"/>
        <w:rPr>
          <w:rFonts w:hint="eastAsia" w:ascii="方正小标宋简体" w:hAnsi="方正小标宋简体" w:eastAsia="方正小标宋简体" w:cs="方正小标宋简体"/>
          <w:bCs/>
          <w:sz w:val="24"/>
          <w:szCs w:val="24"/>
        </w:rPr>
      </w:pPr>
    </w:p>
    <w:p w14:paraId="4556B7E9">
      <w:pPr>
        <w:pStyle w:val="21"/>
        <w:shd w:val="clear"/>
        <w:spacing w:line="460" w:lineRule="exact"/>
        <w:jc w:val="center"/>
        <w:rPr>
          <w:rFonts w:hint="eastAsia" w:ascii="方正小标宋简体" w:hAnsi="方正小标宋简体" w:eastAsia="方正小标宋简体" w:cs="方正小标宋简体"/>
          <w:bCs/>
          <w:sz w:val="24"/>
          <w:szCs w:val="24"/>
        </w:rPr>
      </w:pPr>
    </w:p>
    <w:p w14:paraId="4464C69B">
      <w:pPr>
        <w:shd w:val="clear"/>
        <w:spacing w:line="300" w:lineRule="auto"/>
        <w:ind w:left="840" w:leftChars="400" w:firstLine="1298" w:firstLineChars="541"/>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 xml:space="preserve">甲    方： </w:t>
      </w:r>
      <w:r>
        <w:rPr>
          <w:rFonts w:hint="eastAsia" w:ascii="方正小标宋简体" w:hAnsi="方正小标宋简体" w:eastAsia="方正小标宋简体" w:cs="方正小标宋简体"/>
          <w:bCs/>
          <w:sz w:val="24"/>
          <w:szCs w:val="24"/>
          <w:u w:val="single"/>
        </w:rPr>
        <w:t>国家税务总局XX税务局</w:t>
      </w:r>
    </w:p>
    <w:p w14:paraId="61F22AE9">
      <w:pPr>
        <w:shd w:val="clear"/>
        <w:spacing w:line="300" w:lineRule="auto"/>
        <w:ind w:left="840" w:leftChars="400" w:firstLine="1298" w:firstLineChars="541"/>
        <w:rPr>
          <w:rFonts w:hint="eastAsia" w:ascii="方正小标宋简体" w:hAnsi="方正小标宋简体" w:eastAsia="方正小标宋简体" w:cs="方正小标宋简体"/>
          <w:bCs/>
          <w:sz w:val="24"/>
          <w:szCs w:val="24"/>
          <w:u w:val="single"/>
        </w:rPr>
      </w:pPr>
      <w:r>
        <w:rPr>
          <w:rFonts w:hint="eastAsia" w:ascii="方正小标宋简体" w:hAnsi="方正小标宋简体" w:eastAsia="方正小标宋简体" w:cs="方正小标宋简体"/>
          <w:bCs/>
          <w:sz w:val="24"/>
          <w:szCs w:val="24"/>
        </w:rPr>
        <w:t xml:space="preserve">乙    方： </w:t>
      </w:r>
      <w:r>
        <w:rPr>
          <w:rFonts w:hint="eastAsia" w:ascii="方正小标宋简体" w:hAnsi="方正小标宋简体" w:eastAsia="方正小标宋简体" w:cs="方正小标宋简体"/>
          <w:bCs/>
          <w:sz w:val="24"/>
          <w:szCs w:val="24"/>
          <w:u w:val="single"/>
        </w:rPr>
        <w:t xml:space="preserve">                     </w:t>
      </w:r>
    </w:p>
    <w:p w14:paraId="15B5A192">
      <w:pPr>
        <w:shd w:val="clear"/>
        <w:spacing w:line="300" w:lineRule="auto"/>
        <w:ind w:left="840" w:leftChars="400" w:firstLine="1298" w:firstLineChars="541"/>
        <w:rPr>
          <w:rFonts w:hint="eastAsia" w:ascii="方正小标宋简体" w:hAnsi="方正小标宋简体" w:eastAsia="方正小标宋简体" w:cs="方正小标宋简体"/>
          <w:bCs/>
          <w:sz w:val="24"/>
          <w:szCs w:val="24"/>
          <w:u w:val="single"/>
        </w:rPr>
      </w:pPr>
      <w:r>
        <w:rPr>
          <w:rFonts w:hint="eastAsia" w:ascii="方正小标宋简体" w:hAnsi="方正小标宋简体" w:eastAsia="方正小标宋简体" w:cs="方正小标宋简体"/>
          <w:bCs/>
          <w:sz w:val="24"/>
          <w:szCs w:val="24"/>
        </w:rPr>
        <w:t xml:space="preserve">日    期： </w:t>
      </w:r>
      <w:r>
        <w:rPr>
          <w:rFonts w:hint="eastAsia" w:ascii="方正小标宋简体" w:hAnsi="方正小标宋简体" w:eastAsia="方正小标宋简体" w:cs="方正小标宋简体"/>
          <w:bCs/>
          <w:sz w:val="24"/>
          <w:szCs w:val="24"/>
          <w:u w:val="single"/>
        </w:rPr>
        <w:t xml:space="preserve">        年    月   日</w:t>
      </w:r>
    </w:p>
    <w:p w14:paraId="627E3EE4">
      <w:pPr>
        <w:shd w:val="clear"/>
        <w:spacing w:line="300" w:lineRule="auto"/>
        <w:jc w:val="center"/>
        <w:rPr>
          <w:rFonts w:hint="eastAsia" w:ascii="宋体" w:hAnsi="宋体" w:cs="宋体"/>
          <w:b/>
          <w:sz w:val="24"/>
          <w:szCs w:val="24"/>
        </w:rPr>
      </w:pPr>
      <w:r>
        <w:rPr>
          <w:rFonts w:hint="eastAsia" w:ascii="方正小标宋简体" w:hAnsi="方正小标宋简体" w:eastAsia="方正小标宋简体" w:cs="方正小标宋简体"/>
          <w:bCs/>
          <w:sz w:val="24"/>
          <w:szCs w:val="24"/>
          <w:u w:val="single"/>
        </w:rPr>
        <w:br w:type="page"/>
      </w:r>
      <w:r>
        <w:rPr>
          <w:rFonts w:hint="eastAsia" w:ascii="宋体" w:hAnsi="宋体" w:cs="宋体"/>
          <w:b/>
          <w:sz w:val="24"/>
          <w:szCs w:val="24"/>
        </w:rPr>
        <w:t>合同条款前附表</w:t>
      </w:r>
    </w:p>
    <w:tbl>
      <w:tblPr>
        <w:tblStyle w:val="32"/>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14:paraId="2EB7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14:paraId="441087A9">
            <w:pPr>
              <w:shd w:val="clear"/>
              <w:tabs>
                <w:tab w:val="left" w:pos="700"/>
              </w:tabs>
              <w:adjustRightInd w:val="0"/>
              <w:snapToGrid w:val="0"/>
              <w:jc w:val="center"/>
              <w:rPr>
                <w:rFonts w:ascii="Times New Roman" w:hAnsi="Times New Roman"/>
                <w:b/>
                <w:szCs w:val="21"/>
              </w:rPr>
            </w:pPr>
            <w:r>
              <w:rPr>
                <w:rFonts w:ascii="Times New Roman" w:hAnsi="Times New Roman"/>
                <w:b/>
                <w:szCs w:val="21"/>
              </w:rPr>
              <w:t>序号</w:t>
            </w:r>
          </w:p>
        </w:tc>
        <w:tc>
          <w:tcPr>
            <w:tcW w:w="7688" w:type="dxa"/>
            <w:gridSpan w:val="3"/>
            <w:tcBorders>
              <w:top w:val="single" w:color="auto" w:sz="4" w:space="0"/>
              <w:left w:val="single" w:color="auto" w:sz="4" w:space="0"/>
              <w:bottom w:val="single" w:color="auto" w:sz="4" w:space="0"/>
              <w:right w:val="single" w:color="auto" w:sz="4" w:space="0"/>
            </w:tcBorders>
            <w:vAlign w:val="center"/>
          </w:tcPr>
          <w:p w14:paraId="518EA414">
            <w:pPr>
              <w:shd w:val="clear"/>
              <w:tabs>
                <w:tab w:val="left" w:pos="700"/>
              </w:tabs>
              <w:adjustRightInd w:val="0"/>
              <w:snapToGrid w:val="0"/>
              <w:jc w:val="center"/>
              <w:rPr>
                <w:rFonts w:ascii="Times New Roman" w:hAnsi="Times New Roman"/>
                <w:b/>
                <w:szCs w:val="21"/>
              </w:rPr>
            </w:pPr>
            <w:r>
              <w:rPr>
                <w:rFonts w:ascii="Times New Roman" w:hAnsi="Times New Roman"/>
                <w:b/>
                <w:szCs w:val="21"/>
              </w:rPr>
              <w:t>内        容</w:t>
            </w:r>
          </w:p>
        </w:tc>
      </w:tr>
      <w:tr w14:paraId="7511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14:paraId="28BFA424">
            <w:pPr>
              <w:shd w:val="clear"/>
              <w:tabs>
                <w:tab w:val="left" w:pos="700"/>
              </w:tabs>
              <w:adjustRightInd w:val="0"/>
              <w:snapToGrid w:val="0"/>
              <w:jc w:val="center"/>
              <w:rPr>
                <w:rFonts w:ascii="Times New Roman" w:hAnsi="Times New Roman"/>
                <w:szCs w:val="21"/>
              </w:rPr>
            </w:pPr>
            <w:r>
              <w:rPr>
                <w:rFonts w:ascii="Times New Roman" w:hAnsi="Times New Roman"/>
                <w:szCs w:val="21"/>
              </w:rPr>
              <w:t>1</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7E35F978">
            <w:pPr>
              <w:shd w:val="clear"/>
              <w:tabs>
                <w:tab w:val="left" w:pos="700"/>
              </w:tabs>
              <w:adjustRightInd w:val="0"/>
              <w:snapToGrid w:val="0"/>
              <w:jc w:val="center"/>
              <w:rPr>
                <w:rFonts w:ascii="Times New Roman" w:hAnsi="Times New Roman"/>
                <w:szCs w:val="21"/>
              </w:rPr>
            </w:pPr>
            <w:r>
              <w:rPr>
                <w:rFonts w:ascii="Times New Roman" w:hAnsi="Times New Roman"/>
                <w:szCs w:val="21"/>
              </w:rPr>
              <w:t>合同名称</w:t>
            </w:r>
          </w:p>
        </w:tc>
        <w:tc>
          <w:tcPr>
            <w:tcW w:w="5779" w:type="dxa"/>
            <w:tcBorders>
              <w:top w:val="single" w:color="auto" w:sz="4" w:space="0"/>
              <w:left w:val="single" w:color="auto" w:sz="4" w:space="0"/>
              <w:bottom w:val="single" w:color="auto" w:sz="4" w:space="0"/>
              <w:right w:val="single" w:color="auto" w:sz="4" w:space="0"/>
            </w:tcBorders>
            <w:vAlign w:val="center"/>
          </w:tcPr>
          <w:p w14:paraId="4A22B90E">
            <w:pPr>
              <w:shd w:val="clear"/>
              <w:tabs>
                <w:tab w:val="left" w:pos="700"/>
              </w:tabs>
              <w:adjustRightInd w:val="0"/>
              <w:snapToGrid w:val="0"/>
              <w:rPr>
                <w:rFonts w:ascii="Times New Roman" w:hAnsi="Times New Roman"/>
                <w:bCs/>
                <w:szCs w:val="21"/>
              </w:rPr>
            </w:pPr>
          </w:p>
        </w:tc>
      </w:tr>
      <w:tr w14:paraId="7A98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14:paraId="3BC4DCF0">
            <w:pPr>
              <w:shd w:val="clear"/>
              <w:tabs>
                <w:tab w:val="left" w:pos="700"/>
              </w:tabs>
              <w:adjustRightInd w:val="0"/>
              <w:snapToGrid w:val="0"/>
              <w:jc w:val="center"/>
              <w:rPr>
                <w:rFonts w:ascii="Times New Roman" w:hAnsi="Times New Roman"/>
                <w:szCs w:val="21"/>
              </w:rPr>
            </w:pPr>
            <w:r>
              <w:rPr>
                <w:rFonts w:ascii="Times New Roman" w:hAnsi="Times New Roman"/>
                <w:szCs w:val="21"/>
              </w:rPr>
              <w:t>2</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6B0113BF">
            <w:pPr>
              <w:shd w:val="clear"/>
              <w:tabs>
                <w:tab w:val="left" w:pos="700"/>
              </w:tabs>
              <w:adjustRightInd w:val="0"/>
              <w:snapToGrid w:val="0"/>
              <w:jc w:val="center"/>
              <w:rPr>
                <w:rFonts w:ascii="Times New Roman" w:hAnsi="Times New Roman"/>
                <w:szCs w:val="21"/>
              </w:rPr>
            </w:pPr>
            <w:r>
              <w:rPr>
                <w:rFonts w:ascii="Times New Roman" w:hAnsi="Times New Roman"/>
                <w:szCs w:val="21"/>
              </w:rPr>
              <w:t>合同编号</w:t>
            </w:r>
          </w:p>
        </w:tc>
        <w:tc>
          <w:tcPr>
            <w:tcW w:w="5779" w:type="dxa"/>
            <w:tcBorders>
              <w:top w:val="single" w:color="auto" w:sz="4" w:space="0"/>
              <w:left w:val="single" w:color="auto" w:sz="4" w:space="0"/>
              <w:bottom w:val="single" w:color="auto" w:sz="4" w:space="0"/>
              <w:right w:val="single" w:color="auto" w:sz="4" w:space="0"/>
            </w:tcBorders>
            <w:vAlign w:val="center"/>
          </w:tcPr>
          <w:p w14:paraId="23B9F267">
            <w:pPr>
              <w:shd w:val="clear"/>
              <w:tabs>
                <w:tab w:val="left" w:pos="2160"/>
              </w:tabs>
              <w:topLinePunct/>
              <w:autoSpaceDE w:val="0"/>
              <w:autoSpaceDN w:val="0"/>
              <w:adjustRightInd w:val="0"/>
              <w:snapToGrid w:val="0"/>
              <w:rPr>
                <w:rFonts w:ascii="Times New Roman" w:hAnsi="Times New Roman"/>
                <w:bCs/>
                <w:szCs w:val="21"/>
              </w:rPr>
            </w:pPr>
          </w:p>
        </w:tc>
      </w:tr>
      <w:tr w14:paraId="79F8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14:paraId="131F7584">
            <w:pPr>
              <w:shd w:val="clear"/>
              <w:tabs>
                <w:tab w:val="left" w:pos="700"/>
              </w:tabs>
              <w:adjustRightInd w:val="0"/>
              <w:snapToGrid w:val="0"/>
              <w:jc w:val="center"/>
              <w:rPr>
                <w:rFonts w:ascii="Times New Roman" w:hAnsi="Times New Roman"/>
                <w:szCs w:val="21"/>
              </w:rPr>
            </w:pPr>
            <w:r>
              <w:rPr>
                <w:rFonts w:ascii="Times New Roman" w:hAnsi="Times New Roman"/>
                <w:szCs w:val="21"/>
              </w:rPr>
              <w:t>3</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3CCB3DEB">
            <w:pPr>
              <w:shd w:val="clear"/>
              <w:tabs>
                <w:tab w:val="left" w:pos="700"/>
              </w:tabs>
              <w:adjustRightInd w:val="0"/>
              <w:snapToGrid w:val="0"/>
              <w:jc w:val="center"/>
              <w:rPr>
                <w:rFonts w:ascii="Times New Roman" w:hAnsi="Times New Roman"/>
                <w:szCs w:val="21"/>
              </w:rPr>
            </w:pPr>
            <w:r>
              <w:rPr>
                <w:rFonts w:ascii="Times New Roman" w:hAnsi="Times New Roman"/>
                <w:szCs w:val="21"/>
              </w:rPr>
              <w:t>合同类型</w:t>
            </w:r>
          </w:p>
        </w:tc>
        <w:tc>
          <w:tcPr>
            <w:tcW w:w="5779" w:type="dxa"/>
            <w:tcBorders>
              <w:top w:val="single" w:color="auto" w:sz="4" w:space="0"/>
              <w:left w:val="single" w:color="auto" w:sz="4" w:space="0"/>
              <w:bottom w:val="single" w:color="auto" w:sz="4" w:space="0"/>
              <w:right w:val="single" w:color="auto" w:sz="4" w:space="0"/>
            </w:tcBorders>
            <w:vAlign w:val="center"/>
          </w:tcPr>
          <w:p w14:paraId="6548A1EB">
            <w:pPr>
              <w:shd w:val="clear"/>
              <w:tabs>
                <w:tab w:val="left" w:pos="2160"/>
              </w:tabs>
              <w:topLinePunct/>
              <w:autoSpaceDE w:val="0"/>
              <w:autoSpaceDN w:val="0"/>
              <w:adjustRightInd w:val="0"/>
              <w:snapToGrid w:val="0"/>
              <w:rPr>
                <w:rFonts w:ascii="Times New Roman" w:hAnsi="Times New Roman"/>
                <w:b/>
                <w:bCs/>
                <w:szCs w:val="21"/>
              </w:rPr>
            </w:pPr>
          </w:p>
        </w:tc>
      </w:tr>
      <w:tr w14:paraId="32F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14:paraId="24D43855">
            <w:pPr>
              <w:shd w:val="clear"/>
              <w:tabs>
                <w:tab w:val="left" w:pos="700"/>
              </w:tabs>
              <w:adjustRightInd w:val="0"/>
              <w:snapToGrid w:val="0"/>
              <w:jc w:val="center"/>
              <w:rPr>
                <w:rFonts w:ascii="Times New Roman" w:hAnsi="Times New Roman"/>
                <w:szCs w:val="21"/>
              </w:rPr>
            </w:pPr>
            <w:r>
              <w:rPr>
                <w:rFonts w:ascii="Times New Roman" w:hAnsi="Times New Roman"/>
                <w:szCs w:val="21"/>
              </w:rPr>
              <w:t>4</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660B3879">
            <w:pPr>
              <w:shd w:val="clear"/>
              <w:tabs>
                <w:tab w:val="left" w:pos="700"/>
              </w:tabs>
              <w:adjustRightInd w:val="0"/>
              <w:snapToGrid w:val="0"/>
              <w:jc w:val="center"/>
              <w:rPr>
                <w:rFonts w:ascii="Times New Roman" w:hAnsi="Times New Roman"/>
                <w:szCs w:val="21"/>
              </w:rPr>
            </w:pPr>
            <w:r>
              <w:rPr>
                <w:rFonts w:ascii="Times New Roman" w:hAnsi="Times New Roman"/>
                <w:szCs w:val="21"/>
              </w:rPr>
              <w:t>定价方式</w:t>
            </w:r>
          </w:p>
        </w:tc>
        <w:tc>
          <w:tcPr>
            <w:tcW w:w="5779" w:type="dxa"/>
            <w:tcBorders>
              <w:top w:val="single" w:color="auto" w:sz="4" w:space="0"/>
              <w:left w:val="single" w:color="auto" w:sz="4" w:space="0"/>
              <w:bottom w:val="single" w:color="auto" w:sz="4" w:space="0"/>
              <w:right w:val="single" w:color="auto" w:sz="4" w:space="0"/>
            </w:tcBorders>
            <w:vAlign w:val="center"/>
          </w:tcPr>
          <w:p w14:paraId="2B66DB9A">
            <w:pPr>
              <w:shd w:val="clear"/>
              <w:tabs>
                <w:tab w:val="left" w:pos="2160"/>
              </w:tabs>
              <w:topLinePunct/>
              <w:autoSpaceDE w:val="0"/>
              <w:autoSpaceDN w:val="0"/>
              <w:adjustRightInd w:val="0"/>
              <w:snapToGrid w:val="0"/>
              <w:rPr>
                <w:rFonts w:ascii="Times New Roman" w:hAnsi="Times New Roman"/>
                <w:b/>
                <w:bCs/>
                <w:szCs w:val="21"/>
              </w:rPr>
            </w:pPr>
          </w:p>
        </w:tc>
      </w:tr>
      <w:tr w14:paraId="090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vAlign w:val="center"/>
          </w:tcPr>
          <w:p w14:paraId="7979C60B">
            <w:pPr>
              <w:shd w:val="clear"/>
              <w:tabs>
                <w:tab w:val="left" w:pos="700"/>
              </w:tabs>
              <w:adjustRightInd w:val="0"/>
              <w:snapToGrid w:val="0"/>
              <w:jc w:val="center"/>
              <w:rPr>
                <w:rFonts w:ascii="Times New Roman" w:hAnsi="Times New Roman"/>
                <w:szCs w:val="21"/>
              </w:rPr>
            </w:pPr>
            <w:r>
              <w:rPr>
                <w:rFonts w:ascii="Times New Roman" w:hAnsi="Times New Roman"/>
                <w:szCs w:val="21"/>
              </w:rPr>
              <w:t>5</w:t>
            </w:r>
          </w:p>
        </w:tc>
        <w:tc>
          <w:tcPr>
            <w:tcW w:w="1909" w:type="dxa"/>
            <w:gridSpan w:val="2"/>
            <w:tcBorders>
              <w:top w:val="single" w:color="auto" w:sz="4" w:space="0"/>
              <w:left w:val="single" w:color="auto" w:sz="4" w:space="0"/>
              <w:bottom w:val="single" w:color="auto" w:sz="6" w:space="0"/>
              <w:right w:val="single" w:color="auto" w:sz="6" w:space="0"/>
            </w:tcBorders>
            <w:vAlign w:val="center"/>
          </w:tcPr>
          <w:p w14:paraId="51A0AAC6">
            <w:pPr>
              <w:shd w:val="clear"/>
              <w:tabs>
                <w:tab w:val="left" w:pos="700"/>
              </w:tabs>
              <w:adjustRightInd w:val="0"/>
              <w:snapToGrid w:val="0"/>
              <w:jc w:val="center"/>
              <w:rPr>
                <w:rFonts w:ascii="Times New Roman" w:hAnsi="Times New Roman"/>
                <w:szCs w:val="21"/>
              </w:rPr>
            </w:pPr>
            <w:r>
              <w:rPr>
                <w:rFonts w:ascii="Times New Roman" w:hAnsi="Times New Roman"/>
                <w:szCs w:val="21"/>
              </w:rPr>
              <w:t>甲方名称</w:t>
            </w:r>
          </w:p>
        </w:tc>
        <w:tc>
          <w:tcPr>
            <w:tcW w:w="5779" w:type="dxa"/>
            <w:tcBorders>
              <w:top w:val="single" w:color="auto" w:sz="4" w:space="0"/>
              <w:left w:val="single" w:color="auto" w:sz="6" w:space="0"/>
              <w:bottom w:val="single" w:color="auto" w:sz="6" w:space="0"/>
              <w:right w:val="single" w:color="auto" w:sz="4" w:space="0"/>
            </w:tcBorders>
            <w:vAlign w:val="center"/>
          </w:tcPr>
          <w:p w14:paraId="456D22CE">
            <w:pPr>
              <w:shd w:val="clear"/>
              <w:tabs>
                <w:tab w:val="left" w:pos="700"/>
              </w:tabs>
              <w:adjustRightInd w:val="0"/>
              <w:snapToGrid w:val="0"/>
              <w:rPr>
                <w:rFonts w:ascii="Times New Roman" w:hAnsi="Times New Roman"/>
                <w:szCs w:val="21"/>
              </w:rPr>
            </w:pPr>
          </w:p>
        </w:tc>
      </w:tr>
      <w:tr w14:paraId="061C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14:paraId="4557B0D1">
            <w:pPr>
              <w:widowControl/>
              <w:shd w:val="clear"/>
              <w:adjustRightInd w:val="0"/>
              <w:snapToGrid w:val="0"/>
              <w:rPr>
                <w:rFonts w:ascii="Times New Roman" w:hAnsi="Times New Roman"/>
                <w:szCs w:val="21"/>
              </w:rPr>
            </w:pPr>
          </w:p>
        </w:tc>
        <w:tc>
          <w:tcPr>
            <w:tcW w:w="1909" w:type="dxa"/>
            <w:gridSpan w:val="2"/>
            <w:tcBorders>
              <w:top w:val="single" w:color="auto" w:sz="6" w:space="0"/>
              <w:left w:val="single" w:color="auto" w:sz="4" w:space="0"/>
              <w:bottom w:val="single" w:color="auto" w:sz="6" w:space="0"/>
              <w:right w:val="single" w:color="auto" w:sz="6" w:space="0"/>
            </w:tcBorders>
            <w:vAlign w:val="center"/>
          </w:tcPr>
          <w:p w14:paraId="672FD284">
            <w:pPr>
              <w:shd w:val="clear"/>
              <w:tabs>
                <w:tab w:val="left" w:pos="700"/>
              </w:tabs>
              <w:adjustRightInd w:val="0"/>
              <w:snapToGrid w:val="0"/>
              <w:jc w:val="center"/>
              <w:rPr>
                <w:rFonts w:ascii="Times New Roman" w:hAnsi="Times New Roman"/>
                <w:szCs w:val="21"/>
              </w:rPr>
            </w:pPr>
            <w:r>
              <w:rPr>
                <w:rFonts w:ascii="Times New Roman" w:hAnsi="Times New Roman"/>
                <w:szCs w:val="21"/>
              </w:rPr>
              <w:t>甲方地址</w:t>
            </w:r>
          </w:p>
        </w:tc>
        <w:tc>
          <w:tcPr>
            <w:tcW w:w="5779" w:type="dxa"/>
            <w:tcBorders>
              <w:top w:val="single" w:color="auto" w:sz="6" w:space="0"/>
              <w:left w:val="single" w:color="auto" w:sz="6" w:space="0"/>
              <w:bottom w:val="single" w:color="auto" w:sz="6" w:space="0"/>
              <w:right w:val="single" w:color="auto" w:sz="4" w:space="0"/>
            </w:tcBorders>
            <w:vAlign w:val="center"/>
          </w:tcPr>
          <w:p w14:paraId="734A3B2D">
            <w:pPr>
              <w:shd w:val="clear"/>
              <w:tabs>
                <w:tab w:val="left" w:pos="700"/>
              </w:tabs>
              <w:adjustRightInd w:val="0"/>
              <w:snapToGrid w:val="0"/>
              <w:rPr>
                <w:rFonts w:ascii="Times New Roman" w:hAnsi="Times New Roman"/>
                <w:szCs w:val="21"/>
              </w:rPr>
            </w:pPr>
          </w:p>
        </w:tc>
      </w:tr>
      <w:tr w14:paraId="488E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14:paraId="6F1055DE">
            <w:pPr>
              <w:widowControl/>
              <w:shd w:val="clear"/>
              <w:adjustRightInd w:val="0"/>
              <w:snapToGrid w:val="0"/>
              <w:rPr>
                <w:rFonts w:ascii="Times New Roman" w:hAnsi="Times New Roman"/>
                <w:szCs w:val="21"/>
              </w:rPr>
            </w:pPr>
          </w:p>
        </w:tc>
        <w:tc>
          <w:tcPr>
            <w:tcW w:w="409" w:type="dxa"/>
            <w:vMerge w:val="restart"/>
            <w:tcBorders>
              <w:top w:val="single" w:color="auto" w:sz="6" w:space="0"/>
              <w:left w:val="single" w:color="auto" w:sz="4" w:space="0"/>
              <w:right w:val="single" w:color="auto" w:sz="4" w:space="0"/>
            </w:tcBorders>
            <w:vAlign w:val="center"/>
          </w:tcPr>
          <w:p w14:paraId="60D5326D">
            <w:pPr>
              <w:shd w:val="clear"/>
              <w:tabs>
                <w:tab w:val="left" w:pos="700"/>
              </w:tabs>
              <w:adjustRightInd w:val="0"/>
              <w:snapToGrid w:val="0"/>
              <w:jc w:val="center"/>
              <w:rPr>
                <w:rFonts w:ascii="Times New Roman" w:hAnsi="Times New Roman"/>
                <w:szCs w:val="21"/>
              </w:rPr>
            </w:pPr>
            <w:r>
              <w:rPr>
                <w:rFonts w:ascii="Times New Roman" w:hAnsi="Times New Roman"/>
                <w:szCs w:val="21"/>
              </w:rPr>
              <w:t>甲方相关部门</w:t>
            </w:r>
          </w:p>
        </w:tc>
        <w:tc>
          <w:tcPr>
            <w:tcW w:w="1500" w:type="dxa"/>
            <w:tcBorders>
              <w:top w:val="single" w:color="auto" w:sz="6" w:space="0"/>
              <w:left w:val="single" w:color="auto" w:sz="4" w:space="0"/>
              <w:bottom w:val="single" w:color="auto" w:sz="6" w:space="0"/>
              <w:right w:val="single" w:color="auto" w:sz="6" w:space="0"/>
            </w:tcBorders>
            <w:vAlign w:val="center"/>
          </w:tcPr>
          <w:p w14:paraId="19130EA8">
            <w:pPr>
              <w:shd w:val="clear"/>
              <w:tabs>
                <w:tab w:val="left" w:pos="700"/>
              </w:tabs>
              <w:adjustRightInd w:val="0"/>
              <w:snapToGrid w:val="0"/>
              <w:jc w:val="center"/>
              <w:rPr>
                <w:rFonts w:ascii="Times New Roman" w:hAnsi="Times New Roman"/>
                <w:szCs w:val="21"/>
              </w:rPr>
            </w:pPr>
            <w:r>
              <w:rPr>
                <w:rFonts w:ascii="Times New Roman" w:hAnsi="Times New Roman"/>
                <w:szCs w:val="21"/>
              </w:rPr>
              <w:t>甲方采购部门</w:t>
            </w:r>
          </w:p>
        </w:tc>
        <w:tc>
          <w:tcPr>
            <w:tcW w:w="5779" w:type="dxa"/>
            <w:tcBorders>
              <w:top w:val="single" w:color="auto" w:sz="6" w:space="0"/>
              <w:left w:val="single" w:color="auto" w:sz="6" w:space="0"/>
              <w:bottom w:val="single" w:color="auto" w:sz="6" w:space="0"/>
              <w:right w:val="single" w:color="auto" w:sz="4" w:space="0"/>
            </w:tcBorders>
            <w:vAlign w:val="center"/>
          </w:tcPr>
          <w:p w14:paraId="4F2C4C53">
            <w:pPr>
              <w:shd w:val="clear"/>
              <w:tabs>
                <w:tab w:val="left" w:pos="700"/>
              </w:tabs>
              <w:adjustRightInd w:val="0"/>
              <w:snapToGrid w:val="0"/>
              <w:rPr>
                <w:rFonts w:ascii="Times New Roman" w:hAnsi="Times New Roman"/>
                <w:szCs w:val="21"/>
              </w:rPr>
            </w:pPr>
          </w:p>
        </w:tc>
      </w:tr>
      <w:tr w14:paraId="6EC8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14:paraId="5B2AEDC1">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14:paraId="498388A2">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6" w:space="0"/>
              <w:right w:val="single" w:color="auto" w:sz="6" w:space="0"/>
            </w:tcBorders>
            <w:vAlign w:val="center"/>
          </w:tcPr>
          <w:p w14:paraId="0DB9CF16">
            <w:pPr>
              <w:shd w:val="clear"/>
              <w:tabs>
                <w:tab w:val="left" w:pos="700"/>
              </w:tabs>
              <w:adjustRightInd w:val="0"/>
              <w:snapToGrid w:val="0"/>
              <w:jc w:val="center"/>
              <w:rPr>
                <w:rFonts w:ascii="Times New Roman" w:hAnsi="Times New Roman"/>
                <w:szCs w:val="21"/>
              </w:rPr>
            </w:pPr>
            <w:r>
              <w:rPr>
                <w:rFonts w:ascii="Times New Roman" w:hAnsi="Times New Roman"/>
                <w:szCs w:val="21"/>
              </w:rPr>
              <w:t>联系人</w:t>
            </w:r>
          </w:p>
        </w:tc>
        <w:tc>
          <w:tcPr>
            <w:tcW w:w="5779" w:type="dxa"/>
            <w:tcBorders>
              <w:top w:val="single" w:color="auto" w:sz="6" w:space="0"/>
              <w:left w:val="single" w:color="auto" w:sz="6" w:space="0"/>
              <w:bottom w:val="single" w:color="auto" w:sz="6" w:space="0"/>
              <w:right w:val="single" w:color="auto" w:sz="4" w:space="0"/>
            </w:tcBorders>
            <w:vAlign w:val="center"/>
          </w:tcPr>
          <w:p w14:paraId="37AADB82">
            <w:pPr>
              <w:shd w:val="clear"/>
              <w:tabs>
                <w:tab w:val="left" w:pos="700"/>
              </w:tabs>
              <w:adjustRightInd w:val="0"/>
              <w:snapToGrid w:val="0"/>
              <w:rPr>
                <w:rFonts w:ascii="Times New Roman" w:hAnsi="Times New Roman"/>
                <w:szCs w:val="21"/>
              </w:rPr>
            </w:pPr>
          </w:p>
        </w:tc>
      </w:tr>
      <w:tr w14:paraId="169B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14:paraId="2BAEF2BC">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14:paraId="610E582A">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14:paraId="6A191CAD">
            <w:pPr>
              <w:shd w:val="clear"/>
              <w:tabs>
                <w:tab w:val="left" w:pos="700"/>
              </w:tabs>
              <w:adjustRightInd w:val="0"/>
              <w:snapToGrid w:val="0"/>
              <w:jc w:val="center"/>
              <w:rPr>
                <w:rFonts w:ascii="Times New Roman" w:hAnsi="Times New Roman"/>
                <w:szCs w:val="21"/>
              </w:rPr>
            </w:pPr>
            <w:r>
              <w:rPr>
                <w:rFonts w:ascii="Times New Roman" w:hAnsi="Times New Roman"/>
                <w:szCs w:val="21"/>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14:paraId="21B61588">
            <w:pPr>
              <w:shd w:val="clear"/>
              <w:tabs>
                <w:tab w:val="left" w:pos="700"/>
              </w:tabs>
              <w:adjustRightInd w:val="0"/>
              <w:snapToGrid w:val="0"/>
              <w:rPr>
                <w:rFonts w:ascii="Times New Roman" w:hAnsi="Times New Roman"/>
                <w:szCs w:val="21"/>
              </w:rPr>
            </w:pPr>
          </w:p>
        </w:tc>
      </w:tr>
      <w:tr w14:paraId="715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14:paraId="7044A53E">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14:paraId="4947C8DD">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14:paraId="1ACD948E">
            <w:pPr>
              <w:shd w:val="clear"/>
              <w:tabs>
                <w:tab w:val="left" w:pos="700"/>
              </w:tabs>
              <w:adjustRightInd w:val="0"/>
              <w:snapToGrid w:val="0"/>
              <w:jc w:val="center"/>
              <w:rPr>
                <w:rFonts w:ascii="Times New Roman" w:hAnsi="Times New Roman"/>
                <w:szCs w:val="21"/>
              </w:rPr>
            </w:pPr>
            <w:r>
              <w:rPr>
                <w:rFonts w:ascii="Times New Roman" w:hAnsi="Times New Roman"/>
                <w:szCs w:val="21"/>
              </w:rPr>
              <w:t>甲方需求部门</w:t>
            </w:r>
          </w:p>
        </w:tc>
        <w:tc>
          <w:tcPr>
            <w:tcW w:w="5779" w:type="dxa"/>
            <w:tcBorders>
              <w:top w:val="single" w:color="auto" w:sz="6" w:space="0"/>
              <w:left w:val="single" w:color="auto" w:sz="6" w:space="0"/>
              <w:bottom w:val="single" w:color="auto" w:sz="4" w:space="0"/>
              <w:right w:val="single" w:color="auto" w:sz="4" w:space="0"/>
            </w:tcBorders>
            <w:vAlign w:val="center"/>
          </w:tcPr>
          <w:p w14:paraId="5E84256A">
            <w:pPr>
              <w:shd w:val="clear"/>
              <w:tabs>
                <w:tab w:val="left" w:pos="700"/>
              </w:tabs>
              <w:adjustRightInd w:val="0"/>
              <w:snapToGrid w:val="0"/>
              <w:rPr>
                <w:rFonts w:ascii="Times New Roman" w:hAnsi="Times New Roman"/>
                <w:szCs w:val="21"/>
              </w:rPr>
            </w:pPr>
          </w:p>
        </w:tc>
      </w:tr>
      <w:tr w14:paraId="5BBC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14:paraId="5CE81456">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14:paraId="4A26D10A">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14:paraId="6082A08D">
            <w:pPr>
              <w:shd w:val="clear"/>
              <w:tabs>
                <w:tab w:val="left" w:pos="700"/>
              </w:tabs>
              <w:adjustRightInd w:val="0"/>
              <w:snapToGrid w:val="0"/>
              <w:jc w:val="center"/>
              <w:rPr>
                <w:rFonts w:ascii="Times New Roman" w:hAnsi="Times New Roman"/>
                <w:szCs w:val="21"/>
              </w:rPr>
            </w:pPr>
            <w:r>
              <w:rPr>
                <w:rFonts w:ascii="Times New Roman" w:hAnsi="Times New Roman"/>
                <w:szCs w:val="21"/>
              </w:rPr>
              <w:t>联系人</w:t>
            </w:r>
          </w:p>
        </w:tc>
        <w:tc>
          <w:tcPr>
            <w:tcW w:w="5779" w:type="dxa"/>
            <w:tcBorders>
              <w:top w:val="single" w:color="auto" w:sz="6" w:space="0"/>
              <w:left w:val="single" w:color="auto" w:sz="6" w:space="0"/>
              <w:bottom w:val="single" w:color="auto" w:sz="4" w:space="0"/>
              <w:right w:val="single" w:color="auto" w:sz="4" w:space="0"/>
            </w:tcBorders>
            <w:vAlign w:val="center"/>
          </w:tcPr>
          <w:p w14:paraId="2734B301">
            <w:pPr>
              <w:shd w:val="clear"/>
              <w:tabs>
                <w:tab w:val="left" w:pos="700"/>
              </w:tabs>
              <w:adjustRightInd w:val="0"/>
              <w:snapToGrid w:val="0"/>
              <w:rPr>
                <w:rFonts w:ascii="Times New Roman" w:hAnsi="Times New Roman"/>
                <w:szCs w:val="21"/>
              </w:rPr>
            </w:pPr>
          </w:p>
        </w:tc>
      </w:tr>
      <w:tr w14:paraId="7F5B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vAlign w:val="center"/>
          </w:tcPr>
          <w:p w14:paraId="5B99142C">
            <w:pPr>
              <w:widowControl/>
              <w:shd w:val="clear"/>
              <w:adjustRightInd w:val="0"/>
              <w:snapToGrid w:val="0"/>
              <w:rPr>
                <w:rFonts w:ascii="Times New Roman" w:hAnsi="Times New Roman"/>
                <w:szCs w:val="21"/>
              </w:rPr>
            </w:pPr>
          </w:p>
        </w:tc>
        <w:tc>
          <w:tcPr>
            <w:tcW w:w="409" w:type="dxa"/>
            <w:vMerge w:val="continue"/>
            <w:tcBorders>
              <w:left w:val="single" w:color="auto" w:sz="4" w:space="0"/>
              <w:bottom w:val="single" w:color="auto" w:sz="4" w:space="0"/>
              <w:right w:val="single" w:color="auto" w:sz="4" w:space="0"/>
            </w:tcBorders>
            <w:vAlign w:val="center"/>
          </w:tcPr>
          <w:p w14:paraId="089748DF">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14:paraId="2027EE51">
            <w:pPr>
              <w:shd w:val="clear"/>
              <w:tabs>
                <w:tab w:val="left" w:pos="700"/>
              </w:tabs>
              <w:adjustRightInd w:val="0"/>
              <w:snapToGrid w:val="0"/>
              <w:jc w:val="center"/>
              <w:rPr>
                <w:rFonts w:ascii="Times New Roman" w:hAnsi="Times New Roman"/>
                <w:szCs w:val="21"/>
              </w:rPr>
            </w:pPr>
            <w:r>
              <w:rPr>
                <w:rFonts w:ascii="Times New Roman" w:hAnsi="Times New Roman"/>
                <w:szCs w:val="21"/>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14:paraId="36B1296D">
            <w:pPr>
              <w:shd w:val="clear"/>
              <w:tabs>
                <w:tab w:val="left" w:pos="700"/>
              </w:tabs>
              <w:adjustRightInd w:val="0"/>
              <w:snapToGrid w:val="0"/>
              <w:rPr>
                <w:rFonts w:ascii="Times New Roman" w:hAnsi="Times New Roman"/>
                <w:szCs w:val="21"/>
              </w:rPr>
            </w:pPr>
          </w:p>
        </w:tc>
      </w:tr>
      <w:tr w14:paraId="56F6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14:paraId="0FD238BF">
            <w:pPr>
              <w:shd w:val="clear"/>
              <w:tabs>
                <w:tab w:val="left" w:pos="700"/>
              </w:tabs>
              <w:adjustRightInd w:val="0"/>
              <w:snapToGrid w:val="0"/>
              <w:jc w:val="center"/>
              <w:rPr>
                <w:rFonts w:ascii="Times New Roman" w:hAnsi="Times New Roman"/>
                <w:szCs w:val="21"/>
              </w:rPr>
            </w:pPr>
            <w:r>
              <w:rPr>
                <w:rFonts w:ascii="Times New Roman" w:hAnsi="Times New Roman"/>
                <w:szCs w:val="21"/>
              </w:rPr>
              <w:t>6</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6271DFBD">
            <w:pPr>
              <w:shd w:val="clear"/>
              <w:tabs>
                <w:tab w:val="left" w:pos="700"/>
              </w:tabs>
              <w:adjustRightInd w:val="0"/>
              <w:snapToGrid w:val="0"/>
              <w:jc w:val="center"/>
              <w:rPr>
                <w:rFonts w:ascii="Times New Roman" w:hAnsi="Times New Roman"/>
                <w:szCs w:val="21"/>
              </w:rPr>
            </w:pPr>
            <w:r>
              <w:rPr>
                <w:rFonts w:ascii="Times New Roman" w:hAnsi="Times New Roman"/>
                <w:szCs w:val="21"/>
              </w:rPr>
              <w:t>乙方名称</w:t>
            </w:r>
          </w:p>
        </w:tc>
        <w:tc>
          <w:tcPr>
            <w:tcW w:w="5779" w:type="dxa"/>
            <w:tcBorders>
              <w:top w:val="single" w:color="auto" w:sz="4" w:space="0"/>
              <w:left w:val="single" w:color="auto" w:sz="4" w:space="0"/>
              <w:bottom w:val="single" w:color="auto" w:sz="4" w:space="0"/>
              <w:right w:val="single" w:color="auto" w:sz="4" w:space="0"/>
            </w:tcBorders>
            <w:vAlign w:val="center"/>
          </w:tcPr>
          <w:p w14:paraId="6F52093B">
            <w:pPr>
              <w:shd w:val="clear"/>
              <w:tabs>
                <w:tab w:val="left" w:pos="700"/>
              </w:tabs>
              <w:adjustRightInd w:val="0"/>
              <w:snapToGrid w:val="0"/>
              <w:rPr>
                <w:rFonts w:ascii="Times New Roman" w:hAnsi="Times New Roman"/>
                <w:szCs w:val="21"/>
              </w:rPr>
            </w:pPr>
          </w:p>
        </w:tc>
      </w:tr>
      <w:tr w14:paraId="0FA1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1ED8D132">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7DD89A3F">
            <w:pPr>
              <w:shd w:val="clear"/>
              <w:tabs>
                <w:tab w:val="left" w:pos="700"/>
              </w:tabs>
              <w:adjustRightInd w:val="0"/>
              <w:snapToGrid w:val="0"/>
              <w:jc w:val="center"/>
              <w:rPr>
                <w:rFonts w:ascii="Times New Roman" w:hAnsi="Times New Roman"/>
                <w:szCs w:val="21"/>
              </w:rPr>
            </w:pPr>
            <w:r>
              <w:rPr>
                <w:rFonts w:ascii="Times New Roman" w:hAnsi="Times New Roman"/>
                <w:szCs w:val="21"/>
              </w:rPr>
              <w:t>乙方企业性质</w:t>
            </w:r>
          </w:p>
        </w:tc>
        <w:tc>
          <w:tcPr>
            <w:tcW w:w="5779" w:type="dxa"/>
            <w:tcBorders>
              <w:top w:val="single" w:color="auto" w:sz="4" w:space="0"/>
              <w:left w:val="single" w:color="auto" w:sz="4" w:space="0"/>
              <w:bottom w:val="single" w:color="auto" w:sz="4" w:space="0"/>
              <w:right w:val="single" w:color="auto" w:sz="4" w:space="0"/>
            </w:tcBorders>
            <w:vAlign w:val="center"/>
          </w:tcPr>
          <w:p w14:paraId="4E09FC44">
            <w:pPr>
              <w:shd w:val="clear"/>
              <w:tabs>
                <w:tab w:val="left" w:pos="700"/>
              </w:tabs>
              <w:adjustRightInd w:val="0"/>
              <w:snapToGrid w:val="0"/>
              <w:rPr>
                <w:rFonts w:ascii="Times New Roman" w:hAnsi="Times New Roman"/>
                <w:szCs w:val="21"/>
              </w:rPr>
            </w:pPr>
            <w:r>
              <w:rPr>
                <w:rFonts w:ascii="Times New Roman" w:hAnsi="Times New Roman"/>
                <w:szCs w:val="21"/>
              </w:rPr>
              <w:sym w:font="Wingdings 2" w:char="00A3"/>
            </w:r>
            <w:r>
              <w:rPr>
                <w:rFonts w:ascii="Times New Roman" w:hAnsi="Times New Roman"/>
                <w:szCs w:val="21"/>
              </w:rPr>
              <w:t xml:space="preserve"> 中型企业     </w:t>
            </w:r>
            <w:r>
              <w:rPr>
                <w:rFonts w:ascii="Times New Roman" w:hAnsi="Times New Roman"/>
                <w:szCs w:val="21"/>
              </w:rPr>
              <w:sym w:font="Wingdings 2" w:char="00A3"/>
            </w:r>
            <w:r>
              <w:rPr>
                <w:rFonts w:ascii="Times New Roman" w:hAnsi="Times New Roman"/>
                <w:szCs w:val="21"/>
              </w:rPr>
              <w:t xml:space="preserve"> 小型企业            </w:t>
            </w:r>
            <w:r>
              <w:rPr>
                <w:rFonts w:ascii="Times New Roman" w:hAnsi="Times New Roman"/>
                <w:szCs w:val="21"/>
              </w:rPr>
              <w:sym w:font="Wingdings 2" w:char="00A3"/>
            </w:r>
            <w:r>
              <w:rPr>
                <w:rFonts w:ascii="Times New Roman" w:hAnsi="Times New Roman"/>
                <w:szCs w:val="21"/>
              </w:rPr>
              <w:t xml:space="preserve"> 微型企业    </w:t>
            </w:r>
          </w:p>
          <w:p w14:paraId="55617981">
            <w:pPr>
              <w:shd w:val="clear"/>
              <w:tabs>
                <w:tab w:val="left" w:pos="700"/>
              </w:tabs>
              <w:adjustRightInd w:val="0"/>
              <w:snapToGrid w:val="0"/>
              <w:rPr>
                <w:rFonts w:ascii="Times New Roman" w:hAnsi="Times New Roman"/>
                <w:szCs w:val="21"/>
              </w:rPr>
            </w:pPr>
            <w:r>
              <w:rPr>
                <w:rFonts w:ascii="Times New Roman" w:hAnsi="Times New Roman"/>
                <w:szCs w:val="21"/>
              </w:rPr>
              <w:sym w:font="Wingdings 2" w:char="00A3"/>
            </w:r>
            <w:r>
              <w:rPr>
                <w:rFonts w:ascii="Times New Roman" w:hAnsi="Times New Roman"/>
                <w:szCs w:val="21"/>
              </w:rPr>
              <w:t xml:space="preserve"> 监狱企业     </w:t>
            </w:r>
            <w:r>
              <w:rPr>
                <w:rFonts w:ascii="Times New Roman" w:hAnsi="Times New Roman"/>
                <w:szCs w:val="21"/>
              </w:rPr>
              <w:sym w:font="Wingdings 2" w:char="00A3"/>
            </w:r>
            <w:r>
              <w:rPr>
                <w:rFonts w:ascii="Times New Roman" w:hAnsi="Times New Roman"/>
                <w:szCs w:val="21"/>
              </w:rPr>
              <w:t xml:space="preserve"> 残疾人福利性单位    </w:t>
            </w:r>
            <w:r>
              <w:rPr>
                <w:rFonts w:ascii="Times New Roman" w:hAnsi="Times New Roman"/>
                <w:szCs w:val="21"/>
              </w:rPr>
              <w:sym w:font="Wingdings 2" w:char="00A3"/>
            </w:r>
            <w:r>
              <w:rPr>
                <w:rFonts w:ascii="Times New Roman" w:hAnsi="Times New Roman"/>
                <w:szCs w:val="21"/>
              </w:rPr>
              <w:t xml:space="preserve"> 其他</w:t>
            </w:r>
          </w:p>
        </w:tc>
      </w:tr>
      <w:tr w14:paraId="6294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23E6356">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004B679D">
            <w:pPr>
              <w:shd w:val="clear"/>
              <w:tabs>
                <w:tab w:val="left" w:pos="700"/>
              </w:tabs>
              <w:adjustRightInd w:val="0"/>
              <w:snapToGrid w:val="0"/>
              <w:jc w:val="center"/>
              <w:rPr>
                <w:rFonts w:ascii="Times New Roman" w:hAnsi="Times New Roman"/>
                <w:szCs w:val="21"/>
              </w:rPr>
            </w:pPr>
            <w:r>
              <w:rPr>
                <w:rFonts w:ascii="Times New Roman" w:hAnsi="Times New Roman"/>
                <w:szCs w:val="21"/>
              </w:rPr>
              <w:t>乙方地址</w:t>
            </w:r>
          </w:p>
        </w:tc>
        <w:tc>
          <w:tcPr>
            <w:tcW w:w="5779" w:type="dxa"/>
            <w:tcBorders>
              <w:top w:val="single" w:color="auto" w:sz="4" w:space="0"/>
              <w:left w:val="single" w:color="auto" w:sz="4" w:space="0"/>
              <w:bottom w:val="single" w:color="auto" w:sz="4" w:space="0"/>
              <w:right w:val="single" w:color="auto" w:sz="4" w:space="0"/>
            </w:tcBorders>
            <w:vAlign w:val="center"/>
          </w:tcPr>
          <w:p w14:paraId="69BB0EDE">
            <w:pPr>
              <w:shd w:val="clear"/>
              <w:tabs>
                <w:tab w:val="left" w:pos="700"/>
              </w:tabs>
              <w:adjustRightInd w:val="0"/>
              <w:snapToGrid w:val="0"/>
              <w:rPr>
                <w:rFonts w:ascii="Times New Roman" w:hAnsi="Times New Roman"/>
                <w:szCs w:val="21"/>
              </w:rPr>
            </w:pPr>
          </w:p>
        </w:tc>
      </w:tr>
      <w:tr w14:paraId="4A84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3D5F5B3F">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086E0953">
            <w:pPr>
              <w:shd w:val="clear"/>
              <w:tabs>
                <w:tab w:val="left" w:pos="700"/>
              </w:tabs>
              <w:adjustRightInd w:val="0"/>
              <w:snapToGrid w:val="0"/>
              <w:jc w:val="center"/>
              <w:rPr>
                <w:rFonts w:ascii="Times New Roman" w:hAnsi="Times New Roman"/>
                <w:szCs w:val="21"/>
              </w:rPr>
            </w:pPr>
            <w:r>
              <w:rPr>
                <w:rFonts w:ascii="Times New Roman" w:hAnsi="Times New Roman"/>
                <w:szCs w:val="21"/>
              </w:rPr>
              <w:t>乙方联系人</w:t>
            </w:r>
          </w:p>
        </w:tc>
        <w:tc>
          <w:tcPr>
            <w:tcW w:w="5779" w:type="dxa"/>
            <w:tcBorders>
              <w:top w:val="single" w:color="auto" w:sz="4" w:space="0"/>
              <w:left w:val="single" w:color="auto" w:sz="4" w:space="0"/>
              <w:bottom w:val="single" w:color="auto" w:sz="4" w:space="0"/>
              <w:right w:val="single" w:color="auto" w:sz="4" w:space="0"/>
            </w:tcBorders>
            <w:vAlign w:val="center"/>
          </w:tcPr>
          <w:p w14:paraId="177CF881">
            <w:pPr>
              <w:shd w:val="clear"/>
              <w:tabs>
                <w:tab w:val="left" w:pos="700"/>
              </w:tabs>
              <w:adjustRightInd w:val="0"/>
              <w:snapToGrid w:val="0"/>
              <w:rPr>
                <w:rFonts w:ascii="Times New Roman" w:hAnsi="Times New Roman"/>
                <w:szCs w:val="21"/>
              </w:rPr>
            </w:pPr>
          </w:p>
        </w:tc>
      </w:tr>
      <w:tr w14:paraId="07EF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17ED6C46">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1B2DE13F">
            <w:pPr>
              <w:shd w:val="clear"/>
              <w:tabs>
                <w:tab w:val="left" w:pos="700"/>
              </w:tabs>
              <w:adjustRightInd w:val="0"/>
              <w:snapToGrid w:val="0"/>
              <w:jc w:val="center"/>
              <w:rPr>
                <w:rFonts w:ascii="Times New Roman" w:hAnsi="Times New Roman"/>
                <w:szCs w:val="21"/>
              </w:rPr>
            </w:pPr>
            <w:r>
              <w:rPr>
                <w:rFonts w:ascii="Times New Roman" w:hAnsi="Times New Roman"/>
                <w:szCs w:val="21"/>
              </w:rPr>
              <w:t>联系电话</w:t>
            </w:r>
          </w:p>
        </w:tc>
        <w:tc>
          <w:tcPr>
            <w:tcW w:w="5779" w:type="dxa"/>
            <w:tcBorders>
              <w:top w:val="single" w:color="auto" w:sz="4" w:space="0"/>
              <w:left w:val="single" w:color="auto" w:sz="4" w:space="0"/>
              <w:bottom w:val="single" w:color="auto" w:sz="4" w:space="0"/>
              <w:right w:val="single" w:color="auto" w:sz="4" w:space="0"/>
            </w:tcBorders>
            <w:vAlign w:val="center"/>
          </w:tcPr>
          <w:p w14:paraId="1DD67470">
            <w:pPr>
              <w:shd w:val="clear"/>
              <w:tabs>
                <w:tab w:val="left" w:pos="700"/>
              </w:tabs>
              <w:adjustRightInd w:val="0"/>
              <w:snapToGrid w:val="0"/>
              <w:rPr>
                <w:rFonts w:ascii="Times New Roman" w:hAnsi="Times New Roman"/>
                <w:szCs w:val="21"/>
              </w:rPr>
            </w:pPr>
          </w:p>
        </w:tc>
      </w:tr>
      <w:tr w14:paraId="7BD2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EEE1BB3">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776214E6">
            <w:pPr>
              <w:shd w:val="clear"/>
              <w:tabs>
                <w:tab w:val="left" w:pos="700"/>
              </w:tabs>
              <w:adjustRightInd w:val="0"/>
              <w:snapToGrid w:val="0"/>
              <w:jc w:val="center"/>
              <w:rPr>
                <w:rFonts w:ascii="Times New Roman" w:hAnsi="Times New Roman"/>
                <w:szCs w:val="21"/>
              </w:rPr>
            </w:pPr>
            <w:r>
              <w:rPr>
                <w:rFonts w:ascii="Times New Roman" w:hAnsi="Times New Roman"/>
                <w:szCs w:val="21"/>
              </w:rPr>
              <w:t>传真</w:t>
            </w:r>
          </w:p>
        </w:tc>
        <w:tc>
          <w:tcPr>
            <w:tcW w:w="5779" w:type="dxa"/>
            <w:tcBorders>
              <w:top w:val="single" w:color="auto" w:sz="4" w:space="0"/>
              <w:left w:val="single" w:color="auto" w:sz="4" w:space="0"/>
              <w:bottom w:val="single" w:color="auto" w:sz="4" w:space="0"/>
              <w:right w:val="single" w:color="auto" w:sz="4" w:space="0"/>
            </w:tcBorders>
            <w:vAlign w:val="center"/>
          </w:tcPr>
          <w:p w14:paraId="304FF270">
            <w:pPr>
              <w:shd w:val="clear"/>
              <w:tabs>
                <w:tab w:val="left" w:pos="700"/>
              </w:tabs>
              <w:adjustRightInd w:val="0"/>
              <w:snapToGrid w:val="0"/>
              <w:rPr>
                <w:rFonts w:ascii="Times New Roman" w:hAnsi="Times New Roman"/>
                <w:szCs w:val="21"/>
              </w:rPr>
            </w:pPr>
          </w:p>
        </w:tc>
      </w:tr>
      <w:tr w14:paraId="58B7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vAlign w:val="center"/>
          </w:tcPr>
          <w:p w14:paraId="6782CE09">
            <w:pPr>
              <w:shd w:val="clear"/>
              <w:tabs>
                <w:tab w:val="left" w:pos="700"/>
              </w:tabs>
              <w:adjustRightInd w:val="0"/>
              <w:snapToGrid w:val="0"/>
              <w:jc w:val="center"/>
              <w:rPr>
                <w:rFonts w:ascii="Times New Roman" w:hAnsi="Times New Roman"/>
                <w:szCs w:val="21"/>
              </w:rPr>
            </w:pPr>
            <w:r>
              <w:rPr>
                <w:rFonts w:ascii="Times New Roman" w:hAnsi="Times New Roman"/>
                <w:szCs w:val="21"/>
              </w:rPr>
              <w:t>7</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71085D53">
            <w:pPr>
              <w:shd w:val="clear"/>
              <w:tabs>
                <w:tab w:val="left" w:pos="700"/>
              </w:tabs>
              <w:adjustRightInd w:val="0"/>
              <w:snapToGrid w:val="0"/>
              <w:jc w:val="center"/>
              <w:rPr>
                <w:rFonts w:ascii="Times New Roman" w:hAnsi="Times New Roman"/>
                <w:szCs w:val="21"/>
              </w:rPr>
            </w:pPr>
            <w:r>
              <w:rPr>
                <w:rFonts w:ascii="Times New Roman" w:hAnsi="Times New Roman"/>
                <w:szCs w:val="21"/>
              </w:rPr>
              <w:t>合同金额</w:t>
            </w:r>
          </w:p>
        </w:tc>
        <w:tc>
          <w:tcPr>
            <w:tcW w:w="5779" w:type="dxa"/>
            <w:tcBorders>
              <w:top w:val="single" w:color="auto" w:sz="4" w:space="0"/>
              <w:left w:val="single" w:color="auto" w:sz="4" w:space="0"/>
              <w:bottom w:val="single" w:color="auto" w:sz="4" w:space="0"/>
              <w:right w:val="single" w:color="auto" w:sz="4" w:space="0"/>
            </w:tcBorders>
            <w:vAlign w:val="center"/>
          </w:tcPr>
          <w:p w14:paraId="1D8AA255">
            <w:pPr>
              <w:shd w:val="clear"/>
              <w:tabs>
                <w:tab w:val="left" w:pos="700"/>
              </w:tabs>
              <w:adjustRightInd w:val="0"/>
              <w:snapToGrid w:val="0"/>
              <w:rPr>
                <w:rFonts w:ascii="Times New Roman" w:hAnsi="Times New Roman"/>
                <w:szCs w:val="21"/>
              </w:rPr>
            </w:pPr>
            <w:r>
              <w:rPr>
                <w:rFonts w:ascii="Times New Roman" w:hAnsi="Times New Roman"/>
                <w:szCs w:val="21"/>
              </w:rPr>
              <w:t>人民币</w:t>
            </w:r>
            <w:r>
              <w:rPr>
                <w:rFonts w:ascii="Times New Roman" w:hAnsi="Times New Roman"/>
                <w:szCs w:val="21"/>
                <w:u w:val="single"/>
              </w:rPr>
              <w:t xml:space="preserve">        </w:t>
            </w:r>
            <w:r>
              <w:rPr>
                <w:rFonts w:ascii="Times New Roman" w:hAnsi="Times New Roman"/>
                <w:szCs w:val="21"/>
              </w:rPr>
              <w:t>元整（¥</w:t>
            </w:r>
            <w:r>
              <w:rPr>
                <w:rFonts w:ascii="Times New Roman" w:hAnsi="Times New Roman"/>
                <w:szCs w:val="21"/>
                <w:u w:val="single"/>
              </w:rPr>
              <w:t xml:space="preserve">           </w:t>
            </w:r>
            <w:r>
              <w:rPr>
                <w:rFonts w:ascii="Times New Roman" w:hAnsi="Times New Roman"/>
                <w:szCs w:val="21"/>
              </w:rPr>
              <w:t>）。</w:t>
            </w:r>
          </w:p>
        </w:tc>
      </w:tr>
      <w:tr w14:paraId="3ACA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vAlign w:val="center"/>
          </w:tcPr>
          <w:p w14:paraId="6CD0F735">
            <w:pPr>
              <w:shd w:val="clear"/>
              <w:tabs>
                <w:tab w:val="left" w:pos="700"/>
              </w:tabs>
              <w:adjustRightInd w:val="0"/>
              <w:snapToGrid w:val="0"/>
              <w:jc w:val="center"/>
              <w:rPr>
                <w:rFonts w:ascii="Times New Roman" w:hAnsi="Times New Roman"/>
                <w:szCs w:val="21"/>
              </w:rPr>
            </w:pPr>
            <w:r>
              <w:rPr>
                <w:rFonts w:ascii="Times New Roman" w:hAnsi="Times New Roman"/>
                <w:szCs w:val="21"/>
              </w:rPr>
              <w:t>8</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4EB3BCD7">
            <w:pPr>
              <w:shd w:val="clear"/>
              <w:tabs>
                <w:tab w:val="left" w:pos="700"/>
              </w:tabs>
              <w:adjustRightInd w:val="0"/>
              <w:snapToGrid w:val="0"/>
              <w:jc w:val="center"/>
              <w:rPr>
                <w:rFonts w:ascii="Times New Roman" w:hAnsi="Times New Roman"/>
                <w:szCs w:val="21"/>
              </w:rPr>
            </w:pPr>
            <w:r>
              <w:rPr>
                <w:rFonts w:ascii="Times New Roman" w:hAnsi="Times New Roman"/>
                <w:szCs w:val="21"/>
              </w:rPr>
              <w:t>服务内容</w:t>
            </w:r>
          </w:p>
        </w:tc>
        <w:tc>
          <w:tcPr>
            <w:tcW w:w="5779" w:type="dxa"/>
            <w:tcBorders>
              <w:top w:val="single" w:color="auto" w:sz="4" w:space="0"/>
              <w:left w:val="single" w:color="auto" w:sz="4" w:space="0"/>
              <w:bottom w:val="single" w:color="auto" w:sz="4" w:space="0"/>
              <w:right w:val="single" w:color="auto" w:sz="4" w:space="0"/>
            </w:tcBorders>
            <w:vAlign w:val="center"/>
          </w:tcPr>
          <w:p w14:paraId="0E5BD9AF">
            <w:pPr>
              <w:shd w:val="clear"/>
              <w:tabs>
                <w:tab w:val="left" w:pos="700"/>
              </w:tabs>
              <w:adjustRightInd w:val="0"/>
              <w:snapToGrid w:val="0"/>
              <w:rPr>
                <w:rFonts w:ascii="Times New Roman" w:hAnsi="Times New Roman"/>
                <w:szCs w:val="21"/>
              </w:rPr>
            </w:pPr>
            <w:r>
              <w:rPr>
                <w:rFonts w:ascii="Times New Roman" w:hAnsi="Times New Roman"/>
                <w:szCs w:val="21"/>
              </w:rPr>
              <w:t>概述服务内容，详见招标文件采购需求。</w:t>
            </w:r>
          </w:p>
          <w:p w14:paraId="473E00B6">
            <w:pPr>
              <w:shd w:val="clear"/>
              <w:tabs>
                <w:tab w:val="left" w:pos="700"/>
              </w:tabs>
              <w:adjustRightInd w:val="0"/>
              <w:snapToGrid w:val="0"/>
              <w:rPr>
                <w:rFonts w:ascii="Times New Roman" w:hAnsi="Times New Roman"/>
                <w:szCs w:val="21"/>
              </w:rPr>
            </w:pPr>
          </w:p>
          <w:p w14:paraId="773939D6">
            <w:pPr>
              <w:shd w:val="clear"/>
              <w:tabs>
                <w:tab w:val="left" w:pos="700"/>
              </w:tabs>
              <w:adjustRightInd w:val="0"/>
              <w:snapToGrid w:val="0"/>
              <w:rPr>
                <w:rFonts w:ascii="Times New Roman" w:hAnsi="Times New Roman"/>
                <w:szCs w:val="21"/>
              </w:rPr>
            </w:pPr>
          </w:p>
          <w:p w14:paraId="5249C18E">
            <w:pPr>
              <w:shd w:val="clear"/>
              <w:tabs>
                <w:tab w:val="left" w:pos="700"/>
              </w:tabs>
              <w:adjustRightInd w:val="0"/>
              <w:snapToGrid w:val="0"/>
              <w:rPr>
                <w:rFonts w:ascii="Times New Roman" w:hAnsi="Times New Roman"/>
                <w:szCs w:val="21"/>
              </w:rPr>
            </w:pPr>
          </w:p>
          <w:p w14:paraId="5A79FBF9">
            <w:pPr>
              <w:shd w:val="clear"/>
              <w:tabs>
                <w:tab w:val="left" w:pos="700"/>
              </w:tabs>
              <w:adjustRightInd w:val="0"/>
              <w:snapToGrid w:val="0"/>
              <w:rPr>
                <w:rFonts w:ascii="Times New Roman" w:hAnsi="Times New Roman"/>
                <w:szCs w:val="21"/>
              </w:rPr>
            </w:pPr>
          </w:p>
          <w:p w14:paraId="19E82348">
            <w:pPr>
              <w:shd w:val="clear"/>
              <w:tabs>
                <w:tab w:val="left" w:pos="700"/>
              </w:tabs>
              <w:adjustRightInd w:val="0"/>
              <w:snapToGrid w:val="0"/>
              <w:rPr>
                <w:rFonts w:ascii="Times New Roman" w:hAnsi="Times New Roman"/>
                <w:szCs w:val="21"/>
              </w:rPr>
            </w:pPr>
          </w:p>
          <w:p w14:paraId="1B382750">
            <w:pPr>
              <w:shd w:val="clear"/>
              <w:tabs>
                <w:tab w:val="left" w:pos="700"/>
              </w:tabs>
              <w:adjustRightInd w:val="0"/>
              <w:snapToGrid w:val="0"/>
              <w:rPr>
                <w:rFonts w:ascii="Times New Roman" w:hAnsi="Times New Roman"/>
                <w:szCs w:val="21"/>
              </w:rPr>
            </w:pPr>
          </w:p>
          <w:p w14:paraId="1FCF8960">
            <w:pPr>
              <w:shd w:val="clear"/>
              <w:tabs>
                <w:tab w:val="left" w:pos="700"/>
              </w:tabs>
              <w:adjustRightInd w:val="0"/>
              <w:snapToGrid w:val="0"/>
              <w:rPr>
                <w:rFonts w:ascii="Times New Roman" w:hAnsi="Times New Roman"/>
                <w:szCs w:val="21"/>
              </w:rPr>
            </w:pPr>
          </w:p>
          <w:p w14:paraId="7B2A525D">
            <w:pPr>
              <w:shd w:val="clear"/>
              <w:tabs>
                <w:tab w:val="left" w:pos="700"/>
              </w:tabs>
              <w:adjustRightInd w:val="0"/>
              <w:snapToGrid w:val="0"/>
              <w:rPr>
                <w:rFonts w:ascii="Times New Roman" w:hAnsi="Times New Roman"/>
                <w:szCs w:val="21"/>
              </w:rPr>
            </w:pPr>
          </w:p>
        </w:tc>
      </w:tr>
      <w:tr w14:paraId="5A69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vAlign w:val="center"/>
          </w:tcPr>
          <w:p w14:paraId="037D7CDE">
            <w:pPr>
              <w:shd w:val="clear"/>
              <w:tabs>
                <w:tab w:val="left" w:pos="700"/>
              </w:tabs>
              <w:adjustRightInd w:val="0"/>
              <w:snapToGrid w:val="0"/>
              <w:jc w:val="center"/>
              <w:rPr>
                <w:rFonts w:ascii="Times New Roman" w:hAnsi="Times New Roman"/>
                <w:szCs w:val="21"/>
              </w:rPr>
            </w:pPr>
            <w:r>
              <w:rPr>
                <w:rFonts w:ascii="Times New Roman" w:hAnsi="Times New Roman"/>
                <w:szCs w:val="21"/>
              </w:rPr>
              <w:t>9</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3A107847">
            <w:pPr>
              <w:shd w:val="clear"/>
              <w:tabs>
                <w:tab w:val="left" w:pos="700"/>
              </w:tabs>
              <w:adjustRightInd w:val="0"/>
              <w:snapToGrid w:val="0"/>
              <w:jc w:val="center"/>
              <w:rPr>
                <w:rFonts w:ascii="Times New Roman" w:hAnsi="Times New Roman"/>
                <w:szCs w:val="21"/>
              </w:rPr>
            </w:pPr>
            <w:r>
              <w:rPr>
                <w:rFonts w:ascii="Times New Roman" w:hAnsi="Times New Roman"/>
                <w:szCs w:val="21"/>
              </w:rPr>
              <w:t>合同付款</w:t>
            </w:r>
          </w:p>
        </w:tc>
        <w:tc>
          <w:tcPr>
            <w:tcW w:w="5779" w:type="dxa"/>
            <w:tcBorders>
              <w:top w:val="single" w:color="auto" w:sz="4" w:space="0"/>
              <w:left w:val="single" w:color="auto" w:sz="4" w:space="0"/>
              <w:bottom w:val="single" w:color="auto" w:sz="4" w:space="0"/>
              <w:right w:val="single" w:color="auto" w:sz="4" w:space="0"/>
            </w:tcBorders>
            <w:vAlign w:val="center"/>
          </w:tcPr>
          <w:p w14:paraId="5D7D9F5B">
            <w:pPr>
              <w:pStyle w:val="74"/>
              <w:shd w:val="clear"/>
              <w:tabs>
                <w:tab w:val="left" w:pos="840"/>
              </w:tabs>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合同以人民币结算，付款方式：</w:t>
            </w:r>
          </w:p>
          <w:p w14:paraId="38D04080">
            <w:pPr>
              <w:pStyle w:val="74"/>
              <w:shd w:val="clear"/>
              <w:tabs>
                <w:tab w:val="left" w:pos="840"/>
              </w:tabs>
              <w:adjustRightInd w:val="0"/>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第一次付款：在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9189E58">
            <w:pPr>
              <w:pStyle w:val="74"/>
              <w:shd w:val="clear"/>
              <w:tabs>
                <w:tab w:val="left" w:pos="840"/>
              </w:tabs>
              <w:adjustRightInd w:val="0"/>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第二次付款：在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元整（¥</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w:t>
            </w:r>
          </w:p>
          <w:p w14:paraId="6CE8AD3F">
            <w:pPr>
              <w:pStyle w:val="74"/>
              <w:shd w:val="clear"/>
              <w:tabs>
                <w:tab w:val="left" w:pos="840"/>
              </w:tabs>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
              </w:rPr>
              <w:t>......</w:t>
            </w:r>
          </w:p>
          <w:p w14:paraId="6884D5EE">
            <w:pPr>
              <w:pStyle w:val="74"/>
              <w:shd w:val="clear"/>
              <w:tabs>
                <w:tab w:val="left" w:pos="840"/>
              </w:tabs>
              <w:adjustRightInd w:val="0"/>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每次办理付款时，乙方应提供发票、付款申请（格式另附）、合同或合同关键页复印件、合同约定的其他资料。涉及验收的，应同时提交验收意见。</w:t>
            </w:r>
          </w:p>
          <w:p w14:paraId="3C4CFB41">
            <w:pPr>
              <w:pStyle w:val="74"/>
              <w:shd w:val="clear"/>
              <w:tabs>
                <w:tab w:val="left" w:pos="840"/>
              </w:tabs>
              <w:adjustRightInd w:val="0"/>
              <w:snapToGrid w:val="0"/>
              <w:ind w:firstLine="420" w:firstLineChars="200"/>
              <w:jc w:val="left"/>
              <w:rPr>
                <w:rFonts w:ascii="Times New Roman" w:hAnsi="Times New Roman"/>
                <w:sz w:val="21"/>
                <w:szCs w:val="21"/>
              </w:rPr>
            </w:pPr>
            <w:r>
              <w:rPr>
                <w:rFonts w:hint="eastAsia" w:ascii="宋体" w:hAnsi="宋体" w:eastAsia="宋体" w:cs="宋体"/>
                <w:sz w:val="21"/>
                <w:szCs w:val="21"/>
              </w:rPr>
              <w:t>甲方在收到发票等合同约定资料后，进行核实。满足合同约定支付条件的，自收到发票后</w:t>
            </w:r>
            <w:r>
              <w:rPr>
                <w:rFonts w:hint="eastAsia" w:ascii="宋体" w:hAnsi="宋体" w:eastAsia="宋体" w:cs="宋体"/>
                <w:sz w:val="21"/>
                <w:szCs w:val="21"/>
                <w:u w:val="single"/>
              </w:rPr>
              <w:t xml:space="preserve">   </w:t>
            </w:r>
            <w:r>
              <w:rPr>
                <w:rFonts w:hint="eastAsia" w:ascii="宋体" w:hAnsi="宋体" w:eastAsia="宋体" w:cs="宋体"/>
                <w:sz w:val="21"/>
                <w:szCs w:val="21"/>
              </w:rPr>
              <w:t>日内将资金支付到乙方账户，特殊情形付款期限最长不超过</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tc>
      </w:tr>
      <w:tr w14:paraId="23DB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vAlign w:val="center"/>
          </w:tcPr>
          <w:p w14:paraId="762E32E1">
            <w:pPr>
              <w:shd w:val="clear"/>
              <w:tabs>
                <w:tab w:val="left" w:pos="700"/>
              </w:tabs>
              <w:adjustRightInd w:val="0"/>
              <w:snapToGrid w:val="0"/>
              <w:jc w:val="center"/>
              <w:rPr>
                <w:rFonts w:ascii="Times New Roman" w:hAnsi="Times New Roman"/>
                <w:szCs w:val="21"/>
              </w:rPr>
            </w:pPr>
            <w:r>
              <w:rPr>
                <w:rFonts w:ascii="Times New Roman" w:hAnsi="Times New Roman"/>
                <w:szCs w:val="21"/>
              </w:rPr>
              <w:t>10</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307138F1">
            <w:pPr>
              <w:shd w:val="clear"/>
              <w:tabs>
                <w:tab w:val="left" w:pos="700"/>
              </w:tabs>
              <w:adjustRightInd w:val="0"/>
              <w:snapToGrid w:val="0"/>
              <w:jc w:val="center"/>
              <w:rPr>
                <w:rFonts w:ascii="Times New Roman" w:hAnsi="Times New Roman"/>
                <w:szCs w:val="21"/>
              </w:rPr>
            </w:pPr>
            <w:r>
              <w:rPr>
                <w:rFonts w:ascii="Times New Roman" w:hAnsi="Times New Roman"/>
                <w:szCs w:val="21"/>
              </w:rPr>
              <w:t>履约保证金及返还</w:t>
            </w:r>
          </w:p>
        </w:tc>
        <w:tc>
          <w:tcPr>
            <w:tcW w:w="5779" w:type="dxa"/>
            <w:tcBorders>
              <w:top w:val="single" w:color="auto" w:sz="4" w:space="0"/>
              <w:left w:val="single" w:color="auto" w:sz="4" w:space="0"/>
              <w:bottom w:val="single" w:color="auto" w:sz="4" w:space="0"/>
              <w:right w:val="single" w:color="auto" w:sz="4" w:space="0"/>
            </w:tcBorders>
            <w:vAlign w:val="center"/>
          </w:tcPr>
          <w:p w14:paraId="3338E85F">
            <w:pPr>
              <w:shd w:val="clear"/>
              <w:tabs>
                <w:tab w:val="left" w:pos="700"/>
              </w:tabs>
              <w:adjustRightInd w:val="0"/>
              <w:snapToGrid w:val="0"/>
              <w:rPr>
                <w:rFonts w:ascii="Times New Roman" w:hAnsi="Times New Roman"/>
                <w:szCs w:val="21"/>
              </w:rPr>
            </w:pPr>
            <w:r>
              <w:rPr>
                <w:rFonts w:ascii="Times New Roman" w:hAnsi="Times New Roman"/>
                <w:szCs w:val="21"/>
              </w:rPr>
              <w:t>□本项目不要求提供履约保证金。</w:t>
            </w:r>
          </w:p>
          <w:p w14:paraId="2E0D60A7">
            <w:pPr>
              <w:shd w:val="clear"/>
              <w:tabs>
                <w:tab w:val="left" w:pos="700"/>
              </w:tabs>
              <w:adjustRightInd w:val="0"/>
              <w:snapToGrid w:val="0"/>
              <w:rPr>
                <w:rFonts w:ascii="Times New Roman" w:hAnsi="Times New Roman"/>
                <w:szCs w:val="21"/>
              </w:rPr>
            </w:pPr>
            <w:r>
              <w:rPr>
                <w:rFonts w:ascii="Times New Roman" w:hAnsi="Times New Roman"/>
                <w:szCs w:val="21"/>
              </w:rPr>
              <w:t>□本项目要求提供履约保证金。履约保证金为合同总金额的</w:t>
            </w:r>
            <w:r>
              <w:rPr>
                <w:rFonts w:ascii="Times New Roman" w:hAnsi="Times New Roman"/>
                <w:szCs w:val="21"/>
                <w:u w:val="single"/>
              </w:rPr>
              <w:t xml:space="preserve">   </w:t>
            </w:r>
            <w:r>
              <w:rPr>
                <w:rFonts w:ascii="Times New Roman" w:hAnsi="Times New Roman"/>
                <w:szCs w:val="21"/>
              </w:rPr>
              <w:t>%，即人民币</w:t>
            </w:r>
            <w:r>
              <w:rPr>
                <w:rFonts w:ascii="Times New Roman" w:hAnsi="Times New Roman"/>
                <w:szCs w:val="21"/>
                <w:u w:val="single"/>
                <w:lang w:val="en"/>
              </w:rPr>
              <w:t xml:space="preserve">    </w:t>
            </w:r>
            <w:r>
              <w:rPr>
                <w:rFonts w:ascii="Times New Roman" w:hAnsi="Times New Roman"/>
                <w:szCs w:val="21"/>
                <w:u w:val="single"/>
              </w:rPr>
              <w:t xml:space="preserve">  </w:t>
            </w:r>
            <w:r>
              <w:rPr>
                <w:rFonts w:ascii="Times New Roman" w:hAnsi="Times New Roman"/>
                <w:szCs w:val="21"/>
                <w:u w:val="single"/>
                <w:lang w:val="en"/>
              </w:rPr>
              <w:t xml:space="preserve"> </w:t>
            </w:r>
            <w:r>
              <w:rPr>
                <w:rFonts w:ascii="Times New Roman" w:hAnsi="Times New Roman"/>
                <w:szCs w:val="21"/>
                <w:lang w:val="en"/>
              </w:rPr>
              <w:t>元</w:t>
            </w:r>
            <w:r>
              <w:rPr>
                <w:rFonts w:ascii="Times New Roman" w:hAnsi="Times New Roman"/>
                <w:szCs w:val="21"/>
              </w:rPr>
              <w:t>整（¥</w:t>
            </w:r>
            <w:r>
              <w:rPr>
                <w:rFonts w:ascii="Times New Roman" w:hAnsi="Times New Roman"/>
                <w:szCs w:val="21"/>
                <w:u w:val="single"/>
                <w:lang w:val="en"/>
              </w:rPr>
              <w:t xml:space="preserve">     </w:t>
            </w:r>
            <w:r>
              <w:rPr>
                <w:rFonts w:ascii="Times New Roman" w:hAnsi="Times New Roman"/>
                <w:szCs w:val="21"/>
                <w:u w:val="single"/>
              </w:rPr>
              <w:t xml:space="preserve"> </w:t>
            </w:r>
            <w:r>
              <w:rPr>
                <w:rFonts w:ascii="Times New Roman" w:hAnsi="Times New Roman"/>
                <w:szCs w:val="21"/>
                <w:u w:val="single"/>
                <w:lang w:val="en"/>
              </w:rPr>
              <w:t xml:space="preserve"> </w:t>
            </w:r>
            <w:r>
              <w:rPr>
                <w:rFonts w:ascii="Times New Roman" w:hAnsi="Times New Roman"/>
                <w:szCs w:val="21"/>
              </w:rPr>
              <w:t>），乙方应在合同签订之日起 30 日内提交甲方。提交方式为银行电汇、金融机构或担保机构出具的保函。在合同履行期满，扣除应扣除的款项（如有）且双方无争议后，无息返还。</w:t>
            </w:r>
          </w:p>
          <w:p w14:paraId="21D2296A">
            <w:pPr>
              <w:shd w:val="clear"/>
              <w:tabs>
                <w:tab w:val="left" w:pos="700"/>
              </w:tabs>
              <w:adjustRightInd w:val="0"/>
              <w:snapToGrid w:val="0"/>
              <w:ind w:firstLine="420" w:firstLineChars="200"/>
              <w:rPr>
                <w:rFonts w:ascii="Times New Roman" w:hAnsi="Times New Roman"/>
                <w:szCs w:val="21"/>
              </w:rPr>
            </w:pPr>
            <w:r>
              <w:rPr>
                <w:rFonts w:ascii="Times New Roman" w:hAnsi="Times New Roman"/>
                <w:szCs w:val="21"/>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14:paraId="0DA06B69">
            <w:pPr>
              <w:shd w:val="clear"/>
              <w:tabs>
                <w:tab w:val="left" w:pos="700"/>
              </w:tabs>
              <w:adjustRightInd w:val="0"/>
              <w:snapToGrid w:val="0"/>
              <w:ind w:firstLine="420" w:firstLineChars="200"/>
              <w:rPr>
                <w:rFonts w:ascii="Times New Roman" w:hAnsi="Times New Roman"/>
                <w:szCs w:val="21"/>
              </w:rPr>
            </w:pPr>
            <w:r>
              <w:rPr>
                <w:rFonts w:ascii="Times New Roman" w:hAnsi="Times New Roman"/>
                <w:szCs w:val="21"/>
              </w:rPr>
              <w:t>满足履约保证金返还条件的，甲方在收到返还相关信息等合同约定资料后，进行核实。对核实结果无异议的，自完成核实之日起30日内，以</w:t>
            </w:r>
            <w:r>
              <w:rPr>
                <w:rFonts w:ascii="Times New Roman" w:hAnsi="Times New Roman"/>
                <w:szCs w:val="21"/>
                <w:u w:val="single"/>
              </w:rPr>
              <w:t xml:space="preserve">      </w:t>
            </w:r>
            <w:r>
              <w:rPr>
                <w:rFonts w:ascii="Times New Roman" w:hAnsi="Times New Roman"/>
                <w:szCs w:val="21"/>
              </w:rPr>
              <w:t>方式返还履约保证金或退回保函。</w:t>
            </w:r>
          </w:p>
        </w:tc>
      </w:tr>
      <w:tr w14:paraId="0F44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vAlign w:val="center"/>
          </w:tcPr>
          <w:p w14:paraId="6B09D5AC">
            <w:pPr>
              <w:shd w:val="clear"/>
              <w:tabs>
                <w:tab w:val="left" w:pos="700"/>
              </w:tabs>
              <w:adjustRightInd w:val="0"/>
              <w:snapToGrid w:val="0"/>
              <w:jc w:val="center"/>
              <w:rPr>
                <w:rFonts w:ascii="Times New Roman" w:hAnsi="Times New Roman"/>
                <w:szCs w:val="21"/>
              </w:rPr>
            </w:pPr>
            <w:r>
              <w:rPr>
                <w:rFonts w:ascii="Times New Roman" w:hAnsi="Times New Roman"/>
                <w:szCs w:val="21"/>
              </w:rPr>
              <w:t>11</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1F0519D7">
            <w:pPr>
              <w:shd w:val="clear"/>
              <w:tabs>
                <w:tab w:val="left" w:pos="700"/>
              </w:tabs>
              <w:adjustRightInd w:val="0"/>
              <w:snapToGrid w:val="0"/>
              <w:jc w:val="center"/>
              <w:rPr>
                <w:rFonts w:ascii="Times New Roman" w:hAnsi="Times New Roman"/>
                <w:szCs w:val="21"/>
              </w:rPr>
            </w:pPr>
            <w:r>
              <w:rPr>
                <w:rFonts w:ascii="Times New Roman" w:hAnsi="Times New Roman"/>
                <w:szCs w:val="21"/>
              </w:rPr>
              <w:t>合同履行期限</w:t>
            </w:r>
          </w:p>
        </w:tc>
        <w:tc>
          <w:tcPr>
            <w:tcW w:w="5779" w:type="dxa"/>
            <w:tcBorders>
              <w:top w:val="single" w:color="auto" w:sz="4" w:space="0"/>
              <w:left w:val="single" w:color="auto" w:sz="4" w:space="0"/>
              <w:bottom w:val="single" w:color="auto" w:sz="4" w:space="0"/>
              <w:right w:val="single" w:color="auto" w:sz="4" w:space="0"/>
            </w:tcBorders>
            <w:vAlign w:val="center"/>
          </w:tcPr>
          <w:p w14:paraId="3BCD3B58">
            <w:pPr>
              <w:shd w:val="clear"/>
              <w:tabs>
                <w:tab w:val="left" w:pos="700"/>
              </w:tabs>
              <w:adjustRightInd w:val="0"/>
              <w:snapToGrid w:val="0"/>
              <w:rPr>
                <w:rFonts w:ascii="Times New Roman" w:hAnsi="Times New Roman"/>
                <w:szCs w:val="21"/>
              </w:rPr>
            </w:pPr>
            <w:r>
              <w:rPr>
                <w:rFonts w:ascii="Times New Roman" w:hAnsi="Times New Roman"/>
                <w:szCs w:val="21"/>
              </w:rPr>
              <w:t>自合同签订之日起至合同全部权利义务履行完毕之日止</w:t>
            </w:r>
          </w:p>
        </w:tc>
      </w:tr>
      <w:tr w14:paraId="3295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vAlign w:val="center"/>
          </w:tcPr>
          <w:p w14:paraId="29B473E0">
            <w:pPr>
              <w:shd w:val="clear"/>
              <w:tabs>
                <w:tab w:val="left" w:pos="700"/>
              </w:tabs>
              <w:adjustRightInd w:val="0"/>
              <w:snapToGrid w:val="0"/>
              <w:jc w:val="center"/>
              <w:rPr>
                <w:rFonts w:ascii="Times New Roman" w:hAnsi="Times New Roman"/>
                <w:szCs w:val="21"/>
              </w:rPr>
            </w:pPr>
            <w:r>
              <w:rPr>
                <w:rFonts w:ascii="Times New Roman" w:hAnsi="Times New Roman"/>
                <w:szCs w:val="21"/>
              </w:rPr>
              <w:t>12</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3EF6E4F2">
            <w:pPr>
              <w:shd w:val="clear"/>
              <w:tabs>
                <w:tab w:val="left" w:pos="700"/>
              </w:tabs>
              <w:adjustRightInd w:val="0"/>
              <w:snapToGrid w:val="0"/>
              <w:jc w:val="center"/>
              <w:rPr>
                <w:rFonts w:ascii="Times New Roman" w:hAnsi="Times New Roman"/>
                <w:szCs w:val="21"/>
                <w:lang w:val="en"/>
              </w:rPr>
            </w:pPr>
            <w:r>
              <w:rPr>
                <w:rFonts w:ascii="Times New Roman" w:hAnsi="Times New Roman"/>
                <w:szCs w:val="21"/>
              </w:rPr>
              <w:t>服务期</w:t>
            </w:r>
          </w:p>
        </w:tc>
        <w:tc>
          <w:tcPr>
            <w:tcW w:w="5779" w:type="dxa"/>
            <w:tcBorders>
              <w:top w:val="single" w:color="auto" w:sz="4" w:space="0"/>
              <w:left w:val="single" w:color="auto" w:sz="4" w:space="0"/>
              <w:bottom w:val="single" w:color="auto" w:sz="4" w:space="0"/>
              <w:right w:val="single" w:color="auto" w:sz="4" w:space="0"/>
            </w:tcBorders>
            <w:vAlign w:val="center"/>
          </w:tcPr>
          <w:p w14:paraId="5C0528A2">
            <w:pPr>
              <w:shd w:val="clear"/>
              <w:tabs>
                <w:tab w:val="left" w:pos="700"/>
              </w:tabs>
              <w:adjustRightInd w:val="0"/>
              <w:snapToGrid w:val="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日至</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tc>
      </w:tr>
      <w:tr w14:paraId="6AC5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14:paraId="5366F851">
            <w:pPr>
              <w:shd w:val="clear"/>
              <w:tabs>
                <w:tab w:val="left" w:pos="700"/>
              </w:tabs>
              <w:adjustRightInd w:val="0"/>
              <w:snapToGrid w:val="0"/>
              <w:jc w:val="center"/>
              <w:rPr>
                <w:rFonts w:ascii="Times New Roman" w:hAnsi="Times New Roman"/>
                <w:szCs w:val="21"/>
              </w:rPr>
            </w:pPr>
            <w:r>
              <w:rPr>
                <w:rFonts w:ascii="Times New Roman" w:hAnsi="Times New Roman"/>
                <w:szCs w:val="21"/>
              </w:rPr>
              <w:t>13</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32A0391E">
            <w:pPr>
              <w:shd w:val="clear"/>
              <w:tabs>
                <w:tab w:val="left" w:pos="700"/>
              </w:tabs>
              <w:adjustRightInd w:val="0"/>
              <w:snapToGrid w:val="0"/>
              <w:jc w:val="center"/>
              <w:rPr>
                <w:rFonts w:ascii="Times New Roman" w:hAnsi="Times New Roman"/>
                <w:szCs w:val="21"/>
              </w:rPr>
            </w:pPr>
            <w:r>
              <w:rPr>
                <w:rFonts w:ascii="Times New Roman" w:hAnsi="Times New Roman"/>
                <w:szCs w:val="21"/>
              </w:rPr>
              <w:t>合同履约地点</w:t>
            </w:r>
          </w:p>
        </w:tc>
        <w:tc>
          <w:tcPr>
            <w:tcW w:w="5779" w:type="dxa"/>
            <w:tcBorders>
              <w:top w:val="single" w:color="auto" w:sz="4" w:space="0"/>
              <w:left w:val="single" w:color="auto" w:sz="4" w:space="0"/>
              <w:bottom w:val="single" w:color="auto" w:sz="4" w:space="0"/>
              <w:right w:val="single" w:color="auto" w:sz="4" w:space="0"/>
            </w:tcBorders>
            <w:vAlign w:val="center"/>
          </w:tcPr>
          <w:p w14:paraId="571BC84C">
            <w:pPr>
              <w:shd w:val="clear"/>
              <w:tabs>
                <w:tab w:val="left" w:pos="700"/>
              </w:tabs>
              <w:adjustRightInd w:val="0"/>
              <w:snapToGrid w:val="0"/>
              <w:rPr>
                <w:rFonts w:ascii="Times New Roman" w:hAnsi="Times New Roman"/>
                <w:szCs w:val="21"/>
              </w:rPr>
            </w:pPr>
            <w:r>
              <w:rPr>
                <w:rFonts w:ascii="Times New Roman" w:hAnsi="Times New Roman"/>
                <w:szCs w:val="21"/>
              </w:rPr>
              <w:t>合同约定地点或甲方指定地点</w:t>
            </w:r>
          </w:p>
        </w:tc>
      </w:tr>
      <w:tr w14:paraId="43F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14:paraId="04AF61EC">
            <w:pPr>
              <w:shd w:val="clear"/>
              <w:tabs>
                <w:tab w:val="left" w:pos="700"/>
              </w:tabs>
              <w:adjustRightInd w:val="0"/>
              <w:snapToGrid w:val="0"/>
              <w:jc w:val="center"/>
              <w:rPr>
                <w:rFonts w:ascii="Times New Roman" w:hAnsi="Times New Roman"/>
                <w:szCs w:val="21"/>
              </w:rPr>
            </w:pPr>
            <w:r>
              <w:rPr>
                <w:rFonts w:ascii="Times New Roman" w:hAnsi="Times New Roman"/>
                <w:szCs w:val="21"/>
              </w:rPr>
              <w:t>14</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16DA6086">
            <w:pPr>
              <w:shd w:val="clear"/>
              <w:tabs>
                <w:tab w:val="left" w:pos="700"/>
              </w:tabs>
              <w:adjustRightInd w:val="0"/>
              <w:snapToGrid w:val="0"/>
              <w:jc w:val="center"/>
              <w:rPr>
                <w:rFonts w:ascii="Times New Roman" w:hAnsi="Times New Roman"/>
                <w:szCs w:val="21"/>
              </w:rPr>
            </w:pPr>
            <w:r>
              <w:rPr>
                <w:rFonts w:ascii="Times New Roman" w:hAnsi="Times New Roman"/>
                <w:szCs w:val="21"/>
              </w:rPr>
              <w:t>合同纠纷解决方式</w:t>
            </w:r>
          </w:p>
        </w:tc>
        <w:tc>
          <w:tcPr>
            <w:tcW w:w="5779" w:type="dxa"/>
            <w:tcBorders>
              <w:top w:val="single" w:color="auto" w:sz="4" w:space="0"/>
              <w:left w:val="single" w:color="auto" w:sz="4" w:space="0"/>
              <w:bottom w:val="single" w:color="auto" w:sz="4" w:space="0"/>
              <w:right w:val="single" w:color="auto" w:sz="4" w:space="0"/>
            </w:tcBorders>
            <w:vAlign w:val="center"/>
          </w:tcPr>
          <w:p w14:paraId="43D838E6">
            <w:pPr>
              <w:shd w:val="clear"/>
              <w:tabs>
                <w:tab w:val="left" w:pos="700"/>
              </w:tabs>
              <w:adjustRightInd w:val="0"/>
              <w:snapToGrid w:val="0"/>
              <w:rPr>
                <w:rFonts w:ascii="Times New Roman" w:hAnsi="Times New Roman"/>
                <w:szCs w:val="21"/>
              </w:rPr>
            </w:pPr>
            <w:r>
              <w:rPr>
                <w:rFonts w:ascii="Times New Roman" w:hAnsi="Times New Roman"/>
                <w:szCs w:val="21"/>
              </w:rPr>
              <w:t>甲乙双方应首先通过友好协商解决在执行本合同中所发生的或与本合同有关的一切争端。如从协商开始</w:t>
            </w:r>
            <w:r>
              <w:rPr>
                <w:rFonts w:ascii="Times New Roman" w:hAnsi="Times New Roman"/>
                <w:szCs w:val="21"/>
                <w:u w:val="single"/>
              </w:rPr>
              <w:t xml:space="preserve">   </w:t>
            </w:r>
            <w:r>
              <w:rPr>
                <w:rFonts w:ascii="Times New Roman" w:hAnsi="Times New Roman"/>
                <w:szCs w:val="21"/>
              </w:rPr>
              <w:t>天内仍不能解决，可以选择以下途径之一解决纠纷：</w:t>
            </w:r>
          </w:p>
          <w:p w14:paraId="2092CAD8">
            <w:pPr>
              <w:shd w:val="clear"/>
              <w:tabs>
                <w:tab w:val="left" w:pos="700"/>
              </w:tabs>
              <w:adjustRightInd w:val="0"/>
              <w:snapToGrid w:val="0"/>
              <w:rPr>
                <w:rFonts w:ascii="Times New Roman" w:hAnsi="Times New Roman"/>
                <w:szCs w:val="21"/>
              </w:rPr>
            </w:pPr>
            <w:r>
              <w:rPr>
                <w:rFonts w:ascii="Times New Roman" w:hAnsi="Times New Roman"/>
                <w:szCs w:val="21"/>
              </w:rPr>
              <w:t>□向甲方所在地仲裁委员会或</w:t>
            </w:r>
            <w:r>
              <w:rPr>
                <w:rFonts w:ascii="Times New Roman" w:hAnsi="Times New Roman"/>
                <w:szCs w:val="21"/>
                <w:u w:val="single"/>
              </w:rPr>
              <w:t xml:space="preserve">        </w:t>
            </w:r>
            <w:r>
              <w:rPr>
                <w:rFonts w:ascii="Times New Roman" w:hAnsi="Times New Roman"/>
                <w:szCs w:val="21"/>
              </w:rPr>
              <w:t>仲裁委员会申请仲裁</w:t>
            </w:r>
          </w:p>
          <w:p w14:paraId="7971CA3D">
            <w:pPr>
              <w:shd w:val="clear"/>
              <w:tabs>
                <w:tab w:val="left" w:pos="700"/>
              </w:tabs>
              <w:adjustRightInd w:val="0"/>
              <w:snapToGrid w:val="0"/>
              <w:rPr>
                <w:rFonts w:ascii="Times New Roman" w:hAnsi="Times New Roman"/>
                <w:szCs w:val="21"/>
              </w:rPr>
            </w:pPr>
            <w:r>
              <w:rPr>
                <w:rFonts w:ascii="Times New Roman" w:hAnsi="Times New Roman"/>
                <w:szCs w:val="21"/>
              </w:rPr>
              <w:t>□向甲方所在地人民法院或</w:t>
            </w:r>
            <w:r>
              <w:rPr>
                <w:rFonts w:ascii="Times New Roman" w:hAnsi="Times New Roman"/>
                <w:szCs w:val="21"/>
                <w:u w:val="single"/>
              </w:rPr>
              <w:t xml:space="preserve">        </w:t>
            </w:r>
            <w:r>
              <w:rPr>
                <w:rFonts w:ascii="Times New Roman" w:hAnsi="Times New Roman"/>
                <w:szCs w:val="21"/>
              </w:rPr>
              <w:t>人民法院提起诉讼</w:t>
            </w:r>
          </w:p>
        </w:tc>
      </w:tr>
    </w:tbl>
    <w:p w14:paraId="06A651DD">
      <w:pPr>
        <w:shd w:val="clear"/>
        <w:tabs>
          <w:tab w:val="left" w:pos="700"/>
        </w:tabs>
        <w:topLinePunct/>
        <w:autoSpaceDE w:val="0"/>
        <w:autoSpaceDN w:val="0"/>
        <w:spacing w:line="460" w:lineRule="exact"/>
        <w:rPr>
          <w:rFonts w:hint="eastAsia" w:ascii="宋体" w:hAnsi="宋体" w:cs="宋体"/>
          <w:b/>
          <w:sz w:val="24"/>
        </w:rPr>
      </w:pPr>
      <w:r>
        <w:rPr>
          <w:rFonts w:hint="eastAsia" w:ascii="宋体" w:hAnsi="宋体" w:cs="宋体"/>
          <w:b/>
          <w:sz w:val="28"/>
        </w:rPr>
        <w:br w:type="page"/>
      </w:r>
    </w:p>
    <w:p w14:paraId="3D474778">
      <w:pPr>
        <w:shd w:val="clear"/>
        <w:tabs>
          <w:tab w:val="left" w:pos="0"/>
        </w:tabs>
        <w:topLinePunct/>
        <w:autoSpaceDE w:val="0"/>
        <w:autoSpaceDN w:val="0"/>
        <w:spacing w:line="360" w:lineRule="auto"/>
        <w:jc w:val="center"/>
        <w:rPr>
          <w:rFonts w:hint="eastAsia" w:ascii="宋体" w:hAnsi="宋体" w:cs="宋体"/>
          <w:b/>
          <w:sz w:val="24"/>
        </w:rPr>
      </w:pPr>
      <w:r>
        <w:rPr>
          <w:rFonts w:hint="eastAsia" w:ascii="宋体" w:hAnsi="宋体" w:cs="宋体"/>
          <w:b/>
          <w:sz w:val="24"/>
        </w:rPr>
        <w:t xml:space="preserve">一   合  同 </w:t>
      </w:r>
    </w:p>
    <w:p w14:paraId="0F0DD214">
      <w:pPr>
        <w:shd w:val="clear"/>
        <w:tabs>
          <w:tab w:val="left" w:pos="540"/>
        </w:tabs>
        <w:topLinePunct/>
        <w:autoSpaceDE w:val="0"/>
        <w:autoSpaceDN w:val="0"/>
        <w:spacing w:line="460" w:lineRule="exact"/>
        <w:rPr>
          <w:rFonts w:hint="eastAsia" w:ascii="宋体" w:hAnsi="宋体" w:cs="宋体"/>
          <w:b/>
          <w:sz w:val="24"/>
        </w:rPr>
      </w:pPr>
    </w:p>
    <w:p w14:paraId="65FC78B5">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国家税务总局XX税务局（以下简称“甲方”）通过</w:t>
      </w:r>
      <w:r>
        <w:rPr>
          <w:rFonts w:ascii="Times New Roman" w:hAnsi="Times New Roman"/>
          <w:szCs w:val="21"/>
          <w:u w:val="single"/>
        </w:rPr>
        <w:t xml:space="preserve">          </w:t>
      </w:r>
      <w:r>
        <w:rPr>
          <w:rFonts w:ascii="Times New Roman" w:hAnsi="Times New Roman"/>
          <w:szCs w:val="21"/>
        </w:rPr>
        <w:t>式采购，确定_ _____公司（以下简称“乙方”）为《</w:t>
      </w:r>
      <w:r>
        <w:rPr>
          <w:rFonts w:ascii="Times New Roman" w:hAnsi="Times New Roman"/>
          <w:szCs w:val="21"/>
          <w:u w:val="single"/>
        </w:rPr>
        <w:t xml:space="preserve">        </w:t>
      </w:r>
      <w:r>
        <w:rPr>
          <w:rFonts w:ascii="Times New Roman" w:hAnsi="Times New Roman"/>
          <w:szCs w:val="21"/>
        </w:rPr>
        <w:t>项目》中标（成交）供应商。甲乙双方同意按照该项目招标（采购）文件约定的内容，签署《</w:t>
      </w:r>
      <w:r>
        <w:rPr>
          <w:rFonts w:ascii="Times New Roman" w:hAnsi="Times New Roman"/>
          <w:szCs w:val="21"/>
          <w:u w:val="single"/>
        </w:rPr>
        <w:t xml:space="preserve">        </w:t>
      </w:r>
      <w:r>
        <w:rPr>
          <w:rFonts w:ascii="Times New Roman" w:hAnsi="Times New Roman"/>
          <w:szCs w:val="21"/>
        </w:rPr>
        <w:t>合同书》（合同编号：</w:t>
      </w:r>
      <w:r>
        <w:rPr>
          <w:rFonts w:ascii="Times New Roman" w:hAnsi="Times New Roman"/>
          <w:szCs w:val="21"/>
          <w:u w:val="single"/>
        </w:rPr>
        <w:t xml:space="preserve">      </w:t>
      </w:r>
      <w:r>
        <w:rPr>
          <w:rFonts w:ascii="Times New Roman" w:hAnsi="Times New Roman"/>
          <w:szCs w:val="21"/>
        </w:rPr>
        <w:t>，以下简称“合同”)。</w:t>
      </w:r>
    </w:p>
    <w:p w14:paraId="3F67B0BA">
      <w:pPr>
        <w:shd w:val="clear"/>
        <w:topLinePunct/>
        <w:autoSpaceDE w:val="0"/>
        <w:autoSpaceDN w:val="0"/>
        <w:snapToGrid w:val="0"/>
        <w:spacing w:line="360" w:lineRule="auto"/>
        <w:ind w:left="482"/>
        <w:rPr>
          <w:rFonts w:ascii="Times New Roman" w:hAnsi="Times New Roman"/>
          <w:b/>
          <w:szCs w:val="21"/>
        </w:rPr>
      </w:pPr>
      <w:r>
        <w:rPr>
          <w:rFonts w:ascii="Times New Roman" w:hAnsi="Times New Roman"/>
          <w:b/>
          <w:szCs w:val="21"/>
        </w:rPr>
        <w:t>1. 合同文件</w:t>
      </w:r>
    </w:p>
    <w:p w14:paraId="4D1129FC">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本合同所附下列文件是构成本合同不可分割的部分：</w:t>
      </w:r>
    </w:p>
    <w:p w14:paraId="71F157D1">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（1）合同通用条款；</w:t>
      </w:r>
    </w:p>
    <w:p w14:paraId="2B5C1122">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（2）报价表（总报价表和分项报价表）；</w:t>
      </w:r>
    </w:p>
    <w:p w14:paraId="4663CFEE">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（3）招标（采购）文件；</w:t>
      </w:r>
    </w:p>
    <w:p w14:paraId="4868CE6E">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（4）投标（响应）文件。</w:t>
      </w:r>
    </w:p>
    <w:p w14:paraId="7C0F8491">
      <w:pPr>
        <w:shd w:val="clear"/>
        <w:topLinePunct/>
        <w:autoSpaceDE w:val="0"/>
        <w:autoSpaceDN w:val="0"/>
        <w:snapToGrid w:val="0"/>
        <w:spacing w:line="360" w:lineRule="auto"/>
        <w:ind w:left="482"/>
        <w:rPr>
          <w:rFonts w:ascii="Times New Roman" w:hAnsi="Times New Roman"/>
          <w:b/>
          <w:szCs w:val="21"/>
        </w:rPr>
      </w:pPr>
      <w:r>
        <w:rPr>
          <w:rFonts w:ascii="Times New Roman" w:hAnsi="Times New Roman"/>
          <w:b/>
          <w:szCs w:val="21"/>
        </w:rPr>
        <w:t>2. 合同范围和条件</w:t>
      </w:r>
    </w:p>
    <w:p w14:paraId="24159C31">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本合同的范围和条件应与上述合同文件的规定相一致。</w:t>
      </w:r>
    </w:p>
    <w:p w14:paraId="64C67089">
      <w:pPr>
        <w:shd w:val="clear"/>
        <w:tabs>
          <w:tab w:val="left" w:pos="700"/>
        </w:tabs>
        <w:topLinePunct/>
        <w:autoSpaceDE w:val="0"/>
        <w:autoSpaceDN w:val="0"/>
        <w:snapToGrid w:val="0"/>
        <w:spacing w:line="360" w:lineRule="auto"/>
        <w:ind w:firstLine="413" w:firstLineChars="196"/>
        <w:rPr>
          <w:rFonts w:ascii="Times New Roman" w:hAnsi="Times New Roman"/>
          <w:b/>
          <w:szCs w:val="21"/>
        </w:rPr>
      </w:pPr>
      <w:r>
        <w:rPr>
          <w:rFonts w:ascii="Times New Roman" w:hAnsi="Times New Roman"/>
          <w:b/>
          <w:szCs w:val="21"/>
        </w:rPr>
        <w:t>3. 合同金额</w:t>
      </w:r>
    </w:p>
    <w:p w14:paraId="011472B7">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本合同总金额为人民币</w:t>
      </w:r>
      <w:r>
        <w:rPr>
          <w:rFonts w:ascii="Times New Roman" w:hAnsi="Times New Roman"/>
          <w:szCs w:val="21"/>
          <w:u w:val="single"/>
        </w:rPr>
        <w:t xml:space="preserve">        </w:t>
      </w:r>
      <w:r>
        <w:rPr>
          <w:rFonts w:ascii="Times New Roman" w:hAnsi="Times New Roman"/>
          <w:szCs w:val="21"/>
        </w:rPr>
        <w:t>元整（¥</w:t>
      </w:r>
      <w:r>
        <w:rPr>
          <w:rFonts w:ascii="Times New Roman" w:hAnsi="Times New Roman"/>
          <w:szCs w:val="21"/>
          <w:u w:val="single"/>
        </w:rPr>
        <w:t xml:space="preserve">          </w:t>
      </w:r>
      <w:r>
        <w:rPr>
          <w:rFonts w:ascii="Times New Roman" w:hAnsi="Times New Roman"/>
          <w:szCs w:val="21"/>
        </w:rPr>
        <w:t>）。本项目以</w:t>
      </w:r>
      <w:r>
        <w:rPr>
          <w:rFonts w:ascii="Times New Roman" w:hAnsi="Times New Roman"/>
          <w:szCs w:val="21"/>
          <w:u w:val="single"/>
        </w:rPr>
        <w:t xml:space="preserve">   </w:t>
      </w:r>
      <w:r>
        <w:rPr>
          <w:rFonts w:ascii="Times New Roman" w:hAnsi="Times New Roman"/>
          <w:szCs w:val="21"/>
        </w:rPr>
        <w:t>个月为1个服务周期，每个服务周期合同金额为人民币</w:t>
      </w:r>
      <w:r>
        <w:rPr>
          <w:rFonts w:ascii="Times New Roman" w:hAnsi="Times New Roman"/>
          <w:szCs w:val="21"/>
          <w:u w:val="single"/>
        </w:rPr>
        <w:t xml:space="preserve">        </w:t>
      </w:r>
      <w:r>
        <w:rPr>
          <w:rFonts w:ascii="Times New Roman" w:hAnsi="Times New Roman"/>
          <w:szCs w:val="21"/>
        </w:rPr>
        <w:t>元整（¥</w:t>
      </w:r>
      <w:r>
        <w:rPr>
          <w:rFonts w:ascii="Times New Roman" w:hAnsi="Times New Roman"/>
          <w:szCs w:val="21"/>
          <w:u w:val="single"/>
        </w:rPr>
        <w:t xml:space="preserve">          </w:t>
      </w:r>
      <w:r>
        <w:rPr>
          <w:rFonts w:ascii="Times New Roman" w:hAnsi="Times New Roman"/>
          <w:szCs w:val="21"/>
        </w:rPr>
        <w:t>）。</w:t>
      </w:r>
    </w:p>
    <w:p w14:paraId="59E89462">
      <w:pPr>
        <w:shd w:val="clear"/>
        <w:tabs>
          <w:tab w:val="left" w:pos="700"/>
        </w:tabs>
        <w:topLinePunct/>
        <w:autoSpaceDE w:val="0"/>
        <w:autoSpaceDN w:val="0"/>
        <w:snapToGrid w:val="0"/>
        <w:spacing w:line="360" w:lineRule="auto"/>
        <w:ind w:firstLine="422" w:firstLineChars="200"/>
        <w:rPr>
          <w:rFonts w:ascii="Times New Roman" w:hAnsi="Times New Roman"/>
          <w:b/>
          <w:szCs w:val="21"/>
        </w:rPr>
      </w:pPr>
      <w:r>
        <w:rPr>
          <w:rFonts w:ascii="Times New Roman" w:hAnsi="Times New Roman"/>
          <w:b/>
          <w:szCs w:val="21"/>
          <w:lang w:val="en"/>
        </w:rPr>
        <w:t>4.</w:t>
      </w:r>
      <w:r>
        <w:rPr>
          <w:rFonts w:ascii="Times New Roman" w:hAnsi="Times New Roman"/>
          <w:b/>
          <w:szCs w:val="21"/>
        </w:rPr>
        <w:t>付款条件</w:t>
      </w:r>
    </w:p>
    <w:p w14:paraId="267A8C30">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本项目每</w:t>
      </w:r>
      <w:r>
        <w:rPr>
          <w:rFonts w:ascii="Times New Roman" w:hAnsi="Times New Roman"/>
          <w:szCs w:val="21"/>
          <w:u w:val="single"/>
        </w:rPr>
        <w:t xml:space="preserve">   </w:t>
      </w:r>
      <w:r>
        <w:rPr>
          <w:rFonts w:ascii="Times New Roman" w:hAnsi="Times New Roman"/>
          <w:szCs w:val="21"/>
        </w:rPr>
        <w:t>个月为 1 个服务周期，共</w:t>
      </w:r>
      <w:r>
        <w:rPr>
          <w:rFonts w:ascii="Times New Roman" w:hAnsi="Times New Roman"/>
          <w:szCs w:val="21"/>
          <w:u w:val="single"/>
        </w:rPr>
        <w:t xml:space="preserve">   </w:t>
      </w:r>
      <w:r>
        <w:rPr>
          <w:rFonts w:ascii="Times New Roman" w:hAnsi="Times New Roman"/>
          <w:szCs w:val="21"/>
        </w:rPr>
        <w:t>个服务周期。每个服务周期，甲方按照采购文件和合同约定对乙方提供的服务进行考核或验收后支付相应款项。</w:t>
      </w:r>
    </w:p>
    <w:p w14:paraId="06F46B69">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合同以人民币结算，付款方式：</w:t>
      </w:r>
    </w:p>
    <w:p w14:paraId="724966B8">
      <w:pPr>
        <w:pStyle w:val="74"/>
        <w:shd w:val="clear"/>
        <w:tabs>
          <w:tab w:val="left" w:pos="840"/>
        </w:tabs>
        <w:adjustRightInd w:val="0"/>
        <w:snapToGrid w:val="0"/>
        <w:spacing w:line="360" w:lineRule="auto"/>
        <w:ind w:left="19" w:leftChars="9" w:firstLine="401" w:firstLineChars="191"/>
        <w:jc w:val="left"/>
        <w:textAlignment w:val="baseline"/>
        <w:rPr>
          <w:rFonts w:hint="eastAsia" w:ascii="宋体" w:hAnsi="宋体" w:eastAsia="宋体" w:cs="宋体"/>
          <w:sz w:val="21"/>
          <w:szCs w:val="21"/>
        </w:rPr>
      </w:pPr>
      <w:r>
        <w:rPr>
          <w:rFonts w:hint="eastAsia" w:ascii="宋体" w:hAnsi="宋体" w:eastAsia="宋体" w:cs="宋体"/>
          <w:sz w:val="21"/>
          <w:szCs w:val="21"/>
        </w:rPr>
        <w:t>第一次付款：在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6124385">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第二次付款：在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8B99C64">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w:t>
      </w:r>
    </w:p>
    <w:p w14:paraId="2537A998">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每次办理付款时，乙方应提供发票、付款申请（格式另附）、合同或合同关键页复印件、合同约定的其他资料。涉及验收的，应同时提交甲方需求部门出具的验收意见。</w:t>
      </w:r>
    </w:p>
    <w:p w14:paraId="030A01F2">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甲方在收到发票等合同约定资料后，进行核实。满足合同约定支付条件的，自收到发票后</w:t>
      </w:r>
      <w:r>
        <w:rPr>
          <w:rFonts w:hint="eastAsia" w:ascii="宋体" w:hAnsi="宋体" w:eastAsia="宋体" w:cs="宋体"/>
          <w:sz w:val="21"/>
          <w:szCs w:val="21"/>
          <w:u w:val="single"/>
        </w:rPr>
        <w:t xml:space="preserve">   </w:t>
      </w:r>
      <w:r>
        <w:rPr>
          <w:rFonts w:hint="eastAsia" w:ascii="宋体" w:hAnsi="宋体" w:eastAsia="宋体" w:cs="宋体"/>
          <w:sz w:val="21"/>
          <w:szCs w:val="21"/>
        </w:rPr>
        <w:t>日内将资金支付到乙方账户，特殊情形付款期限最长不超过</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8D35F90">
      <w:pPr>
        <w:shd w:val="clear"/>
        <w:topLinePunct/>
        <w:autoSpaceDE w:val="0"/>
        <w:autoSpaceDN w:val="0"/>
        <w:snapToGrid w:val="0"/>
        <w:spacing w:line="360" w:lineRule="auto"/>
        <w:ind w:left="482"/>
        <w:rPr>
          <w:rFonts w:ascii="Times New Roman" w:hAnsi="Times New Roman"/>
          <w:b/>
          <w:szCs w:val="21"/>
        </w:rPr>
      </w:pPr>
      <w:r>
        <w:rPr>
          <w:rFonts w:ascii="Times New Roman" w:hAnsi="Times New Roman"/>
          <w:b/>
          <w:szCs w:val="21"/>
        </w:rPr>
        <w:t>5. 合同签订及生效</w:t>
      </w:r>
    </w:p>
    <w:p w14:paraId="6D4F6C2D">
      <w:pPr>
        <w:pStyle w:val="74"/>
        <w:shd w:val="clear"/>
        <w:tabs>
          <w:tab w:val="left" w:pos="840"/>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份，由甲乙双方法定代表人或被授权人签字并盖章后生效。</w:t>
      </w:r>
    </w:p>
    <w:p w14:paraId="2BC72F96">
      <w:pPr>
        <w:pStyle w:val="74"/>
        <w:shd w:val="clear"/>
        <w:tabs>
          <w:tab w:val="left" w:pos="840"/>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乙方由法定代表人签订合同的，应提供法定代表人身份证复印件；乙方由被授权人签订合同的，应提供授权委托书和法定代表人及被授权人身份证复印件。</w:t>
      </w:r>
    </w:p>
    <w:p w14:paraId="1B17FB93">
      <w:pPr>
        <w:pStyle w:val="74"/>
        <w:shd w:val="clear"/>
        <w:tabs>
          <w:tab w:val="left" w:pos="840"/>
        </w:tabs>
        <w:snapToGrid w:val="0"/>
        <w:spacing w:line="360" w:lineRule="auto"/>
        <w:ind w:firstLine="420" w:firstLineChars="200"/>
        <w:rPr>
          <w:rFonts w:ascii="Times New Roman" w:hAnsi="Times New Roman"/>
          <w:sz w:val="21"/>
          <w:szCs w:val="21"/>
        </w:rPr>
      </w:pPr>
    </w:p>
    <w:p w14:paraId="68AB6904">
      <w:pPr>
        <w:shd w:val="clear"/>
        <w:tabs>
          <w:tab w:val="left" w:pos="700"/>
        </w:tabs>
        <w:topLinePunct/>
        <w:autoSpaceDE w:val="0"/>
        <w:autoSpaceDN w:val="0"/>
        <w:spacing w:line="360" w:lineRule="auto"/>
        <w:rPr>
          <w:rFonts w:ascii="Times New Roman" w:hAnsi="Times New Roman"/>
          <w:szCs w:val="21"/>
        </w:rPr>
      </w:pPr>
    </w:p>
    <w:p w14:paraId="4AFF1683">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甲方：国家税务总局XX税务局             乙方：</w:t>
      </w:r>
    </w:p>
    <w:p w14:paraId="4B8AF868">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签字：                                 签字：</w:t>
      </w:r>
    </w:p>
    <w:p w14:paraId="509E909F">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 xml:space="preserve">盖章：                                 盖章： </w:t>
      </w:r>
    </w:p>
    <w:p w14:paraId="04A9E580">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日期：    年    月    日               日期：     年   月   日</w:t>
      </w:r>
    </w:p>
    <w:p w14:paraId="66D0EBF5">
      <w:pPr>
        <w:shd w:val="clear"/>
        <w:topLinePunct/>
        <w:autoSpaceDE w:val="0"/>
        <w:autoSpaceDN w:val="0"/>
        <w:spacing w:line="360" w:lineRule="auto"/>
        <w:rPr>
          <w:rFonts w:ascii="Times New Roman" w:hAnsi="Times New Roman"/>
          <w:b/>
          <w:szCs w:val="21"/>
        </w:rPr>
      </w:pPr>
    </w:p>
    <w:p w14:paraId="73FDC23E">
      <w:pPr>
        <w:shd w:val="clear"/>
        <w:topLinePunct/>
        <w:autoSpaceDE w:val="0"/>
        <w:autoSpaceDN w:val="0"/>
        <w:spacing w:line="460" w:lineRule="exact"/>
        <w:jc w:val="center"/>
        <w:rPr>
          <w:rFonts w:hint="eastAsia" w:ascii="宋体" w:hAnsi="宋体" w:cs="宋体"/>
          <w:b/>
          <w:sz w:val="24"/>
        </w:rPr>
      </w:pPr>
    </w:p>
    <w:p w14:paraId="2431061A">
      <w:pPr>
        <w:shd w:val="clear"/>
        <w:topLinePunct/>
        <w:autoSpaceDE w:val="0"/>
        <w:autoSpaceDN w:val="0"/>
        <w:spacing w:line="460" w:lineRule="exact"/>
        <w:jc w:val="center"/>
        <w:rPr>
          <w:rFonts w:hint="eastAsia" w:ascii="宋体" w:hAnsi="宋体" w:cs="宋体"/>
          <w:b/>
          <w:sz w:val="24"/>
        </w:rPr>
      </w:pPr>
    </w:p>
    <w:p w14:paraId="2663016D">
      <w:pPr>
        <w:shd w:val="clear"/>
        <w:topLinePunct/>
        <w:autoSpaceDE w:val="0"/>
        <w:autoSpaceDN w:val="0"/>
        <w:spacing w:line="360" w:lineRule="auto"/>
        <w:jc w:val="center"/>
        <w:rPr>
          <w:rFonts w:hint="eastAsia" w:ascii="宋体" w:hAnsi="宋体" w:cs="宋体"/>
          <w:b/>
          <w:sz w:val="24"/>
        </w:rPr>
      </w:pPr>
      <w:r>
        <w:rPr>
          <w:rFonts w:ascii="宋体" w:hAnsi="宋体" w:cs="宋体"/>
          <w:b/>
          <w:sz w:val="24"/>
        </w:rPr>
        <w:br w:type="page"/>
      </w:r>
      <w:r>
        <w:rPr>
          <w:rFonts w:hint="eastAsia" w:ascii="宋体" w:hAnsi="宋体" w:cs="宋体"/>
          <w:b/>
          <w:sz w:val="24"/>
        </w:rPr>
        <w:t>二   合 同 通 用 条 款</w:t>
      </w:r>
    </w:p>
    <w:p w14:paraId="62C35115">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 定义</w:t>
      </w:r>
    </w:p>
    <w:p w14:paraId="4A326F5F">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本合同下列术语应解释为：</w:t>
      </w:r>
    </w:p>
    <w:p w14:paraId="3824053B">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1.1“甲方”是指国家税务总局</w:t>
      </w:r>
      <w:r>
        <w:rPr>
          <w:rFonts w:ascii="Times New Roman" w:hAnsi="Times New Roman"/>
          <w:szCs w:val="21"/>
          <w:lang w:val="en"/>
        </w:rPr>
        <w:t>XX税务局</w:t>
      </w:r>
      <w:r>
        <w:rPr>
          <w:rFonts w:ascii="Times New Roman" w:hAnsi="Times New Roman"/>
          <w:szCs w:val="21"/>
        </w:rPr>
        <w:t>。</w:t>
      </w:r>
    </w:p>
    <w:p w14:paraId="73240F96">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1.1.1“甲方采购部门”见“合同条款前附表”第5项“甲方采购部门”。</w:t>
      </w:r>
    </w:p>
    <w:p w14:paraId="48A57EB3">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1.1.2“甲方需求部门”见“合同条款前附表”第5项“甲方需求部门”。</w:t>
      </w:r>
    </w:p>
    <w:p w14:paraId="6C92C29A">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1.2“乙方”见“合同条款前附表”第6项“乙方名称”。</w:t>
      </w:r>
    </w:p>
    <w:p w14:paraId="0BA10068">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1.3 “合同”系指甲乙双方签订的、合同格式中载明的甲乙双方所达成的协议，包括所有的附件、附录和上述文件所提到的构成合同的所有文件。</w:t>
      </w:r>
    </w:p>
    <w:p w14:paraId="2127B3A8">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1.4 “天”除非特别指出，“天”均为自然天。</w:t>
      </w:r>
    </w:p>
    <w:p w14:paraId="79CA994E">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2. 标准</w:t>
      </w:r>
    </w:p>
    <w:p w14:paraId="03DF25FE">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2.1 乙方为甲方交付或提供的服务应符合招标（采购）文件所述的标准，如果没有提及适用标准，则应符合相应的国家标准。这些标准必须是有关机构发布的最新版本的标准。</w:t>
      </w:r>
    </w:p>
    <w:p w14:paraId="450CF155">
      <w:pPr>
        <w:shd w:val="clear"/>
        <w:spacing w:line="360" w:lineRule="auto"/>
        <w:ind w:firstLine="420" w:firstLineChars="200"/>
        <w:rPr>
          <w:rFonts w:ascii="Times New Roman" w:hAnsi="Times New Roman"/>
          <w:szCs w:val="21"/>
        </w:rPr>
      </w:pPr>
      <w:r>
        <w:rPr>
          <w:rFonts w:ascii="Times New Roman" w:hAnsi="Times New Roman"/>
          <w:szCs w:val="21"/>
        </w:rPr>
        <w:t>2.2 除非技术要求中另有规定，计量单位均采用中华人民共和国法定计量单位。</w:t>
      </w:r>
    </w:p>
    <w:p w14:paraId="2FBBF376">
      <w:pPr>
        <w:shd w:val="clear"/>
        <w:spacing w:line="360" w:lineRule="auto"/>
        <w:ind w:firstLine="422" w:firstLineChars="200"/>
        <w:rPr>
          <w:rFonts w:ascii="Times New Roman" w:hAnsi="Times New Roman"/>
          <w:b/>
          <w:szCs w:val="21"/>
        </w:rPr>
      </w:pPr>
      <w:r>
        <w:rPr>
          <w:rFonts w:ascii="Times New Roman" w:hAnsi="Times New Roman"/>
          <w:b/>
          <w:szCs w:val="21"/>
        </w:rPr>
        <w:t>3. 服务</w:t>
      </w:r>
    </w:p>
    <w:p w14:paraId="3FBE7DED">
      <w:pPr>
        <w:shd w:val="clear"/>
        <w:tabs>
          <w:tab w:val="left" w:pos="700"/>
        </w:tabs>
        <w:spacing w:line="360" w:lineRule="auto"/>
        <w:ind w:firstLine="420" w:firstLineChars="200"/>
        <w:rPr>
          <w:rFonts w:ascii="Times New Roman" w:hAnsi="Times New Roman"/>
          <w:b/>
          <w:szCs w:val="21"/>
        </w:rPr>
      </w:pPr>
      <w:r>
        <w:rPr>
          <w:rFonts w:ascii="Times New Roman" w:hAnsi="Times New Roman"/>
          <w:bCs/>
          <w:szCs w:val="21"/>
        </w:rPr>
        <w:t>3.1 本项目的“服务”见“合同条款前附表”第8项“服务内容”。</w:t>
      </w:r>
    </w:p>
    <w:p w14:paraId="6E823544">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3.2 乙方应保证所提供的服务符合合同规定的要求。如不符时，乙方应负全责并尽快处理解决，由此造成的损失和相关费用由乙方负责，甲方保留终止合同及索赔的权利。</w:t>
      </w:r>
    </w:p>
    <w:p w14:paraId="5C16F0FC">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3.3 乙方应保证通过执行合同中全部方案后，可以取得本合同约定的结果，达到本合同约定的预期目标。对任何情况下出现的问题，应尽快提出解决方案。</w:t>
      </w:r>
    </w:p>
    <w:p w14:paraId="5D3DC69F">
      <w:pPr>
        <w:shd w:val="clear"/>
        <w:tabs>
          <w:tab w:val="left" w:pos="0"/>
          <w:tab w:val="left" w:pos="540"/>
        </w:tabs>
        <w:spacing w:line="360" w:lineRule="auto"/>
        <w:ind w:firstLine="420" w:firstLineChars="200"/>
        <w:rPr>
          <w:rFonts w:ascii="Times New Roman" w:hAnsi="Times New Roman"/>
          <w:szCs w:val="21"/>
        </w:rPr>
      </w:pPr>
      <w:r>
        <w:rPr>
          <w:rFonts w:ascii="Times New Roman" w:hAnsi="Times New Roman"/>
          <w:szCs w:val="21"/>
        </w:rPr>
        <w:t>3.4 如果乙方提供的服务和解决方案不符合甲方要求，或在规定的时间内没有弥补缺陷，甲方有权采取一切必要的补救措施，由此产生的费用全部由乙方负责。</w:t>
      </w:r>
    </w:p>
    <w:p w14:paraId="5134F0FE">
      <w:pPr>
        <w:shd w:val="clear"/>
        <w:spacing w:line="360" w:lineRule="auto"/>
        <w:ind w:firstLine="420" w:firstLineChars="200"/>
        <w:rPr>
          <w:rFonts w:ascii="Times New Roman" w:hAnsi="Times New Roman"/>
          <w:szCs w:val="21"/>
        </w:rPr>
      </w:pPr>
      <w:r>
        <w:rPr>
          <w:rFonts w:ascii="Times New Roman" w:hAnsi="Times New Roman"/>
          <w:szCs w:val="21"/>
        </w:rPr>
        <w:t>3.5 除合同条款另行规定外，伴随服务的费用应含在合同价中，不单独进行支付。</w:t>
      </w:r>
    </w:p>
    <w:p w14:paraId="5CF3D78E">
      <w:pPr>
        <w:shd w:val="clear"/>
        <w:tabs>
          <w:tab w:val="left" w:pos="0"/>
          <w:tab w:val="left" w:pos="540"/>
        </w:tabs>
        <w:spacing w:line="360" w:lineRule="auto"/>
        <w:ind w:firstLine="422" w:firstLineChars="200"/>
        <w:rPr>
          <w:rFonts w:ascii="Times New Roman" w:hAnsi="Times New Roman"/>
          <w:b/>
          <w:szCs w:val="21"/>
        </w:rPr>
      </w:pPr>
      <w:r>
        <w:rPr>
          <w:rFonts w:ascii="Times New Roman" w:hAnsi="Times New Roman"/>
          <w:b/>
          <w:szCs w:val="21"/>
        </w:rPr>
        <w:t>4. 知识产权</w:t>
      </w:r>
    </w:p>
    <w:p w14:paraId="24C67F9F">
      <w:pPr>
        <w:shd w:val="clear"/>
        <w:spacing w:line="360" w:lineRule="auto"/>
        <w:ind w:firstLine="420" w:firstLineChars="200"/>
        <w:rPr>
          <w:rFonts w:ascii="Times New Roman" w:hAnsi="Times New Roman"/>
          <w:szCs w:val="21"/>
        </w:rPr>
      </w:pPr>
      <w:r>
        <w:rPr>
          <w:rFonts w:ascii="Times New Roman" w:hAnsi="Times New Roman"/>
          <w:szCs w:val="21"/>
        </w:rPr>
        <w:t>4.1 乙方应保证所提供的服务免受第三方提出侵犯其知识产权（专利权、商标权、软件著作权、版权等）的起诉。</w:t>
      </w:r>
    </w:p>
    <w:p w14:paraId="72E36A35">
      <w:pPr>
        <w:shd w:val="clear"/>
        <w:tabs>
          <w:tab w:val="left" w:pos="0"/>
          <w:tab w:val="left" w:pos="540"/>
        </w:tabs>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14:paraId="5088ADDC">
      <w:pPr>
        <w:shd w:val="clear"/>
        <w:tabs>
          <w:tab w:val="left" w:pos="0"/>
          <w:tab w:val="left" w:pos="540"/>
        </w:tabs>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14:paraId="61DD1679">
      <w:pPr>
        <w:shd w:val="clear"/>
        <w:spacing w:line="360" w:lineRule="auto"/>
        <w:ind w:firstLine="422" w:firstLineChars="200"/>
        <w:rPr>
          <w:rFonts w:ascii="Times New Roman" w:hAnsi="Times New Roman"/>
          <w:b/>
          <w:szCs w:val="21"/>
        </w:rPr>
      </w:pPr>
      <w:r>
        <w:rPr>
          <w:rFonts w:ascii="Times New Roman" w:hAnsi="Times New Roman"/>
          <w:b/>
          <w:szCs w:val="21"/>
        </w:rPr>
        <w:t>5. 保密条款</w:t>
      </w:r>
    </w:p>
    <w:p w14:paraId="3A7C0580">
      <w:pPr>
        <w:shd w:val="clear"/>
        <w:spacing w:line="360" w:lineRule="auto"/>
        <w:ind w:firstLine="420" w:firstLineChars="200"/>
        <w:rPr>
          <w:rFonts w:ascii="Times New Roman" w:hAnsi="Times New Roman"/>
          <w:szCs w:val="21"/>
        </w:rPr>
      </w:pPr>
      <w:r>
        <w:rPr>
          <w:rFonts w:ascii="Times New Roman" w:hAnsi="Times New Roman"/>
          <w:szCs w:val="21"/>
        </w:rPr>
        <w:t>5.1 甲乙双方应对在本合同签订或履行过程中所接触的对方信息，包括但不限于知识产权、技术资料、技术诀窍、内部管理及其他相关信息，负有保密义务。</w:t>
      </w:r>
    </w:p>
    <w:p w14:paraId="10B24A93">
      <w:pPr>
        <w:shd w:val="clear"/>
        <w:spacing w:line="360" w:lineRule="auto"/>
        <w:ind w:firstLine="420" w:firstLineChars="200"/>
        <w:rPr>
          <w:rFonts w:ascii="Times New Roman" w:hAnsi="Times New Roman"/>
          <w:szCs w:val="21"/>
        </w:rPr>
      </w:pPr>
      <w:r>
        <w:rPr>
          <w:rFonts w:ascii="Times New Roman" w:hAnsi="Times New Roman"/>
          <w:szCs w:val="21"/>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71FC00ED">
      <w:pPr>
        <w:shd w:val="clear"/>
        <w:spacing w:line="360" w:lineRule="auto"/>
        <w:ind w:firstLine="420" w:firstLineChars="200"/>
        <w:rPr>
          <w:rFonts w:ascii="Times New Roman" w:hAnsi="Times New Roman"/>
          <w:szCs w:val="21"/>
        </w:rPr>
      </w:pPr>
      <w:r>
        <w:rPr>
          <w:rFonts w:ascii="Times New Roman" w:hAnsi="Times New Roman"/>
          <w:szCs w:val="21"/>
        </w:rPr>
        <w:t>（1） 应以审慎态度避免泄漏、公开或传播甲方的信息；</w:t>
      </w:r>
    </w:p>
    <w:p w14:paraId="279DA27A">
      <w:pPr>
        <w:shd w:val="clear"/>
        <w:spacing w:line="360" w:lineRule="auto"/>
        <w:ind w:firstLine="420" w:firstLineChars="200"/>
        <w:rPr>
          <w:rFonts w:ascii="Times New Roman" w:hAnsi="Times New Roman"/>
          <w:szCs w:val="21"/>
        </w:rPr>
      </w:pPr>
      <w:r>
        <w:rPr>
          <w:rFonts w:ascii="Times New Roman" w:hAnsi="Times New Roman"/>
          <w:szCs w:val="21"/>
        </w:rPr>
        <w:t>（2） 在开发过程中对数据的处理方式应事先得到甲方的许可；</w:t>
      </w:r>
    </w:p>
    <w:p w14:paraId="5A6C8D07">
      <w:pPr>
        <w:shd w:val="clear"/>
        <w:spacing w:line="360" w:lineRule="auto"/>
        <w:ind w:firstLine="420" w:firstLineChars="200"/>
        <w:rPr>
          <w:rFonts w:ascii="Times New Roman" w:hAnsi="Times New Roman"/>
          <w:szCs w:val="21"/>
        </w:rPr>
      </w:pPr>
      <w:r>
        <w:rPr>
          <w:rFonts w:ascii="Times New Roman" w:hAnsi="Times New Roman"/>
          <w:szCs w:val="21"/>
        </w:rPr>
        <w:t>（3） 未经甲方书面许可，不得对有关信息进行修改、补充、复制；</w:t>
      </w:r>
    </w:p>
    <w:p w14:paraId="26A654B5">
      <w:pPr>
        <w:shd w:val="clear"/>
        <w:spacing w:line="360" w:lineRule="auto"/>
        <w:ind w:firstLine="420" w:firstLineChars="200"/>
        <w:rPr>
          <w:rFonts w:ascii="Times New Roman" w:hAnsi="Times New Roman"/>
          <w:szCs w:val="21"/>
        </w:rPr>
      </w:pPr>
      <w:r>
        <w:rPr>
          <w:rFonts w:ascii="Times New Roman" w:hAnsi="Times New Roman"/>
          <w:szCs w:val="21"/>
        </w:rPr>
        <w:t>（4） 未经甲方书面许可，不得将信息以任何方式（如E-mail）携带出甲方场所；</w:t>
      </w:r>
    </w:p>
    <w:p w14:paraId="6E8F1C32">
      <w:pPr>
        <w:shd w:val="clear"/>
        <w:spacing w:line="360" w:lineRule="auto"/>
        <w:ind w:firstLine="420" w:firstLineChars="200"/>
        <w:rPr>
          <w:rFonts w:ascii="Times New Roman" w:hAnsi="Times New Roman"/>
          <w:szCs w:val="21"/>
        </w:rPr>
      </w:pPr>
      <w:r>
        <w:rPr>
          <w:rFonts w:ascii="Times New Roman" w:hAnsi="Times New Roman"/>
          <w:szCs w:val="21"/>
        </w:rPr>
        <w:t xml:space="preserve">（5） 未经甲方书面许可，不得将信息透露给任何其他人； </w:t>
      </w:r>
    </w:p>
    <w:p w14:paraId="1243393F">
      <w:pPr>
        <w:shd w:val="clear"/>
        <w:spacing w:line="360" w:lineRule="auto"/>
        <w:ind w:firstLine="420" w:firstLineChars="200"/>
        <w:rPr>
          <w:rFonts w:ascii="Times New Roman" w:hAnsi="Times New Roman"/>
          <w:szCs w:val="21"/>
        </w:rPr>
      </w:pPr>
      <w:r>
        <w:rPr>
          <w:rFonts w:ascii="Times New Roman" w:hAnsi="Times New Roman"/>
          <w:szCs w:val="21"/>
        </w:rPr>
        <w:t>（6） 严禁在提交的软件产品中设置远程维护接口和后门程序；</w:t>
      </w:r>
    </w:p>
    <w:p w14:paraId="57BCD824">
      <w:pPr>
        <w:shd w:val="clear"/>
        <w:spacing w:line="360" w:lineRule="auto"/>
        <w:ind w:firstLine="420" w:firstLineChars="200"/>
        <w:rPr>
          <w:rFonts w:ascii="Times New Roman" w:hAnsi="Times New Roman"/>
          <w:szCs w:val="21"/>
        </w:rPr>
      </w:pPr>
      <w:r>
        <w:rPr>
          <w:rFonts w:ascii="Times New Roman" w:hAnsi="Times New Roman"/>
          <w:szCs w:val="21"/>
        </w:rPr>
        <w:t>（7） 不得进行系统软硬件设备的远程维护；</w:t>
      </w:r>
    </w:p>
    <w:p w14:paraId="77013E9D">
      <w:pPr>
        <w:shd w:val="clear"/>
        <w:spacing w:line="360" w:lineRule="auto"/>
        <w:ind w:firstLine="420" w:firstLineChars="200"/>
        <w:rPr>
          <w:rFonts w:ascii="Times New Roman" w:hAnsi="Times New Roman"/>
          <w:szCs w:val="21"/>
        </w:rPr>
      </w:pPr>
      <w:r>
        <w:rPr>
          <w:rFonts w:ascii="Times New Roman" w:hAnsi="Times New Roman"/>
          <w:szCs w:val="21"/>
        </w:rPr>
        <w:t>（8） 甲方以书面形式提出的其他保密措施。</w:t>
      </w:r>
    </w:p>
    <w:p w14:paraId="5559FDE5">
      <w:pPr>
        <w:shd w:val="clear"/>
        <w:spacing w:line="360" w:lineRule="auto"/>
        <w:ind w:firstLine="420" w:firstLineChars="200"/>
        <w:rPr>
          <w:rFonts w:ascii="Times New Roman" w:hAnsi="Times New Roman"/>
          <w:szCs w:val="21"/>
        </w:rPr>
      </w:pPr>
      <w:r>
        <w:rPr>
          <w:rFonts w:ascii="Times New Roman" w:hAnsi="Times New Roman"/>
          <w:szCs w:val="21"/>
        </w:rPr>
        <w:t>5.3 保密期限不受合同有效期的限制，在合同有效期结束后，信息接受方仍应承担保密义务，直至该等信息成为公开信息。</w:t>
      </w:r>
    </w:p>
    <w:p w14:paraId="51FF71EA">
      <w:pPr>
        <w:shd w:val="clear"/>
        <w:spacing w:line="360" w:lineRule="auto"/>
        <w:ind w:firstLine="420" w:firstLineChars="200"/>
        <w:rPr>
          <w:rFonts w:ascii="Times New Roman" w:hAnsi="Times New Roman"/>
          <w:szCs w:val="21"/>
        </w:rPr>
      </w:pPr>
      <w:r>
        <w:rPr>
          <w:rFonts w:ascii="Times New Roman" w:hAnsi="Times New Roman"/>
          <w:szCs w:val="21"/>
        </w:rPr>
        <w:t>5.4 甲乙双方如出现泄密行为，泄密方应承担相关的法律责任，包括但是不限于对由此给对方造成的经济损失进行赔偿。</w:t>
      </w:r>
    </w:p>
    <w:p w14:paraId="421BD741">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6. 履约验收要求</w:t>
      </w:r>
    </w:p>
    <w:p w14:paraId="00F31776">
      <w:pPr>
        <w:shd w:val="clear"/>
        <w:spacing w:line="360" w:lineRule="auto"/>
        <w:ind w:firstLine="420" w:firstLineChars="200"/>
        <w:rPr>
          <w:rFonts w:ascii="Times New Roman" w:hAnsi="Times New Roman"/>
          <w:szCs w:val="21"/>
        </w:rPr>
      </w:pPr>
      <w:r>
        <w:rPr>
          <w:rFonts w:ascii="Times New Roman" w:hAnsi="Times New Roman"/>
          <w:szCs w:val="21"/>
        </w:rPr>
        <w:t>6.1 甲方需求部门严格按照采购合同开展履约验收。验收时,应当按照本合同约定的技术、服务和安全标准，对</w:t>
      </w:r>
      <w:r>
        <w:rPr>
          <w:rFonts w:hint="eastAsia" w:ascii="Times New Roman" w:hAnsi="Times New Roman"/>
          <w:szCs w:val="21"/>
        </w:rPr>
        <w:t>供应商</w:t>
      </w:r>
      <w:r>
        <w:rPr>
          <w:rFonts w:ascii="Times New Roman" w:hAnsi="Times New Roman"/>
          <w:szCs w:val="21"/>
        </w:rPr>
        <w:t>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14:paraId="5726BA70">
      <w:pPr>
        <w:shd w:val="clear"/>
        <w:spacing w:line="360" w:lineRule="auto"/>
        <w:ind w:firstLine="420" w:firstLineChars="200"/>
        <w:rPr>
          <w:rFonts w:ascii="Times New Roman" w:hAnsi="Times New Roman"/>
          <w:szCs w:val="21"/>
        </w:rPr>
      </w:pPr>
      <w:r>
        <w:rPr>
          <w:rFonts w:ascii="Times New Roman" w:hAnsi="Times New Roman"/>
          <w:szCs w:val="21"/>
        </w:rPr>
        <w:t>6.2具体履约验收要求详见招标（采购）文件。</w:t>
      </w:r>
    </w:p>
    <w:p w14:paraId="162BAFB5">
      <w:pPr>
        <w:shd w:val="clear"/>
        <w:tabs>
          <w:tab w:val="left" w:pos="0"/>
          <w:tab w:val="left" w:pos="540"/>
        </w:tabs>
        <w:spacing w:line="360" w:lineRule="auto"/>
        <w:ind w:firstLine="422" w:firstLineChars="200"/>
        <w:rPr>
          <w:rFonts w:ascii="Times New Roman" w:hAnsi="Times New Roman"/>
          <w:b/>
          <w:szCs w:val="21"/>
        </w:rPr>
      </w:pPr>
      <w:r>
        <w:rPr>
          <w:rFonts w:ascii="Times New Roman" w:hAnsi="Times New Roman"/>
          <w:b/>
          <w:szCs w:val="21"/>
        </w:rPr>
        <w:t>7. 履约保证金</w:t>
      </w:r>
    </w:p>
    <w:p w14:paraId="1B6E3750">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7.1 需提交履约保证金的项目，乙方应按照“合同条款前附表”第 10 项“履约保证金及返还”提交履约保证金。</w:t>
      </w:r>
    </w:p>
    <w:p w14:paraId="2F4FE5D1">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7.2 履约保证金的金额可用于补偿甲方因乙方不能完成其合同义务而蒙受的损失。</w:t>
      </w:r>
    </w:p>
    <w:p w14:paraId="3FA8E6C4">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4C9F7DCD">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7.4 乙方不履行合同、或者履行合同义务不符合约定使得合同目的不能实现，履约保证金不予退还，并应按合同约定支付违约金、赔偿金等。</w:t>
      </w:r>
    </w:p>
    <w:p w14:paraId="6ED5295F">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7.5 履约保证金在合同履行期满后，扣除相应款项（如有）且双方无争议后，凭返还申请等资料一次性无息返还，详见“合同条款前附表”第10项“履约保证金及返还”。</w:t>
      </w:r>
    </w:p>
    <w:p w14:paraId="45907FA6">
      <w:pPr>
        <w:shd w:val="clear"/>
        <w:tabs>
          <w:tab w:val="left" w:pos="0"/>
          <w:tab w:val="left" w:pos="540"/>
        </w:tabs>
        <w:spacing w:line="360" w:lineRule="auto"/>
        <w:ind w:firstLine="422" w:firstLineChars="200"/>
        <w:rPr>
          <w:rFonts w:ascii="Times New Roman" w:hAnsi="Times New Roman"/>
          <w:b/>
          <w:szCs w:val="21"/>
        </w:rPr>
      </w:pPr>
      <w:r>
        <w:rPr>
          <w:rFonts w:ascii="Times New Roman" w:hAnsi="Times New Roman"/>
          <w:b/>
          <w:szCs w:val="21"/>
        </w:rPr>
        <w:t>8．履约延误</w:t>
      </w:r>
    </w:p>
    <w:p w14:paraId="061E179F">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8.1 乙方应按照本合同的规定提供服务。</w:t>
      </w:r>
    </w:p>
    <w:p w14:paraId="717B0E8C">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23B997A6">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14:paraId="6B34E242">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8.4 除不可抗力和根据合同规定延期取得甲方同意而不收取误期违约金之外，乙方延误工期，将按合同规定被收取误期违约金。</w:t>
      </w:r>
    </w:p>
    <w:p w14:paraId="02296DBF">
      <w:pPr>
        <w:shd w:val="clear"/>
        <w:topLinePunct/>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14:paraId="57D51D99">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9. 违约责任</w:t>
      </w:r>
    </w:p>
    <w:p w14:paraId="45B96FF2">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4F15521B">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14:paraId="32D9152C">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9.3 除应支付甲方违约金等外，甲方有权根据合同或有关部门出具的检验证书向乙方提出索赔。</w:t>
      </w:r>
    </w:p>
    <w:p w14:paraId="6E8E6C3A">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9.4 如果乙方对差异负有责任而甲方提出索赔，乙方同意按照下列方式解决索赔事宜：</w:t>
      </w:r>
    </w:p>
    <w:p w14:paraId="32C55B20">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14:paraId="50D6A684">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9.5 对于本协议未约定的、招标（采购）文件（技术部分）中约定的违约处理条款，按招标（采购）文件（技术部分）相关约定执行；对本协议与招标（采购）文件（技术部分）约定不同的违约处理条款，以本协议约定为准。</w:t>
      </w:r>
    </w:p>
    <w:p w14:paraId="40F180CE">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10. 不可抗力</w:t>
      </w:r>
    </w:p>
    <w:p w14:paraId="0AD026FA">
      <w:pPr>
        <w:shd w:val="clear"/>
        <w:spacing w:line="360" w:lineRule="auto"/>
        <w:ind w:firstLine="420" w:firstLineChars="200"/>
        <w:rPr>
          <w:rFonts w:ascii="Times New Roman" w:hAnsi="Times New Roman"/>
          <w:szCs w:val="21"/>
        </w:rPr>
      </w:pPr>
      <w:r>
        <w:rPr>
          <w:rFonts w:ascii="Times New Roman" w:hAnsi="Times New Roman"/>
          <w:szCs w:val="21"/>
        </w:rPr>
        <w:t>10.1 本条所述的“不可抗力”系指双方不可预见、不可避免、不可克服的客观情况，但不包括双方的违约或疏忽。这些事件包括但不限于：战争、严重火灾、洪水、台风、地震等。</w:t>
      </w:r>
    </w:p>
    <w:p w14:paraId="0172947D">
      <w:pPr>
        <w:shd w:val="clear"/>
        <w:spacing w:line="360" w:lineRule="auto"/>
        <w:ind w:firstLine="420" w:firstLineChars="200"/>
        <w:rPr>
          <w:rFonts w:ascii="Times New Roman" w:hAnsi="Times New Roman"/>
          <w:szCs w:val="21"/>
        </w:rPr>
      </w:pPr>
      <w:r>
        <w:rPr>
          <w:rFonts w:ascii="Times New Roman" w:hAnsi="Times New Roman"/>
          <w:szCs w:val="21"/>
        </w:rPr>
        <w:t>10.2 如果乙方因不可抗力而导致合同实施延误或不能履行合同义务，不应承担误期赔偿或终止合同的责任。</w:t>
      </w:r>
    </w:p>
    <w:p w14:paraId="35A0E7F7">
      <w:pPr>
        <w:shd w:val="clear"/>
        <w:spacing w:line="360" w:lineRule="auto"/>
        <w:ind w:firstLine="420" w:firstLineChars="200"/>
        <w:rPr>
          <w:rFonts w:ascii="Times New Roman" w:hAnsi="Times New Roman"/>
          <w:szCs w:val="21"/>
        </w:rPr>
      </w:pPr>
      <w:r>
        <w:rPr>
          <w:rFonts w:ascii="Times New Roman" w:hAnsi="Times New Roman"/>
          <w:szCs w:val="21"/>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3CF61939">
      <w:pPr>
        <w:shd w:val="clear"/>
        <w:spacing w:line="360" w:lineRule="auto"/>
        <w:ind w:firstLine="420" w:firstLineChars="200"/>
        <w:rPr>
          <w:rFonts w:ascii="Times New Roman" w:hAnsi="Times New Roman"/>
          <w:szCs w:val="21"/>
        </w:rPr>
      </w:pPr>
      <w:r>
        <w:rPr>
          <w:rFonts w:ascii="Times New Roman" w:hAnsi="Times New Roman"/>
          <w:szCs w:val="21"/>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21E759F5">
      <w:pPr>
        <w:shd w:val="clear"/>
        <w:spacing w:line="360" w:lineRule="auto"/>
        <w:ind w:firstLine="422" w:firstLineChars="200"/>
        <w:rPr>
          <w:rFonts w:ascii="Times New Roman" w:hAnsi="Times New Roman"/>
          <w:b/>
          <w:szCs w:val="21"/>
        </w:rPr>
      </w:pPr>
      <w:r>
        <w:rPr>
          <w:rFonts w:ascii="Times New Roman" w:hAnsi="Times New Roman"/>
          <w:b/>
          <w:szCs w:val="21"/>
        </w:rPr>
        <w:t>11. 争端的解决</w:t>
      </w:r>
    </w:p>
    <w:p w14:paraId="2CD56233">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11.1 甲乙双方应首先通过友好协商解决在执行本合同中所发生的或与本合同有关的一切争端。如从协商开始</w:t>
      </w:r>
      <w:r>
        <w:rPr>
          <w:rFonts w:hint="eastAsia" w:ascii="Times New Roman" w:hAnsi="Times New Roman"/>
          <w:szCs w:val="21"/>
          <w:u w:val="single"/>
        </w:rPr>
        <w:t xml:space="preserve">    </w:t>
      </w:r>
      <w:r>
        <w:rPr>
          <w:rFonts w:hint="eastAsia" w:ascii="Times New Roman" w:hAnsi="Times New Roman"/>
          <w:szCs w:val="21"/>
        </w:rPr>
        <w:t>天内仍不能解决，可以按合同约定的方式提起仲裁或诉讼。</w:t>
      </w:r>
    </w:p>
    <w:p w14:paraId="0ED4DC07">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11.2.1仲裁应向甲方所在地或</w:t>
      </w:r>
      <w:r>
        <w:rPr>
          <w:rFonts w:hint="eastAsia" w:ascii="Times New Roman" w:hAnsi="Times New Roman"/>
          <w:szCs w:val="21"/>
          <w:u w:val="single"/>
        </w:rPr>
        <w:t xml:space="preserve">       </w:t>
      </w:r>
      <w:r>
        <w:rPr>
          <w:rFonts w:hint="eastAsia" w:ascii="Times New Roman" w:hAnsi="Times New Roman"/>
          <w:szCs w:val="21"/>
        </w:rPr>
        <w:t>仲裁委员会申请仲裁。</w:t>
      </w:r>
    </w:p>
    <w:p w14:paraId="71BC95A9">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11.2.2 仲裁裁决应为最终裁决，对双方均具有约束力。</w:t>
      </w:r>
    </w:p>
    <w:p w14:paraId="17E8109F">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11.2.3 仲裁费除仲裁机关另有裁决外应由败诉方负担。</w:t>
      </w:r>
    </w:p>
    <w:p w14:paraId="50C324AE">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11.2.4在仲裁期间，除正在进行仲裁部分外，本合同的其它部分应继续执行。</w:t>
      </w:r>
    </w:p>
    <w:p w14:paraId="5C75AD99">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11.3.1诉讼应向甲方所在地或</w:t>
      </w:r>
      <w:r>
        <w:rPr>
          <w:rFonts w:hint="eastAsia" w:ascii="Times New Roman" w:hAnsi="Times New Roman"/>
          <w:szCs w:val="21"/>
          <w:u w:val="single"/>
        </w:rPr>
        <w:t xml:space="preserve">      </w:t>
      </w:r>
      <w:r>
        <w:rPr>
          <w:rFonts w:hint="eastAsia" w:ascii="Times New Roman" w:hAnsi="Times New Roman"/>
          <w:szCs w:val="21"/>
        </w:rPr>
        <w:t>人民法院提起诉讼。</w:t>
      </w:r>
    </w:p>
    <w:p w14:paraId="5DC2D95D">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11.3.2诉讼费除人民法院另有判决外，应由败诉方负担。</w:t>
      </w:r>
    </w:p>
    <w:p w14:paraId="64114938">
      <w:pPr>
        <w:shd w:val="clear"/>
        <w:spacing w:line="360" w:lineRule="auto"/>
        <w:ind w:firstLine="420" w:firstLineChars="200"/>
        <w:rPr>
          <w:rFonts w:ascii="Times New Roman" w:hAnsi="Times New Roman"/>
          <w:szCs w:val="21"/>
        </w:rPr>
      </w:pPr>
      <w:r>
        <w:rPr>
          <w:rFonts w:hint="eastAsia" w:ascii="Times New Roman" w:hAnsi="Times New Roman"/>
          <w:szCs w:val="21"/>
        </w:rPr>
        <w:t>11.3.3在诉讼期间，除正在进行诉讼部分外，本合同的其它部分应继续执行。</w:t>
      </w:r>
    </w:p>
    <w:p w14:paraId="49F14C6B">
      <w:pPr>
        <w:shd w:val="clear"/>
        <w:spacing w:line="360" w:lineRule="auto"/>
        <w:ind w:firstLine="422" w:firstLineChars="200"/>
        <w:rPr>
          <w:rFonts w:ascii="Times New Roman" w:hAnsi="Times New Roman"/>
          <w:b/>
          <w:szCs w:val="21"/>
        </w:rPr>
      </w:pPr>
      <w:r>
        <w:rPr>
          <w:rFonts w:ascii="Times New Roman" w:hAnsi="Times New Roman"/>
          <w:b/>
          <w:szCs w:val="21"/>
        </w:rPr>
        <w:t>12. 违约终止合同</w:t>
      </w:r>
    </w:p>
    <w:p w14:paraId="4684588C">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3788E4B2">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12.1.1 乙方不履行合同义务或者履行合同义务不符合合同约定累计达两次的；</w:t>
      </w:r>
    </w:p>
    <w:p w14:paraId="47D79CAF">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12.1.2 如果乙方未能在合同规定的期限或甲方同意延长的期限内提供服务，迟延累计达20日的；</w:t>
      </w:r>
    </w:p>
    <w:p w14:paraId="5FDC513B">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12.1.3 因乙方人员自身技术能力、经验不足等问题造成甲方发生重大紧急故障，带来重大影响和损失的；</w:t>
      </w:r>
    </w:p>
    <w:p w14:paraId="46E6504F">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12.1.4 乙方对重大紧急故障没有及时响应，或不能在规定时间内解决处理故障、恢复正常运行的；</w:t>
      </w:r>
    </w:p>
    <w:p w14:paraId="49C4C194">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12.1.5 乙方不能满足本项目技术需求的管理要求和规范，且经两次整改无明显改进的；</w:t>
      </w:r>
    </w:p>
    <w:p w14:paraId="7E11B08B">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14:paraId="5C9A3B5B">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12.1.7 乙方在本项目实施过程中发生违反网络安全规定行为造成不良后果的。</w:t>
      </w:r>
    </w:p>
    <w:p w14:paraId="56369C0C">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12.1.8 乙方提供的服务侵犯甲方、第三方知识产权等合法权益的；</w:t>
      </w:r>
    </w:p>
    <w:p w14:paraId="5B37EB24">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12.1.9 乙方或乙方人员造成甲方或第三方经济损失而拒不赔偿的；</w:t>
      </w:r>
    </w:p>
    <w:p w14:paraId="08FBDFD4">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12.1.10 乙方转让其应履行的合同义务，或未经甲方同意采取分包方式履行合同的；</w:t>
      </w:r>
    </w:p>
    <w:p w14:paraId="17634AD0">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12.1.11 乙方有其他严重违约行为的。</w:t>
      </w:r>
    </w:p>
    <w:p w14:paraId="10106FEE">
      <w:pPr>
        <w:shd w:val="clear"/>
        <w:topLinePunct/>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12.2 如果甲方根据上述第12.1条的规定，解除了全部或部分合同，甲方可以适当的条件和方法购买乙方未能提供的服务，乙方应对甲方购买类似服务所超出的费用负责。同时，乙方应继续执行合同中未解除的部分。</w:t>
      </w:r>
    </w:p>
    <w:p w14:paraId="1B25235A">
      <w:pPr>
        <w:shd w:val="clear"/>
        <w:spacing w:line="360" w:lineRule="auto"/>
        <w:ind w:firstLine="422" w:firstLineChars="200"/>
        <w:rPr>
          <w:rFonts w:ascii="Times New Roman" w:hAnsi="Times New Roman"/>
          <w:b/>
          <w:szCs w:val="21"/>
        </w:rPr>
      </w:pPr>
      <w:r>
        <w:rPr>
          <w:rFonts w:ascii="Times New Roman" w:hAnsi="Times New Roman"/>
          <w:b/>
          <w:szCs w:val="21"/>
        </w:rPr>
        <w:t>13. 破产终止合同</w:t>
      </w:r>
    </w:p>
    <w:p w14:paraId="4229E1CE">
      <w:pPr>
        <w:shd w:val="clear"/>
        <w:spacing w:line="360" w:lineRule="auto"/>
        <w:ind w:firstLine="420" w:firstLineChars="200"/>
        <w:rPr>
          <w:rFonts w:ascii="Times New Roman" w:hAnsi="Times New Roman"/>
          <w:szCs w:val="21"/>
        </w:rPr>
      </w:pPr>
      <w:r>
        <w:rPr>
          <w:rFonts w:ascii="Times New Roman" w:hAnsi="Times New Roman"/>
          <w:szCs w:val="21"/>
        </w:rPr>
        <w:t>13.1 如果乙方破产或无清偿能力，甲方可在任何时候以书面形式通知乙方终止合同而不给乙方补偿。</w:t>
      </w:r>
    </w:p>
    <w:p w14:paraId="50CEA03F">
      <w:pPr>
        <w:shd w:val="clear"/>
        <w:spacing w:line="360" w:lineRule="auto"/>
        <w:ind w:firstLine="420" w:firstLineChars="200"/>
        <w:rPr>
          <w:rFonts w:ascii="Times New Roman" w:hAnsi="Times New Roman"/>
          <w:szCs w:val="21"/>
        </w:rPr>
      </w:pPr>
      <w:r>
        <w:rPr>
          <w:rFonts w:ascii="Times New Roman" w:hAnsi="Times New Roman"/>
          <w:szCs w:val="21"/>
        </w:rPr>
        <w:t>13.2该终止合同将不损害或影响甲方已经采取或将要采取的任何行动或补救措施的权利。</w:t>
      </w:r>
    </w:p>
    <w:p w14:paraId="0B1E50BF">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14. 其他情况的终止合同</w:t>
      </w:r>
    </w:p>
    <w:p w14:paraId="4AD26A1E">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14.1 乙方在执行合同的过程中发生重大事故或变故，对履行合同有直接影响的，甲方可以提出终止合同而不给予乙方任何补偿。</w:t>
      </w:r>
    </w:p>
    <w:p w14:paraId="1EBE60C6">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14.2 在服务期内，由于甲方工作计划调整，推广使用新应用系统导致本项目相关服务停止的，甲方可以提出终止合同而不给予乙方任何补偿。</w:t>
      </w:r>
    </w:p>
    <w:p w14:paraId="4F73AE11">
      <w:pPr>
        <w:shd w:val="clear"/>
        <w:tabs>
          <w:tab w:val="left" w:pos="700"/>
        </w:tabs>
        <w:spacing w:line="360" w:lineRule="auto"/>
        <w:ind w:firstLine="422" w:firstLineChars="200"/>
        <w:rPr>
          <w:rFonts w:ascii="Times New Roman" w:hAnsi="Times New Roman"/>
          <w:b/>
          <w:szCs w:val="21"/>
        </w:rPr>
      </w:pPr>
      <w:r>
        <w:rPr>
          <w:rFonts w:ascii="Times New Roman" w:hAnsi="Times New Roman"/>
          <w:b/>
          <w:szCs w:val="21"/>
        </w:rPr>
        <w:t>15. 合同修改或变更</w:t>
      </w:r>
    </w:p>
    <w:p w14:paraId="4BB14248">
      <w:pPr>
        <w:shd w:val="clear"/>
        <w:spacing w:line="360" w:lineRule="auto"/>
        <w:ind w:firstLine="482"/>
        <w:rPr>
          <w:rFonts w:ascii="Times New Roman" w:hAnsi="Times New Roman"/>
          <w:szCs w:val="21"/>
        </w:rPr>
      </w:pPr>
      <w:r>
        <w:rPr>
          <w:rFonts w:ascii="Times New Roman" w:hAnsi="Times New Roman"/>
          <w:szCs w:val="21"/>
        </w:rPr>
        <w:t>15.1 合同如有未尽事宜，须经甲乙双方共同协商，做出补充约定，并签订书面补充合同或变更协议。补充合同或变更协议作为本合同的一部分，与本合同具有同等效力。</w:t>
      </w:r>
    </w:p>
    <w:p w14:paraId="67CE7D57">
      <w:pPr>
        <w:shd w:val="clear"/>
        <w:topLinePunct/>
        <w:autoSpaceDE w:val="0"/>
        <w:autoSpaceDN w:val="0"/>
        <w:spacing w:line="360" w:lineRule="auto"/>
        <w:ind w:firstLine="420" w:firstLineChars="200"/>
        <w:rPr>
          <w:rFonts w:ascii="Times New Roman" w:hAnsi="Times New Roman"/>
          <w:b/>
          <w:szCs w:val="21"/>
        </w:rPr>
      </w:pPr>
      <w:r>
        <w:rPr>
          <w:rFonts w:ascii="Times New Roman" w:hAnsi="Times New Roman"/>
          <w:szCs w:val="21"/>
        </w:rPr>
        <w:t>15.2 除了双方签署书面修改或变更协议，并成为本合同不可分割的一部分的情况之外，本合同的条款不得有任何变化或修改。</w:t>
      </w:r>
    </w:p>
    <w:p w14:paraId="338BF5AD">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15.3 由于采购人项目统一规划等原因导致本项目停止部分服务的，甲方将与乙方协商处理。</w:t>
      </w:r>
    </w:p>
    <w:p w14:paraId="758201A5">
      <w:pPr>
        <w:shd w:val="clear"/>
        <w:spacing w:line="360" w:lineRule="auto"/>
        <w:ind w:firstLine="422" w:firstLineChars="200"/>
        <w:rPr>
          <w:rFonts w:ascii="Times New Roman" w:hAnsi="Times New Roman"/>
          <w:b/>
          <w:szCs w:val="21"/>
        </w:rPr>
      </w:pPr>
      <w:r>
        <w:rPr>
          <w:rFonts w:ascii="Times New Roman" w:hAnsi="Times New Roman"/>
          <w:b/>
          <w:szCs w:val="21"/>
        </w:rPr>
        <w:t>16. 转让和分包</w:t>
      </w:r>
    </w:p>
    <w:p w14:paraId="07CFE767">
      <w:pPr>
        <w:shd w:val="clear"/>
        <w:spacing w:line="360" w:lineRule="auto"/>
        <w:ind w:firstLine="420" w:firstLineChars="200"/>
        <w:rPr>
          <w:rFonts w:ascii="Times New Roman" w:hAnsi="Times New Roman"/>
          <w:szCs w:val="21"/>
        </w:rPr>
      </w:pPr>
      <w:r>
        <w:rPr>
          <w:rFonts w:ascii="Times New Roman" w:hAnsi="Times New Roman"/>
          <w:szCs w:val="21"/>
        </w:rPr>
        <w:t>16.1 除甲方事先书面同意外，乙方不得部分转让或全部转让其应履行的合同义务。</w:t>
      </w:r>
    </w:p>
    <w:p w14:paraId="194AFD51">
      <w:pPr>
        <w:shd w:val="clear"/>
        <w:spacing w:line="360" w:lineRule="auto"/>
        <w:ind w:firstLine="420" w:firstLineChars="200"/>
        <w:rPr>
          <w:rFonts w:ascii="Times New Roman" w:hAnsi="Times New Roman"/>
          <w:szCs w:val="21"/>
        </w:rPr>
      </w:pPr>
      <w:r>
        <w:rPr>
          <w:rFonts w:ascii="Times New Roman" w:hAnsi="Times New Roman"/>
          <w:szCs w:val="21"/>
        </w:rPr>
        <w:t>16.2 未经甲方同意，乙方不得采取分包方式履行合同。经甲方同意分包履行合同的，乙方就采购项目及分包项目向甲方负责，分包供应商就分包项目承担责任。</w:t>
      </w:r>
    </w:p>
    <w:p w14:paraId="56097915">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17. 合同语言</w:t>
      </w:r>
    </w:p>
    <w:p w14:paraId="5D5B7093">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17.1 本合同语言为中文。</w:t>
      </w:r>
    </w:p>
    <w:p w14:paraId="6D27064F">
      <w:pPr>
        <w:shd w:val="clear"/>
        <w:spacing w:line="360" w:lineRule="auto"/>
        <w:ind w:firstLine="420" w:firstLineChars="200"/>
        <w:rPr>
          <w:rFonts w:ascii="Times New Roman" w:hAnsi="Times New Roman"/>
          <w:szCs w:val="21"/>
        </w:rPr>
      </w:pPr>
      <w:r>
        <w:rPr>
          <w:rFonts w:ascii="Times New Roman" w:hAnsi="Times New Roman"/>
          <w:szCs w:val="21"/>
        </w:rPr>
        <w:t>17.2 双方交换的与合同有关的信件和其他文件应用合同语言书写。</w:t>
      </w:r>
    </w:p>
    <w:p w14:paraId="05E0E7D8">
      <w:pPr>
        <w:shd w:val="clear"/>
        <w:spacing w:line="360" w:lineRule="auto"/>
        <w:ind w:firstLine="422" w:firstLineChars="200"/>
        <w:rPr>
          <w:rFonts w:ascii="Times New Roman" w:hAnsi="Times New Roman"/>
          <w:b/>
          <w:szCs w:val="21"/>
        </w:rPr>
      </w:pPr>
      <w:r>
        <w:rPr>
          <w:rFonts w:ascii="Times New Roman" w:hAnsi="Times New Roman"/>
          <w:b/>
          <w:szCs w:val="21"/>
        </w:rPr>
        <w:t>18. 适用法律</w:t>
      </w:r>
    </w:p>
    <w:p w14:paraId="309CFEE3">
      <w:pPr>
        <w:shd w:val="clear"/>
        <w:topLinePunct/>
        <w:autoSpaceDE w:val="0"/>
        <w:autoSpaceDN w:val="0"/>
        <w:spacing w:line="360" w:lineRule="auto"/>
        <w:ind w:firstLine="420" w:firstLineChars="200"/>
        <w:rPr>
          <w:rFonts w:hint="eastAsia" w:ascii="Times New Roman" w:hAnsi="Times New Roman"/>
          <w:b w:val="0"/>
          <w:bCs/>
          <w:szCs w:val="21"/>
        </w:rPr>
      </w:pPr>
      <w:r>
        <w:rPr>
          <w:rFonts w:hint="eastAsia" w:ascii="Times New Roman" w:hAnsi="Times New Roman"/>
          <w:b w:val="0"/>
          <w:bCs/>
          <w:szCs w:val="21"/>
        </w:rPr>
        <w:t>18.1 本合同按照中华人民共和国现行法律进行解释。</w:t>
      </w:r>
    </w:p>
    <w:p w14:paraId="79D203B1">
      <w:pPr>
        <w:shd w:val="clear"/>
        <w:topLinePunct/>
        <w:autoSpaceDE w:val="0"/>
        <w:autoSpaceDN w:val="0"/>
        <w:spacing w:line="360" w:lineRule="auto"/>
        <w:ind w:firstLine="420" w:firstLineChars="200"/>
        <w:rPr>
          <w:rFonts w:hint="eastAsia" w:ascii="Times New Roman" w:hAnsi="Times New Roman"/>
          <w:b w:val="0"/>
          <w:bCs/>
          <w:szCs w:val="21"/>
        </w:rPr>
      </w:pPr>
      <w:r>
        <w:rPr>
          <w:rFonts w:hint="eastAsia" w:ascii="Times New Roman" w:hAnsi="Times New Roman"/>
          <w:b w:val="0"/>
          <w:bCs/>
          <w:szCs w:val="21"/>
        </w:rPr>
        <w:t>18.2 本合同的履行、违约责任和解决争议的方法等适用《中华人民共和国民法典（合同编）》。</w:t>
      </w:r>
    </w:p>
    <w:p w14:paraId="42949F0F">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19. 税费</w:t>
      </w:r>
    </w:p>
    <w:p w14:paraId="3EB6B3A8">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19.1 乙方应依法缴纳的合同服务相关税费，均已包含于合同总金额中，甲方不再另行支付。</w:t>
      </w:r>
    </w:p>
    <w:p w14:paraId="362025AF">
      <w:pPr>
        <w:shd w:val="clear"/>
        <w:tabs>
          <w:tab w:val="left" w:pos="700"/>
        </w:tabs>
        <w:spacing w:line="360" w:lineRule="auto"/>
        <w:ind w:firstLine="422" w:firstLineChars="200"/>
        <w:rPr>
          <w:rFonts w:ascii="Times New Roman" w:hAnsi="Times New Roman"/>
          <w:b/>
          <w:szCs w:val="21"/>
        </w:rPr>
      </w:pPr>
      <w:r>
        <w:rPr>
          <w:rFonts w:ascii="Times New Roman" w:hAnsi="Times New Roman"/>
          <w:b/>
          <w:szCs w:val="21"/>
        </w:rPr>
        <w:t>20. 合同生效</w:t>
      </w:r>
    </w:p>
    <w:p w14:paraId="57305F9F">
      <w:pPr>
        <w:shd w:val="clear"/>
        <w:spacing w:line="360" w:lineRule="auto"/>
        <w:ind w:firstLine="420" w:firstLineChars="200"/>
        <w:rPr>
          <w:rFonts w:ascii="Times New Roman" w:hAnsi="Times New Roman"/>
          <w:szCs w:val="21"/>
        </w:rPr>
      </w:pPr>
      <w:r>
        <w:rPr>
          <w:rFonts w:ascii="Times New Roman" w:hAnsi="Times New Roman"/>
          <w:szCs w:val="21"/>
        </w:rPr>
        <w:t>20.1 本合同一式</w:t>
      </w:r>
      <w:r>
        <w:rPr>
          <w:rFonts w:ascii="Times New Roman" w:hAnsi="Times New Roman"/>
          <w:szCs w:val="21"/>
          <w:u w:val="single"/>
        </w:rPr>
        <w:t xml:space="preserve">   </w:t>
      </w:r>
      <w:r>
        <w:rPr>
          <w:rFonts w:ascii="Times New Roman" w:hAnsi="Times New Roman"/>
          <w:szCs w:val="21"/>
        </w:rPr>
        <w:t>份，由甲乙双方法定代表人或被授权人签字并盖章后生效。</w:t>
      </w:r>
    </w:p>
    <w:p w14:paraId="79F33944">
      <w:pPr>
        <w:shd w:val="clear"/>
        <w:spacing w:line="360" w:lineRule="auto"/>
        <w:ind w:firstLine="420" w:firstLineChars="200"/>
        <w:rPr>
          <w:rFonts w:ascii="Times New Roman" w:hAnsi="Times New Roman"/>
          <w:szCs w:val="21"/>
        </w:rPr>
      </w:pPr>
    </w:p>
    <w:p w14:paraId="156EC269">
      <w:pPr>
        <w:shd w:val="clear"/>
        <w:spacing w:line="360" w:lineRule="auto"/>
        <w:ind w:firstLine="420" w:firstLineChars="200"/>
        <w:rPr>
          <w:rFonts w:ascii="Times New Roman" w:hAnsi="Times New Roman"/>
          <w:szCs w:val="21"/>
        </w:rPr>
      </w:pPr>
    </w:p>
    <w:p w14:paraId="309ED5F4">
      <w:pPr>
        <w:shd w:val="clear"/>
        <w:rPr>
          <w:rFonts w:hint="eastAsia" w:ascii="宋体" w:hAnsi="宋体" w:cs="宋体"/>
          <w:sz w:val="24"/>
        </w:rPr>
      </w:pPr>
      <w:r>
        <w:rPr>
          <w:rFonts w:hint="eastAsia" w:ascii="宋体" w:hAnsi="宋体" w:cs="宋体"/>
          <w:sz w:val="24"/>
        </w:rPr>
        <w:br w:type="page"/>
      </w:r>
    </w:p>
    <w:p w14:paraId="37E2726C">
      <w:pPr>
        <w:shd w:val="clear"/>
        <w:ind w:firstLine="480" w:firstLineChars="200"/>
        <w:rPr>
          <w:rFonts w:hint="eastAsia" w:ascii="宋体" w:hAnsi="宋体" w:cs="宋体"/>
          <w:sz w:val="24"/>
        </w:rPr>
      </w:pPr>
    </w:p>
    <w:p w14:paraId="4719D4D5">
      <w:pPr>
        <w:shd w:val="clear"/>
        <w:topLinePunct/>
        <w:autoSpaceDE w:val="0"/>
        <w:autoSpaceDN w:val="0"/>
        <w:spacing w:line="360" w:lineRule="auto"/>
        <w:jc w:val="center"/>
        <w:rPr>
          <w:rFonts w:hint="eastAsia" w:ascii="宋体" w:hAnsi="宋体" w:cs="宋体"/>
          <w:b/>
          <w:sz w:val="24"/>
        </w:rPr>
      </w:pPr>
      <w:r>
        <w:rPr>
          <w:rFonts w:hint="eastAsia" w:ascii="宋体" w:hAnsi="宋体" w:cs="宋体"/>
          <w:b/>
          <w:sz w:val="24"/>
        </w:rPr>
        <w:t>三   招标（采购）文件及投标（响应）文件（如需要，可另附）</w:t>
      </w:r>
    </w:p>
    <w:p w14:paraId="47FF5C38">
      <w:pPr>
        <w:shd w:val="clear"/>
        <w:spacing w:line="360" w:lineRule="auto"/>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四   报价表（总报价表和分项报价表，如有需要可另附）</w:t>
      </w:r>
    </w:p>
    <w:p w14:paraId="600CC22B">
      <w:pPr>
        <w:shd w:val="clear"/>
      </w:pPr>
    </w:p>
    <w:p w14:paraId="1E0133DE">
      <w:pPr>
        <w:shd w:val="clear"/>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223FBFE1">
      <w:pPr>
        <w:shd w:val="clear"/>
        <w:jc w:val="center"/>
        <w:outlineLvl w:val="0"/>
        <w:rPr>
          <w:rFonts w:hint="eastAsia" w:ascii="宋体" w:hAnsi="宋体" w:eastAsia="宋体" w:cs="宋体"/>
          <w:b/>
          <w:bCs/>
          <w:sz w:val="28"/>
          <w:szCs w:val="28"/>
        </w:rPr>
      </w:pPr>
      <w:bookmarkStart w:id="34" w:name="_Toc24018"/>
      <w:r>
        <w:rPr>
          <w:rFonts w:hint="eastAsia" w:ascii="宋体" w:hAnsi="宋体" w:eastAsia="宋体" w:cs="宋体"/>
          <w:b/>
          <w:bCs/>
          <w:sz w:val="28"/>
          <w:szCs w:val="28"/>
        </w:rPr>
        <w:t>第五章　投标文件格式</w:t>
      </w:r>
      <w:bookmarkEnd w:id="34"/>
    </w:p>
    <w:p w14:paraId="144603C8">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投标人必须按下列文本格式，如实提供具有法律效力的资格证明文件和真实有效的其他文件资料，任何不按下列文本格式提供或有实质性变更将由投标人承担风险。</w:t>
      </w:r>
    </w:p>
    <w:p w14:paraId="041FB539">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1.投标人应严格按照本章规定填写和提交全部格式文件以及其他有关资料，混乱的编排导致投标文件被误读或查找不到，后果由投标人承担。</w:t>
      </w:r>
    </w:p>
    <w:p w14:paraId="589FCDC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2.所附表格中要求回答的全部问题和信息都必须正面回答。</w:t>
      </w:r>
    </w:p>
    <w:p w14:paraId="557C7515">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3.资格声明文件的签字人应保证全部声明和问题的回答是真实的和准确的。</w:t>
      </w:r>
    </w:p>
    <w:p w14:paraId="1EB4E7E7">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4.评标委员会将应用投标人提交的资料并根据自己的判断，决定投标人履行合同的合格性及能力。</w:t>
      </w:r>
    </w:p>
    <w:p w14:paraId="396C21BC">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5.全部文件应按投标人须知中规定的语言提交。</w:t>
      </w:r>
    </w:p>
    <w:p w14:paraId="05BA85E4">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6.以下格式文件为要求填写内容的固定格式，投标人不得擅自修改格式，其他未提供格式的文件和资料由投标人自行设计编制格式填写。</w:t>
      </w:r>
    </w:p>
    <w:p w14:paraId="5A0C15DA">
      <w:pPr>
        <w:shd w:val="clear"/>
        <w:adjustRightInd w:val="0"/>
        <w:snapToGrid w:val="0"/>
        <w:spacing w:before="62" w:beforeLines="20" w:after="4" w:line="360" w:lineRule="auto"/>
        <w:ind w:firstLine="422" w:firstLineChars="200"/>
        <w:jc w:val="center"/>
        <w:rPr>
          <w:rFonts w:hint="eastAsia" w:ascii="宋体" w:hAnsi="宋体" w:eastAsia="宋体" w:cs="宋体"/>
          <w:b/>
          <w:bCs/>
        </w:rPr>
      </w:pPr>
    </w:p>
    <w:p w14:paraId="5347ECFE">
      <w:pPr>
        <w:shd w:val="clear"/>
        <w:ind w:firstLine="422" w:firstLineChars="200"/>
        <w:jc w:val="center"/>
        <w:rPr>
          <w:rFonts w:hint="eastAsia" w:ascii="宋体" w:hAnsi="宋体" w:eastAsia="宋体" w:cs="宋体"/>
          <w:b/>
          <w:bCs/>
        </w:rPr>
      </w:pPr>
    </w:p>
    <w:p w14:paraId="06EBB1DC">
      <w:pPr>
        <w:shd w:val="clear"/>
        <w:rPr>
          <w:rFonts w:hint="eastAsia" w:ascii="宋体" w:hAnsi="宋体" w:eastAsia="宋体" w:cs="宋体"/>
        </w:rPr>
      </w:pPr>
    </w:p>
    <w:p w14:paraId="1131A4B0">
      <w:pPr>
        <w:shd w:val="clear"/>
        <w:rPr>
          <w:rFonts w:hint="eastAsia" w:ascii="宋体" w:hAnsi="宋体" w:eastAsia="宋体" w:cs="宋体"/>
          <w:b/>
          <w:bCs/>
        </w:rPr>
      </w:pPr>
    </w:p>
    <w:p w14:paraId="422CFEC9">
      <w:pPr>
        <w:shd w:val="clear"/>
        <w:adjustRightInd w:val="0"/>
        <w:snapToGrid w:val="0"/>
        <w:spacing w:line="360" w:lineRule="auto"/>
        <w:jc w:val="center"/>
        <w:rPr>
          <w:rFonts w:hint="eastAsia" w:ascii="宋体" w:hAnsi="宋体" w:eastAsia="宋体" w:cs="宋体"/>
          <w:b/>
          <w:bCs/>
        </w:rPr>
      </w:pPr>
      <w:r>
        <w:rPr>
          <w:rFonts w:hint="eastAsia" w:ascii="宋体" w:hAnsi="宋体" w:eastAsia="宋体" w:cs="宋体"/>
          <w:b/>
          <w:bCs/>
        </w:rPr>
        <w:br w:type="page"/>
      </w:r>
    </w:p>
    <w:p w14:paraId="221D455C">
      <w:pPr>
        <w:shd w:val="clear"/>
        <w:spacing w:line="600" w:lineRule="auto"/>
        <w:jc w:val="center"/>
        <w:rPr>
          <w:rFonts w:hint="eastAsia" w:ascii="宋体" w:hAnsi="宋体" w:eastAsia="宋体" w:cs="宋体"/>
          <w:b/>
          <w:kern w:val="0"/>
          <w:sz w:val="44"/>
          <w:szCs w:val="44"/>
        </w:rPr>
      </w:pPr>
    </w:p>
    <w:p w14:paraId="61667C2F">
      <w:pPr>
        <w:shd w:val="clear"/>
        <w:spacing w:line="600" w:lineRule="auto"/>
        <w:jc w:val="center"/>
        <w:rPr>
          <w:rFonts w:hint="eastAsia" w:ascii="宋体" w:hAnsi="宋体" w:eastAsia="宋体" w:cs="宋体"/>
          <w:bCs/>
          <w:kern w:val="0"/>
          <w:sz w:val="32"/>
          <w:szCs w:val="32"/>
        </w:rPr>
      </w:pPr>
    </w:p>
    <w:p w14:paraId="21A5762D">
      <w:pPr>
        <w:shd w:val="clear"/>
        <w:spacing w:line="60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投  标  文  件</w:t>
      </w:r>
    </w:p>
    <w:p w14:paraId="4B285483">
      <w:pPr>
        <w:shd w:val="clear"/>
        <w:spacing w:line="6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t>商务部分</w:t>
      </w:r>
    </w:p>
    <w:p w14:paraId="28AD21F7">
      <w:pPr>
        <w:shd w:val="clear"/>
        <w:spacing w:line="360" w:lineRule="auto"/>
        <w:ind w:firstLine="640" w:firstLineChars="200"/>
        <w:jc w:val="center"/>
        <w:rPr>
          <w:rFonts w:hint="eastAsia" w:ascii="宋体" w:hAnsi="宋体" w:eastAsia="宋体" w:cs="宋体"/>
          <w:kern w:val="0"/>
          <w:sz w:val="32"/>
          <w:szCs w:val="32"/>
        </w:rPr>
      </w:pPr>
    </w:p>
    <w:p w14:paraId="19375E6A">
      <w:pPr>
        <w:shd w:val="clea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（填写正本或副本）</w:t>
      </w:r>
    </w:p>
    <w:p w14:paraId="3CA695D2">
      <w:pPr>
        <w:shd w:val="clear"/>
        <w:spacing w:line="360" w:lineRule="auto"/>
        <w:ind w:firstLine="480" w:firstLineChars="200"/>
        <w:jc w:val="center"/>
        <w:rPr>
          <w:rFonts w:hint="eastAsia" w:ascii="宋体" w:hAnsi="宋体" w:eastAsia="宋体" w:cs="宋体"/>
          <w:bCs/>
          <w:kern w:val="0"/>
          <w:sz w:val="24"/>
          <w:szCs w:val="24"/>
        </w:rPr>
      </w:pPr>
    </w:p>
    <w:p w14:paraId="239F8DB6">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r>
        <w:rPr>
          <w:rFonts w:hint="eastAsia" w:ascii="宋体" w:hAnsi="宋体" w:eastAsia="宋体" w:cs="宋体"/>
          <w:bCs/>
          <w:kern w:val="0"/>
          <w:sz w:val="24"/>
          <w:szCs w:val="24"/>
          <w:u w:val="single"/>
        </w:rPr>
        <w:t xml:space="preserve">               </w:t>
      </w:r>
    </w:p>
    <w:p w14:paraId="25E9D4AB">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项目编号：</w:t>
      </w:r>
      <w:r>
        <w:rPr>
          <w:rFonts w:hint="eastAsia" w:ascii="宋体" w:hAnsi="宋体" w:eastAsia="宋体" w:cs="宋体"/>
          <w:bCs/>
          <w:kern w:val="0"/>
          <w:sz w:val="24"/>
          <w:szCs w:val="24"/>
          <w:u w:val="single"/>
        </w:rPr>
        <w:t xml:space="preserve">               </w:t>
      </w:r>
    </w:p>
    <w:p w14:paraId="36111F28">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所投采购包：</w:t>
      </w:r>
      <w:r>
        <w:rPr>
          <w:rFonts w:hint="eastAsia" w:ascii="宋体" w:hAnsi="宋体" w:eastAsia="宋体" w:cs="宋体"/>
          <w:bCs/>
          <w:kern w:val="0"/>
          <w:sz w:val="24"/>
          <w:szCs w:val="24"/>
          <w:u w:val="single"/>
        </w:rPr>
        <w:t xml:space="preserve">             </w:t>
      </w:r>
    </w:p>
    <w:p w14:paraId="18876E60">
      <w:pPr>
        <w:shd w:val="clear"/>
        <w:spacing w:line="360" w:lineRule="auto"/>
        <w:ind w:left="1470" w:leftChars="700" w:firstLine="480" w:firstLineChars="200"/>
        <w:jc w:val="center"/>
        <w:rPr>
          <w:rFonts w:hint="eastAsia" w:ascii="宋体" w:hAnsi="宋体" w:eastAsia="宋体" w:cs="宋体"/>
          <w:bCs/>
          <w:kern w:val="0"/>
          <w:sz w:val="24"/>
          <w:szCs w:val="24"/>
        </w:rPr>
      </w:pPr>
    </w:p>
    <w:p w14:paraId="56019BF5">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投标人：</w:t>
      </w:r>
      <w:r>
        <w:rPr>
          <w:rFonts w:hint="eastAsia" w:ascii="宋体" w:hAnsi="宋体" w:eastAsia="宋体" w:cs="宋体"/>
          <w:bCs/>
          <w:kern w:val="0"/>
          <w:sz w:val="24"/>
          <w:szCs w:val="24"/>
          <w:u w:val="single"/>
        </w:rPr>
        <w:t xml:space="preserve">                 </w:t>
      </w:r>
    </w:p>
    <w:p w14:paraId="2A3A311A">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日  期：</w:t>
      </w:r>
      <w:r>
        <w:rPr>
          <w:rFonts w:hint="eastAsia" w:ascii="宋体" w:hAnsi="宋体" w:eastAsia="宋体" w:cs="宋体"/>
          <w:bCs/>
          <w:kern w:val="0"/>
          <w:sz w:val="24"/>
          <w:szCs w:val="24"/>
          <w:u w:val="single"/>
        </w:rPr>
        <w:t xml:space="preserve">                 </w:t>
      </w:r>
    </w:p>
    <w:p w14:paraId="30CB3886">
      <w:pPr>
        <w:widowControl/>
        <w:shd w:val="clear"/>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1FEB97EE">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格式1  授权委托书</w:t>
      </w:r>
    </w:p>
    <w:p w14:paraId="78F8B9DD">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1-1法定代表人授权委托书</w:t>
      </w:r>
    </w:p>
    <w:p w14:paraId="1D3A98FE">
      <w:pPr>
        <w:shd w:val="clear"/>
        <w:adjustRightInd w:val="0"/>
        <w:snapToGrid w:val="0"/>
        <w:spacing w:line="360" w:lineRule="auto"/>
        <w:jc w:val="center"/>
        <w:rPr>
          <w:rFonts w:hint="eastAsia" w:ascii="宋体" w:hAnsi="宋体" w:eastAsia="宋体" w:cs="宋体"/>
          <w:b/>
          <w:bCs/>
          <w:sz w:val="24"/>
        </w:rPr>
      </w:pPr>
      <w:r>
        <w:rPr>
          <w:rFonts w:hint="eastAsia" w:ascii="宋体" w:hAnsi="宋体" w:eastAsia="宋体" w:cs="宋体"/>
          <w:szCs w:val="21"/>
        </w:rPr>
        <w:t>(适用于授权代表参加投标)</w:t>
      </w:r>
    </w:p>
    <w:p w14:paraId="50B95D82">
      <w:pPr>
        <w:pStyle w:val="21"/>
        <w:shd w:val="clear"/>
        <w:rPr>
          <w:rFonts w:hint="eastAsia" w:hAnsi="宋体" w:cs="宋体"/>
        </w:rPr>
      </w:pPr>
    </w:p>
    <w:p w14:paraId="62A1A2F0">
      <w:pPr>
        <w:shd w:val="clear"/>
        <w:spacing w:line="360" w:lineRule="auto"/>
        <w:rPr>
          <w:rFonts w:hint="eastAsia" w:ascii="宋体" w:hAnsi="宋体" w:eastAsia="宋体" w:cs="宋体"/>
        </w:rPr>
      </w:pPr>
      <w:r>
        <w:rPr>
          <w:rFonts w:hint="eastAsia" w:ascii="宋体" w:hAnsi="宋体" w:eastAsia="宋体" w:cs="宋体"/>
        </w:rPr>
        <w:t>致____________(采购人或采购代理机构)：</w:t>
      </w:r>
    </w:p>
    <w:p w14:paraId="3139AC8A">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本授权书声明：注册于___________（投标人住址）的___________（投标人名称）法定代表人_______（姓名、职务）代表本公司授权_______（被授权投标代表姓名、职务）为本公司的合法投标代表，就贵方组织的《</w:t>
      </w:r>
      <w:r>
        <w:rPr>
          <w:rFonts w:hint="eastAsia" w:ascii="宋体" w:hAnsi="宋体" w:eastAsia="宋体" w:cs="宋体"/>
          <w:szCs w:val="21"/>
          <w:u w:val="single"/>
        </w:rPr>
        <w:t xml:space="preserve">          项目</w:t>
      </w:r>
      <w:r>
        <w:rPr>
          <w:rFonts w:hint="eastAsia" w:ascii="宋体" w:hAnsi="宋体" w:eastAsia="宋体" w:cs="宋体"/>
          <w:szCs w:val="21"/>
        </w:rPr>
        <w:t>》（项目编号：_______）投标、合同的执行，以本公司名义处理一切与之有关的事务。</w:t>
      </w:r>
    </w:p>
    <w:p w14:paraId="0FA301B0">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本授权书于______年______月_____日生效，特此声明。</w:t>
      </w:r>
    </w:p>
    <w:p w14:paraId="3E29D11E">
      <w:pPr>
        <w:pStyle w:val="21"/>
        <w:shd w:val="clear"/>
        <w:adjustRightInd w:val="0"/>
        <w:snapToGrid w:val="0"/>
        <w:spacing w:line="360" w:lineRule="auto"/>
        <w:ind w:firstLine="420" w:firstLineChars="200"/>
        <w:rPr>
          <w:rFonts w:hint="eastAsia" w:hAnsi="宋体" w:cs="宋体"/>
        </w:rPr>
      </w:pPr>
      <w:r>
        <w:rPr>
          <w:rFonts w:hint="eastAsia" w:hAnsi="宋体" w:cs="宋体"/>
        </w:rPr>
        <w:t>被授权投标代表无转委托权。</w:t>
      </w:r>
    </w:p>
    <w:p w14:paraId="179748DC">
      <w:pPr>
        <w:pStyle w:val="21"/>
        <w:shd w:val="clear"/>
        <w:adjustRightInd w:val="0"/>
        <w:snapToGrid w:val="0"/>
        <w:spacing w:line="360" w:lineRule="auto"/>
        <w:rPr>
          <w:rFonts w:hint="eastAsia" w:hAnsi="宋体" w:cs="宋体"/>
        </w:rPr>
      </w:pPr>
    </w:p>
    <w:tbl>
      <w:tblPr>
        <w:tblStyle w:val="32"/>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5B3F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3FBC80B7">
            <w:pPr>
              <w:pStyle w:val="21"/>
              <w:shd w:val="clear"/>
              <w:adjustRightInd w:val="0"/>
              <w:snapToGrid w:val="0"/>
              <w:spacing w:line="360" w:lineRule="auto"/>
              <w:jc w:val="center"/>
              <w:rPr>
                <w:rFonts w:hint="eastAsia" w:hAnsi="宋体" w:cs="宋体"/>
              </w:rPr>
            </w:pPr>
          </w:p>
          <w:p w14:paraId="7AA7A2E2">
            <w:pPr>
              <w:pStyle w:val="21"/>
              <w:shd w:val="clear"/>
              <w:adjustRightInd w:val="0"/>
              <w:snapToGrid w:val="0"/>
              <w:spacing w:line="360" w:lineRule="auto"/>
              <w:jc w:val="center"/>
              <w:rPr>
                <w:rFonts w:hint="eastAsia" w:hAnsi="宋体" w:cs="宋体"/>
              </w:rPr>
            </w:pPr>
          </w:p>
          <w:p w14:paraId="77DD5995">
            <w:pPr>
              <w:pStyle w:val="21"/>
              <w:shd w:val="clear"/>
              <w:adjustRightInd w:val="0"/>
              <w:snapToGrid w:val="0"/>
              <w:spacing w:line="360" w:lineRule="auto"/>
              <w:jc w:val="center"/>
              <w:rPr>
                <w:rFonts w:hint="eastAsia" w:hAnsi="宋体" w:cs="宋体"/>
              </w:rPr>
            </w:pPr>
          </w:p>
          <w:p w14:paraId="5D2CA3B7">
            <w:pPr>
              <w:pStyle w:val="21"/>
              <w:shd w:val="clear"/>
              <w:adjustRightInd w:val="0"/>
              <w:snapToGrid w:val="0"/>
              <w:spacing w:line="360" w:lineRule="auto"/>
              <w:jc w:val="center"/>
              <w:rPr>
                <w:rFonts w:hint="eastAsia" w:hAnsi="宋体" w:cs="宋体"/>
              </w:rPr>
            </w:pPr>
            <w:r>
              <w:rPr>
                <w:rFonts w:hint="eastAsia" w:hAnsi="宋体" w:cs="宋体"/>
                <w:b/>
              </w:rPr>
              <w:t>被授权投标代表</w:t>
            </w:r>
            <w:r>
              <w:rPr>
                <w:rFonts w:hint="eastAsia" w:hAnsi="宋体" w:cs="宋体"/>
              </w:rPr>
              <w:t>身份证复印件</w:t>
            </w:r>
          </w:p>
          <w:p w14:paraId="718FB733">
            <w:pPr>
              <w:pStyle w:val="21"/>
              <w:shd w:val="clear"/>
              <w:adjustRightInd w:val="0"/>
              <w:snapToGrid w:val="0"/>
              <w:spacing w:line="360" w:lineRule="auto"/>
              <w:jc w:val="center"/>
              <w:rPr>
                <w:rFonts w:hint="eastAsia" w:hAnsi="宋体" w:cs="宋体"/>
              </w:rPr>
            </w:pPr>
          </w:p>
          <w:p w14:paraId="76260940">
            <w:pPr>
              <w:pStyle w:val="21"/>
              <w:shd w:val="clear"/>
              <w:adjustRightInd w:val="0"/>
              <w:snapToGrid w:val="0"/>
              <w:spacing w:line="360" w:lineRule="auto"/>
              <w:jc w:val="center"/>
              <w:rPr>
                <w:rFonts w:hint="eastAsia" w:hAnsi="宋体" w:cs="宋体"/>
              </w:rPr>
            </w:pPr>
          </w:p>
          <w:p w14:paraId="6F32004A">
            <w:pPr>
              <w:pStyle w:val="21"/>
              <w:shd w:val="clear"/>
              <w:adjustRightInd w:val="0"/>
              <w:snapToGrid w:val="0"/>
              <w:spacing w:line="360" w:lineRule="auto"/>
              <w:jc w:val="center"/>
              <w:rPr>
                <w:rFonts w:hint="eastAsia" w:hAnsi="宋体" w:cs="宋体"/>
              </w:rPr>
            </w:pPr>
          </w:p>
        </w:tc>
      </w:tr>
    </w:tbl>
    <w:p w14:paraId="74CC8916">
      <w:pPr>
        <w:pStyle w:val="21"/>
        <w:shd w:val="clear"/>
        <w:adjustRightInd w:val="0"/>
        <w:snapToGrid w:val="0"/>
        <w:spacing w:line="360" w:lineRule="auto"/>
        <w:jc w:val="left"/>
        <w:rPr>
          <w:rFonts w:hint="eastAsia" w:hAnsi="宋体" w:cs="宋体"/>
        </w:rPr>
      </w:pPr>
    </w:p>
    <w:p w14:paraId="5D126495">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投标人名称（公章）：________________</w:t>
      </w:r>
    </w:p>
    <w:p w14:paraId="3A2ED44C">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法定代表人（签字或签章）：________________</w:t>
      </w:r>
    </w:p>
    <w:p w14:paraId="01160503">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被授权投标代表（签字）：________________</w:t>
      </w:r>
    </w:p>
    <w:p w14:paraId="75FF7BCB">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被授权投标代表联系电话：____________</w:t>
      </w:r>
    </w:p>
    <w:p w14:paraId="4F79365B">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日期：____________</w:t>
      </w:r>
    </w:p>
    <w:p w14:paraId="47138432">
      <w:pPr>
        <w:shd w:val="clear"/>
        <w:topLinePunct/>
        <w:autoSpaceDE w:val="0"/>
        <w:autoSpaceDN w:val="0"/>
        <w:adjustRightInd w:val="0"/>
        <w:snapToGrid w:val="0"/>
        <w:spacing w:line="360" w:lineRule="auto"/>
        <w:jc w:val="left"/>
        <w:rPr>
          <w:rFonts w:hint="eastAsia" w:ascii="宋体" w:hAnsi="宋体" w:eastAsia="宋体" w:cs="宋体"/>
        </w:rPr>
      </w:pPr>
    </w:p>
    <w:p w14:paraId="198E279E">
      <w:pPr>
        <w:shd w:val="clear"/>
        <w:topLinePunct/>
        <w:autoSpaceDE w:val="0"/>
        <w:autoSpaceDN w:val="0"/>
        <w:adjustRightInd w:val="0"/>
        <w:snapToGrid w:val="0"/>
        <w:spacing w:line="360" w:lineRule="auto"/>
        <w:jc w:val="left"/>
        <w:rPr>
          <w:rFonts w:hint="eastAsia" w:ascii="宋体" w:hAnsi="宋体" w:eastAsia="宋体" w:cs="宋体"/>
          <w:i/>
          <w:iCs/>
        </w:rPr>
      </w:pPr>
      <w:r>
        <w:rPr>
          <w:rFonts w:hint="eastAsia" w:ascii="宋体" w:hAnsi="宋体" w:eastAsia="宋体" w:cs="宋体"/>
        </w:rPr>
        <w:t>特别说明：</w:t>
      </w:r>
    </w:p>
    <w:p w14:paraId="3EB46DA1">
      <w:pPr>
        <w:shd w:val="clear"/>
        <w:tabs>
          <w:tab w:val="left" w:pos="312"/>
        </w:tabs>
        <w:topLinePunct/>
        <w:autoSpaceDE w:val="0"/>
        <w:autoSpaceDN w:val="0"/>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1.投标人如由被授权投标代表参与投标活动的，须同时提供《法定代表人授权委托书》和被授权投标代表身份证复印件</w:t>
      </w:r>
      <w:r>
        <w:rPr>
          <w:rFonts w:hint="eastAsia" w:ascii="宋体" w:hAnsi="宋体" w:eastAsia="宋体" w:cs="宋体"/>
          <w:bCs/>
          <w:szCs w:val="21"/>
        </w:rPr>
        <w:t>（线上采购项目提供扫描件，下同）</w:t>
      </w:r>
      <w:r>
        <w:rPr>
          <w:rFonts w:hint="eastAsia" w:ascii="宋体" w:hAnsi="宋体" w:eastAsia="宋体" w:cs="宋体"/>
        </w:rPr>
        <w:t>。《法定代表人授权委托书》应当按本格式要求加盖与投标人名称全称一致的标准公章，并签署法定代表人或被授权投标代表的全名或加盖名章</w:t>
      </w:r>
      <w:r>
        <w:rPr>
          <w:rFonts w:hint="eastAsia" w:ascii="宋体" w:hAnsi="宋体" w:eastAsia="宋体" w:cs="宋体"/>
          <w:szCs w:val="21"/>
        </w:rPr>
        <w:t>。(线上采购项目应上传扫描件)</w:t>
      </w:r>
      <w:r>
        <w:rPr>
          <w:rFonts w:hint="eastAsia" w:ascii="宋体" w:hAnsi="宋体" w:eastAsia="宋体" w:cs="宋体"/>
        </w:rPr>
        <w:t>。</w:t>
      </w:r>
    </w:p>
    <w:p w14:paraId="253246BC">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1-2法定代表人身份证明复印件</w:t>
      </w:r>
    </w:p>
    <w:p w14:paraId="2A1DEDD7">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(适用于法定代表人参加投标)</w:t>
      </w:r>
    </w:p>
    <w:p w14:paraId="657CE5D3">
      <w:pPr>
        <w:shd w:val="clear"/>
        <w:topLinePunct/>
        <w:autoSpaceDE w:val="0"/>
        <w:autoSpaceDN w:val="0"/>
        <w:adjustRightInd w:val="0"/>
        <w:snapToGrid w:val="0"/>
        <w:spacing w:line="360" w:lineRule="auto"/>
        <w:ind w:firstLine="420" w:firstLineChars="200"/>
        <w:rPr>
          <w:rFonts w:hint="eastAsia" w:ascii="宋体" w:hAnsi="宋体" w:eastAsia="宋体" w:cs="宋体"/>
        </w:rPr>
      </w:pPr>
    </w:p>
    <w:tbl>
      <w:tblPr>
        <w:tblStyle w:val="32"/>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799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2480AECF">
            <w:pPr>
              <w:pStyle w:val="21"/>
              <w:shd w:val="clear"/>
              <w:adjustRightInd w:val="0"/>
              <w:snapToGrid w:val="0"/>
              <w:spacing w:line="360" w:lineRule="auto"/>
              <w:jc w:val="center"/>
              <w:rPr>
                <w:rFonts w:hint="eastAsia" w:hAnsi="宋体" w:cs="宋体"/>
              </w:rPr>
            </w:pPr>
          </w:p>
          <w:p w14:paraId="6264A7D0">
            <w:pPr>
              <w:pStyle w:val="21"/>
              <w:shd w:val="clear"/>
              <w:adjustRightInd w:val="0"/>
              <w:snapToGrid w:val="0"/>
              <w:spacing w:line="360" w:lineRule="auto"/>
              <w:jc w:val="center"/>
              <w:rPr>
                <w:rFonts w:hint="eastAsia" w:hAnsi="宋体" w:cs="宋体"/>
              </w:rPr>
            </w:pPr>
          </w:p>
          <w:p w14:paraId="677CE8A1">
            <w:pPr>
              <w:pStyle w:val="21"/>
              <w:shd w:val="clear"/>
              <w:adjustRightInd w:val="0"/>
              <w:snapToGrid w:val="0"/>
              <w:spacing w:line="360" w:lineRule="auto"/>
              <w:jc w:val="center"/>
              <w:rPr>
                <w:rFonts w:hint="eastAsia" w:hAnsi="宋体" w:cs="宋体"/>
              </w:rPr>
            </w:pPr>
          </w:p>
          <w:p w14:paraId="3EB12B58">
            <w:pPr>
              <w:pStyle w:val="21"/>
              <w:shd w:val="clear"/>
              <w:adjustRightInd w:val="0"/>
              <w:snapToGrid w:val="0"/>
              <w:spacing w:line="360" w:lineRule="auto"/>
              <w:jc w:val="center"/>
              <w:rPr>
                <w:rFonts w:hint="eastAsia" w:hAnsi="宋体" w:cs="宋体"/>
              </w:rPr>
            </w:pPr>
          </w:p>
          <w:p w14:paraId="0BFE4F49">
            <w:pPr>
              <w:pStyle w:val="21"/>
              <w:shd w:val="clear"/>
              <w:adjustRightInd w:val="0"/>
              <w:snapToGrid w:val="0"/>
              <w:spacing w:line="360" w:lineRule="auto"/>
              <w:jc w:val="center"/>
              <w:rPr>
                <w:rFonts w:hint="eastAsia" w:hAnsi="宋体" w:cs="宋体"/>
              </w:rPr>
            </w:pPr>
            <w:r>
              <w:rPr>
                <w:rFonts w:hint="eastAsia" w:hAnsi="宋体" w:cs="宋体"/>
              </w:rPr>
              <w:t>法定代表人身份证明复印件</w:t>
            </w:r>
          </w:p>
          <w:p w14:paraId="403D02B0">
            <w:pPr>
              <w:pStyle w:val="21"/>
              <w:shd w:val="clear"/>
              <w:adjustRightInd w:val="0"/>
              <w:snapToGrid w:val="0"/>
              <w:spacing w:line="360" w:lineRule="auto"/>
              <w:jc w:val="center"/>
              <w:rPr>
                <w:rFonts w:hint="eastAsia" w:hAnsi="宋体" w:cs="宋体"/>
              </w:rPr>
            </w:pPr>
          </w:p>
          <w:p w14:paraId="2F83378F">
            <w:pPr>
              <w:pStyle w:val="21"/>
              <w:shd w:val="clear"/>
              <w:adjustRightInd w:val="0"/>
              <w:snapToGrid w:val="0"/>
              <w:spacing w:line="360" w:lineRule="auto"/>
              <w:jc w:val="center"/>
              <w:rPr>
                <w:rFonts w:hint="eastAsia" w:hAnsi="宋体" w:cs="宋体"/>
              </w:rPr>
            </w:pPr>
          </w:p>
          <w:p w14:paraId="6D37E34E">
            <w:pPr>
              <w:pStyle w:val="21"/>
              <w:shd w:val="clear"/>
              <w:adjustRightInd w:val="0"/>
              <w:snapToGrid w:val="0"/>
              <w:spacing w:line="360" w:lineRule="auto"/>
              <w:jc w:val="center"/>
              <w:rPr>
                <w:rFonts w:hint="eastAsia" w:hAnsi="宋体" w:cs="宋体"/>
              </w:rPr>
            </w:pPr>
          </w:p>
          <w:p w14:paraId="3437B583">
            <w:pPr>
              <w:pStyle w:val="21"/>
              <w:shd w:val="clear"/>
              <w:adjustRightInd w:val="0"/>
              <w:snapToGrid w:val="0"/>
              <w:spacing w:line="360" w:lineRule="auto"/>
              <w:jc w:val="center"/>
              <w:rPr>
                <w:rFonts w:hint="eastAsia" w:hAnsi="宋体" w:cs="宋体"/>
              </w:rPr>
            </w:pPr>
          </w:p>
        </w:tc>
      </w:tr>
    </w:tbl>
    <w:p w14:paraId="41906699">
      <w:pPr>
        <w:shd w:val="clear"/>
        <w:topLinePunct/>
        <w:autoSpaceDE w:val="0"/>
        <w:autoSpaceDN w:val="0"/>
        <w:adjustRightInd w:val="0"/>
        <w:snapToGrid w:val="0"/>
        <w:spacing w:line="360" w:lineRule="auto"/>
        <w:jc w:val="left"/>
        <w:rPr>
          <w:rFonts w:hint="eastAsia" w:ascii="宋体" w:hAnsi="宋体" w:eastAsia="宋体" w:cs="宋体"/>
        </w:rPr>
      </w:pPr>
    </w:p>
    <w:p w14:paraId="75CF895D">
      <w:pPr>
        <w:shd w:val="clear"/>
        <w:topLinePunct/>
        <w:autoSpaceDE w:val="0"/>
        <w:autoSpaceDN w:val="0"/>
        <w:adjustRightInd w:val="0"/>
        <w:snapToGrid w:val="0"/>
        <w:spacing w:line="360" w:lineRule="auto"/>
        <w:jc w:val="left"/>
        <w:rPr>
          <w:rFonts w:hint="eastAsia" w:ascii="宋体" w:hAnsi="宋体" w:eastAsia="宋体" w:cs="宋体"/>
          <w:i/>
          <w:iCs/>
        </w:rPr>
      </w:pPr>
      <w:r>
        <w:rPr>
          <w:rFonts w:hint="eastAsia" w:ascii="宋体" w:hAnsi="宋体" w:eastAsia="宋体" w:cs="宋体"/>
        </w:rPr>
        <w:t>特别说明：</w:t>
      </w:r>
    </w:p>
    <w:p w14:paraId="50EA0522">
      <w:pPr>
        <w:shd w:val="clear"/>
        <w:tabs>
          <w:tab w:val="left" w:pos="312"/>
        </w:tabs>
        <w:topLinePunct/>
        <w:autoSpaceDE w:val="0"/>
        <w:autoSpaceDN w:val="0"/>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投标人如由</w:t>
      </w:r>
      <w:r>
        <w:rPr>
          <w:rFonts w:hint="eastAsia" w:ascii="宋体" w:hAnsi="宋体" w:eastAsia="宋体" w:cs="宋体"/>
          <w:b/>
          <w:bCs/>
        </w:rPr>
        <w:t>法定代表人作为投标代表参与投标活动的，仅须提供法定代表人身份证复印件</w:t>
      </w:r>
      <w:r>
        <w:rPr>
          <w:rFonts w:hint="eastAsia" w:ascii="宋体" w:hAnsi="宋体" w:eastAsia="宋体" w:cs="宋体"/>
          <w:bCs/>
          <w:szCs w:val="21"/>
        </w:rPr>
        <w:t>（线上采购项目提供扫描件，下同）</w:t>
      </w:r>
      <w:r>
        <w:rPr>
          <w:rFonts w:hint="eastAsia" w:ascii="宋体" w:hAnsi="宋体" w:eastAsia="宋体" w:cs="宋体"/>
        </w:rPr>
        <w:t>。</w:t>
      </w:r>
    </w:p>
    <w:p w14:paraId="3D902ECE">
      <w:pPr>
        <w:pStyle w:val="21"/>
        <w:shd w:val="clear"/>
        <w:ind w:firstLine="420" w:firstLineChars="200"/>
        <w:rPr>
          <w:rFonts w:hint="eastAsia" w:hAnsi="宋体" w:cs="宋体"/>
        </w:rPr>
      </w:pPr>
    </w:p>
    <w:p w14:paraId="30B5DDD3">
      <w:pPr>
        <w:widowControl/>
        <w:shd w:val="clear"/>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0C360AE4">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1-3自然人授权委托书</w:t>
      </w:r>
    </w:p>
    <w:p w14:paraId="6F32FF8B">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(适用于自然人投标)</w:t>
      </w:r>
    </w:p>
    <w:p w14:paraId="333F925D">
      <w:pPr>
        <w:pStyle w:val="21"/>
        <w:shd w:val="clear"/>
        <w:rPr>
          <w:rFonts w:hint="eastAsia" w:hAnsi="宋体" w:cs="宋体"/>
        </w:rPr>
      </w:pPr>
    </w:p>
    <w:p w14:paraId="58D7FC36">
      <w:pPr>
        <w:shd w:val="clear"/>
        <w:spacing w:line="360" w:lineRule="auto"/>
        <w:rPr>
          <w:rFonts w:hint="eastAsia" w:ascii="宋体" w:hAnsi="宋体" w:eastAsia="宋体" w:cs="宋体"/>
        </w:rPr>
      </w:pPr>
      <w:r>
        <w:rPr>
          <w:rFonts w:hint="eastAsia" w:ascii="宋体" w:hAnsi="宋体" w:eastAsia="宋体" w:cs="宋体"/>
        </w:rPr>
        <w:t>致____________(采购人或采购代理机构)：</w:t>
      </w:r>
    </w:p>
    <w:p w14:paraId="6442A29B">
      <w:pPr>
        <w:shd w:val="clear"/>
        <w:spacing w:line="360" w:lineRule="auto"/>
        <w:ind w:firstLine="420" w:firstLineChars="200"/>
        <w:rPr>
          <w:rFonts w:hint="eastAsia" w:ascii="宋体" w:hAnsi="宋体" w:eastAsia="宋体" w:cs="宋体"/>
        </w:rPr>
      </w:pPr>
      <w:r>
        <w:rPr>
          <w:rFonts w:hint="eastAsia" w:ascii="宋体" w:hAnsi="宋体" w:eastAsia="宋体" w:cs="宋体"/>
        </w:rPr>
        <w:t>本授权书声明：我________(姓名、身份证号码)系自然人，现授权委托____________(姓名、身份证号码)以本人名义参加《</w:t>
      </w:r>
      <w:r>
        <w:rPr>
          <w:rFonts w:hint="eastAsia" w:ascii="宋体" w:hAnsi="宋体" w:eastAsia="宋体" w:cs="宋体"/>
          <w:u w:val="single"/>
        </w:rPr>
        <w:t xml:space="preserve">          </w:t>
      </w:r>
      <w:r>
        <w:rPr>
          <w:rFonts w:hint="eastAsia" w:ascii="宋体" w:hAnsi="宋体" w:eastAsia="宋体" w:cs="宋体"/>
        </w:rPr>
        <w:t>项目》（项目编号：    ）的投标活动，并代表本人全权办理针对上述项目的投标、签约等具体事务和签署相关文件。</w:t>
      </w:r>
    </w:p>
    <w:p w14:paraId="25362FA2">
      <w:pPr>
        <w:shd w:val="clear"/>
        <w:spacing w:line="360" w:lineRule="auto"/>
        <w:ind w:firstLine="420" w:firstLineChars="200"/>
        <w:rPr>
          <w:rFonts w:hint="eastAsia" w:ascii="宋体" w:hAnsi="宋体" w:eastAsia="宋体" w:cs="宋体"/>
        </w:rPr>
      </w:pPr>
      <w:r>
        <w:rPr>
          <w:rFonts w:hint="eastAsia" w:ascii="宋体" w:hAnsi="宋体" w:eastAsia="宋体" w:cs="宋体"/>
        </w:rPr>
        <w:t>本人对被授权人的签字事项负全部责任。</w:t>
      </w:r>
    </w:p>
    <w:p w14:paraId="49F52BC4">
      <w:pPr>
        <w:shd w:val="clear"/>
        <w:spacing w:line="360" w:lineRule="auto"/>
        <w:ind w:firstLine="420" w:firstLineChars="200"/>
        <w:rPr>
          <w:rFonts w:hint="eastAsia" w:ascii="宋体" w:hAnsi="宋体" w:eastAsia="宋体" w:cs="宋体"/>
        </w:rPr>
      </w:pPr>
      <w:r>
        <w:rPr>
          <w:rFonts w:hint="eastAsia" w:ascii="宋体" w:hAnsi="宋体" w:eastAsia="宋体" w:cs="宋体"/>
        </w:rPr>
        <w:t>授权委托代理期限：</w:t>
      </w:r>
      <w:r>
        <w:rPr>
          <w:rFonts w:hint="eastAsia" w:ascii="宋体" w:hAnsi="宋体" w:eastAsia="宋体" w:cs="宋体"/>
          <w:u w:val="single"/>
        </w:rPr>
        <w:t>从　　年　　月　　日起至　　年　　月　　日止</w:t>
      </w:r>
      <w:r>
        <w:rPr>
          <w:rFonts w:hint="eastAsia" w:ascii="宋体" w:hAnsi="宋体" w:eastAsia="宋体" w:cs="宋体"/>
        </w:rPr>
        <w:t>。</w:t>
      </w:r>
    </w:p>
    <w:p w14:paraId="72E7CADD">
      <w:pPr>
        <w:shd w:val="clear"/>
        <w:spacing w:line="360" w:lineRule="auto"/>
        <w:ind w:firstLine="420" w:firstLineChars="200"/>
        <w:rPr>
          <w:rFonts w:hint="eastAsia" w:ascii="宋体" w:hAnsi="宋体" w:eastAsia="宋体" w:cs="宋体"/>
        </w:rPr>
      </w:pPr>
    </w:p>
    <w:p w14:paraId="3A9458A2">
      <w:pPr>
        <w:shd w:val="clear"/>
        <w:spacing w:line="360" w:lineRule="auto"/>
        <w:ind w:firstLine="420" w:firstLineChars="200"/>
        <w:rPr>
          <w:rFonts w:hint="eastAsia" w:ascii="宋体" w:hAnsi="宋体" w:eastAsia="宋体" w:cs="宋体"/>
        </w:rPr>
      </w:pPr>
      <w:r>
        <w:rPr>
          <w:rFonts w:hint="eastAsia" w:ascii="宋体" w:hAnsi="宋体" w:eastAsia="宋体" w:cs="宋体"/>
        </w:rPr>
        <w:t>代理人无转委托权，特此委托。</w:t>
      </w:r>
    </w:p>
    <w:p w14:paraId="6924E771">
      <w:pPr>
        <w:shd w:val="clear"/>
        <w:spacing w:line="360" w:lineRule="auto"/>
        <w:ind w:firstLine="420" w:firstLineChars="200"/>
        <w:rPr>
          <w:rFonts w:hint="eastAsia" w:ascii="宋体" w:hAnsi="宋体" w:eastAsia="宋体" w:cs="宋体"/>
        </w:rPr>
      </w:pPr>
    </w:p>
    <w:p w14:paraId="284F85A3">
      <w:pPr>
        <w:shd w:val="clear"/>
        <w:spacing w:line="360" w:lineRule="auto"/>
        <w:ind w:firstLine="420" w:firstLineChars="200"/>
        <w:rPr>
          <w:rFonts w:hint="eastAsia" w:ascii="宋体" w:hAnsi="宋体" w:eastAsia="宋体" w:cs="宋体"/>
        </w:rPr>
      </w:pPr>
      <w:r>
        <w:rPr>
          <w:rFonts w:hint="eastAsia" w:ascii="宋体" w:hAnsi="宋体" w:eastAsia="宋体" w:cs="宋体"/>
        </w:rPr>
        <w:t>我已在下面签字，以资证明。</w:t>
      </w:r>
    </w:p>
    <w:p w14:paraId="3A3ECC4D">
      <w:pPr>
        <w:shd w:val="clear"/>
        <w:spacing w:line="360" w:lineRule="auto"/>
        <w:ind w:firstLine="420" w:firstLineChars="200"/>
        <w:rPr>
          <w:rFonts w:hint="eastAsia" w:ascii="宋体" w:hAnsi="宋体" w:eastAsia="宋体" w:cs="宋体"/>
        </w:rPr>
      </w:pPr>
    </w:p>
    <w:p w14:paraId="62BBA76A">
      <w:pPr>
        <w:shd w:val="clear"/>
        <w:spacing w:line="360" w:lineRule="auto"/>
        <w:ind w:firstLine="420" w:firstLineChars="200"/>
        <w:rPr>
          <w:rFonts w:hint="eastAsia" w:ascii="宋体" w:hAnsi="宋体" w:eastAsia="宋体" w:cs="宋体"/>
        </w:rPr>
      </w:pPr>
      <w:r>
        <w:rPr>
          <w:rFonts w:hint="eastAsia" w:ascii="宋体" w:hAnsi="宋体" w:eastAsia="宋体" w:cs="宋体"/>
        </w:rPr>
        <w:t>自然人签字并在签名处加盖食指指印：</w:t>
      </w:r>
      <w:r>
        <w:rPr>
          <w:rFonts w:hint="eastAsia" w:ascii="宋体" w:hAnsi="宋体" w:eastAsia="宋体" w:cs="宋体"/>
          <w:u w:val="single"/>
        </w:rPr>
        <w:t>　　　　年　　月　　日</w:t>
      </w:r>
    </w:p>
    <w:p w14:paraId="1DDB7562">
      <w:pPr>
        <w:pStyle w:val="21"/>
        <w:shd w:val="clear"/>
        <w:spacing w:line="360" w:lineRule="auto"/>
        <w:ind w:firstLine="480" w:firstLineChars="200"/>
        <w:rPr>
          <w:rFonts w:hint="eastAsia" w:hAnsi="宋体" w:cs="宋体"/>
          <w:sz w:val="24"/>
          <w:szCs w:val="24"/>
        </w:rPr>
      </w:pPr>
    </w:p>
    <w:p w14:paraId="2681ED13">
      <w:pPr>
        <w:shd w:val="clear"/>
        <w:topLinePunct/>
        <w:autoSpaceDE w:val="0"/>
        <w:autoSpaceDN w:val="0"/>
        <w:adjustRightInd w:val="0"/>
        <w:snapToGrid w:val="0"/>
        <w:spacing w:line="360" w:lineRule="auto"/>
        <w:jc w:val="left"/>
        <w:rPr>
          <w:rFonts w:hint="eastAsia" w:ascii="宋体" w:hAnsi="宋体" w:eastAsia="宋体" w:cs="宋体"/>
        </w:rPr>
      </w:pPr>
    </w:p>
    <w:p w14:paraId="2F8E68FA">
      <w:pPr>
        <w:shd w:val="clear"/>
        <w:topLinePunct/>
        <w:autoSpaceDE w:val="0"/>
        <w:autoSpaceDN w:val="0"/>
        <w:adjustRightInd w:val="0"/>
        <w:snapToGrid w:val="0"/>
        <w:spacing w:line="360" w:lineRule="auto"/>
        <w:jc w:val="left"/>
        <w:rPr>
          <w:rFonts w:hint="eastAsia" w:ascii="宋体" w:hAnsi="宋体" w:eastAsia="宋体" w:cs="宋体"/>
          <w:i/>
          <w:iCs/>
        </w:rPr>
      </w:pPr>
      <w:r>
        <w:rPr>
          <w:rFonts w:hint="eastAsia" w:ascii="宋体" w:hAnsi="宋体" w:eastAsia="宋体" w:cs="宋体"/>
        </w:rPr>
        <w:t>特别说明：</w:t>
      </w:r>
    </w:p>
    <w:p w14:paraId="40A2EBE8">
      <w:pPr>
        <w:shd w:val="clear"/>
        <w:tabs>
          <w:tab w:val="left" w:pos="312"/>
        </w:tabs>
        <w:topLinePunct/>
        <w:autoSpaceDE w:val="0"/>
        <w:autoSpaceDN w:val="0"/>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投标人如由</w:t>
      </w:r>
      <w:r>
        <w:rPr>
          <w:rFonts w:hint="eastAsia" w:ascii="宋体" w:hAnsi="宋体" w:eastAsia="宋体" w:cs="宋体"/>
          <w:b/>
          <w:bCs/>
        </w:rPr>
        <w:t>被授权人参与投标活动的，</w:t>
      </w:r>
      <w:r>
        <w:rPr>
          <w:rFonts w:hint="eastAsia" w:ascii="宋体" w:hAnsi="宋体" w:eastAsia="宋体" w:cs="宋体"/>
        </w:rPr>
        <w:t>须提供《自然人授权委托书》，《自然人授权委托书》应当按本格式要求签字并由自然人在签名处加盖食指指印</w:t>
      </w:r>
      <w:r>
        <w:rPr>
          <w:rFonts w:hint="eastAsia" w:ascii="宋体" w:hAnsi="宋体" w:eastAsia="宋体" w:cs="宋体"/>
          <w:szCs w:val="21"/>
        </w:rPr>
        <w:t>。</w:t>
      </w:r>
    </w:p>
    <w:p w14:paraId="28846B68">
      <w:pPr>
        <w:pStyle w:val="21"/>
        <w:shd w:val="clear"/>
        <w:spacing w:line="360" w:lineRule="auto"/>
        <w:ind w:firstLine="480" w:firstLineChars="200"/>
        <w:rPr>
          <w:rFonts w:hint="eastAsia" w:hAnsi="宋体" w:cs="宋体"/>
          <w:sz w:val="24"/>
          <w:szCs w:val="24"/>
        </w:rPr>
      </w:pPr>
    </w:p>
    <w:p w14:paraId="04D1362A">
      <w:pPr>
        <w:pStyle w:val="21"/>
        <w:shd w:val="clear"/>
        <w:ind w:firstLine="420" w:firstLineChars="200"/>
        <w:rPr>
          <w:rFonts w:hint="eastAsia" w:hAnsi="宋体" w:cs="宋体"/>
          <w:b/>
          <w:bCs/>
          <w:sz w:val="36"/>
          <w:szCs w:val="36"/>
        </w:rPr>
      </w:pPr>
      <w:r>
        <w:rPr>
          <w:rFonts w:hint="eastAsia" w:hAnsi="宋体" w:cs="宋体"/>
        </w:rPr>
        <w:br w:type="page"/>
      </w:r>
    </w:p>
    <w:p w14:paraId="76DA2B53">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格式2  投标函</w:t>
      </w:r>
    </w:p>
    <w:p w14:paraId="6D075541">
      <w:pPr>
        <w:shd w:val="clear"/>
        <w:spacing w:line="360" w:lineRule="auto"/>
        <w:rPr>
          <w:rFonts w:hint="eastAsia" w:ascii="宋体" w:hAnsi="宋体" w:eastAsia="宋体" w:cs="宋体"/>
        </w:rPr>
      </w:pPr>
      <w:r>
        <w:rPr>
          <w:rFonts w:hint="eastAsia" w:ascii="宋体" w:hAnsi="宋体" w:eastAsia="宋体" w:cs="宋体"/>
        </w:rPr>
        <w:t>致________（采购人或采购代理机构）：</w:t>
      </w:r>
    </w:p>
    <w:p w14:paraId="5EB3C6AD">
      <w:pPr>
        <w:shd w:val="clear"/>
        <w:spacing w:line="360" w:lineRule="auto"/>
        <w:ind w:firstLine="420" w:firstLineChars="200"/>
        <w:rPr>
          <w:rFonts w:hint="eastAsia" w:ascii="宋体" w:hAnsi="宋体" w:eastAsia="宋体" w:cs="宋体"/>
        </w:rPr>
      </w:pPr>
      <w:r>
        <w:rPr>
          <w:rFonts w:hint="eastAsia" w:ascii="宋体" w:hAnsi="宋体" w:eastAsia="宋体" w:cs="宋体"/>
        </w:rPr>
        <w:t>根据______（项目名称）（项目编号：______）的招标公告，______（姓名、职务）代表投标人______（投标人名称、地址）参加项目招标的有关活动。据此函，作如下承诺：</w:t>
      </w:r>
    </w:p>
    <w:p w14:paraId="15D783E4">
      <w:pPr>
        <w:shd w:val="clear"/>
        <w:spacing w:line="360" w:lineRule="auto"/>
        <w:ind w:firstLine="420" w:firstLineChars="200"/>
        <w:rPr>
          <w:rFonts w:hint="eastAsia" w:ascii="宋体" w:hAnsi="宋体" w:eastAsia="宋体" w:cs="宋体"/>
        </w:rPr>
      </w:pPr>
      <w:r>
        <w:rPr>
          <w:rFonts w:hint="eastAsia" w:ascii="宋体" w:hAnsi="宋体" w:eastAsia="宋体" w:cs="宋体"/>
        </w:rPr>
        <w:t>1.同意在本项目招标文件中规定的开标日起    天遵守本投标文件中的承诺，且在期满之前均具有约束力。</w:t>
      </w:r>
    </w:p>
    <w:p w14:paraId="06E4C812">
      <w:pPr>
        <w:shd w:val="clear"/>
        <w:spacing w:line="360" w:lineRule="auto"/>
        <w:ind w:firstLine="420" w:firstLineChars="200"/>
        <w:rPr>
          <w:rFonts w:hint="eastAsia" w:ascii="宋体" w:hAnsi="宋体" w:eastAsia="宋体" w:cs="宋体"/>
        </w:rPr>
      </w:pPr>
      <w:r>
        <w:rPr>
          <w:rFonts w:hint="eastAsia" w:ascii="宋体" w:hAnsi="宋体" w:eastAsia="宋体" w:cs="宋体"/>
        </w:rPr>
        <w:t>2.具备政府采购相关法律法规规定的参加政府采购活动的供应商应当具备的条件：</w:t>
      </w:r>
    </w:p>
    <w:p w14:paraId="2510AE88">
      <w:pPr>
        <w:shd w:val="clear"/>
        <w:spacing w:line="360" w:lineRule="auto"/>
        <w:ind w:firstLine="420" w:firstLineChars="200"/>
        <w:rPr>
          <w:rFonts w:hint="eastAsia" w:ascii="宋体" w:hAnsi="宋体" w:eastAsia="宋体" w:cs="宋体"/>
        </w:rPr>
      </w:pPr>
      <w:r>
        <w:rPr>
          <w:rFonts w:hint="eastAsia" w:ascii="宋体" w:hAnsi="宋体" w:eastAsia="宋体" w:cs="宋体"/>
        </w:rPr>
        <w:t>（1）具有独立承担民事责任的能力；</w:t>
      </w:r>
    </w:p>
    <w:p w14:paraId="7A91BFCB">
      <w:pPr>
        <w:shd w:val="clear"/>
        <w:spacing w:line="360" w:lineRule="auto"/>
        <w:ind w:firstLine="420" w:firstLineChars="200"/>
        <w:rPr>
          <w:rFonts w:hint="eastAsia" w:ascii="宋体" w:hAnsi="宋体" w:eastAsia="宋体" w:cs="宋体"/>
        </w:rPr>
      </w:pPr>
      <w:r>
        <w:rPr>
          <w:rFonts w:hint="eastAsia" w:ascii="宋体" w:hAnsi="宋体" w:eastAsia="宋体" w:cs="宋体"/>
        </w:rPr>
        <w:t>（2）具有良好的商业信誉和健全的财务会计制度；</w:t>
      </w:r>
    </w:p>
    <w:p w14:paraId="58F2B08A">
      <w:pPr>
        <w:shd w:val="clear"/>
        <w:spacing w:line="360" w:lineRule="auto"/>
        <w:ind w:firstLine="420" w:firstLineChars="200"/>
        <w:rPr>
          <w:rFonts w:hint="eastAsia" w:ascii="宋体" w:hAnsi="宋体" w:eastAsia="宋体" w:cs="宋体"/>
        </w:rPr>
      </w:pPr>
      <w:r>
        <w:rPr>
          <w:rFonts w:hint="eastAsia" w:ascii="宋体" w:hAnsi="宋体" w:eastAsia="宋体" w:cs="宋体"/>
        </w:rPr>
        <w:t>（3）具有履行合同所必需的设备和专业技术能力；</w:t>
      </w:r>
    </w:p>
    <w:p w14:paraId="3AE4A2BD">
      <w:pPr>
        <w:shd w:val="clear"/>
        <w:spacing w:line="360" w:lineRule="auto"/>
        <w:ind w:firstLine="420" w:firstLineChars="200"/>
        <w:rPr>
          <w:rFonts w:hint="eastAsia" w:ascii="宋体" w:hAnsi="宋体" w:eastAsia="宋体" w:cs="宋体"/>
        </w:rPr>
      </w:pPr>
      <w:r>
        <w:rPr>
          <w:rFonts w:hint="eastAsia" w:ascii="宋体" w:hAnsi="宋体" w:eastAsia="宋体" w:cs="宋体"/>
        </w:rPr>
        <w:t>（4）有依法缴纳税收和社会保障资金的良好记录；</w:t>
      </w:r>
    </w:p>
    <w:p w14:paraId="7941DDE6">
      <w:pPr>
        <w:shd w:val="clear"/>
        <w:spacing w:line="360" w:lineRule="auto"/>
        <w:ind w:firstLine="420" w:firstLineChars="200"/>
        <w:rPr>
          <w:rFonts w:hint="eastAsia" w:ascii="宋体" w:hAnsi="宋体" w:eastAsia="宋体" w:cs="宋体"/>
        </w:rPr>
      </w:pPr>
      <w:r>
        <w:rPr>
          <w:rFonts w:hint="eastAsia" w:ascii="宋体" w:hAnsi="宋体" w:eastAsia="宋体" w:cs="宋体"/>
        </w:rPr>
        <w:t>（5）参加此项采购活动前三年内，在经营活动中没有重大违法记录。</w:t>
      </w:r>
    </w:p>
    <w:p w14:paraId="270B6958">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（6）法律、行政法规规定的其他条件。 </w:t>
      </w:r>
    </w:p>
    <w:p w14:paraId="24D5F03B">
      <w:pPr>
        <w:shd w:val="clear"/>
        <w:spacing w:line="360" w:lineRule="auto"/>
        <w:ind w:firstLine="420" w:firstLineChars="200"/>
        <w:rPr>
          <w:rFonts w:hint="eastAsia" w:ascii="宋体" w:hAnsi="宋体" w:eastAsia="宋体" w:cs="宋体"/>
        </w:rPr>
      </w:pPr>
      <w:r>
        <w:rPr>
          <w:rFonts w:hint="eastAsia" w:ascii="宋体" w:hAnsi="宋体" w:eastAsia="宋体" w:cs="宋体"/>
        </w:rPr>
        <w:t>3.具备本项目招标文件中规定的其他要求和资质条件。</w:t>
      </w:r>
    </w:p>
    <w:p w14:paraId="39F5BC8C">
      <w:pPr>
        <w:shd w:val="clear"/>
        <w:spacing w:line="360" w:lineRule="auto"/>
        <w:ind w:firstLine="420" w:firstLineChars="200"/>
        <w:rPr>
          <w:rFonts w:hint="eastAsia" w:ascii="宋体" w:hAnsi="宋体" w:eastAsia="宋体" w:cs="宋体"/>
        </w:rPr>
      </w:pPr>
      <w:r>
        <w:rPr>
          <w:rFonts w:hint="eastAsia" w:ascii="宋体" w:hAnsi="宋体" w:eastAsia="宋体" w:cs="宋体"/>
        </w:rPr>
        <w:t>4.提供投标人须知规定的全部投标文件。</w:t>
      </w:r>
    </w:p>
    <w:p w14:paraId="6590E441">
      <w:pPr>
        <w:shd w:val="clear"/>
        <w:spacing w:line="360" w:lineRule="auto"/>
        <w:ind w:firstLine="420" w:firstLineChars="200"/>
        <w:rPr>
          <w:rFonts w:hint="eastAsia" w:ascii="宋体" w:hAnsi="宋体" w:eastAsia="宋体" w:cs="宋体"/>
        </w:rPr>
      </w:pPr>
      <w:r>
        <w:rPr>
          <w:rFonts w:hint="eastAsia" w:ascii="宋体" w:hAnsi="宋体" w:eastAsia="宋体" w:cs="宋体"/>
        </w:rPr>
        <w:t>5.已详细审阅全部招标文件（包括招标文件澄清函），理解投标人须知的所有条款。</w:t>
      </w:r>
    </w:p>
    <w:p w14:paraId="3BC9EDB6">
      <w:pPr>
        <w:shd w:val="clear"/>
        <w:spacing w:line="360" w:lineRule="auto"/>
        <w:ind w:firstLine="420" w:firstLineChars="200"/>
        <w:rPr>
          <w:rFonts w:hint="eastAsia" w:ascii="宋体" w:hAnsi="宋体" w:eastAsia="宋体" w:cs="宋体"/>
        </w:rPr>
      </w:pPr>
      <w:r>
        <w:rPr>
          <w:rFonts w:hint="eastAsia" w:ascii="宋体" w:hAnsi="宋体" w:eastAsia="宋体" w:cs="宋体"/>
        </w:rPr>
        <w:t>6.完全理解贵方“最低报价不能作为中标的保证”的规定。</w:t>
      </w:r>
    </w:p>
    <w:p w14:paraId="770E8E4F">
      <w:pPr>
        <w:shd w:val="clear"/>
        <w:spacing w:line="360" w:lineRule="auto"/>
        <w:ind w:firstLine="420" w:firstLineChars="200"/>
        <w:rPr>
          <w:rFonts w:hint="eastAsia" w:ascii="宋体" w:hAnsi="宋体" w:eastAsia="宋体" w:cs="宋体"/>
        </w:rPr>
      </w:pPr>
      <w:r>
        <w:rPr>
          <w:rFonts w:hint="eastAsia" w:ascii="宋体" w:hAnsi="宋体" w:eastAsia="宋体" w:cs="宋体"/>
        </w:rPr>
        <w:t>7.接受招标文件中全部合同条款，且无任何异议；保证忠实地执行双方所签订的合同，并承担合同规定的责任和义务。</w:t>
      </w:r>
    </w:p>
    <w:p w14:paraId="52D0597F">
      <w:pPr>
        <w:shd w:val="clear"/>
        <w:spacing w:line="360" w:lineRule="auto"/>
        <w:ind w:firstLine="420" w:firstLineChars="200"/>
        <w:rPr>
          <w:rFonts w:hint="eastAsia" w:ascii="宋体" w:hAnsi="宋体" w:eastAsia="宋体" w:cs="宋体"/>
        </w:rPr>
      </w:pPr>
      <w:r>
        <w:rPr>
          <w:rFonts w:hint="eastAsia" w:ascii="宋体" w:hAnsi="宋体" w:eastAsia="宋体" w:cs="宋体"/>
        </w:rPr>
        <w:t>8.完全满足和响应招标文件中的各项商务和技术要求，若有偏差，已在投标文件中明确说明。</w:t>
      </w:r>
    </w:p>
    <w:p w14:paraId="4CD2FFEE">
      <w:pPr>
        <w:shd w:val="clear"/>
        <w:spacing w:line="360" w:lineRule="auto"/>
        <w:ind w:firstLine="420" w:firstLineChars="200"/>
        <w:rPr>
          <w:rFonts w:hint="eastAsia" w:ascii="宋体" w:hAnsi="宋体" w:eastAsia="宋体" w:cs="宋体"/>
        </w:rPr>
      </w:pPr>
      <w:r>
        <w:rPr>
          <w:rFonts w:hint="eastAsia" w:ascii="宋体" w:hAnsi="宋体" w:eastAsia="宋体" w:cs="宋体"/>
        </w:rPr>
        <w:t>9.愿意提供任何与投标有关的数据、情况和技术资料等。若贵方需要，愿意提供一切证明材料。</w:t>
      </w:r>
    </w:p>
    <w:p w14:paraId="613C2BEB">
      <w:pPr>
        <w:shd w:val="clear"/>
        <w:spacing w:line="360" w:lineRule="auto"/>
        <w:ind w:firstLine="420" w:firstLineChars="200"/>
        <w:rPr>
          <w:rFonts w:hint="eastAsia" w:ascii="宋体" w:hAnsi="宋体" w:eastAsia="宋体" w:cs="宋体"/>
        </w:rPr>
      </w:pPr>
      <w:r>
        <w:rPr>
          <w:rFonts w:hint="eastAsia" w:ascii="宋体" w:hAnsi="宋体" w:eastAsia="宋体" w:cs="宋体"/>
        </w:rPr>
        <w:t>10.我方已详细审核全部投标文件、参考资料及有关附件，确认无误。</w:t>
      </w:r>
    </w:p>
    <w:p w14:paraId="4C8954C0">
      <w:pPr>
        <w:shd w:val="clear"/>
        <w:spacing w:line="360" w:lineRule="auto"/>
        <w:ind w:firstLine="420" w:firstLineChars="200"/>
        <w:rPr>
          <w:rFonts w:hint="eastAsia" w:ascii="宋体" w:hAnsi="宋体" w:eastAsia="宋体" w:cs="宋体"/>
        </w:rPr>
      </w:pPr>
      <w:r>
        <w:rPr>
          <w:rFonts w:hint="eastAsia" w:ascii="宋体" w:hAnsi="宋体" w:eastAsia="宋体" w:cs="宋体"/>
        </w:rPr>
        <w:t>11.对本次招标内容及与本项目有关的知识产权、技术资料、商业秘密及相关信息保密。</w:t>
      </w:r>
    </w:p>
    <w:p w14:paraId="39354F00">
      <w:pPr>
        <w:shd w:val="clear"/>
        <w:spacing w:line="360" w:lineRule="auto"/>
        <w:ind w:firstLine="420" w:firstLineChars="200"/>
        <w:rPr>
          <w:rFonts w:hint="eastAsia" w:ascii="宋体" w:hAnsi="宋体" w:eastAsia="宋体" w:cs="宋体"/>
        </w:rPr>
      </w:pPr>
    </w:p>
    <w:p w14:paraId="0485BEA4">
      <w:pPr>
        <w:shd w:val="clear"/>
        <w:spacing w:line="360" w:lineRule="auto"/>
        <w:ind w:firstLine="420" w:firstLineChars="200"/>
        <w:rPr>
          <w:rFonts w:hint="eastAsia" w:ascii="宋体" w:hAnsi="宋体" w:eastAsia="宋体" w:cs="宋体"/>
        </w:rPr>
      </w:pPr>
      <w:r>
        <w:rPr>
          <w:rFonts w:hint="eastAsia" w:ascii="宋体" w:hAnsi="宋体" w:eastAsia="宋体" w:cs="宋体"/>
        </w:rPr>
        <w:t>投标人名称（公章）：____________</w:t>
      </w:r>
    </w:p>
    <w:p w14:paraId="2BABFDA8">
      <w:pPr>
        <w:shd w:val="clear"/>
        <w:spacing w:line="360" w:lineRule="auto"/>
        <w:ind w:firstLine="420" w:firstLineChars="200"/>
        <w:rPr>
          <w:rFonts w:hint="eastAsia" w:ascii="宋体" w:hAnsi="宋体" w:eastAsia="宋体" w:cs="宋体"/>
        </w:rPr>
      </w:pPr>
      <w:r>
        <w:rPr>
          <w:rFonts w:hint="eastAsia" w:ascii="宋体" w:hAnsi="宋体" w:eastAsia="宋体" w:cs="宋体"/>
        </w:rPr>
        <w:t>法定代表人（签字或签章）/被授权投标代表（签字）：____________</w:t>
      </w:r>
    </w:p>
    <w:p w14:paraId="19226A53">
      <w:pPr>
        <w:shd w:val="clear"/>
        <w:spacing w:line="360" w:lineRule="auto"/>
        <w:ind w:firstLine="420" w:firstLineChars="200"/>
        <w:rPr>
          <w:rFonts w:hint="eastAsia" w:ascii="宋体" w:hAnsi="宋体" w:eastAsia="宋体" w:cs="宋体"/>
        </w:rPr>
      </w:pPr>
      <w:r>
        <w:rPr>
          <w:rFonts w:hint="eastAsia" w:ascii="宋体" w:hAnsi="宋体" w:eastAsia="宋体" w:cs="宋体"/>
        </w:rPr>
        <w:t>投标人地址：____________</w:t>
      </w:r>
    </w:p>
    <w:p w14:paraId="0308C970">
      <w:pPr>
        <w:shd w:val="clear"/>
        <w:spacing w:line="360" w:lineRule="auto"/>
        <w:ind w:firstLine="420" w:firstLineChars="200"/>
        <w:rPr>
          <w:rFonts w:hint="eastAsia" w:ascii="宋体" w:hAnsi="宋体" w:eastAsia="宋体" w:cs="宋体"/>
        </w:rPr>
      </w:pPr>
      <w:r>
        <w:rPr>
          <w:rFonts w:hint="eastAsia" w:ascii="宋体" w:hAnsi="宋体" w:eastAsia="宋体" w:cs="宋体"/>
        </w:rPr>
        <w:t>邮编：____________</w:t>
      </w:r>
    </w:p>
    <w:p w14:paraId="38AFC98E">
      <w:pPr>
        <w:shd w:val="clear"/>
        <w:spacing w:line="360" w:lineRule="auto"/>
        <w:ind w:firstLine="420" w:firstLineChars="200"/>
        <w:rPr>
          <w:rFonts w:hint="eastAsia" w:ascii="宋体" w:hAnsi="宋体" w:eastAsia="宋体" w:cs="宋体"/>
        </w:rPr>
      </w:pPr>
      <w:r>
        <w:rPr>
          <w:rFonts w:hint="eastAsia" w:ascii="宋体" w:hAnsi="宋体" w:eastAsia="宋体" w:cs="宋体"/>
        </w:rPr>
        <w:t>电话：____________</w:t>
      </w:r>
    </w:p>
    <w:p w14:paraId="650152B7">
      <w:pPr>
        <w:shd w:val="clear"/>
        <w:spacing w:line="360" w:lineRule="auto"/>
        <w:ind w:firstLine="420" w:firstLineChars="200"/>
        <w:rPr>
          <w:rFonts w:hint="eastAsia" w:ascii="宋体" w:hAnsi="宋体" w:eastAsia="宋体" w:cs="宋体"/>
        </w:rPr>
      </w:pPr>
      <w:r>
        <w:rPr>
          <w:rFonts w:hint="eastAsia" w:ascii="宋体" w:hAnsi="宋体" w:eastAsia="宋体" w:cs="宋体"/>
        </w:rPr>
        <w:t>传真：____________</w:t>
      </w:r>
    </w:p>
    <w:p w14:paraId="2E504419">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日  期：____________          </w:t>
      </w:r>
    </w:p>
    <w:p w14:paraId="4FA66A72">
      <w:pPr>
        <w:shd w:val="clear"/>
        <w:spacing w:line="360" w:lineRule="auto"/>
        <w:ind w:firstLine="420" w:firstLineChars="200"/>
        <w:rPr>
          <w:rFonts w:hint="eastAsia" w:ascii="宋体" w:hAnsi="宋体" w:eastAsia="宋体" w:cs="宋体"/>
        </w:rPr>
      </w:pPr>
    </w:p>
    <w:p w14:paraId="473F69FD">
      <w:pPr>
        <w:shd w:val="clear"/>
        <w:ind w:firstLine="480" w:firstLineChars="200"/>
        <w:rPr>
          <w:rFonts w:hint="eastAsia" w:ascii="宋体" w:hAnsi="宋体" w:eastAsia="宋体" w:cs="宋体"/>
          <w:sz w:val="24"/>
        </w:rPr>
      </w:pPr>
    </w:p>
    <w:p w14:paraId="6ACEDBA1">
      <w:pPr>
        <w:shd w:val="clear"/>
        <w:adjustRightInd w:val="0"/>
        <w:snapToGrid w:val="0"/>
        <w:spacing w:line="360" w:lineRule="auto"/>
        <w:rPr>
          <w:rFonts w:hint="eastAsia" w:ascii="宋体" w:hAnsi="宋体" w:eastAsia="宋体" w:cs="宋体"/>
        </w:rPr>
      </w:pPr>
      <w:r>
        <w:rPr>
          <w:rFonts w:hint="eastAsia" w:ascii="宋体" w:hAnsi="宋体" w:eastAsia="宋体" w:cs="宋体"/>
        </w:rPr>
        <w:t>特别说明：</w:t>
      </w:r>
    </w:p>
    <w:p w14:paraId="7F5A6F63">
      <w:pPr>
        <w:shd w:val="clea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投标人应当按上述格式要求加盖与投标人名称全称一致的标准公章，并签署法定代表人或</w:t>
      </w:r>
      <w:r>
        <w:rPr>
          <w:rFonts w:hint="eastAsia" w:ascii="宋体" w:hAnsi="宋体" w:eastAsia="宋体" w:cs="宋体"/>
          <w:bCs/>
          <w:szCs w:val="21"/>
        </w:rPr>
        <w:t>被授权投标代表</w:t>
      </w:r>
      <w:r>
        <w:rPr>
          <w:rFonts w:hint="eastAsia" w:ascii="宋体" w:hAnsi="宋体" w:eastAsia="宋体" w:cs="宋体"/>
          <w:szCs w:val="21"/>
        </w:rPr>
        <w:t>的全名或加盖名章，线上采购项目应上传扫描件。</w:t>
      </w:r>
    </w:p>
    <w:p w14:paraId="1A479C29">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br w:type="page"/>
      </w:r>
      <w:bookmarkStart w:id="35" w:name="_Toc18153"/>
      <w:bookmarkStart w:id="36" w:name="_Toc8860"/>
      <w:r>
        <w:rPr>
          <w:rFonts w:hint="eastAsia" w:ascii="宋体" w:hAnsi="宋体" w:eastAsia="宋体" w:cs="宋体"/>
          <w:b/>
          <w:bCs/>
          <w:sz w:val="28"/>
          <w:szCs w:val="28"/>
        </w:rPr>
        <w:t>格式3  投标报价表</w:t>
      </w:r>
    </w:p>
    <w:bookmarkEnd w:id="35"/>
    <w:bookmarkEnd w:id="36"/>
    <w:p w14:paraId="759C822A">
      <w:pPr>
        <w:shd w:val="clear"/>
        <w:tabs>
          <w:tab w:val="left" w:pos="1230"/>
        </w:tabs>
        <w:topLinePunct/>
        <w:autoSpaceDE w:val="0"/>
        <w:autoSpaceDN w:val="0"/>
        <w:adjustRightInd w:val="0"/>
        <w:snapToGrid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1.开标一览表（总报价表）</w:t>
      </w:r>
    </w:p>
    <w:p w14:paraId="2248E420">
      <w:pPr>
        <w:pStyle w:val="21"/>
        <w:shd w:val="clear"/>
        <w:topLinePunct/>
        <w:autoSpaceDE w:val="0"/>
        <w:autoSpaceDN w:val="0"/>
        <w:adjustRightInd w:val="0"/>
        <w:snapToGrid w:val="0"/>
        <w:spacing w:line="360" w:lineRule="auto"/>
        <w:ind w:left="2"/>
        <w:jc w:val="center"/>
        <w:rPr>
          <w:rFonts w:hint="eastAsia" w:hAnsi="宋体" w:cs="宋体"/>
        </w:rPr>
      </w:pPr>
      <w:r>
        <w:rPr>
          <w:rFonts w:hint="eastAsia" w:hAnsi="宋体" w:cs="宋体"/>
        </w:rPr>
        <w:t>(服务类项目适用)</w:t>
      </w:r>
    </w:p>
    <w:p w14:paraId="305716DA">
      <w:pPr>
        <w:shd w:val="clear"/>
        <w:topLinePunct/>
        <w:autoSpaceDE w:val="0"/>
        <w:autoSpaceDN w:val="0"/>
        <w:adjustRightInd w:val="0"/>
        <w:snapToGrid w:val="0"/>
        <w:spacing w:line="360" w:lineRule="auto"/>
        <w:jc w:val="left"/>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w:t>
      </w:r>
    </w:p>
    <w:p w14:paraId="4C0E3817">
      <w:pPr>
        <w:shd w:val="clear"/>
        <w:adjustRightInd w:val="0"/>
        <w:snapToGrid w:val="0"/>
        <w:spacing w:line="360" w:lineRule="auto"/>
        <w:ind w:right="840"/>
        <w:rPr>
          <w:rFonts w:hint="eastAsia" w:ascii="宋体" w:hAnsi="宋体" w:eastAsia="宋体" w:cs="宋体"/>
          <w:bCs/>
          <w:w w:val="150"/>
          <w:szCs w:val="21"/>
        </w:rPr>
      </w:pPr>
      <w:r>
        <w:rPr>
          <w:rFonts w:hint="eastAsia" w:ascii="宋体" w:hAnsi="宋体" w:eastAsia="宋体" w:cs="宋体"/>
        </w:rPr>
        <w:t>采购包号：</w:t>
      </w:r>
      <w:r>
        <w:rPr>
          <w:rFonts w:hint="eastAsia" w:ascii="宋体" w:hAnsi="宋体" w:eastAsia="宋体" w:cs="宋体"/>
          <w:u w:val="single"/>
        </w:rPr>
        <w:t xml:space="preserve">         </w:t>
      </w:r>
      <w:r>
        <w:rPr>
          <w:rFonts w:hint="eastAsia" w:ascii="宋体" w:hAnsi="宋体" w:eastAsia="宋体" w:cs="宋体"/>
        </w:rPr>
        <w:t xml:space="preserve">                                  </w:t>
      </w:r>
    </w:p>
    <w:tbl>
      <w:tblPr>
        <w:tblStyle w:val="32"/>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5874"/>
        <w:gridCol w:w="2553"/>
      </w:tblGrid>
      <w:tr w14:paraId="4F1E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05" w:type="dxa"/>
            <w:noWrap/>
            <w:vAlign w:val="center"/>
          </w:tcPr>
          <w:p w14:paraId="45910EFD">
            <w:pPr>
              <w:shd w:val="clear"/>
              <w:adjustRightInd w:val="0"/>
              <w:snapToGrid w:val="0"/>
              <w:spacing w:before="62" w:beforeLines="20" w:after="62" w:afterLines="20"/>
              <w:jc w:val="center"/>
              <w:rPr>
                <w:rFonts w:hint="eastAsia" w:ascii="宋体" w:hAnsi="宋体" w:eastAsia="宋体" w:cs="宋体"/>
                <w:b/>
                <w:szCs w:val="21"/>
              </w:rPr>
            </w:pPr>
            <w:r>
              <w:rPr>
                <w:rFonts w:hint="eastAsia" w:ascii="宋体" w:hAnsi="宋体" w:eastAsia="宋体" w:cs="宋体"/>
                <w:b/>
                <w:szCs w:val="21"/>
              </w:rPr>
              <w:t>序号</w:t>
            </w:r>
          </w:p>
        </w:tc>
        <w:tc>
          <w:tcPr>
            <w:tcW w:w="5874" w:type="dxa"/>
            <w:noWrap/>
            <w:vAlign w:val="center"/>
          </w:tcPr>
          <w:p w14:paraId="5681355C">
            <w:pPr>
              <w:shd w:val="clear"/>
              <w:adjustRightInd w:val="0"/>
              <w:snapToGrid w:val="0"/>
              <w:spacing w:before="62" w:beforeLines="20" w:after="62" w:afterLines="20"/>
              <w:jc w:val="center"/>
              <w:rPr>
                <w:rFonts w:hint="eastAsia" w:ascii="宋体" w:hAnsi="宋体" w:eastAsia="宋体" w:cs="宋体"/>
                <w:b/>
                <w:szCs w:val="21"/>
              </w:rPr>
            </w:pPr>
            <w:r>
              <w:rPr>
                <w:rFonts w:hint="eastAsia" w:ascii="宋体" w:hAnsi="宋体" w:eastAsia="宋体" w:cs="宋体"/>
                <w:b/>
                <w:szCs w:val="21"/>
              </w:rPr>
              <w:t>内容</w:t>
            </w:r>
          </w:p>
        </w:tc>
        <w:tc>
          <w:tcPr>
            <w:tcW w:w="2553" w:type="dxa"/>
            <w:noWrap/>
            <w:vAlign w:val="center"/>
          </w:tcPr>
          <w:p w14:paraId="7182CF5D">
            <w:pPr>
              <w:shd w:val="clear"/>
              <w:adjustRightInd w:val="0"/>
              <w:snapToGrid w:val="0"/>
              <w:spacing w:before="62" w:beforeLines="20" w:after="62" w:afterLines="20"/>
              <w:jc w:val="center"/>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 w:eastAsia="de-DE"/>
              </w:rPr>
              <w:t>投标</w:t>
            </w:r>
            <w:r>
              <w:rPr>
                <w:rFonts w:hint="eastAsia" w:ascii="宋体" w:hAnsi="宋体" w:eastAsia="宋体" w:cs="宋体"/>
                <w:b/>
                <w:szCs w:val="21"/>
                <w:lang w:val="en"/>
              </w:rPr>
              <w:t>结算系数</w:t>
            </w:r>
            <w:r>
              <w:rPr>
                <w:rFonts w:hint="eastAsia" w:ascii="宋体" w:hAnsi="宋体" w:eastAsia="宋体" w:cs="宋体"/>
                <w:b/>
                <w:szCs w:val="21"/>
              </w:rPr>
              <w:t>）</w:t>
            </w:r>
          </w:p>
        </w:tc>
      </w:tr>
      <w:tr w14:paraId="6592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05" w:type="dxa"/>
            <w:noWrap/>
            <w:vAlign w:val="center"/>
          </w:tcPr>
          <w:p w14:paraId="2A1805D4">
            <w:pPr>
              <w:shd w:val="clear"/>
              <w:adjustRightInd w:val="0"/>
              <w:snapToGrid w:val="0"/>
              <w:spacing w:before="62" w:beforeLines="20" w:after="62" w:afterLines="20"/>
              <w:jc w:val="center"/>
              <w:rPr>
                <w:rFonts w:hint="eastAsia" w:ascii="宋体" w:hAnsi="宋体" w:eastAsia="宋体" w:cs="宋体"/>
                <w:b/>
                <w:szCs w:val="21"/>
              </w:rPr>
            </w:pPr>
            <w:r>
              <w:rPr>
                <w:rFonts w:hint="eastAsia" w:ascii="宋体" w:hAnsi="宋体" w:eastAsia="宋体" w:cs="宋体"/>
                <w:szCs w:val="21"/>
              </w:rPr>
              <w:t>1</w:t>
            </w:r>
          </w:p>
        </w:tc>
        <w:tc>
          <w:tcPr>
            <w:tcW w:w="5874" w:type="dxa"/>
            <w:noWrap/>
            <w:vAlign w:val="center"/>
          </w:tcPr>
          <w:p w14:paraId="7B115D18">
            <w:pPr>
              <w:shd w:val="clear"/>
              <w:adjustRightInd w:val="0"/>
              <w:snapToGrid w:val="0"/>
              <w:spacing w:line="360" w:lineRule="auto"/>
              <w:jc w:val="center"/>
              <w:rPr>
                <w:rFonts w:hint="eastAsia" w:ascii="宋体" w:hAnsi="宋体" w:eastAsia="宋体" w:cs="宋体"/>
                <w:szCs w:val="21"/>
              </w:rPr>
            </w:pPr>
          </w:p>
        </w:tc>
        <w:tc>
          <w:tcPr>
            <w:tcW w:w="2553" w:type="dxa"/>
            <w:noWrap/>
            <w:vAlign w:val="center"/>
          </w:tcPr>
          <w:p w14:paraId="08785AF8">
            <w:pPr>
              <w:shd w:val="clear"/>
              <w:adjustRightInd w:val="0"/>
              <w:snapToGrid w:val="0"/>
              <w:spacing w:before="62" w:beforeLines="20" w:after="62" w:afterLines="20"/>
              <w:jc w:val="center"/>
              <w:rPr>
                <w:rFonts w:hint="eastAsia" w:ascii="宋体" w:hAnsi="宋体" w:eastAsia="宋体" w:cs="宋体"/>
                <w:b/>
                <w:szCs w:val="21"/>
              </w:rPr>
            </w:pPr>
          </w:p>
        </w:tc>
      </w:tr>
      <w:tr w14:paraId="0B75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05" w:type="dxa"/>
            <w:noWrap/>
            <w:vAlign w:val="center"/>
          </w:tcPr>
          <w:p w14:paraId="3F35DDF8">
            <w:pPr>
              <w:shd w:val="clear"/>
              <w:adjustRightInd w:val="0"/>
              <w:snapToGrid w:val="0"/>
              <w:spacing w:before="62" w:beforeLines="20" w:after="62" w:afterLines="20"/>
              <w:jc w:val="center"/>
              <w:rPr>
                <w:rFonts w:hint="eastAsia" w:ascii="宋体" w:hAnsi="宋体" w:eastAsia="宋体" w:cs="宋体"/>
                <w:szCs w:val="21"/>
              </w:rPr>
            </w:pPr>
            <w:r>
              <w:rPr>
                <w:rFonts w:hint="eastAsia" w:ascii="宋体" w:hAnsi="宋体" w:eastAsia="宋体" w:cs="宋体"/>
                <w:szCs w:val="21"/>
              </w:rPr>
              <w:t>2</w:t>
            </w:r>
          </w:p>
        </w:tc>
        <w:tc>
          <w:tcPr>
            <w:tcW w:w="5874" w:type="dxa"/>
            <w:noWrap/>
            <w:vAlign w:val="center"/>
          </w:tcPr>
          <w:p w14:paraId="043318A5">
            <w:pPr>
              <w:shd w:val="clear"/>
              <w:spacing w:line="460" w:lineRule="exact"/>
              <w:jc w:val="left"/>
              <w:rPr>
                <w:rFonts w:hint="eastAsia" w:ascii="宋体" w:hAnsi="宋体" w:eastAsia="宋体" w:cs="宋体"/>
                <w:szCs w:val="21"/>
              </w:rPr>
            </w:pPr>
          </w:p>
        </w:tc>
        <w:tc>
          <w:tcPr>
            <w:tcW w:w="2553" w:type="dxa"/>
            <w:noWrap/>
            <w:vAlign w:val="center"/>
          </w:tcPr>
          <w:p w14:paraId="454F5BAF">
            <w:pPr>
              <w:shd w:val="clear"/>
              <w:adjustRightInd w:val="0"/>
              <w:snapToGrid w:val="0"/>
              <w:spacing w:before="62" w:beforeLines="20" w:after="62" w:afterLines="20"/>
              <w:jc w:val="center"/>
              <w:rPr>
                <w:rFonts w:hint="eastAsia" w:ascii="宋体" w:hAnsi="宋体" w:eastAsia="宋体" w:cs="宋体"/>
                <w:szCs w:val="21"/>
              </w:rPr>
            </w:pPr>
          </w:p>
        </w:tc>
      </w:tr>
      <w:tr w14:paraId="45D9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05" w:type="dxa"/>
            <w:noWrap/>
            <w:vAlign w:val="center"/>
          </w:tcPr>
          <w:p w14:paraId="4433D447">
            <w:pPr>
              <w:shd w:val="clear"/>
              <w:adjustRightInd w:val="0"/>
              <w:snapToGrid w:val="0"/>
              <w:spacing w:before="62" w:beforeLines="20" w:after="62" w:afterLines="20"/>
              <w:jc w:val="center"/>
              <w:rPr>
                <w:rFonts w:hint="eastAsia" w:ascii="宋体" w:hAnsi="宋体" w:eastAsia="宋体" w:cs="宋体"/>
                <w:szCs w:val="21"/>
              </w:rPr>
            </w:pPr>
            <w:r>
              <w:rPr>
                <w:rFonts w:hint="eastAsia" w:ascii="宋体" w:hAnsi="宋体" w:eastAsia="宋体" w:cs="宋体"/>
                <w:szCs w:val="21"/>
              </w:rPr>
              <w:t>3</w:t>
            </w:r>
          </w:p>
        </w:tc>
        <w:tc>
          <w:tcPr>
            <w:tcW w:w="5874" w:type="dxa"/>
            <w:noWrap/>
            <w:vAlign w:val="center"/>
          </w:tcPr>
          <w:p w14:paraId="1654DE77">
            <w:pPr>
              <w:shd w:val="clear"/>
              <w:spacing w:line="460" w:lineRule="exact"/>
              <w:jc w:val="left"/>
              <w:rPr>
                <w:rFonts w:hint="eastAsia" w:ascii="宋体" w:hAnsi="宋体" w:eastAsia="宋体" w:cs="宋体"/>
                <w:szCs w:val="21"/>
              </w:rPr>
            </w:pPr>
          </w:p>
        </w:tc>
        <w:tc>
          <w:tcPr>
            <w:tcW w:w="2553" w:type="dxa"/>
            <w:noWrap/>
            <w:vAlign w:val="center"/>
          </w:tcPr>
          <w:p w14:paraId="53D82BF7">
            <w:pPr>
              <w:shd w:val="clear"/>
              <w:adjustRightInd w:val="0"/>
              <w:snapToGrid w:val="0"/>
              <w:spacing w:before="62" w:beforeLines="20" w:after="62" w:afterLines="20"/>
              <w:jc w:val="center"/>
              <w:rPr>
                <w:rFonts w:hint="eastAsia" w:ascii="宋体" w:hAnsi="宋体" w:eastAsia="宋体" w:cs="宋体"/>
                <w:szCs w:val="21"/>
              </w:rPr>
            </w:pPr>
          </w:p>
        </w:tc>
      </w:tr>
      <w:tr w14:paraId="41F0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2"/>
            <w:noWrap/>
            <w:vAlign w:val="center"/>
          </w:tcPr>
          <w:p w14:paraId="01B230FD">
            <w:pPr>
              <w:shd w:val="clear"/>
              <w:adjustRightInd w:val="0"/>
              <w:snapToGrid w:val="0"/>
              <w:spacing w:before="62" w:beforeLines="20" w:after="62" w:afterLines="20"/>
              <w:jc w:val="center"/>
              <w:rPr>
                <w:rFonts w:hint="eastAsia" w:ascii="宋体" w:hAnsi="宋体" w:eastAsia="宋体" w:cs="宋体"/>
                <w:szCs w:val="21"/>
              </w:rPr>
            </w:pPr>
            <w:r>
              <w:rPr>
                <w:rFonts w:hint="eastAsia" w:ascii="宋体" w:hAnsi="宋体" w:eastAsia="宋体" w:cs="宋体"/>
                <w:szCs w:val="21"/>
              </w:rPr>
              <w:t>服务期</w:t>
            </w:r>
          </w:p>
        </w:tc>
        <w:tc>
          <w:tcPr>
            <w:tcW w:w="2553" w:type="dxa"/>
            <w:noWrap/>
            <w:vAlign w:val="center"/>
          </w:tcPr>
          <w:p w14:paraId="461AEB28">
            <w:pPr>
              <w:shd w:val="clear"/>
              <w:adjustRightInd w:val="0"/>
              <w:snapToGrid w:val="0"/>
              <w:spacing w:before="62" w:beforeLines="20" w:after="62" w:afterLines="20"/>
              <w:jc w:val="center"/>
              <w:rPr>
                <w:rFonts w:hint="eastAsia" w:ascii="宋体" w:hAnsi="宋体" w:eastAsia="宋体" w:cs="宋体"/>
                <w:szCs w:val="21"/>
              </w:rPr>
            </w:pPr>
          </w:p>
        </w:tc>
      </w:tr>
      <w:tr w14:paraId="6D96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2"/>
            <w:noWrap/>
            <w:vAlign w:val="center"/>
          </w:tcPr>
          <w:p w14:paraId="2323044C">
            <w:pPr>
              <w:shd w:val="clear"/>
              <w:adjustRightInd w:val="0"/>
              <w:snapToGrid w:val="0"/>
              <w:spacing w:before="62" w:beforeLines="20" w:after="62" w:afterLines="20"/>
              <w:jc w:val="center"/>
              <w:rPr>
                <w:rFonts w:hint="eastAsia" w:ascii="宋体" w:hAnsi="宋体" w:eastAsia="宋体" w:cs="宋体"/>
                <w:szCs w:val="21"/>
              </w:rPr>
            </w:pPr>
            <w:r>
              <w:rPr>
                <w:rFonts w:hint="eastAsia" w:ascii="宋体" w:hAnsi="宋体" w:eastAsia="宋体" w:cs="宋体"/>
                <w:szCs w:val="21"/>
              </w:rPr>
              <w:t>…</w:t>
            </w:r>
          </w:p>
        </w:tc>
        <w:tc>
          <w:tcPr>
            <w:tcW w:w="2553" w:type="dxa"/>
            <w:noWrap/>
            <w:vAlign w:val="center"/>
          </w:tcPr>
          <w:p w14:paraId="55DF1764">
            <w:pPr>
              <w:shd w:val="clear"/>
              <w:adjustRightInd w:val="0"/>
              <w:snapToGrid w:val="0"/>
              <w:spacing w:before="62" w:beforeLines="20" w:after="62" w:afterLines="20"/>
              <w:jc w:val="center"/>
              <w:rPr>
                <w:rFonts w:hint="eastAsia" w:ascii="宋体" w:hAnsi="宋体" w:eastAsia="宋体" w:cs="宋体"/>
                <w:szCs w:val="21"/>
              </w:rPr>
            </w:pPr>
          </w:p>
        </w:tc>
      </w:tr>
    </w:tbl>
    <w:p w14:paraId="16414238">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47BF055E">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1.本项目总价及分项报价均不接受任何形式的赠送、“零”报价。</w:t>
      </w:r>
    </w:p>
    <w:p w14:paraId="73043FFB">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2.本项目执行中所发生的所有费用均计入投标报价中，采购人不再另行支付其他任何费用。</w:t>
      </w:r>
    </w:p>
    <w:p w14:paraId="6EFE28A8">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3.投标人应根据《招标文件-技术部分》相关要求填报。</w:t>
      </w:r>
    </w:p>
    <w:p w14:paraId="1263CCB6">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4.如报价不一致，按照投标人须知“19.核价原则”进行修正。</w:t>
      </w:r>
    </w:p>
    <w:p w14:paraId="322468C2">
      <w:pPr>
        <w:shd w:val="clear"/>
        <w:topLinePunct/>
        <w:autoSpaceDE w:val="0"/>
        <w:autoSpaceDN w:val="0"/>
        <w:adjustRightInd w:val="0"/>
        <w:snapToGrid w:val="0"/>
        <w:spacing w:line="360" w:lineRule="auto"/>
        <w:ind w:firstLine="525" w:firstLineChars="250"/>
        <w:jc w:val="left"/>
        <w:rPr>
          <w:rFonts w:hint="eastAsia" w:ascii="宋体" w:hAnsi="宋体" w:eastAsia="宋体" w:cs="宋体"/>
        </w:rPr>
      </w:pPr>
    </w:p>
    <w:p w14:paraId="19EFA904">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14:paraId="6DA9C205">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568AB0B8">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72135E51">
      <w:pPr>
        <w:widowControl/>
        <w:shd w:val="clear"/>
        <w:jc w:val="center"/>
        <w:rPr>
          <w:rFonts w:hint="eastAsia" w:ascii="宋体" w:hAnsi="宋体" w:eastAsia="宋体" w:cs="宋体"/>
          <w:b/>
          <w:sz w:val="28"/>
        </w:rPr>
      </w:pPr>
      <w:r>
        <w:rPr>
          <w:rFonts w:hint="eastAsia" w:ascii="宋体" w:hAnsi="宋体" w:eastAsia="宋体" w:cs="宋体"/>
          <w:szCs w:val="21"/>
        </w:rPr>
        <w:br w:type="page"/>
      </w:r>
      <w:r>
        <w:rPr>
          <w:rFonts w:hint="eastAsia" w:ascii="宋体" w:hAnsi="宋体" w:eastAsia="宋体" w:cs="宋体"/>
          <w:b/>
          <w:sz w:val="28"/>
        </w:rPr>
        <w:t>2.分项报价表</w:t>
      </w:r>
    </w:p>
    <w:p w14:paraId="2AF241C8">
      <w:pPr>
        <w:pStyle w:val="21"/>
        <w:shd w:val="clear"/>
        <w:topLinePunct/>
        <w:autoSpaceDE w:val="0"/>
        <w:autoSpaceDN w:val="0"/>
        <w:adjustRightInd w:val="0"/>
        <w:snapToGrid w:val="0"/>
        <w:spacing w:line="360" w:lineRule="auto"/>
        <w:ind w:left="2"/>
        <w:jc w:val="center"/>
        <w:rPr>
          <w:rFonts w:hint="eastAsia" w:hAnsi="宋体" w:cs="宋体"/>
          <w:b/>
          <w:bCs/>
        </w:rPr>
      </w:pPr>
      <w:r>
        <w:rPr>
          <w:rFonts w:hint="eastAsia" w:hAnsi="宋体" w:cs="宋体"/>
        </w:rPr>
        <w:t>（服务类项目适用)</w:t>
      </w:r>
    </w:p>
    <w:p w14:paraId="7743A16E">
      <w:pPr>
        <w:shd w:val="clear"/>
        <w:topLinePunct/>
        <w:autoSpaceDE w:val="0"/>
        <w:autoSpaceDN w:val="0"/>
        <w:adjustRightInd w:val="0"/>
        <w:snapToGrid w:val="0"/>
        <w:spacing w:line="360" w:lineRule="auto"/>
        <w:jc w:val="left"/>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w:t>
      </w:r>
    </w:p>
    <w:p w14:paraId="7D1FD093">
      <w:pPr>
        <w:shd w:val="clear"/>
        <w:adjustRightInd w:val="0"/>
        <w:snapToGrid w:val="0"/>
        <w:spacing w:line="360" w:lineRule="auto"/>
        <w:ind w:right="840"/>
        <w:rPr>
          <w:rFonts w:hint="eastAsia" w:ascii="宋体" w:hAnsi="宋体" w:eastAsia="宋体" w:cs="宋体"/>
          <w:bCs/>
          <w:w w:val="150"/>
          <w:szCs w:val="21"/>
        </w:rPr>
      </w:pPr>
      <w:r>
        <w:rPr>
          <w:rFonts w:hint="eastAsia" w:ascii="宋体" w:hAnsi="宋体" w:eastAsia="宋体" w:cs="宋体"/>
        </w:rPr>
        <w:t>采购包号：</w:t>
      </w:r>
      <w:r>
        <w:rPr>
          <w:rFonts w:hint="eastAsia" w:ascii="宋体" w:hAnsi="宋体" w:eastAsia="宋体" w:cs="宋体"/>
          <w:u w:val="single"/>
        </w:rPr>
        <w:t xml:space="preserve">         </w:t>
      </w:r>
      <w:r>
        <w:rPr>
          <w:rFonts w:hint="eastAsia" w:ascii="宋体" w:hAnsi="宋体" w:eastAsia="宋体" w:cs="宋体"/>
        </w:rPr>
        <w:t xml:space="preserve">                                     价格单位：人民币   元</w:t>
      </w:r>
    </w:p>
    <w:tbl>
      <w:tblPr>
        <w:tblStyle w:val="32"/>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14:paraId="4A84CAF5">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8671F69">
            <w:pPr>
              <w:widowControl/>
              <w:shd w:val="clear"/>
              <w:jc w:val="center"/>
              <w:rPr>
                <w:rFonts w:hint="eastAsia" w:ascii="宋体" w:hAnsi="宋体" w:eastAsia="宋体" w:cs="宋体"/>
                <w:b/>
                <w:szCs w:val="21"/>
              </w:rPr>
            </w:pPr>
            <w:r>
              <w:rPr>
                <w:rFonts w:hint="eastAsia" w:ascii="宋体" w:hAnsi="宋体" w:eastAsia="宋体" w:cs="宋体"/>
                <w:b/>
                <w:szCs w:val="21"/>
              </w:rPr>
              <w:t>序号</w:t>
            </w:r>
          </w:p>
        </w:tc>
        <w:tc>
          <w:tcPr>
            <w:tcW w:w="1692" w:type="dxa"/>
            <w:tcBorders>
              <w:top w:val="single" w:color="auto" w:sz="4" w:space="0"/>
              <w:left w:val="nil"/>
              <w:bottom w:val="single" w:color="auto" w:sz="4" w:space="0"/>
              <w:right w:val="single" w:color="auto" w:sz="4" w:space="0"/>
            </w:tcBorders>
            <w:vAlign w:val="center"/>
          </w:tcPr>
          <w:p w14:paraId="26A50028">
            <w:pPr>
              <w:widowControl/>
              <w:shd w:val="clear"/>
              <w:ind w:left="-84" w:leftChars="-40" w:firstLine="82" w:firstLineChars="39"/>
              <w:jc w:val="center"/>
              <w:rPr>
                <w:rFonts w:hint="eastAsia" w:ascii="宋体" w:hAnsi="宋体" w:eastAsia="宋体" w:cs="宋体"/>
                <w:b/>
                <w:szCs w:val="21"/>
              </w:rPr>
            </w:pPr>
            <w:r>
              <w:rPr>
                <w:rFonts w:hint="eastAsia" w:ascii="宋体" w:hAnsi="宋体" w:eastAsia="宋体" w:cs="宋体"/>
                <w:b/>
                <w:szCs w:val="21"/>
              </w:rPr>
              <w:t>项目名称</w:t>
            </w:r>
          </w:p>
        </w:tc>
        <w:tc>
          <w:tcPr>
            <w:tcW w:w="2332" w:type="dxa"/>
            <w:tcBorders>
              <w:top w:val="single" w:color="auto" w:sz="4" w:space="0"/>
              <w:left w:val="nil"/>
              <w:bottom w:val="single" w:color="auto" w:sz="4" w:space="0"/>
              <w:right w:val="single" w:color="auto" w:sz="4" w:space="0"/>
            </w:tcBorders>
            <w:vAlign w:val="center"/>
          </w:tcPr>
          <w:p w14:paraId="0019C755">
            <w:pPr>
              <w:widowControl/>
              <w:shd w:val="clear"/>
              <w:jc w:val="center"/>
              <w:rPr>
                <w:rFonts w:hint="eastAsia" w:ascii="宋体" w:hAnsi="宋体" w:eastAsia="宋体" w:cs="宋体"/>
                <w:b/>
                <w:szCs w:val="21"/>
              </w:rPr>
            </w:pPr>
            <w:r>
              <w:rPr>
                <w:rFonts w:hint="eastAsia" w:ascii="宋体" w:hAnsi="宋体" w:eastAsia="宋体" w:cs="宋体"/>
                <w:b/>
                <w:szCs w:val="21"/>
              </w:rPr>
              <w:t>内容描述</w:t>
            </w:r>
          </w:p>
        </w:tc>
        <w:tc>
          <w:tcPr>
            <w:tcW w:w="1267" w:type="dxa"/>
            <w:tcBorders>
              <w:top w:val="single" w:color="auto" w:sz="4" w:space="0"/>
              <w:left w:val="single" w:color="auto" w:sz="4" w:space="0"/>
              <w:bottom w:val="single" w:color="auto" w:sz="4" w:space="0"/>
              <w:right w:val="single" w:color="auto" w:sz="4" w:space="0"/>
            </w:tcBorders>
            <w:vAlign w:val="center"/>
          </w:tcPr>
          <w:p w14:paraId="4BBB1A64">
            <w:pPr>
              <w:widowControl/>
              <w:shd w:val="clear"/>
              <w:jc w:val="center"/>
              <w:rPr>
                <w:rFonts w:hint="eastAsia" w:ascii="宋体" w:hAnsi="宋体" w:eastAsia="宋体" w:cs="宋体"/>
                <w:b/>
                <w:szCs w:val="21"/>
              </w:rPr>
            </w:pPr>
            <w:r>
              <w:rPr>
                <w:rFonts w:hint="eastAsia" w:ascii="宋体" w:hAnsi="宋体" w:eastAsia="宋体" w:cs="宋体"/>
                <w:b/>
                <w:szCs w:val="21"/>
              </w:rPr>
              <w:t>…费用</w:t>
            </w:r>
          </w:p>
        </w:tc>
        <w:tc>
          <w:tcPr>
            <w:tcW w:w="1260" w:type="dxa"/>
            <w:tcBorders>
              <w:top w:val="single" w:color="auto" w:sz="4" w:space="0"/>
              <w:left w:val="single" w:color="auto" w:sz="4" w:space="0"/>
              <w:bottom w:val="single" w:color="auto" w:sz="4" w:space="0"/>
              <w:right w:val="single" w:color="auto" w:sz="4" w:space="0"/>
            </w:tcBorders>
            <w:vAlign w:val="center"/>
          </w:tcPr>
          <w:p w14:paraId="435D42F5">
            <w:pPr>
              <w:widowControl/>
              <w:shd w:val="clear"/>
              <w:jc w:val="center"/>
              <w:rPr>
                <w:rFonts w:hint="eastAsia" w:ascii="宋体" w:hAnsi="宋体" w:eastAsia="宋体" w:cs="宋体"/>
                <w:b/>
                <w:szCs w:val="21"/>
              </w:rPr>
            </w:pPr>
            <w:r>
              <w:rPr>
                <w:rFonts w:hint="eastAsia" w:ascii="宋体" w:hAnsi="宋体" w:eastAsia="宋体" w:cs="宋体"/>
                <w:b/>
                <w:szCs w:val="21"/>
              </w:rPr>
              <w:t>…费用</w:t>
            </w:r>
          </w:p>
        </w:tc>
        <w:tc>
          <w:tcPr>
            <w:tcW w:w="1343" w:type="dxa"/>
            <w:tcBorders>
              <w:top w:val="single" w:color="auto" w:sz="4" w:space="0"/>
              <w:left w:val="single" w:color="auto" w:sz="4" w:space="0"/>
              <w:bottom w:val="single" w:color="auto" w:sz="4" w:space="0"/>
              <w:right w:val="single" w:color="auto" w:sz="4" w:space="0"/>
            </w:tcBorders>
            <w:vAlign w:val="center"/>
          </w:tcPr>
          <w:p w14:paraId="3DD5B8E9">
            <w:pPr>
              <w:widowControl/>
              <w:shd w:val="clear"/>
              <w:jc w:val="center"/>
              <w:rPr>
                <w:rFonts w:hint="eastAsia" w:ascii="宋体" w:hAnsi="宋体" w:eastAsia="宋体" w:cs="宋体"/>
                <w:b/>
                <w:szCs w:val="21"/>
              </w:rPr>
            </w:pPr>
            <w:r>
              <w:rPr>
                <w:rFonts w:hint="eastAsia" w:ascii="宋体" w:hAnsi="宋体" w:eastAsia="宋体" w:cs="宋体"/>
                <w:b/>
                <w:szCs w:val="21"/>
              </w:rPr>
              <w:t>小计</w:t>
            </w:r>
          </w:p>
          <w:p w14:paraId="40C5E109">
            <w:pPr>
              <w:widowControl/>
              <w:shd w:val="clear"/>
              <w:jc w:val="center"/>
              <w:rPr>
                <w:rFonts w:hint="eastAsia" w:ascii="宋体" w:hAnsi="宋体" w:eastAsia="宋体" w:cs="宋体"/>
                <w:b/>
                <w:szCs w:val="21"/>
              </w:rPr>
            </w:pPr>
            <w:r>
              <w:rPr>
                <w:rFonts w:hint="eastAsia" w:ascii="宋体" w:hAnsi="宋体" w:eastAsia="宋体" w:cs="宋体"/>
                <w:b/>
                <w:szCs w:val="21"/>
              </w:rPr>
              <w:t>（元）</w:t>
            </w:r>
          </w:p>
        </w:tc>
        <w:tc>
          <w:tcPr>
            <w:tcW w:w="643" w:type="dxa"/>
            <w:tcBorders>
              <w:top w:val="single" w:color="auto" w:sz="4" w:space="0"/>
              <w:left w:val="nil"/>
              <w:bottom w:val="single" w:color="auto" w:sz="4" w:space="0"/>
              <w:right w:val="single" w:color="auto" w:sz="4" w:space="0"/>
            </w:tcBorders>
            <w:vAlign w:val="center"/>
          </w:tcPr>
          <w:p w14:paraId="0D161B3E">
            <w:pPr>
              <w:shd w:val="clear"/>
              <w:jc w:val="center"/>
              <w:rPr>
                <w:rFonts w:hint="eastAsia" w:ascii="宋体" w:hAnsi="宋体" w:eastAsia="宋体" w:cs="宋体"/>
                <w:b/>
                <w:szCs w:val="21"/>
              </w:rPr>
            </w:pPr>
            <w:r>
              <w:rPr>
                <w:rFonts w:hint="eastAsia" w:ascii="宋体" w:hAnsi="宋体" w:eastAsia="宋体" w:cs="宋体"/>
                <w:b/>
                <w:szCs w:val="21"/>
              </w:rPr>
              <w:t>备注</w:t>
            </w:r>
          </w:p>
        </w:tc>
      </w:tr>
      <w:tr w14:paraId="14358559">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60563E8">
            <w:pPr>
              <w:shd w:val="clear"/>
              <w:tabs>
                <w:tab w:val="left" w:pos="425"/>
              </w:tabs>
              <w:snapToGrid w:val="0"/>
              <w:jc w:val="center"/>
              <w:rPr>
                <w:rFonts w:hint="eastAsia" w:ascii="宋体" w:hAnsi="宋体" w:eastAsia="宋体" w:cs="宋体"/>
                <w:szCs w:val="21"/>
              </w:rPr>
            </w:pPr>
            <w:r>
              <w:rPr>
                <w:rFonts w:hint="eastAsia" w:ascii="宋体" w:hAnsi="宋体" w:eastAsia="宋体" w:cs="宋体"/>
                <w:szCs w:val="21"/>
              </w:rPr>
              <w:t>1</w:t>
            </w:r>
          </w:p>
        </w:tc>
        <w:tc>
          <w:tcPr>
            <w:tcW w:w="1692" w:type="dxa"/>
            <w:tcBorders>
              <w:top w:val="single" w:color="auto" w:sz="4" w:space="0"/>
              <w:left w:val="nil"/>
              <w:bottom w:val="single" w:color="auto" w:sz="4" w:space="0"/>
              <w:right w:val="single" w:color="auto" w:sz="4" w:space="0"/>
            </w:tcBorders>
            <w:vAlign w:val="center"/>
          </w:tcPr>
          <w:p w14:paraId="5EAE0A1F">
            <w:pPr>
              <w:shd w:val="clear"/>
              <w:jc w:val="center"/>
              <w:rPr>
                <w:rFonts w:hint="eastAsia" w:ascii="宋体" w:hAnsi="宋体" w:eastAsia="宋体" w:cs="宋体"/>
                <w:szCs w:val="21"/>
              </w:rPr>
            </w:pPr>
          </w:p>
        </w:tc>
        <w:tc>
          <w:tcPr>
            <w:tcW w:w="2332" w:type="dxa"/>
            <w:tcBorders>
              <w:top w:val="single" w:color="auto" w:sz="4" w:space="0"/>
              <w:left w:val="nil"/>
              <w:bottom w:val="single" w:color="auto" w:sz="4" w:space="0"/>
              <w:right w:val="single" w:color="auto" w:sz="4" w:space="0"/>
            </w:tcBorders>
            <w:vAlign w:val="center"/>
          </w:tcPr>
          <w:p w14:paraId="4D41C4F6">
            <w:pPr>
              <w:shd w:val="clear"/>
              <w:tabs>
                <w:tab w:val="left" w:pos="425"/>
              </w:tabs>
              <w:snapToGrid w:val="0"/>
              <w:jc w:val="center"/>
              <w:rPr>
                <w:rFonts w:hint="eastAsia"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24B5C75B">
            <w:pPr>
              <w:shd w:val="clear"/>
              <w:tabs>
                <w:tab w:val="left" w:pos="425"/>
              </w:tabs>
              <w:snapToGrid w:val="0"/>
              <w:jc w:val="center"/>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71D2C7">
            <w:pPr>
              <w:shd w:val="clear"/>
              <w:tabs>
                <w:tab w:val="left" w:pos="425"/>
              </w:tabs>
              <w:snapToGrid w:val="0"/>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vAlign w:val="center"/>
          </w:tcPr>
          <w:p w14:paraId="560CB51E">
            <w:pPr>
              <w:shd w:val="clear"/>
              <w:tabs>
                <w:tab w:val="left" w:pos="425"/>
              </w:tabs>
              <w:snapToGrid w:val="0"/>
              <w:jc w:val="center"/>
              <w:rPr>
                <w:rFonts w:hint="eastAsia" w:ascii="宋体" w:hAnsi="宋体" w:eastAsia="宋体" w:cs="宋体"/>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27C91F62">
            <w:pPr>
              <w:shd w:val="clear"/>
              <w:tabs>
                <w:tab w:val="left" w:pos="425"/>
              </w:tabs>
              <w:snapToGrid w:val="0"/>
              <w:jc w:val="center"/>
              <w:rPr>
                <w:rFonts w:hint="eastAsia" w:ascii="宋体" w:hAnsi="宋体" w:eastAsia="宋体" w:cs="宋体"/>
                <w:szCs w:val="21"/>
              </w:rPr>
            </w:pPr>
          </w:p>
        </w:tc>
      </w:tr>
      <w:tr w14:paraId="31E28201">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2D78509">
            <w:pPr>
              <w:shd w:val="clear"/>
              <w:tabs>
                <w:tab w:val="left" w:pos="425"/>
              </w:tabs>
              <w:snapToGrid w:val="0"/>
              <w:jc w:val="center"/>
              <w:rPr>
                <w:rFonts w:hint="eastAsia" w:ascii="宋体" w:hAnsi="宋体" w:eastAsia="宋体" w:cs="宋体"/>
                <w:szCs w:val="21"/>
              </w:rPr>
            </w:pPr>
            <w:r>
              <w:rPr>
                <w:rFonts w:hint="eastAsia" w:ascii="宋体" w:hAnsi="宋体" w:eastAsia="宋体" w:cs="宋体"/>
                <w:szCs w:val="21"/>
              </w:rPr>
              <w:t>2</w:t>
            </w:r>
          </w:p>
        </w:tc>
        <w:tc>
          <w:tcPr>
            <w:tcW w:w="1692" w:type="dxa"/>
            <w:tcBorders>
              <w:top w:val="single" w:color="auto" w:sz="4" w:space="0"/>
              <w:left w:val="nil"/>
              <w:bottom w:val="single" w:color="auto" w:sz="4" w:space="0"/>
              <w:right w:val="single" w:color="auto" w:sz="4" w:space="0"/>
            </w:tcBorders>
            <w:vAlign w:val="center"/>
          </w:tcPr>
          <w:p w14:paraId="4A403F37">
            <w:pPr>
              <w:shd w:val="clear"/>
              <w:jc w:val="center"/>
              <w:rPr>
                <w:rFonts w:hint="eastAsia" w:ascii="宋体" w:hAnsi="宋体" w:eastAsia="宋体" w:cs="宋体"/>
                <w:szCs w:val="21"/>
              </w:rPr>
            </w:pPr>
          </w:p>
        </w:tc>
        <w:tc>
          <w:tcPr>
            <w:tcW w:w="2332" w:type="dxa"/>
            <w:tcBorders>
              <w:top w:val="single" w:color="auto" w:sz="4" w:space="0"/>
              <w:left w:val="nil"/>
              <w:bottom w:val="single" w:color="auto" w:sz="4" w:space="0"/>
              <w:right w:val="single" w:color="auto" w:sz="4" w:space="0"/>
            </w:tcBorders>
            <w:vAlign w:val="center"/>
          </w:tcPr>
          <w:p w14:paraId="1F95ED28">
            <w:pPr>
              <w:shd w:val="clear"/>
              <w:tabs>
                <w:tab w:val="left" w:pos="425"/>
              </w:tabs>
              <w:snapToGrid w:val="0"/>
              <w:jc w:val="center"/>
              <w:rPr>
                <w:rFonts w:hint="eastAsia"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69A86DD5">
            <w:pPr>
              <w:shd w:val="clear"/>
              <w:tabs>
                <w:tab w:val="left" w:pos="425"/>
              </w:tabs>
              <w:snapToGrid w:val="0"/>
              <w:jc w:val="center"/>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FAD76F3">
            <w:pPr>
              <w:shd w:val="clear"/>
              <w:tabs>
                <w:tab w:val="left" w:pos="425"/>
              </w:tabs>
              <w:snapToGrid w:val="0"/>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vAlign w:val="center"/>
          </w:tcPr>
          <w:p w14:paraId="59FB58C5">
            <w:pPr>
              <w:shd w:val="clear"/>
              <w:tabs>
                <w:tab w:val="left" w:pos="425"/>
              </w:tabs>
              <w:snapToGrid w:val="0"/>
              <w:jc w:val="center"/>
              <w:rPr>
                <w:rFonts w:hint="eastAsia" w:ascii="宋体" w:hAnsi="宋体" w:eastAsia="宋体" w:cs="宋体"/>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2016A606">
            <w:pPr>
              <w:shd w:val="clear"/>
              <w:tabs>
                <w:tab w:val="left" w:pos="425"/>
              </w:tabs>
              <w:snapToGrid w:val="0"/>
              <w:jc w:val="center"/>
              <w:rPr>
                <w:rFonts w:hint="eastAsia" w:ascii="宋体" w:hAnsi="宋体" w:eastAsia="宋体" w:cs="宋体"/>
                <w:szCs w:val="21"/>
              </w:rPr>
            </w:pPr>
          </w:p>
        </w:tc>
      </w:tr>
      <w:tr w14:paraId="416947A8">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779F6EC">
            <w:pPr>
              <w:shd w:val="clear"/>
              <w:tabs>
                <w:tab w:val="left" w:pos="425"/>
              </w:tabs>
              <w:snapToGrid w:val="0"/>
              <w:jc w:val="center"/>
              <w:rPr>
                <w:rFonts w:hint="eastAsia" w:ascii="宋体" w:hAnsi="宋体" w:eastAsia="宋体" w:cs="宋体"/>
                <w:szCs w:val="21"/>
              </w:rPr>
            </w:pPr>
            <w:r>
              <w:rPr>
                <w:rFonts w:hint="eastAsia" w:ascii="宋体" w:hAnsi="宋体" w:eastAsia="宋体" w:cs="宋体"/>
                <w:szCs w:val="21"/>
              </w:rPr>
              <w:t>3</w:t>
            </w:r>
          </w:p>
        </w:tc>
        <w:tc>
          <w:tcPr>
            <w:tcW w:w="1692" w:type="dxa"/>
            <w:tcBorders>
              <w:top w:val="single" w:color="auto" w:sz="4" w:space="0"/>
              <w:left w:val="nil"/>
              <w:bottom w:val="single" w:color="auto" w:sz="4" w:space="0"/>
              <w:right w:val="single" w:color="auto" w:sz="4" w:space="0"/>
            </w:tcBorders>
            <w:vAlign w:val="center"/>
          </w:tcPr>
          <w:p w14:paraId="2CC65A43">
            <w:pPr>
              <w:shd w:val="clear"/>
              <w:jc w:val="center"/>
              <w:rPr>
                <w:rFonts w:hint="eastAsia" w:ascii="宋体" w:hAnsi="宋体" w:eastAsia="宋体" w:cs="宋体"/>
                <w:szCs w:val="21"/>
              </w:rPr>
            </w:pPr>
          </w:p>
        </w:tc>
        <w:tc>
          <w:tcPr>
            <w:tcW w:w="2332" w:type="dxa"/>
            <w:tcBorders>
              <w:top w:val="single" w:color="auto" w:sz="4" w:space="0"/>
              <w:left w:val="nil"/>
              <w:bottom w:val="single" w:color="auto" w:sz="4" w:space="0"/>
              <w:right w:val="single" w:color="auto" w:sz="4" w:space="0"/>
            </w:tcBorders>
            <w:vAlign w:val="center"/>
          </w:tcPr>
          <w:p w14:paraId="26794E17">
            <w:pPr>
              <w:shd w:val="clear"/>
              <w:tabs>
                <w:tab w:val="left" w:pos="425"/>
              </w:tabs>
              <w:snapToGrid w:val="0"/>
              <w:jc w:val="center"/>
              <w:rPr>
                <w:rFonts w:hint="eastAsia"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32A846BB">
            <w:pPr>
              <w:shd w:val="clear"/>
              <w:tabs>
                <w:tab w:val="left" w:pos="425"/>
              </w:tabs>
              <w:snapToGrid w:val="0"/>
              <w:jc w:val="center"/>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6A69875">
            <w:pPr>
              <w:shd w:val="clear"/>
              <w:tabs>
                <w:tab w:val="left" w:pos="425"/>
              </w:tabs>
              <w:snapToGrid w:val="0"/>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vAlign w:val="center"/>
          </w:tcPr>
          <w:p w14:paraId="3203324D">
            <w:pPr>
              <w:shd w:val="clear"/>
              <w:tabs>
                <w:tab w:val="left" w:pos="425"/>
              </w:tabs>
              <w:snapToGrid w:val="0"/>
              <w:jc w:val="center"/>
              <w:rPr>
                <w:rFonts w:hint="eastAsia" w:ascii="宋体" w:hAnsi="宋体" w:eastAsia="宋体" w:cs="宋体"/>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74B58022">
            <w:pPr>
              <w:shd w:val="clear"/>
              <w:tabs>
                <w:tab w:val="left" w:pos="425"/>
              </w:tabs>
              <w:snapToGrid w:val="0"/>
              <w:jc w:val="center"/>
              <w:rPr>
                <w:rFonts w:hint="eastAsia" w:ascii="宋体" w:hAnsi="宋体" w:eastAsia="宋体" w:cs="宋体"/>
                <w:szCs w:val="21"/>
              </w:rPr>
            </w:pPr>
          </w:p>
        </w:tc>
      </w:tr>
      <w:tr w14:paraId="55DD6F4B">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14:paraId="100C60E6">
            <w:pPr>
              <w:shd w:val="clear"/>
              <w:tabs>
                <w:tab w:val="left" w:pos="425"/>
              </w:tabs>
              <w:snapToGrid w:val="0"/>
              <w:jc w:val="center"/>
              <w:rPr>
                <w:rFonts w:hint="eastAsia" w:ascii="宋体" w:hAnsi="宋体" w:eastAsia="宋体" w:cs="宋体"/>
                <w:szCs w:val="21"/>
              </w:rPr>
            </w:pPr>
            <w:r>
              <w:rPr>
                <w:rFonts w:hint="eastAsia" w:ascii="宋体" w:hAnsi="宋体" w:eastAsia="宋体" w:cs="宋体"/>
                <w:szCs w:val="21"/>
              </w:rPr>
              <w:t>4</w:t>
            </w:r>
          </w:p>
        </w:tc>
        <w:tc>
          <w:tcPr>
            <w:tcW w:w="1692" w:type="dxa"/>
            <w:tcBorders>
              <w:top w:val="nil"/>
              <w:left w:val="nil"/>
              <w:bottom w:val="single" w:color="auto" w:sz="4" w:space="0"/>
              <w:right w:val="single" w:color="auto" w:sz="4" w:space="0"/>
            </w:tcBorders>
            <w:vAlign w:val="center"/>
          </w:tcPr>
          <w:p w14:paraId="131B6B7A">
            <w:pPr>
              <w:shd w:val="clear"/>
              <w:jc w:val="center"/>
              <w:rPr>
                <w:rFonts w:hint="eastAsia" w:ascii="宋体" w:hAnsi="宋体" w:eastAsia="宋体" w:cs="宋体"/>
                <w:szCs w:val="21"/>
              </w:rPr>
            </w:pPr>
          </w:p>
        </w:tc>
        <w:tc>
          <w:tcPr>
            <w:tcW w:w="2332" w:type="dxa"/>
            <w:tcBorders>
              <w:top w:val="nil"/>
              <w:left w:val="nil"/>
              <w:bottom w:val="single" w:color="auto" w:sz="4" w:space="0"/>
              <w:right w:val="single" w:color="auto" w:sz="4" w:space="0"/>
            </w:tcBorders>
            <w:vAlign w:val="center"/>
          </w:tcPr>
          <w:p w14:paraId="5A8F1A92">
            <w:pPr>
              <w:shd w:val="clear"/>
              <w:tabs>
                <w:tab w:val="left" w:pos="425"/>
              </w:tabs>
              <w:snapToGrid w:val="0"/>
              <w:jc w:val="center"/>
              <w:rPr>
                <w:rFonts w:hint="eastAsia" w:ascii="宋体" w:hAnsi="宋体" w:eastAsia="宋体" w:cs="宋体"/>
                <w:szCs w:val="21"/>
              </w:rPr>
            </w:pPr>
          </w:p>
        </w:tc>
        <w:tc>
          <w:tcPr>
            <w:tcW w:w="1267" w:type="dxa"/>
            <w:tcBorders>
              <w:top w:val="nil"/>
              <w:left w:val="single" w:color="auto" w:sz="4" w:space="0"/>
              <w:bottom w:val="single" w:color="auto" w:sz="4" w:space="0"/>
              <w:right w:val="single" w:color="auto" w:sz="4" w:space="0"/>
            </w:tcBorders>
            <w:vAlign w:val="center"/>
          </w:tcPr>
          <w:p w14:paraId="18206C66">
            <w:pPr>
              <w:shd w:val="clear"/>
              <w:tabs>
                <w:tab w:val="left" w:pos="425"/>
              </w:tabs>
              <w:snapToGrid w:val="0"/>
              <w:jc w:val="center"/>
              <w:rPr>
                <w:rFonts w:hint="eastAsia" w:ascii="宋体" w:hAnsi="宋体" w:eastAsia="宋体" w:cs="宋体"/>
                <w:szCs w:val="21"/>
              </w:rPr>
            </w:pPr>
          </w:p>
        </w:tc>
        <w:tc>
          <w:tcPr>
            <w:tcW w:w="1260" w:type="dxa"/>
            <w:tcBorders>
              <w:top w:val="nil"/>
              <w:left w:val="single" w:color="auto" w:sz="4" w:space="0"/>
              <w:bottom w:val="single" w:color="auto" w:sz="4" w:space="0"/>
              <w:right w:val="single" w:color="auto" w:sz="4" w:space="0"/>
            </w:tcBorders>
            <w:vAlign w:val="center"/>
          </w:tcPr>
          <w:p w14:paraId="57C3EACD">
            <w:pPr>
              <w:shd w:val="clear"/>
              <w:tabs>
                <w:tab w:val="left" w:pos="425"/>
              </w:tabs>
              <w:snapToGrid w:val="0"/>
              <w:jc w:val="center"/>
              <w:rPr>
                <w:rFonts w:hint="eastAsia" w:ascii="宋体" w:hAnsi="宋体" w:eastAsia="宋体" w:cs="宋体"/>
                <w:szCs w:val="21"/>
              </w:rPr>
            </w:pPr>
          </w:p>
        </w:tc>
        <w:tc>
          <w:tcPr>
            <w:tcW w:w="1343" w:type="dxa"/>
            <w:tcBorders>
              <w:top w:val="nil"/>
              <w:left w:val="single" w:color="auto" w:sz="4" w:space="0"/>
              <w:bottom w:val="single" w:color="auto" w:sz="4" w:space="0"/>
              <w:right w:val="single" w:color="auto" w:sz="4" w:space="0"/>
            </w:tcBorders>
            <w:vAlign w:val="center"/>
          </w:tcPr>
          <w:p w14:paraId="4DAF447D">
            <w:pPr>
              <w:shd w:val="clear"/>
              <w:tabs>
                <w:tab w:val="left" w:pos="425"/>
              </w:tabs>
              <w:snapToGrid w:val="0"/>
              <w:jc w:val="center"/>
              <w:rPr>
                <w:rFonts w:hint="eastAsia" w:ascii="宋体" w:hAnsi="宋体" w:eastAsia="宋体" w:cs="宋体"/>
                <w:szCs w:val="21"/>
              </w:rPr>
            </w:pPr>
          </w:p>
        </w:tc>
        <w:tc>
          <w:tcPr>
            <w:tcW w:w="643" w:type="dxa"/>
            <w:tcBorders>
              <w:top w:val="nil"/>
              <w:left w:val="single" w:color="auto" w:sz="4" w:space="0"/>
              <w:bottom w:val="single" w:color="auto" w:sz="4" w:space="0"/>
              <w:right w:val="single" w:color="auto" w:sz="4" w:space="0"/>
            </w:tcBorders>
            <w:vAlign w:val="center"/>
          </w:tcPr>
          <w:p w14:paraId="4A8596AA">
            <w:pPr>
              <w:shd w:val="clear"/>
              <w:tabs>
                <w:tab w:val="left" w:pos="425"/>
              </w:tabs>
              <w:snapToGrid w:val="0"/>
              <w:jc w:val="center"/>
              <w:rPr>
                <w:rFonts w:hint="eastAsia" w:ascii="宋体" w:hAnsi="宋体" w:eastAsia="宋体" w:cs="宋体"/>
                <w:szCs w:val="21"/>
              </w:rPr>
            </w:pPr>
          </w:p>
        </w:tc>
      </w:tr>
      <w:tr w14:paraId="782176ED">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FD8C7CE">
            <w:pPr>
              <w:shd w:val="clear"/>
              <w:tabs>
                <w:tab w:val="left" w:pos="425"/>
              </w:tabs>
              <w:snapToGrid w:val="0"/>
              <w:jc w:val="center"/>
              <w:rPr>
                <w:rFonts w:hint="eastAsia" w:ascii="宋体" w:hAnsi="宋体" w:eastAsia="宋体" w:cs="宋体"/>
                <w:szCs w:val="21"/>
              </w:rPr>
            </w:pPr>
            <w:r>
              <w:rPr>
                <w:rFonts w:hint="eastAsia" w:ascii="宋体" w:hAnsi="宋体" w:eastAsia="宋体" w:cs="宋体"/>
                <w:szCs w:val="21"/>
              </w:rPr>
              <w:t>5</w:t>
            </w:r>
          </w:p>
        </w:tc>
        <w:tc>
          <w:tcPr>
            <w:tcW w:w="1692" w:type="dxa"/>
            <w:tcBorders>
              <w:top w:val="single" w:color="auto" w:sz="4" w:space="0"/>
              <w:left w:val="nil"/>
              <w:bottom w:val="single" w:color="auto" w:sz="4" w:space="0"/>
              <w:right w:val="single" w:color="auto" w:sz="4" w:space="0"/>
            </w:tcBorders>
            <w:vAlign w:val="center"/>
          </w:tcPr>
          <w:p w14:paraId="6914025D">
            <w:pPr>
              <w:shd w:val="clear"/>
              <w:tabs>
                <w:tab w:val="left" w:pos="425"/>
              </w:tabs>
              <w:snapToGrid w:val="0"/>
              <w:jc w:val="center"/>
              <w:rPr>
                <w:rFonts w:hint="eastAsia" w:ascii="宋体" w:hAnsi="宋体" w:eastAsia="宋体" w:cs="宋体"/>
                <w:szCs w:val="21"/>
              </w:rPr>
            </w:pPr>
          </w:p>
        </w:tc>
        <w:tc>
          <w:tcPr>
            <w:tcW w:w="2332" w:type="dxa"/>
            <w:tcBorders>
              <w:top w:val="single" w:color="auto" w:sz="4" w:space="0"/>
              <w:left w:val="nil"/>
              <w:bottom w:val="single" w:color="auto" w:sz="4" w:space="0"/>
              <w:right w:val="single" w:color="auto" w:sz="4" w:space="0"/>
            </w:tcBorders>
            <w:vAlign w:val="center"/>
          </w:tcPr>
          <w:p w14:paraId="624B14AE">
            <w:pPr>
              <w:shd w:val="clear"/>
              <w:tabs>
                <w:tab w:val="left" w:pos="425"/>
              </w:tabs>
              <w:snapToGrid w:val="0"/>
              <w:jc w:val="center"/>
              <w:rPr>
                <w:rFonts w:hint="eastAsia"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09C6839B">
            <w:pPr>
              <w:shd w:val="clear"/>
              <w:tabs>
                <w:tab w:val="left" w:pos="425"/>
              </w:tabs>
              <w:snapToGrid w:val="0"/>
              <w:jc w:val="center"/>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BE7BB75">
            <w:pPr>
              <w:shd w:val="clear"/>
              <w:tabs>
                <w:tab w:val="left" w:pos="425"/>
              </w:tabs>
              <w:snapToGrid w:val="0"/>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vAlign w:val="center"/>
          </w:tcPr>
          <w:p w14:paraId="3B2FE190">
            <w:pPr>
              <w:shd w:val="clear"/>
              <w:tabs>
                <w:tab w:val="left" w:pos="425"/>
              </w:tabs>
              <w:snapToGrid w:val="0"/>
              <w:jc w:val="center"/>
              <w:rPr>
                <w:rFonts w:hint="eastAsia" w:ascii="宋体" w:hAnsi="宋体" w:eastAsia="宋体" w:cs="宋体"/>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6F58232D">
            <w:pPr>
              <w:shd w:val="clear"/>
              <w:tabs>
                <w:tab w:val="left" w:pos="425"/>
              </w:tabs>
              <w:snapToGrid w:val="0"/>
              <w:jc w:val="center"/>
              <w:rPr>
                <w:rFonts w:hint="eastAsia" w:ascii="宋体" w:hAnsi="宋体" w:eastAsia="宋体" w:cs="宋体"/>
                <w:szCs w:val="21"/>
              </w:rPr>
            </w:pPr>
          </w:p>
        </w:tc>
      </w:tr>
      <w:tr w14:paraId="556B19B3">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A0C8E6E">
            <w:pPr>
              <w:shd w:val="clear"/>
              <w:tabs>
                <w:tab w:val="left" w:pos="425"/>
              </w:tabs>
              <w:snapToGrid w:val="0"/>
              <w:jc w:val="center"/>
              <w:rPr>
                <w:rFonts w:hint="eastAsia" w:ascii="宋体" w:hAnsi="宋体" w:eastAsia="宋体" w:cs="宋体"/>
                <w:szCs w:val="21"/>
              </w:rPr>
            </w:pPr>
            <w:r>
              <w:rPr>
                <w:rFonts w:hint="eastAsia" w:ascii="宋体" w:hAnsi="宋体" w:eastAsia="宋体" w:cs="宋体"/>
                <w:szCs w:val="21"/>
              </w:rPr>
              <w:t>……</w:t>
            </w:r>
          </w:p>
        </w:tc>
        <w:tc>
          <w:tcPr>
            <w:tcW w:w="1692" w:type="dxa"/>
            <w:tcBorders>
              <w:top w:val="single" w:color="auto" w:sz="4" w:space="0"/>
              <w:left w:val="nil"/>
              <w:bottom w:val="single" w:color="auto" w:sz="4" w:space="0"/>
              <w:right w:val="single" w:color="auto" w:sz="4" w:space="0"/>
            </w:tcBorders>
            <w:vAlign w:val="center"/>
          </w:tcPr>
          <w:p w14:paraId="39E5D095">
            <w:pPr>
              <w:shd w:val="clear"/>
              <w:tabs>
                <w:tab w:val="left" w:pos="425"/>
              </w:tabs>
              <w:snapToGrid w:val="0"/>
              <w:jc w:val="center"/>
              <w:rPr>
                <w:rFonts w:hint="eastAsia" w:ascii="宋体" w:hAnsi="宋体" w:eastAsia="宋体" w:cs="宋体"/>
                <w:szCs w:val="21"/>
              </w:rPr>
            </w:pPr>
          </w:p>
        </w:tc>
        <w:tc>
          <w:tcPr>
            <w:tcW w:w="2332" w:type="dxa"/>
            <w:tcBorders>
              <w:top w:val="single" w:color="auto" w:sz="4" w:space="0"/>
              <w:left w:val="nil"/>
              <w:bottom w:val="single" w:color="auto" w:sz="4" w:space="0"/>
              <w:right w:val="single" w:color="auto" w:sz="4" w:space="0"/>
            </w:tcBorders>
            <w:vAlign w:val="center"/>
          </w:tcPr>
          <w:p w14:paraId="47BD9076">
            <w:pPr>
              <w:shd w:val="clear"/>
              <w:tabs>
                <w:tab w:val="left" w:pos="425"/>
              </w:tabs>
              <w:snapToGrid w:val="0"/>
              <w:jc w:val="center"/>
              <w:rPr>
                <w:rFonts w:hint="eastAsia"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73C8E683">
            <w:pPr>
              <w:shd w:val="clear"/>
              <w:tabs>
                <w:tab w:val="left" w:pos="425"/>
              </w:tabs>
              <w:snapToGrid w:val="0"/>
              <w:jc w:val="center"/>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2203891">
            <w:pPr>
              <w:shd w:val="clear"/>
              <w:tabs>
                <w:tab w:val="left" w:pos="425"/>
              </w:tabs>
              <w:snapToGrid w:val="0"/>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vAlign w:val="center"/>
          </w:tcPr>
          <w:p w14:paraId="7AE395AE">
            <w:pPr>
              <w:shd w:val="clear"/>
              <w:tabs>
                <w:tab w:val="left" w:pos="425"/>
              </w:tabs>
              <w:snapToGrid w:val="0"/>
              <w:jc w:val="center"/>
              <w:rPr>
                <w:rFonts w:hint="eastAsia" w:ascii="宋体" w:hAnsi="宋体" w:eastAsia="宋体" w:cs="宋体"/>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379D622A">
            <w:pPr>
              <w:shd w:val="clear"/>
              <w:tabs>
                <w:tab w:val="left" w:pos="425"/>
              </w:tabs>
              <w:snapToGrid w:val="0"/>
              <w:jc w:val="center"/>
              <w:rPr>
                <w:rFonts w:hint="eastAsia" w:ascii="宋体" w:hAnsi="宋体" w:eastAsia="宋体" w:cs="宋体"/>
                <w:szCs w:val="21"/>
              </w:rPr>
            </w:pPr>
          </w:p>
        </w:tc>
      </w:tr>
      <w:tr w14:paraId="1D10816C">
        <w:tblPrEx>
          <w:tblCellMar>
            <w:top w:w="0" w:type="dxa"/>
            <w:left w:w="108" w:type="dxa"/>
            <w:bottom w:w="0" w:type="dxa"/>
            <w:right w:w="108" w:type="dxa"/>
          </w:tblCellMar>
        </w:tblPrEx>
        <w:trPr>
          <w:trHeight w:val="610" w:hRule="atLeast"/>
          <w:tblHeader/>
          <w:jc w:val="center"/>
        </w:trPr>
        <w:tc>
          <w:tcPr>
            <w:tcW w:w="4668" w:type="dxa"/>
            <w:gridSpan w:val="3"/>
            <w:tcBorders>
              <w:top w:val="single" w:color="auto" w:sz="4" w:space="0"/>
              <w:left w:val="single" w:color="auto" w:sz="4" w:space="0"/>
              <w:bottom w:val="single" w:color="auto" w:sz="4" w:space="0"/>
              <w:right w:val="single" w:color="auto" w:sz="4" w:space="0"/>
            </w:tcBorders>
            <w:vAlign w:val="center"/>
          </w:tcPr>
          <w:p w14:paraId="5334D9A9">
            <w:pPr>
              <w:shd w:val="clear"/>
              <w:tabs>
                <w:tab w:val="left" w:pos="425"/>
              </w:tabs>
              <w:snapToGrid w:val="0"/>
              <w:jc w:val="center"/>
              <w:rPr>
                <w:rFonts w:hint="eastAsia" w:ascii="宋体" w:hAnsi="宋体" w:eastAsia="宋体" w:cs="宋体"/>
                <w:b/>
                <w:szCs w:val="21"/>
              </w:rPr>
            </w:pPr>
            <w:r>
              <w:rPr>
                <w:rFonts w:hint="eastAsia" w:ascii="宋体" w:hAnsi="宋体" w:eastAsia="宋体" w:cs="宋体"/>
                <w:b/>
                <w:szCs w:val="21"/>
              </w:rPr>
              <w:t>合   计</w:t>
            </w:r>
          </w:p>
        </w:tc>
        <w:tc>
          <w:tcPr>
            <w:tcW w:w="1272" w:type="dxa"/>
            <w:tcBorders>
              <w:top w:val="single" w:color="auto" w:sz="4" w:space="0"/>
              <w:left w:val="single" w:color="auto" w:sz="4" w:space="0"/>
              <w:bottom w:val="single" w:color="auto" w:sz="4" w:space="0"/>
              <w:right w:val="single" w:color="auto" w:sz="4" w:space="0"/>
            </w:tcBorders>
            <w:vAlign w:val="center"/>
          </w:tcPr>
          <w:p w14:paraId="598E1713">
            <w:pPr>
              <w:shd w:val="clear"/>
              <w:tabs>
                <w:tab w:val="left" w:pos="425"/>
              </w:tabs>
              <w:snapToGrid w:val="0"/>
              <w:jc w:val="center"/>
              <w:rPr>
                <w:rFonts w:hint="eastAsia" w:ascii="宋体" w:hAnsi="宋体" w:eastAsia="宋体" w:cs="宋体"/>
                <w:szCs w:val="21"/>
              </w:rPr>
            </w:pPr>
          </w:p>
        </w:tc>
        <w:tc>
          <w:tcPr>
            <w:tcW w:w="1255" w:type="dxa"/>
            <w:tcBorders>
              <w:top w:val="single" w:color="auto" w:sz="4" w:space="0"/>
              <w:left w:val="single" w:color="auto" w:sz="4" w:space="0"/>
              <w:bottom w:val="single" w:color="auto" w:sz="4" w:space="0"/>
              <w:right w:val="single" w:color="auto" w:sz="4" w:space="0"/>
            </w:tcBorders>
            <w:vAlign w:val="center"/>
          </w:tcPr>
          <w:p w14:paraId="6C2EC02A">
            <w:pPr>
              <w:shd w:val="clear"/>
              <w:tabs>
                <w:tab w:val="left" w:pos="425"/>
              </w:tabs>
              <w:snapToGrid w:val="0"/>
              <w:jc w:val="center"/>
              <w:rPr>
                <w:rFonts w:hint="eastAsia" w:ascii="宋体" w:hAnsi="宋体" w:eastAsia="宋体" w:cs="宋体"/>
                <w:szCs w:val="21"/>
              </w:rPr>
            </w:pPr>
          </w:p>
        </w:tc>
        <w:tc>
          <w:tcPr>
            <w:tcW w:w="1343" w:type="dxa"/>
            <w:tcBorders>
              <w:top w:val="single" w:color="auto" w:sz="4" w:space="0"/>
              <w:left w:val="single" w:color="auto" w:sz="4" w:space="0"/>
              <w:bottom w:val="single" w:color="auto" w:sz="4" w:space="0"/>
              <w:right w:val="single" w:color="auto" w:sz="4" w:space="0"/>
            </w:tcBorders>
            <w:vAlign w:val="center"/>
          </w:tcPr>
          <w:p w14:paraId="7E45E978">
            <w:pPr>
              <w:shd w:val="clear"/>
              <w:tabs>
                <w:tab w:val="left" w:pos="425"/>
              </w:tabs>
              <w:snapToGrid w:val="0"/>
              <w:jc w:val="center"/>
              <w:rPr>
                <w:rFonts w:hint="eastAsia" w:ascii="宋体" w:hAnsi="宋体" w:eastAsia="宋体" w:cs="宋体"/>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43EFAE7B">
            <w:pPr>
              <w:shd w:val="clear"/>
              <w:tabs>
                <w:tab w:val="left" w:pos="425"/>
              </w:tabs>
              <w:snapToGrid w:val="0"/>
              <w:jc w:val="center"/>
              <w:rPr>
                <w:rFonts w:hint="eastAsia" w:ascii="宋体" w:hAnsi="宋体" w:eastAsia="宋体" w:cs="宋体"/>
                <w:szCs w:val="21"/>
              </w:rPr>
            </w:pPr>
          </w:p>
        </w:tc>
      </w:tr>
    </w:tbl>
    <w:p w14:paraId="76065F0E">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3290F249">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1.本项目总价及分项报价均不接受任何形式的赠送、“零”报价。</w:t>
      </w:r>
    </w:p>
    <w:p w14:paraId="1384F15E">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2.如报价不一致，按照投标人须知“19.核价原则”进行修正。</w:t>
      </w:r>
    </w:p>
    <w:p w14:paraId="716FED87">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3.本表中小计=    数量×单价。</w:t>
      </w:r>
    </w:p>
    <w:p w14:paraId="6C5C4E4A">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4.本表仅供参考，可扩展。</w:t>
      </w:r>
    </w:p>
    <w:p w14:paraId="7E4CE9CC">
      <w:pPr>
        <w:pStyle w:val="21"/>
        <w:shd w:val="clear"/>
        <w:ind w:firstLine="420" w:firstLineChars="200"/>
        <w:rPr>
          <w:rFonts w:hint="eastAsia" w:hAnsi="宋体" w:cs="宋体"/>
        </w:rPr>
      </w:pPr>
    </w:p>
    <w:p w14:paraId="1AD264B2">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14:paraId="243F371F">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7A0D8920">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45666605">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格式4  商务条款偏离表</w:t>
      </w:r>
    </w:p>
    <w:tbl>
      <w:tblPr>
        <w:tblStyle w:val="3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798"/>
        <w:gridCol w:w="1545"/>
        <w:gridCol w:w="1530"/>
        <w:gridCol w:w="1515"/>
        <w:gridCol w:w="1285"/>
      </w:tblGrid>
      <w:tr w14:paraId="6B1D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34276C2E">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序号</w:t>
            </w:r>
          </w:p>
        </w:tc>
        <w:tc>
          <w:tcPr>
            <w:tcW w:w="1798" w:type="dxa"/>
            <w:tcBorders>
              <w:top w:val="single" w:color="auto" w:sz="4" w:space="0"/>
              <w:left w:val="single" w:color="auto" w:sz="4" w:space="0"/>
              <w:bottom w:val="single" w:color="auto" w:sz="4" w:space="0"/>
              <w:right w:val="single" w:color="auto" w:sz="4" w:space="0"/>
            </w:tcBorders>
            <w:noWrap/>
            <w:vAlign w:val="center"/>
          </w:tcPr>
          <w:p w14:paraId="2E9A5661">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招标文件条目号</w:t>
            </w:r>
          </w:p>
        </w:tc>
        <w:tc>
          <w:tcPr>
            <w:tcW w:w="1545" w:type="dxa"/>
            <w:tcBorders>
              <w:top w:val="single" w:color="auto" w:sz="4" w:space="0"/>
              <w:left w:val="single" w:color="auto" w:sz="4" w:space="0"/>
              <w:bottom w:val="single" w:color="auto" w:sz="4" w:space="0"/>
              <w:right w:val="single" w:color="auto" w:sz="4" w:space="0"/>
            </w:tcBorders>
            <w:noWrap/>
            <w:vAlign w:val="center"/>
          </w:tcPr>
          <w:p w14:paraId="078E6737">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招标文件</w:t>
            </w:r>
          </w:p>
          <w:p w14:paraId="74021F2A">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商务条款</w:t>
            </w:r>
          </w:p>
        </w:tc>
        <w:tc>
          <w:tcPr>
            <w:tcW w:w="1530" w:type="dxa"/>
            <w:tcBorders>
              <w:top w:val="single" w:color="auto" w:sz="4" w:space="0"/>
              <w:left w:val="single" w:color="auto" w:sz="4" w:space="0"/>
              <w:bottom w:val="single" w:color="auto" w:sz="4" w:space="0"/>
              <w:right w:val="single" w:color="auto" w:sz="4" w:space="0"/>
            </w:tcBorders>
            <w:noWrap/>
            <w:vAlign w:val="center"/>
          </w:tcPr>
          <w:p w14:paraId="151D4197">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投标文件</w:t>
            </w:r>
          </w:p>
          <w:p w14:paraId="1D30E144">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商务条款</w:t>
            </w:r>
          </w:p>
        </w:tc>
        <w:tc>
          <w:tcPr>
            <w:tcW w:w="1515" w:type="dxa"/>
            <w:tcBorders>
              <w:top w:val="single" w:color="auto" w:sz="4" w:space="0"/>
              <w:left w:val="single" w:color="auto" w:sz="4" w:space="0"/>
              <w:bottom w:val="single" w:color="auto" w:sz="4" w:space="0"/>
              <w:right w:val="single" w:color="auto" w:sz="4" w:space="0"/>
            </w:tcBorders>
            <w:noWrap/>
            <w:vAlign w:val="center"/>
          </w:tcPr>
          <w:p w14:paraId="10AA9282">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偏离</w:t>
            </w:r>
          </w:p>
          <w:p w14:paraId="34FD5D02">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（无/正/负）</w:t>
            </w:r>
          </w:p>
        </w:tc>
        <w:tc>
          <w:tcPr>
            <w:tcW w:w="1285" w:type="dxa"/>
            <w:tcBorders>
              <w:top w:val="single" w:color="auto" w:sz="4" w:space="0"/>
              <w:left w:val="single" w:color="auto" w:sz="4" w:space="0"/>
              <w:bottom w:val="single" w:color="auto" w:sz="4" w:space="0"/>
              <w:right w:val="single" w:color="auto" w:sz="4" w:space="0"/>
            </w:tcBorders>
            <w:noWrap/>
            <w:vAlign w:val="center"/>
          </w:tcPr>
          <w:p w14:paraId="74CD31A8">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说明</w:t>
            </w:r>
          </w:p>
        </w:tc>
      </w:tr>
      <w:tr w14:paraId="469E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5C1D9417">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1</w:t>
            </w:r>
          </w:p>
        </w:tc>
        <w:tc>
          <w:tcPr>
            <w:tcW w:w="1798" w:type="dxa"/>
            <w:tcBorders>
              <w:top w:val="single" w:color="auto" w:sz="4" w:space="0"/>
              <w:left w:val="single" w:color="auto" w:sz="4" w:space="0"/>
              <w:bottom w:val="single" w:color="auto" w:sz="4" w:space="0"/>
              <w:right w:val="single" w:color="auto" w:sz="4" w:space="0"/>
            </w:tcBorders>
            <w:noWrap/>
          </w:tcPr>
          <w:p w14:paraId="7E0AEF2F">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14:paraId="5A7C4722">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14:paraId="1FCE2950">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14:paraId="308DABC3">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14:paraId="500FAF08">
            <w:pPr>
              <w:shd w:val="clear"/>
              <w:topLinePunct/>
              <w:autoSpaceDE w:val="0"/>
              <w:autoSpaceDN w:val="0"/>
              <w:spacing w:before="62" w:beforeLines="20" w:after="312"/>
              <w:jc w:val="center"/>
              <w:rPr>
                <w:rFonts w:hint="eastAsia" w:ascii="宋体" w:hAnsi="宋体" w:eastAsia="宋体" w:cs="宋体"/>
                <w:b/>
                <w:bCs/>
                <w:szCs w:val="21"/>
              </w:rPr>
            </w:pPr>
          </w:p>
        </w:tc>
      </w:tr>
      <w:tr w14:paraId="7880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45562A6F">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2</w:t>
            </w:r>
          </w:p>
        </w:tc>
        <w:tc>
          <w:tcPr>
            <w:tcW w:w="1798" w:type="dxa"/>
            <w:tcBorders>
              <w:top w:val="single" w:color="auto" w:sz="4" w:space="0"/>
              <w:left w:val="single" w:color="auto" w:sz="4" w:space="0"/>
              <w:bottom w:val="single" w:color="auto" w:sz="4" w:space="0"/>
              <w:right w:val="single" w:color="auto" w:sz="4" w:space="0"/>
            </w:tcBorders>
            <w:noWrap/>
          </w:tcPr>
          <w:p w14:paraId="674CF106">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14:paraId="34EDC667">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14:paraId="1DCA6B11">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14:paraId="4C61AE16">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14:paraId="245E55E3">
            <w:pPr>
              <w:shd w:val="clear"/>
              <w:topLinePunct/>
              <w:autoSpaceDE w:val="0"/>
              <w:autoSpaceDN w:val="0"/>
              <w:spacing w:before="62" w:beforeLines="20" w:after="312"/>
              <w:jc w:val="center"/>
              <w:rPr>
                <w:rFonts w:hint="eastAsia" w:ascii="宋体" w:hAnsi="宋体" w:eastAsia="宋体" w:cs="宋体"/>
                <w:b/>
                <w:bCs/>
                <w:szCs w:val="21"/>
              </w:rPr>
            </w:pPr>
          </w:p>
        </w:tc>
      </w:tr>
      <w:tr w14:paraId="700C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44AAE96">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3</w:t>
            </w:r>
          </w:p>
        </w:tc>
        <w:tc>
          <w:tcPr>
            <w:tcW w:w="1798" w:type="dxa"/>
            <w:tcBorders>
              <w:top w:val="single" w:color="auto" w:sz="4" w:space="0"/>
              <w:left w:val="single" w:color="auto" w:sz="4" w:space="0"/>
              <w:bottom w:val="single" w:color="auto" w:sz="4" w:space="0"/>
              <w:right w:val="single" w:color="auto" w:sz="4" w:space="0"/>
            </w:tcBorders>
            <w:noWrap/>
          </w:tcPr>
          <w:p w14:paraId="670E6C9E">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14:paraId="69249215">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14:paraId="35C2B9A1">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14:paraId="024F184B">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14:paraId="3180D9B5">
            <w:pPr>
              <w:shd w:val="clear"/>
              <w:topLinePunct/>
              <w:autoSpaceDE w:val="0"/>
              <w:autoSpaceDN w:val="0"/>
              <w:spacing w:before="62" w:beforeLines="20" w:after="312"/>
              <w:jc w:val="center"/>
              <w:rPr>
                <w:rFonts w:hint="eastAsia" w:ascii="宋体" w:hAnsi="宋体" w:eastAsia="宋体" w:cs="宋体"/>
                <w:b/>
                <w:bCs/>
                <w:szCs w:val="21"/>
              </w:rPr>
            </w:pPr>
          </w:p>
        </w:tc>
      </w:tr>
      <w:tr w14:paraId="49D3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4F9ED869">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4</w:t>
            </w:r>
          </w:p>
        </w:tc>
        <w:tc>
          <w:tcPr>
            <w:tcW w:w="1798" w:type="dxa"/>
            <w:tcBorders>
              <w:top w:val="single" w:color="auto" w:sz="4" w:space="0"/>
              <w:left w:val="single" w:color="auto" w:sz="4" w:space="0"/>
              <w:bottom w:val="single" w:color="auto" w:sz="4" w:space="0"/>
              <w:right w:val="single" w:color="auto" w:sz="4" w:space="0"/>
            </w:tcBorders>
            <w:noWrap/>
          </w:tcPr>
          <w:p w14:paraId="19A8696B">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14:paraId="5C37D43B">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14:paraId="7D76B905">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14:paraId="08129080">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14:paraId="0EB0CEB6">
            <w:pPr>
              <w:shd w:val="clear"/>
              <w:topLinePunct/>
              <w:autoSpaceDE w:val="0"/>
              <w:autoSpaceDN w:val="0"/>
              <w:spacing w:before="62" w:beforeLines="20" w:after="312"/>
              <w:jc w:val="center"/>
              <w:rPr>
                <w:rFonts w:hint="eastAsia" w:ascii="宋体" w:hAnsi="宋体" w:eastAsia="宋体" w:cs="宋体"/>
                <w:b/>
                <w:bCs/>
                <w:szCs w:val="21"/>
              </w:rPr>
            </w:pPr>
          </w:p>
        </w:tc>
      </w:tr>
      <w:tr w14:paraId="3376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122AE144">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w:t>
            </w:r>
          </w:p>
        </w:tc>
        <w:tc>
          <w:tcPr>
            <w:tcW w:w="1798" w:type="dxa"/>
            <w:tcBorders>
              <w:top w:val="single" w:color="auto" w:sz="4" w:space="0"/>
              <w:left w:val="single" w:color="auto" w:sz="4" w:space="0"/>
              <w:bottom w:val="single" w:color="auto" w:sz="4" w:space="0"/>
              <w:right w:val="single" w:color="auto" w:sz="4" w:space="0"/>
            </w:tcBorders>
            <w:noWrap/>
          </w:tcPr>
          <w:p w14:paraId="54B78899">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14:paraId="1333D6AA">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14:paraId="596F3E15">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14:paraId="37C4CCC3">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14:paraId="02A86A3A">
            <w:pPr>
              <w:shd w:val="clear"/>
              <w:topLinePunct/>
              <w:autoSpaceDE w:val="0"/>
              <w:autoSpaceDN w:val="0"/>
              <w:spacing w:before="62" w:beforeLines="20" w:after="312"/>
              <w:jc w:val="center"/>
              <w:rPr>
                <w:rFonts w:hint="eastAsia" w:ascii="宋体" w:hAnsi="宋体" w:eastAsia="宋体" w:cs="宋体"/>
                <w:b/>
                <w:bCs/>
                <w:szCs w:val="21"/>
              </w:rPr>
            </w:pPr>
          </w:p>
        </w:tc>
      </w:tr>
    </w:tbl>
    <w:p w14:paraId="65CC1DBF">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1692C0D7">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1.商务条款无需条对条应答，如无偏离，请在此表中填写“无偏离”；如有偏离，请在此表中应答为“正/负偏离”并说明偏离情况。</w:t>
      </w:r>
    </w:p>
    <w:p w14:paraId="1820DF6D">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2.如《招标文件-商务部分》中有标注★号的，则为实质性要求，必须满足，如应答为“负偏离”，将导致投标无效。</w:t>
      </w:r>
    </w:p>
    <w:p w14:paraId="75E019D9">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3.本表可扩展。</w:t>
      </w:r>
    </w:p>
    <w:p w14:paraId="42012D55">
      <w:pPr>
        <w:shd w:val="clear"/>
        <w:topLinePunct/>
        <w:autoSpaceDE w:val="0"/>
        <w:autoSpaceDN w:val="0"/>
        <w:spacing w:line="500" w:lineRule="exact"/>
        <w:rPr>
          <w:rFonts w:hint="eastAsia" w:ascii="宋体" w:hAnsi="宋体" w:eastAsia="宋体" w:cs="宋体"/>
          <w:sz w:val="24"/>
        </w:rPr>
      </w:pPr>
    </w:p>
    <w:p w14:paraId="5C7117B7">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14:paraId="5C0452C7">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21391B43">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6CDD7E2C">
      <w:pPr>
        <w:shd w:val="clear"/>
        <w:rPr>
          <w:rFonts w:hint="eastAsia" w:ascii="宋体" w:hAnsi="宋体" w:eastAsia="宋体" w:cs="宋体"/>
          <w:b/>
          <w:bCs/>
          <w:sz w:val="28"/>
          <w:szCs w:val="28"/>
        </w:rPr>
      </w:pPr>
    </w:p>
    <w:p w14:paraId="2CD65917">
      <w:pPr>
        <w:shd w:val="clea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格式5  投标人具备投标资格证明文件</w:t>
      </w:r>
    </w:p>
    <w:p w14:paraId="206D03D8">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5-1投标人基本情况</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67"/>
        <w:gridCol w:w="1560"/>
        <w:gridCol w:w="1701"/>
        <w:gridCol w:w="2696"/>
      </w:tblGrid>
      <w:tr w14:paraId="5C0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14:paraId="5B5B7FCA">
            <w:pPr>
              <w:pStyle w:val="21"/>
              <w:shd w:val="clear"/>
              <w:spacing w:line="360" w:lineRule="auto"/>
              <w:jc w:val="center"/>
              <w:rPr>
                <w:rFonts w:hint="eastAsia" w:hAnsi="宋体" w:cs="宋体"/>
              </w:rPr>
            </w:pPr>
            <w:r>
              <w:rPr>
                <w:rFonts w:hint="eastAsia" w:hAnsi="宋体" w:cs="宋体"/>
              </w:rPr>
              <w:t>供应商名称</w:t>
            </w:r>
          </w:p>
        </w:tc>
        <w:tc>
          <w:tcPr>
            <w:tcW w:w="1234" w:type="pct"/>
            <w:gridSpan w:val="2"/>
            <w:vAlign w:val="center"/>
          </w:tcPr>
          <w:p w14:paraId="1116E754">
            <w:pPr>
              <w:pStyle w:val="21"/>
              <w:shd w:val="clear"/>
              <w:spacing w:line="360" w:lineRule="auto"/>
              <w:jc w:val="center"/>
              <w:rPr>
                <w:rFonts w:hint="eastAsia" w:hAnsi="宋体" w:cs="宋体"/>
              </w:rPr>
            </w:pPr>
          </w:p>
        </w:tc>
        <w:tc>
          <w:tcPr>
            <w:tcW w:w="987" w:type="pct"/>
            <w:vAlign w:val="center"/>
          </w:tcPr>
          <w:p w14:paraId="1F0C8568">
            <w:pPr>
              <w:pStyle w:val="21"/>
              <w:shd w:val="clear"/>
              <w:spacing w:line="360" w:lineRule="auto"/>
              <w:jc w:val="center"/>
              <w:rPr>
                <w:rFonts w:hint="eastAsia" w:hAnsi="宋体" w:cs="宋体"/>
              </w:rPr>
            </w:pPr>
            <w:r>
              <w:rPr>
                <w:rFonts w:hint="eastAsia" w:hAnsi="宋体" w:cs="宋体"/>
              </w:rPr>
              <w:t>法定代表人</w:t>
            </w:r>
          </w:p>
        </w:tc>
        <w:tc>
          <w:tcPr>
            <w:tcW w:w="1564" w:type="pct"/>
            <w:vAlign w:val="center"/>
          </w:tcPr>
          <w:p w14:paraId="6C0E793F">
            <w:pPr>
              <w:pStyle w:val="21"/>
              <w:shd w:val="clear"/>
              <w:spacing w:line="360" w:lineRule="auto"/>
              <w:jc w:val="center"/>
              <w:rPr>
                <w:rFonts w:hint="eastAsia" w:hAnsi="宋体" w:cs="宋体"/>
              </w:rPr>
            </w:pPr>
          </w:p>
        </w:tc>
      </w:tr>
      <w:tr w14:paraId="25F4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14:paraId="471629E1">
            <w:pPr>
              <w:pStyle w:val="21"/>
              <w:shd w:val="clear"/>
              <w:spacing w:line="360" w:lineRule="auto"/>
              <w:jc w:val="center"/>
              <w:rPr>
                <w:rFonts w:hint="eastAsia" w:hAnsi="宋体" w:cs="宋体"/>
              </w:rPr>
            </w:pPr>
            <w:r>
              <w:rPr>
                <w:rFonts w:hint="eastAsia" w:hAnsi="宋体" w:cs="宋体"/>
              </w:rPr>
              <w:t>统一社会信用代码</w:t>
            </w:r>
          </w:p>
        </w:tc>
        <w:tc>
          <w:tcPr>
            <w:tcW w:w="1234" w:type="pct"/>
            <w:gridSpan w:val="2"/>
            <w:vAlign w:val="center"/>
          </w:tcPr>
          <w:p w14:paraId="04F1DA0D">
            <w:pPr>
              <w:pStyle w:val="21"/>
              <w:shd w:val="clear"/>
              <w:spacing w:line="360" w:lineRule="auto"/>
              <w:jc w:val="center"/>
              <w:rPr>
                <w:rFonts w:hint="eastAsia" w:hAnsi="宋体" w:cs="宋体"/>
              </w:rPr>
            </w:pPr>
          </w:p>
        </w:tc>
        <w:tc>
          <w:tcPr>
            <w:tcW w:w="987" w:type="pct"/>
            <w:vAlign w:val="center"/>
          </w:tcPr>
          <w:p w14:paraId="34FFBB46">
            <w:pPr>
              <w:pStyle w:val="21"/>
              <w:shd w:val="clear"/>
              <w:spacing w:line="360" w:lineRule="auto"/>
              <w:jc w:val="center"/>
              <w:rPr>
                <w:rFonts w:hint="eastAsia" w:hAnsi="宋体" w:cs="宋体"/>
              </w:rPr>
            </w:pPr>
            <w:r>
              <w:rPr>
                <w:rFonts w:hint="eastAsia" w:hAnsi="宋体" w:cs="宋体"/>
              </w:rPr>
              <w:t>邮政编码</w:t>
            </w:r>
          </w:p>
        </w:tc>
        <w:tc>
          <w:tcPr>
            <w:tcW w:w="1564" w:type="pct"/>
            <w:vAlign w:val="center"/>
          </w:tcPr>
          <w:p w14:paraId="22422AE7">
            <w:pPr>
              <w:pStyle w:val="21"/>
              <w:shd w:val="clear"/>
              <w:spacing w:line="360" w:lineRule="auto"/>
              <w:jc w:val="center"/>
              <w:rPr>
                <w:rFonts w:hint="eastAsia" w:hAnsi="宋体" w:cs="宋体"/>
              </w:rPr>
            </w:pPr>
          </w:p>
        </w:tc>
      </w:tr>
      <w:tr w14:paraId="11A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14:paraId="337BBE99">
            <w:pPr>
              <w:pStyle w:val="21"/>
              <w:shd w:val="clear"/>
              <w:spacing w:line="360" w:lineRule="auto"/>
              <w:jc w:val="center"/>
              <w:rPr>
                <w:rFonts w:hint="eastAsia" w:hAnsi="宋体" w:cs="宋体"/>
              </w:rPr>
            </w:pPr>
            <w:r>
              <w:rPr>
                <w:rFonts w:hint="eastAsia" w:hAnsi="宋体" w:cs="宋体"/>
              </w:rPr>
              <w:t>授权代表</w:t>
            </w:r>
          </w:p>
        </w:tc>
        <w:tc>
          <w:tcPr>
            <w:tcW w:w="1234" w:type="pct"/>
            <w:gridSpan w:val="2"/>
            <w:vAlign w:val="center"/>
          </w:tcPr>
          <w:p w14:paraId="0FEF15C3">
            <w:pPr>
              <w:pStyle w:val="21"/>
              <w:shd w:val="clear"/>
              <w:spacing w:line="360" w:lineRule="auto"/>
              <w:jc w:val="center"/>
              <w:rPr>
                <w:rFonts w:hint="eastAsia" w:hAnsi="宋体" w:cs="宋体"/>
              </w:rPr>
            </w:pPr>
          </w:p>
        </w:tc>
        <w:tc>
          <w:tcPr>
            <w:tcW w:w="987" w:type="pct"/>
            <w:vAlign w:val="center"/>
          </w:tcPr>
          <w:p w14:paraId="28EAFE43">
            <w:pPr>
              <w:pStyle w:val="21"/>
              <w:shd w:val="clear"/>
              <w:spacing w:line="360" w:lineRule="auto"/>
              <w:jc w:val="center"/>
              <w:rPr>
                <w:rFonts w:hint="eastAsia" w:hAnsi="宋体" w:cs="宋体"/>
              </w:rPr>
            </w:pPr>
            <w:r>
              <w:rPr>
                <w:rFonts w:hint="eastAsia" w:hAnsi="宋体" w:cs="宋体"/>
              </w:rPr>
              <w:t>联系电话</w:t>
            </w:r>
          </w:p>
        </w:tc>
        <w:tc>
          <w:tcPr>
            <w:tcW w:w="1564" w:type="pct"/>
            <w:vAlign w:val="center"/>
          </w:tcPr>
          <w:p w14:paraId="70677F7A">
            <w:pPr>
              <w:pStyle w:val="21"/>
              <w:shd w:val="clear"/>
              <w:spacing w:line="360" w:lineRule="auto"/>
              <w:jc w:val="center"/>
              <w:rPr>
                <w:rFonts w:hint="eastAsia" w:hAnsi="宋体" w:cs="宋体"/>
              </w:rPr>
            </w:pPr>
          </w:p>
        </w:tc>
      </w:tr>
      <w:tr w14:paraId="5810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14:paraId="09C67305">
            <w:pPr>
              <w:pStyle w:val="21"/>
              <w:shd w:val="clear"/>
              <w:spacing w:line="360" w:lineRule="auto"/>
              <w:jc w:val="center"/>
              <w:rPr>
                <w:rFonts w:hint="eastAsia" w:hAnsi="宋体" w:cs="宋体"/>
              </w:rPr>
            </w:pPr>
            <w:r>
              <w:rPr>
                <w:rFonts w:hint="eastAsia" w:hAnsi="宋体" w:cs="宋体"/>
              </w:rPr>
              <w:t>电子邮箱</w:t>
            </w:r>
          </w:p>
        </w:tc>
        <w:tc>
          <w:tcPr>
            <w:tcW w:w="1234" w:type="pct"/>
            <w:gridSpan w:val="2"/>
            <w:vAlign w:val="center"/>
          </w:tcPr>
          <w:p w14:paraId="33F6BA03">
            <w:pPr>
              <w:pStyle w:val="21"/>
              <w:shd w:val="clear"/>
              <w:spacing w:line="360" w:lineRule="auto"/>
              <w:jc w:val="center"/>
              <w:rPr>
                <w:rFonts w:hint="eastAsia" w:hAnsi="宋体" w:cs="宋体"/>
              </w:rPr>
            </w:pPr>
          </w:p>
        </w:tc>
        <w:tc>
          <w:tcPr>
            <w:tcW w:w="987" w:type="pct"/>
            <w:vAlign w:val="center"/>
          </w:tcPr>
          <w:p w14:paraId="1A76DDF2">
            <w:pPr>
              <w:pStyle w:val="21"/>
              <w:shd w:val="clear"/>
              <w:spacing w:line="360" w:lineRule="auto"/>
              <w:jc w:val="center"/>
              <w:rPr>
                <w:rFonts w:hint="eastAsia" w:hAnsi="宋体" w:cs="宋体"/>
              </w:rPr>
            </w:pPr>
            <w:r>
              <w:rPr>
                <w:rFonts w:hint="eastAsia" w:hAnsi="宋体" w:cs="宋体"/>
              </w:rPr>
              <w:t>传真</w:t>
            </w:r>
          </w:p>
        </w:tc>
        <w:tc>
          <w:tcPr>
            <w:tcW w:w="1564" w:type="pct"/>
            <w:vAlign w:val="center"/>
          </w:tcPr>
          <w:p w14:paraId="5BB2F21A">
            <w:pPr>
              <w:pStyle w:val="21"/>
              <w:shd w:val="clear"/>
              <w:spacing w:line="360" w:lineRule="auto"/>
              <w:jc w:val="center"/>
              <w:rPr>
                <w:rFonts w:hint="eastAsia" w:hAnsi="宋体" w:cs="宋体"/>
              </w:rPr>
            </w:pPr>
          </w:p>
        </w:tc>
      </w:tr>
      <w:tr w14:paraId="7879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14:paraId="462E43AD">
            <w:pPr>
              <w:pStyle w:val="21"/>
              <w:shd w:val="clear"/>
              <w:spacing w:line="360" w:lineRule="auto"/>
              <w:jc w:val="center"/>
              <w:rPr>
                <w:rFonts w:hint="eastAsia" w:hAnsi="宋体" w:cs="宋体"/>
              </w:rPr>
            </w:pPr>
            <w:r>
              <w:rPr>
                <w:rFonts w:hint="eastAsia" w:hAnsi="宋体" w:cs="宋体"/>
              </w:rPr>
              <w:t>上年营业收入</w:t>
            </w:r>
          </w:p>
        </w:tc>
        <w:tc>
          <w:tcPr>
            <w:tcW w:w="1234" w:type="pct"/>
            <w:gridSpan w:val="2"/>
            <w:vAlign w:val="center"/>
          </w:tcPr>
          <w:p w14:paraId="47DA784C">
            <w:pPr>
              <w:pStyle w:val="21"/>
              <w:shd w:val="clear"/>
              <w:spacing w:line="360" w:lineRule="auto"/>
              <w:jc w:val="center"/>
              <w:rPr>
                <w:rFonts w:hint="eastAsia" w:hAnsi="宋体" w:cs="宋体"/>
              </w:rPr>
            </w:pPr>
          </w:p>
        </w:tc>
        <w:tc>
          <w:tcPr>
            <w:tcW w:w="987" w:type="pct"/>
            <w:vAlign w:val="center"/>
          </w:tcPr>
          <w:p w14:paraId="262029C1">
            <w:pPr>
              <w:pStyle w:val="21"/>
              <w:shd w:val="clear"/>
              <w:spacing w:line="360" w:lineRule="auto"/>
              <w:jc w:val="center"/>
              <w:rPr>
                <w:rFonts w:hint="eastAsia" w:hAnsi="宋体" w:cs="宋体"/>
              </w:rPr>
            </w:pPr>
            <w:r>
              <w:rPr>
                <w:rFonts w:hint="eastAsia" w:hAnsi="宋体" w:cs="宋体"/>
              </w:rPr>
              <w:t>员工总人数</w:t>
            </w:r>
          </w:p>
        </w:tc>
        <w:tc>
          <w:tcPr>
            <w:tcW w:w="1564" w:type="pct"/>
            <w:vAlign w:val="center"/>
          </w:tcPr>
          <w:p w14:paraId="4CDBCF0E">
            <w:pPr>
              <w:pStyle w:val="21"/>
              <w:shd w:val="clear"/>
              <w:spacing w:line="360" w:lineRule="auto"/>
              <w:jc w:val="center"/>
              <w:rPr>
                <w:rFonts w:hint="eastAsia" w:hAnsi="宋体" w:cs="宋体"/>
              </w:rPr>
            </w:pPr>
          </w:p>
        </w:tc>
      </w:tr>
      <w:tr w14:paraId="3EC5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14:paraId="5C190AE5">
            <w:pPr>
              <w:pStyle w:val="21"/>
              <w:shd w:val="clear"/>
              <w:spacing w:line="360" w:lineRule="auto"/>
              <w:jc w:val="center"/>
              <w:rPr>
                <w:rFonts w:hint="eastAsia" w:hAnsi="宋体" w:cs="宋体"/>
              </w:rPr>
            </w:pPr>
            <w:r>
              <w:rPr>
                <w:rFonts w:hint="eastAsia" w:hAnsi="宋体" w:cs="宋体"/>
              </w:rPr>
              <w:t>基本账户开户行及账号</w:t>
            </w:r>
          </w:p>
        </w:tc>
        <w:tc>
          <w:tcPr>
            <w:tcW w:w="3456" w:type="pct"/>
            <w:gridSpan w:val="3"/>
            <w:vAlign w:val="center"/>
          </w:tcPr>
          <w:p w14:paraId="7B7A94A4">
            <w:pPr>
              <w:pStyle w:val="21"/>
              <w:shd w:val="clear"/>
              <w:spacing w:line="360" w:lineRule="auto"/>
              <w:jc w:val="center"/>
              <w:rPr>
                <w:rFonts w:hint="eastAsia" w:hAnsi="宋体" w:cs="宋体"/>
              </w:rPr>
            </w:pPr>
          </w:p>
        </w:tc>
      </w:tr>
      <w:tr w14:paraId="145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14:paraId="36E5E698">
            <w:pPr>
              <w:pStyle w:val="21"/>
              <w:shd w:val="clear"/>
              <w:spacing w:line="360" w:lineRule="auto"/>
              <w:jc w:val="center"/>
              <w:rPr>
                <w:rFonts w:hint="eastAsia" w:hAnsi="宋体" w:cs="宋体"/>
              </w:rPr>
            </w:pPr>
            <w:r>
              <w:rPr>
                <w:rFonts w:hint="eastAsia" w:hAnsi="宋体" w:cs="宋体"/>
              </w:rPr>
              <w:t>税务登记机关</w:t>
            </w:r>
          </w:p>
        </w:tc>
        <w:tc>
          <w:tcPr>
            <w:tcW w:w="3456" w:type="pct"/>
            <w:gridSpan w:val="3"/>
            <w:vAlign w:val="center"/>
          </w:tcPr>
          <w:p w14:paraId="1FAB857C">
            <w:pPr>
              <w:pStyle w:val="21"/>
              <w:shd w:val="clear"/>
              <w:spacing w:line="360" w:lineRule="auto"/>
              <w:jc w:val="center"/>
              <w:rPr>
                <w:rFonts w:hint="eastAsia" w:hAnsi="宋体" w:cs="宋体"/>
              </w:rPr>
            </w:pPr>
          </w:p>
        </w:tc>
      </w:tr>
      <w:tr w14:paraId="5665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14:paraId="73A89A65">
            <w:pPr>
              <w:pStyle w:val="21"/>
              <w:shd w:val="clear"/>
              <w:spacing w:line="360" w:lineRule="auto"/>
              <w:jc w:val="center"/>
              <w:rPr>
                <w:rFonts w:hint="eastAsia" w:hAnsi="宋体" w:cs="宋体"/>
              </w:rPr>
            </w:pPr>
            <w:r>
              <w:rPr>
                <w:rFonts w:hint="eastAsia" w:hAnsi="宋体" w:cs="宋体"/>
              </w:rPr>
              <w:t>资质名称</w:t>
            </w:r>
          </w:p>
        </w:tc>
        <w:tc>
          <w:tcPr>
            <w:tcW w:w="905" w:type="pct"/>
            <w:vAlign w:val="center"/>
          </w:tcPr>
          <w:p w14:paraId="0042D33A">
            <w:pPr>
              <w:pStyle w:val="21"/>
              <w:shd w:val="clear"/>
              <w:spacing w:line="360" w:lineRule="auto"/>
              <w:jc w:val="center"/>
              <w:rPr>
                <w:rFonts w:hint="eastAsia" w:hAnsi="宋体" w:cs="宋体"/>
              </w:rPr>
            </w:pPr>
            <w:r>
              <w:rPr>
                <w:rFonts w:hint="eastAsia" w:hAnsi="宋体" w:cs="宋体"/>
              </w:rPr>
              <w:t>等级</w:t>
            </w:r>
          </w:p>
        </w:tc>
        <w:tc>
          <w:tcPr>
            <w:tcW w:w="987" w:type="pct"/>
            <w:vAlign w:val="center"/>
          </w:tcPr>
          <w:p w14:paraId="340106C6">
            <w:pPr>
              <w:pStyle w:val="21"/>
              <w:shd w:val="clear"/>
              <w:spacing w:line="360" w:lineRule="auto"/>
              <w:jc w:val="center"/>
              <w:rPr>
                <w:rFonts w:hint="eastAsia" w:hAnsi="宋体" w:cs="宋体"/>
              </w:rPr>
            </w:pPr>
            <w:r>
              <w:rPr>
                <w:rFonts w:hint="eastAsia" w:hAnsi="宋体" w:cs="宋体"/>
              </w:rPr>
              <w:t>发证机关</w:t>
            </w:r>
          </w:p>
        </w:tc>
        <w:tc>
          <w:tcPr>
            <w:tcW w:w="1564" w:type="pct"/>
            <w:vAlign w:val="center"/>
          </w:tcPr>
          <w:p w14:paraId="65FDC387">
            <w:pPr>
              <w:pStyle w:val="21"/>
              <w:shd w:val="clear"/>
              <w:spacing w:line="360" w:lineRule="auto"/>
              <w:jc w:val="center"/>
              <w:rPr>
                <w:rFonts w:hint="eastAsia" w:hAnsi="宋体" w:cs="宋体"/>
              </w:rPr>
            </w:pPr>
            <w:r>
              <w:rPr>
                <w:rFonts w:hint="eastAsia" w:hAnsi="宋体" w:cs="宋体"/>
              </w:rPr>
              <w:t>有效期</w:t>
            </w:r>
          </w:p>
        </w:tc>
      </w:tr>
      <w:tr w14:paraId="0956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14:paraId="599AB573">
            <w:pPr>
              <w:pStyle w:val="21"/>
              <w:shd w:val="clear"/>
              <w:spacing w:line="360" w:lineRule="auto"/>
              <w:jc w:val="center"/>
              <w:rPr>
                <w:rFonts w:hint="eastAsia" w:hAnsi="宋体" w:cs="宋体"/>
              </w:rPr>
            </w:pPr>
          </w:p>
        </w:tc>
        <w:tc>
          <w:tcPr>
            <w:tcW w:w="905" w:type="pct"/>
            <w:vAlign w:val="center"/>
          </w:tcPr>
          <w:p w14:paraId="1F075B5F">
            <w:pPr>
              <w:pStyle w:val="21"/>
              <w:shd w:val="clear"/>
              <w:spacing w:line="360" w:lineRule="auto"/>
              <w:jc w:val="center"/>
              <w:rPr>
                <w:rFonts w:hint="eastAsia" w:hAnsi="宋体" w:cs="宋体"/>
              </w:rPr>
            </w:pPr>
          </w:p>
        </w:tc>
        <w:tc>
          <w:tcPr>
            <w:tcW w:w="987" w:type="pct"/>
            <w:vAlign w:val="center"/>
          </w:tcPr>
          <w:p w14:paraId="5B9CD7C2">
            <w:pPr>
              <w:pStyle w:val="21"/>
              <w:shd w:val="clear"/>
              <w:spacing w:line="360" w:lineRule="auto"/>
              <w:jc w:val="center"/>
              <w:rPr>
                <w:rFonts w:hint="eastAsia" w:hAnsi="宋体" w:cs="宋体"/>
              </w:rPr>
            </w:pPr>
          </w:p>
        </w:tc>
        <w:tc>
          <w:tcPr>
            <w:tcW w:w="1564" w:type="pct"/>
            <w:vAlign w:val="center"/>
          </w:tcPr>
          <w:p w14:paraId="1517B88B">
            <w:pPr>
              <w:pStyle w:val="21"/>
              <w:shd w:val="clear"/>
              <w:spacing w:line="360" w:lineRule="auto"/>
              <w:jc w:val="center"/>
              <w:rPr>
                <w:rFonts w:hint="eastAsia" w:hAnsi="宋体" w:cs="宋体"/>
              </w:rPr>
            </w:pPr>
          </w:p>
        </w:tc>
      </w:tr>
      <w:tr w14:paraId="18EC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14:paraId="12B2540F">
            <w:pPr>
              <w:pStyle w:val="21"/>
              <w:shd w:val="clear"/>
              <w:spacing w:line="360" w:lineRule="auto"/>
              <w:jc w:val="center"/>
              <w:rPr>
                <w:rFonts w:hint="eastAsia" w:hAnsi="宋体" w:cs="宋体"/>
              </w:rPr>
            </w:pPr>
          </w:p>
        </w:tc>
        <w:tc>
          <w:tcPr>
            <w:tcW w:w="905" w:type="pct"/>
            <w:vAlign w:val="center"/>
          </w:tcPr>
          <w:p w14:paraId="47E2641A">
            <w:pPr>
              <w:pStyle w:val="21"/>
              <w:shd w:val="clear"/>
              <w:spacing w:line="360" w:lineRule="auto"/>
              <w:jc w:val="center"/>
              <w:rPr>
                <w:rFonts w:hint="eastAsia" w:hAnsi="宋体" w:cs="宋体"/>
              </w:rPr>
            </w:pPr>
          </w:p>
        </w:tc>
        <w:tc>
          <w:tcPr>
            <w:tcW w:w="987" w:type="pct"/>
            <w:vAlign w:val="center"/>
          </w:tcPr>
          <w:p w14:paraId="1C3892D9">
            <w:pPr>
              <w:pStyle w:val="21"/>
              <w:shd w:val="clear"/>
              <w:spacing w:line="360" w:lineRule="auto"/>
              <w:jc w:val="center"/>
              <w:rPr>
                <w:rFonts w:hint="eastAsia" w:hAnsi="宋体" w:cs="宋体"/>
              </w:rPr>
            </w:pPr>
          </w:p>
        </w:tc>
        <w:tc>
          <w:tcPr>
            <w:tcW w:w="1564" w:type="pct"/>
            <w:vAlign w:val="center"/>
          </w:tcPr>
          <w:p w14:paraId="734D4321">
            <w:pPr>
              <w:pStyle w:val="21"/>
              <w:shd w:val="clear"/>
              <w:spacing w:line="360" w:lineRule="auto"/>
              <w:jc w:val="center"/>
              <w:rPr>
                <w:rFonts w:hint="eastAsia" w:hAnsi="宋体" w:cs="宋体"/>
              </w:rPr>
            </w:pPr>
          </w:p>
        </w:tc>
      </w:tr>
      <w:tr w14:paraId="6C02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14:paraId="124B9110">
            <w:pPr>
              <w:pStyle w:val="21"/>
              <w:shd w:val="clear"/>
              <w:spacing w:line="360" w:lineRule="auto"/>
              <w:jc w:val="center"/>
              <w:rPr>
                <w:rFonts w:hint="eastAsia" w:hAnsi="宋体" w:cs="宋体"/>
              </w:rPr>
            </w:pPr>
            <w:r>
              <w:rPr>
                <w:rFonts w:hint="eastAsia" w:hAnsi="宋体" w:cs="宋体"/>
              </w:rPr>
              <w:t>备注</w:t>
            </w:r>
          </w:p>
        </w:tc>
        <w:tc>
          <w:tcPr>
            <w:tcW w:w="3785" w:type="pct"/>
            <w:gridSpan w:val="4"/>
            <w:vAlign w:val="center"/>
          </w:tcPr>
          <w:p w14:paraId="5F5290C5">
            <w:pPr>
              <w:pStyle w:val="21"/>
              <w:shd w:val="clear"/>
              <w:spacing w:line="360" w:lineRule="auto"/>
              <w:jc w:val="center"/>
              <w:rPr>
                <w:rFonts w:hint="eastAsia" w:hAnsi="宋体" w:cs="宋体"/>
              </w:rPr>
            </w:pPr>
          </w:p>
        </w:tc>
      </w:tr>
    </w:tbl>
    <w:p w14:paraId="28BE5EFA">
      <w:pPr>
        <w:shd w:val="clear"/>
        <w:topLinePunct/>
        <w:autoSpaceDE w:val="0"/>
        <w:autoSpaceDN w:val="0"/>
        <w:spacing w:line="500" w:lineRule="exact"/>
        <w:rPr>
          <w:rFonts w:hint="eastAsia" w:ascii="宋体" w:hAnsi="宋体" w:eastAsia="宋体" w:cs="宋体"/>
          <w:sz w:val="24"/>
        </w:rPr>
      </w:pPr>
    </w:p>
    <w:p w14:paraId="2C11B00C">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14:paraId="089687D2">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1C2DC6D1">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35537C4E">
      <w:pPr>
        <w:pStyle w:val="21"/>
        <w:shd w:val="clear"/>
        <w:ind w:firstLine="420" w:firstLineChars="200"/>
        <w:rPr>
          <w:rFonts w:hint="eastAsia" w:hAnsi="宋体" w:cs="宋体"/>
        </w:rPr>
      </w:pPr>
    </w:p>
    <w:p w14:paraId="217798DF">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5-2 财务状况报告</w:t>
      </w:r>
    </w:p>
    <w:p w14:paraId="67631A79">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14:paraId="37DBCCF5">
      <w:pPr>
        <w:shd w:val="clear"/>
        <w:spacing w:line="360" w:lineRule="auto"/>
        <w:ind w:firstLine="480" w:firstLineChars="200"/>
        <w:jc w:val="left"/>
        <w:rPr>
          <w:rFonts w:hint="eastAsia" w:ascii="宋体" w:hAnsi="宋体" w:eastAsia="宋体" w:cs="宋体"/>
          <w:kern w:val="0"/>
          <w:sz w:val="24"/>
        </w:rPr>
      </w:pPr>
    </w:p>
    <w:p w14:paraId="7C9A75AE">
      <w:pPr>
        <w:shd w:val="clear"/>
        <w:spacing w:line="360" w:lineRule="auto"/>
        <w:ind w:firstLine="480" w:firstLineChars="200"/>
        <w:jc w:val="left"/>
        <w:rPr>
          <w:rFonts w:hint="eastAsia" w:ascii="宋体" w:hAnsi="宋体" w:eastAsia="宋体" w:cs="宋体"/>
          <w:kern w:val="0"/>
          <w:sz w:val="24"/>
        </w:rPr>
      </w:pPr>
    </w:p>
    <w:p w14:paraId="3CF2EC13">
      <w:pPr>
        <w:shd w:val="clea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5-3依法缴纳税收的相关材料</w:t>
      </w:r>
    </w:p>
    <w:p w14:paraId="6A532536">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14:paraId="1B8719FC">
      <w:pPr>
        <w:shd w:val="clear"/>
        <w:spacing w:line="360" w:lineRule="auto"/>
        <w:ind w:firstLine="480" w:firstLineChars="200"/>
        <w:jc w:val="left"/>
        <w:rPr>
          <w:rFonts w:hint="eastAsia" w:ascii="宋体" w:hAnsi="宋体" w:eastAsia="宋体" w:cs="宋体"/>
          <w:kern w:val="0"/>
          <w:sz w:val="24"/>
        </w:rPr>
      </w:pPr>
    </w:p>
    <w:p w14:paraId="6272FC29">
      <w:pPr>
        <w:shd w:val="clear"/>
        <w:spacing w:line="360" w:lineRule="auto"/>
        <w:ind w:firstLine="480" w:firstLineChars="200"/>
        <w:jc w:val="left"/>
        <w:rPr>
          <w:rFonts w:hint="eastAsia" w:ascii="宋体" w:hAnsi="宋体" w:eastAsia="宋体" w:cs="宋体"/>
          <w:kern w:val="0"/>
          <w:sz w:val="24"/>
        </w:rPr>
      </w:pPr>
    </w:p>
    <w:p w14:paraId="27A4E2C9">
      <w:pPr>
        <w:shd w:val="clea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5-4依法缴纳社会保障资金的相关材料</w:t>
      </w:r>
    </w:p>
    <w:p w14:paraId="45BD3196">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14:paraId="7CF08E69">
      <w:pPr>
        <w:shd w:val="clear"/>
        <w:spacing w:line="360" w:lineRule="auto"/>
        <w:ind w:firstLine="480" w:firstLineChars="200"/>
        <w:jc w:val="left"/>
        <w:rPr>
          <w:rFonts w:hint="eastAsia" w:ascii="宋体" w:hAnsi="宋体" w:eastAsia="宋体" w:cs="宋体"/>
          <w:kern w:val="0"/>
          <w:sz w:val="24"/>
        </w:rPr>
      </w:pPr>
    </w:p>
    <w:p w14:paraId="7BC034B8">
      <w:pPr>
        <w:shd w:val="clear"/>
        <w:spacing w:line="360" w:lineRule="auto"/>
        <w:ind w:firstLine="480" w:firstLineChars="200"/>
        <w:jc w:val="left"/>
        <w:rPr>
          <w:rFonts w:hint="eastAsia" w:ascii="宋体" w:hAnsi="宋体" w:eastAsia="宋体" w:cs="宋体"/>
          <w:kern w:val="0"/>
          <w:sz w:val="24"/>
        </w:rPr>
      </w:pPr>
    </w:p>
    <w:p w14:paraId="3D71EDF5">
      <w:pPr>
        <w:shd w:val="clea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5-5具备履行合同所必需的设备和专业技术能力的书面声明</w:t>
      </w:r>
    </w:p>
    <w:p w14:paraId="098342B2">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14:paraId="1435EDC4">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5-6参加本次政府采购活动前三年内在经营活动中</w:t>
      </w:r>
    </w:p>
    <w:p w14:paraId="6889F5A6">
      <w:pPr>
        <w:shd w:val="clea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没有重大违法记录的书面声明</w:t>
      </w:r>
    </w:p>
    <w:p w14:paraId="6BAA8A8A">
      <w:pPr>
        <w:shd w:val="clear"/>
        <w:spacing w:line="360" w:lineRule="auto"/>
        <w:ind w:firstLine="420" w:firstLineChars="200"/>
        <w:rPr>
          <w:rFonts w:hint="eastAsia" w:ascii="宋体" w:hAnsi="宋体" w:eastAsia="宋体" w:cs="宋体"/>
        </w:rPr>
      </w:pPr>
    </w:p>
    <w:p w14:paraId="77787114">
      <w:pPr>
        <w:shd w:val="clear"/>
        <w:spacing w:line="360" w:lineRule="auto"/>
        <w:rPr>
          <w:rFonts w:hint="eastAsia" w:ascii="宋体" w:hAnsi="宋体" w:eastAsia="宋体" w:cs="宋体"/>
        </w:rPr>
      </w:pPr>
      <w:r>
        <w:rPr>
          <w:rFonts w:hint="eastAsia" w:ascii="宋体" w:hAnsi="宋体" w:eastAsia="宋体" w:cs="宋体"/>
        </w:rPr>
        <w:t>致________（采购人或采购代理机构）：</w:t>
      </w:r>
    </w:p>
    <w:p w14:paraId="18012AF6">
      <w:pPr>
        <w:shd w:val="clear"/>
        <w:spacing w:line="360" w:lineRule="auto"/>
        <w:ind w:firstLine="420" w:firstLineChars="200"/>
        <w:rPr>
          <w:rFonts w:hint="eastAsia" w:ascii="宋体" w:hAnsi="宋体" w:eastAsia="宋体" w:cs="宋体"/>
        </w:rPr>
      </w:pPr>
      <w:r>
        <w:rPr>
          <w:rFonts w:hint="eastAsia" w:ascii="宋体" w:hAnsi="宋体" w:eastAsia="宋体" w:cs="宋体"/>
        </w:rPr>
        <w:t>我单位在参加本次采购活动前三年内在经营活动中没有《政府采购法》第二十二条第一款第（五）项所称重大违法记录，包括：</w:t>
      </w:r>
    </w:p>
    <w:p w14:paraId="6854028F">
      <w:pPr>
        <w:shd w:val="clear"/>
        <w:spacing w:line="360" w:lineRule="auto"/>
        <w:ind w:firstLine="420" w:firstLineChars="200"/>
        <w:rPr>
          <w:rFonts w:hint="eastAsia" w:ascii="宋体" w:hAnsi="宋体" w:eastAsia="宋体" w:cs="宋体"/>
        </w:rPr>
      </w:pPr>
      <w:r>
        <w:rPr>
          <w:rFonts w:hint="eastAsia" w:ascii="宋体" w:hAnsi="宋体" w:eastAsia="宋体" w:cs="宋体"/>
        </w:rPr>
        <w:t>我单位未因经营活动中的违法行为受到刑事处罚或者责令停产停业、吊销许可证或者执照、较大数额罚款等行政处罚。</w:t>
      </w:r>
    </w:p>
    <w:p w14:paraId="53518D62">
      <w:pPr>
        <w:shd w:val="clear"/>
        <w:spacing w:line="360" w:lineRule="auto"/>
        <w:ind w:firstLine="420" w:firstLineChars="200"/>
        <w:rPr>
          <w:rFonts w:hint="eastAsia" w:ascii="宋体" w:hAnsi="宋体" w:eastAsia="宋体" w:cs="宋体"/>
        </w:rPr>
      </w:pPr>
      <w:r>
        <w:rPr>
          <w:rFonts w:hint="eastAsia" w:ascii="宋体" w:hAnsi="宋体" w:eastAsia="宋体" w:cs="宋体"/>
        </w:rPr>
        <w:t>特此声明！</w:t>
      </w:r>
    </w:p>
    <w:p w14:paraId="050DC704">
      <w:pPr>
        <w:shd w:val="clear"/>
        <w:spacing w:line="360" w:lineRule="auto"/>
        <w:ind w:firstLine="420" w:firstLineChars="200"/>
        <w:rPr>
          <w:rFonts w:hint="eastAsia" w:ascii="宋体" w:hAnsi="宋体" w:eastAsia="宋体" w:cs="宋体"/>
        </w:rPr>
      </w:pPr>
    </w:p>
    <w:p w14:paraId="4EB5E2FE">
      <w:pPr>
        <w:shd w:val="clear"/>
        <w:spacing w:line="360" w:lineRule="auto"/>
        <w:ind w:firstLine="420" w:firstLineChars="200"/>
        <w:rPr>
          <w:rFonts w:hint="eastAsia" w:ascii="宋体" w:hAnsi="宋体" w:eastAsia="宋体" w:cs="宋体"/>
        </w:rPr>
      </w:pPr>
      <w:r>
        <w:rPr>
          <w:rFonts w:hint="eastAsia" w:ascii="宋体" w:hAnsi="宋体" w:eastAsia="宋体" w:cs="宋体"/>
        </w:rPr>
        <w:t>（请投标人根据实际情况如实声明，否则视为提供虚假材料。）</w:t>
      </w:r>
    </w:p>
    <w:p w14:paraId="4A823C18">
      <w:pPr>
        <w:shd w:val="clear"/>
        <w:spacing w:line="360" w:lineRule="auto"/>
        <w:ind w:firstLine="420" w:firstLineChars="200"/>
        <w:rPr>
          <w:rFonts w:hint="eastAsia" w:ascii="宋体" w:hAnsi="宋体" w:eastAsia="宋体" w:cs="宋体"/>
        </w:rPr>
      </w:pPr>
    </w:p>
    <w:p w14:paraId="52F9947E">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投标人（全称并加盖公章）：             </w:t>
      </w:r>
    </w:p>
    <w:p w14:paraId="6B55F901">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投标人代表（签字或盖章）：             </w:t>
      </w:r>
    </w:p>
    <w:p w14:paraId="4BF908BE">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日期：                                 </w:t>
      </w:r>
    </w:p>
    <w:p w14:paraId="10FAE65E">
      <w:pPr>
        <w:widowControl/>
        <w:shd w:val="clear"/>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rPr>
        <w:t>5-7具备法律、行政法规规定的其他条件的证明材料</w:t>
      </w:r>
    </w:p>
    <w:p w14:paraId="636DBC1E">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14:paraId="33DA5B0D">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5-8联合体协议（若有）</w:t>
      </w:r>
    </w:p>
    <w:p w14:paraId="4ED98A5E">
      <w:pPr>
        <w:pStyle w:val="21"/>
        <w:shd w:val="clear"/>
        <w:topLinePunct/>
        <w:autoSpaceDE w:val="0"/>
        <w:autoSpaceDN w:val="0"/>
        <w:snapToGrid w:val="0"/>
        <w:spacing w:line="360" w:lineRule="auto"/>
        <w:jc w:val="center"/>
        <w:rPr>
          <w:rFonts w:hint="eastAsia" w:hAnsi="宋体" w:cs="宋体"/>
          <w:b/>
          <w:w w:val="150"/>
          <w:sz w:val="24"/>
        </w:rPr>
      </w:pPr>
    </w:p>
    <w:p w14:paraId="60EEC750">
      <w:pPr>
        <w:shd w:val="clear"/>
        <w:spacing w:line="360" w:lineRule="auto"/>
        <w:rPr>
          <w:rFonts w:hint="eastAsia" w:ascii="宋体" w:hAnsi="宋体" w:eastAsia="宋体" w:cs="宋体"/>
        </w:rPr>
      </w:pPr>
      <w:r>
        <w:rPr>
          <w:rFonts w:hint="eastAsia" w:ascii="宋体" w:hAnsi="宋体" w:eastAsia="宋体" w:cs="宋体"/>
        </w:rPr>
        <w:t>致________（采购人或采购代理机构）：</w:t>
      </w:r>
    </w:p>
    <w:p w14:paraId="5D49D016">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经研究，我方决定自愿组成联合体共同参加____________(项目名称、项目编号)项目的投标。现就联合体投标事宜订立如下协议：</w:t>
      </w:r>
    </w:p>
    <w:p w14:paraId="07FB2D73">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一、联合体成员：</w:t>
      </w:r>
    </w:p>
    <w:p w14:paraId="08BBC3FF">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1.____________________</w:t>
      </w:r>
    </w:p>
    <w:p w14:paraId="67A44665">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2.____________________</w:t>
      </w:r>
    </w:p>
    <w:p w14:paraId="21BCC230">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3.____________________</w:t>
      </w:r>
    </w:p>
    <w:p w14:paraId="14BF36A8">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二、____________(某成员单位名称)为____________(联合体名称)牵头人。</w:t>
      </w:r>
    </w:p>
    <w:p w14:paraId="132F7863">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14:paraId="649FE926">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四、联合体将严格按照招标文件的各项要求，递交投标文件，参加投标，履行中标义务和中标后的合同，并向采购人承担连带责任。</w:t>
      </w:r>
    </w:p>
    <w:p w14:paraId="1B96BF12">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五、联合体各成员单位内部的职责分工如下：____________。按照本条上述分工，联合体成员单位各自所承担的合同工作量比例如下：____________。</w:t>
      </w:r>
    </w:p>
    <w:p w14:paraId="069AAB65">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六、本协议书自签署之日起生效，合同履行完毕后自动失效。</w:t>
      </w:r>
    </w:p>
    <w:p w14:paraId="44A047B4">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七、本协议书一式______份，联合体成员和采购人各执一份。</w:t>
      </w:r>
    </w:p>
    <w:p w14:paraId="493D080E">
      <w:pPr>
        <w:shd w:val="clear"/>
        <w:spacing w:line="360" w:lineRule="auto"/>
        <w:ind w:firstLine="420" w:firstLineChars="200"/>
        <w:rPr>
          <w:rFonts w:hint="eastAsia" w:ascii="宋体" w:hAnsi="宋体" w:eastAsia="宋体" w:cs="宋体"/>
          <w:szCs w:val="21"/>
        </w:rPr>
      </w:pPr>
    </w:p>
    <w:p w14:paraId="7BC58615">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牵头人名称(公章)：____________</w:t>
      </w:r>
    </w:p>
    <w:p w14:paraId="6DF9DE85">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法定代表人或其授权代表(签字或盖章)：____________</w:t>
      </w:r>
    </w:p>
    <w:p w14:paraId="1810827A">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成员名称(公章)：____________</w:t>
      </w:r>
    </w:p>
    <w:p w14:paraId="4A7DABA7">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法定代表人或其授权代表(签字或盖章)：____________</w:t>
      </w:r>
    </w:p>
    <w:p w14:paraId="3EE73A84">
      <w:pPr>
        <w:shd w:val="clear"/>
        <w:spacing w:line="360" w:lineRule="auto"/>
        <w:ind w:firstLine="420" w:firstLineChars="200"/>
        <w:rPr>
          <w:rFonts w:hint="eastAsia" w:ascii="宋体" w:hAnsi="宋体" w:eastAsia="宋体" w:cs="宋体"/>
          <w:szCs w:val="21"/>
        </w:rPr>
      </w:pPr>
    </w:p>
    <w:p w14:paraId="08BA31C2">
      <w:pPr>
        <w:shd w:val="clear"/>
        <w:spacing w:line="360" w:lineRule="auto"/>
        <w:ind w:firstLine="420" w:firstLineChars="200"/>
        <w:jc w:val="right"/>
        <w:rPr>
          <w:rFonts w:hint="eastAsia" w:ascii="宋体" w:hAnsi="宋体" w:eastAsia="宋体" w:cs="宋体"/>
          <w:szCs w:val="21"/>
        </w:rPr>
      </w:pPr>
      <w:r>
        <w:rPr>
          <w:rFonts w:hint="eastAsia" w:ascii="宋体" w:hAnsi="宋体" w:eastAsia="宋体" w:cs="宋体"/>
          <w:szCs w:val="21"/>
        </w:rPr>
        <w:t>______年____月____日</w:t>
      </w:r>
    </w:p>
    <w:p w14:paraId="0B248E3E">
      <w:pPr>
        <w:shd w:val="clear"/>
        <w:spacing w:line="360" w:lineRule="auto"/>
        <w:ind w:firstLine="420" w:firstLineChars="200"/>
        <w:rPr>
          <w:rFonts w:hint="eastAsia" w:ascii="宋体" w:hAnsi="宋体" w:eastAsia="宋体" w:cs="宋体"/>
          <w:szCs w:val="21"/>
        </w:rPr>
      </w:pPr>
    </w:p>
    <w:p w14:paraId="2BD34201">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备注：本协议书由授权代表签字的，应附法定代表人签字的授权委托书。</w:t>
      </w:r>
    </w:p>
    <w:p w14:paraId="1A22D98E">
      <w:pPr>
        <w:widowControl/>
        <w:shd w:val="clear"/>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rPr>
        <w:t>5-9其他资格证明文件（若有）</w:t>
      </w:r>
    </w:p>
    <w:p w14:paraId="441EFBF9">
      <w:pPr>
        <w:shd w:val="clear"/>
        <w:rPr>
          <w:rFonts w:hint="eastAsia" w:ascii="宋体" w:hAnsi="宋体" w:eastAsia="宋体" w:cs="宋体"/>
        </w:rPr>
      </w:pPr>
    </w:p>
    <w:p w14:paraId="357EF34E">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14:paraId="2AC4B766">
      <w:pPr>
        <w:shd w:val="clear"/>
        <w:rPr>
          <w:rFonts w:hint="eastAsia" w:ascii="宋体" w:hAnsi="宋体" w:eastAsia="宋体" w:cs="宋体"/>
          <w:sz w:val="24"/>
        </w:rPr>
      </w:pPr>
    </w:p>
    <w:p w14:paraId="7B6D2071">
      <w:pPr>
        <w:shd w:val="clea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格式6  中小企业声明函</w:t>
      </w:r>
    </w:p>
    <w:p w14:paraId="31C4D544">
      <w:pPr>
        <w:widowControl/>
        <w:shd w:val="clear"/>
        <w:jc w:val="center"/>
        <w:rPr>
          <w:rFonts w:hint="eastAsia" w:ascii="宋体" w:hAnsi="宋体" w:eastAsia="宋体" w:cs="宋体"/>
          <w:b/>
          <w:bCs/>
          <w:sz w:val="28"/>
          <w:szCs w:val="28"/>
        </w:rPr>
      </w:pPr>
      <w:r>
        <w:rPr>
          <w:rFonts w:hint="eastAsia" w:ascii="宋体" w:hAnsi="宋体" w:eastAsia="宋体" w:cs="宋体"/>
          <w:b/>
          <w:bCs/>
          <w:sz w:val="28"/>
          <w:szCs w:val="28"/>
        </w:rPr>
        <w:t>中小企业声明函（服务）</w:t>
      </w:r>
    </w:p>
    <w:p w14:paraId="69B6796C">
      <w:pPr>
        <w:widowControl/>
        <w:shd w:val="clear"/>
        <w:spacing w:line="360" w:lineRule="auto"/>
        <w:ind w:firstLine="480" w:firstLineChars="200"/>
        <w:jc w:val="left"/>
        <w:rPr>
          <w:rFonts w:hint="eastAsia" w:ascii="宋体" w:hAnsi="宋体" w:eastAsia="宋体" w:cs="宋体"/>
          <w:kern w:val="0"/>
          <w:sz w:val="24"/>
        </w:rPr>
      </w:pPr>
    </w:p>
    <w:p w14:paraId="498B95DF">
      <w:pPr>
        <w:pStyle w:val="21"/>
        <w:shd w:val="clear"/>
        <w:snapToGrid w:val="0"/>
        <w:spacing w:line="360" w:lineRule="auto"/>
        <w:ind w:firstLine="420" w:firstLineChars="200"/>
        <w:rPr>
          <w:rFonts w:hint="eastAsia" w:hAnsi="宋体" w:cs="宋体"/>
        </w:rPr>
      </w:pPr>
      <w:r>
        <w:rPr>
          <w:rFonts w:hint="eastAsia" w:hAnsi="宋体" w:cs="宋体"/>
        </w:rPr>
        <w:t>本公司（联合体）郑重声明，根据《政府采购促进中小企业发展管理办法》（财库﹝2020﹞46 号）的规定，本公司（联合体）参加</w:t>
      </w:r>
      <w:r>
        <w:rPr>
          <w:rFonts w:hint="eastAsia" w:hAnsi="宋体" w:cs="宋体"/>
          <w:i/>
          <w:iCs/>
          <w:u w:val="single"/>
        </w:rPr>
        <w:t>（单位名称）</w:t>
      </w:r>
      <w:r>
        <w:rPr>
          <w:rFonts w:hint="eastAsia" w:hAnsi="宋体" w:cs="宋体"/>
        </w:rPr>
        <w:t>的</w:t>
      </w:r>
      <w:r>
        <w:rPr>
          <w:rFonts w:hint="eastAsia" w:hAnsi="宋体" w:cs="宋体"/>
          <w:i/>
          <w:iCs/>
          <w:u w:val="single"/>
        </w:rPr>
        <w:t>（项目名称）</w:t>
      </w:r>
      <w:r>
        <w:rPr>
          <w:rFonts w:hint="eastAsia" w:hAnsi="宋体" w:cs="宋体"/>
        </w:rPr>
        <w:t>采购活动，服务全部由符合政策要求的中小企业承接。相关企业（含联合体中的中小企业、签订分包意向协议的中小企业）的具体情况如下：</w:t>
      </w:r>
    </w:p>
    <w:p w14:paraId="1DB01B33">
      <w:pPr>
        <w:pStyle w:val="21"/>
        <w:shd w:val="clear"/>
        <w:snapToGrid w:val="0"/>
        <w:spacing w:line="360" w:lineRule="auto"/>
        <w:ind w:firstLine="420" w:firstLineChars="200"/>
        <w:rPr>
          <w:rFonts w:hint="eastAsia" w:hAnsi="宋体" w:cs="宋体"/>
        </w:rPr>
      </w:pPr>
      <w:r>
        <w:rPr>
          <w:rFonts w:hint="eastAsia" w:hAnsi="宋体" w:cs="宋体"/>
        </w:rPr>
        <w:t>1.</w:t>
      </w:r>
      <w:r>
        <w:rPr>
          <w:rFonts w:hint="eastAsia" w:hAnsi="宋体" w:cs="宋体"/>
          <w:i/>
          <w:iCs/>
          <w:u w:val="single"/>
        </w:rPr>
        <w:t xml:space="preserve"> （标的名称） </w:t>
      </w:r>
      <w:r>
        <w:rPr>
          <w:rFonts w:hint="eastAsia" w:hAnsi="宋体" w:cs="宋体"/>
        </w:rPr>
        <w:t>，属于</w:t>
      </w:r>
      <w:r>
        <w:rPr>
          <w:rFonts w:hint="eastAsia" w:hAnsi="宋体" w:cs="宋体"/>
          <w:i/>
          <w:iCs/>
          <w:u w:val="single"/>
        </w:rPr>
        <w:t>（采购文件中明确的所属行业）</w:t>
      </w:r>
      <w:r>
        <w:rPr>
          <w:rFonts w:hint="eastAsia" w:hAnsi="宋体" w:cs="宋体"/>
        </w:rPr>
        <w:t>；承建（承接）企业为</w:t>
      </w:r>
      <w:r>
        <w:rPr>
          <w:rFonts w:hint="eastAsia" w:hAnsi="宋体" w:cs="宋体"/>
          <w:i/>
          <w:iCs/>
          <w:u w:val="single"/>
        </w:rPr>
        <w:t>（企业名称）</w:t>
      </w:r>
      <w:r>
        <w:rPr>
          <w:rFonts w:hint="eastAsia" w:hAnsi="宋体" w:cs="宋体"/>
        </w:rPr>
        <w:t>，从业人员</w:t>
      </w:r>
      <w:r>
        <w:rPr>
          <w:rFonts w:hint="eastAsia" w:hAnsi="宋体" w:cs="宋体"/>
          <w:u w:val="single"/>
        </w:rPr>
        <w:tab/>
      </w:r>
      <w:r>
        <w:rPr>
          <w:rFonts w:hint="eastAsia" w:hAnsi="宋体" w:cs="宋体"/>
          <w:u w:val="single"/>
        </w:rPr>
        <w:t xml:space="preserve">   </w:t>
      </w:r>
      <w:r>
        <w:rPr>
          <w:rFonts w:hint="eastAsia" w:hAnsi="宋体" w:cs="宋体"/>
        </w:rPr>
        <w:t>人，营业收入为</w:t>
      </w:r>
      <w:r>
        <w:rPr>
          <w:rFonts w:hint="eastAsia" w:hAnsi="宋体" w:cs="宋体"/>
          <w:u w:val="single"/>
        </w:rPr>
        <w:tab/>
      </w:r>
      <w:r>
        <w:rPr>
          <w:rFonts w:hint="eastAsia" w:hAnsi="宋体" w:cs="宋体"/>
          <w:u w:val="single"/>
        </w:rPr>
        <w:t xml:space="preserve">   </w:t>
      </w:r>
      <w:r>
        <w:rPr>
          <w:rFonts w:hint="eastAsia" w:hAnsi="宋体" w:cs="宋体"/>
        </w:rPr>
        <w:t>万元，资产总额为</w:t>
      </w:r>
      <w:r>
        <w:rPr>
          <w:rFonts w:hint="eastAsia" w:hAnsi="宋体" w:cs="宋体"/>
          <w:u w:val="single"/>
        </w:rPr>
        <w:tab/>
      </w:r>
      <w:r>
        <w:rPr>
          <w:rFonts w:hint="eastAsia" w:hAnsi="宋体" w:cs="宋体"/>
          <w:u w:val="single"/>
        </w:rPr>
        <w:t xml:space="preserve">   </w:t>
      </w:r>
      <w:r>
        <w:rPr>
          <w:rFonts w:hint="eastAsia" w:hAnsi="宋体" w:cs="宋体"/>
        </w:rPr>
        <w:t>万元</w:t>
      </w:r>
      <w:r>
        <w:rPr>
          <w:rFonts w:hint="eastAsia" w:hAnsi="宋体" w:cs="宋体"/>
          <w:vertAlign w:val="superscript"/>
        </w:rPr>
        <w:t>1</w:t>
      </w:r>
      <w:r>
        <w:rPr>
          <w:rFonts w:hint="eastAsia" w:hAnsi="宋体" w:cs="宋体"/>
        </w:rPr>
        <w:t>，属于</w:t>
      </w:r>
      <w:r>
        <w:rPr>
          <w:rFonts w:hint="eastAsia" w:hAnsi="宋体" w:cs="宋体"/>
          <w:i/>
          <w:iCs/>
          <w:u w:val="single"/>
        </w:rPr>
        <w:t>（中型企业、小型企业、微型企业）</w:t>
      </w:r>
      <w:r>
        <w:rPr>
          <w:rFonts w:hint="eastAsia" w:hAnsi="宋体" w:cs="宋体"/>
        </w:rPr>
        <w:t xml:space="preserve">； </w:t>
      </w:r>
    </w:p>
    <w:p w14:paraId="78F65469">
      <w:pPr>
        <w:pStyle w:val="21"/>
        <w:shd w:val="clear"/>
        <w:snapToGrid w:val="0"/>
        <w:spacing w:line="360" w:lineRule="auto"/>
        <w:ind w:firstLine="420" w:firstLineChars="200"/>
        <w:rPr>
          <w:rFonts w:hint="eastAsia" w:hAnsi="宋体" w:cs="宋体"/>
        </w:rPr>
      </w:pPr>
      <w:r>
        <w:rPr>
          <w:rFonts w:hint="eastAsia" w:hAnsi="宋体" w:cs="宋体"/>
        </w:rPr>
        <w:t>2.</w:t>
      </w:r>
      <w:r>
        <w:rPr>
          <w:rFonts w:hint="eastAsia" w:hAnsi="宋体" w:cs="宋体"/>
          <w:i/>
          <w:iCs/>
          <w:u w:val="single"/>
        </w:rPr>
        <w:t xml:space="preserve"> （标的名称） </w:t>
      </w:r>
      <w:r>
        <w:rPr>
          <w:rFonts w:hint="eastAsia" w:hAnsi="宋体" w:cs="宋体"/>
        </w:rPr>
        <w:t>，属于</w:t>
      </w:r>
      <w:r>
        <w:rPr>
          <w:rFonts w:hint="eastAsia" w:hAnsi="宋体" w:cs="宋体"/>
          <w:i/>
          <w:iCs/>
          <w:u w:val="single"/>
        </w:rPr>
        <w:t>（采购文件中明确的所属行业）</w:t>
      </w:r>
      <w:r>
        <w:rPr>
          <w:rFonts w:hint="eastAsia" w:hAnsi="宋体" w:cs="宋体"/>
        </w:rPr>
        <w:t>；承建（承接）企业为</w:t>
      </w:r>
      <w:r>
        <w:rPr>
          <w:rFonts w:hint="eastAsia" w:hAnsi="宋体" w:cs="宋体"/>
          <w:i/>
          <w:iCs/>
          <w:u w:val="single"/>
        </w:rPr>
        <w:t>（企业名称）</w:t>
      </w:r>
      <w:r>
        <w:rPr>
          <w:rFonts w:hint="eastAsia" w:hAnsi="宋体" w:cs="宋体"/>
        </w:rPr>
        <w:t>，从业人员</w:t>
      </w:r>
      <w:r>
        <w:rPr>
          <w:rFonts w:hint="eastAsia" w:hAnsi="宋体" w:cs="宋体"/>
          <w:u w:val="single"/>
        </w:rPr>
        <w:tab/>
      </w:r>
      <w:r>
        <w:rPr>
          <w:rFonts w:hint="eastAsia" w:hAnsi="宋体" w:cs="宋体"/>
          <w:u w:val="single"/>
        </w:rPr>
        <w:t xml:space="preserve">   </w:t>
      </w:r>
      <w:r>
        <w:rPr>
          <w:rFonts w:hint="eastAsia" w:hAnsi="宋体" w:cs="宋体"/>
        </w:rPr>
        <w:t>人，营业收入为</w:t>
      </w:r>
      <w:r>
        <w:rPr>
          <w:rFonts w:hint="eastAsia" w:hAnsi="宋体" w:cs="宋体"/>
          <w:u w:val="single"/>
        </w:rPr>
        <w:tab/>
      </w:r>
      <w:r>
        <w:rPr>
          <w:rFonts w:hint="eastAsia" w:hAnsi="宋体" w:cs="宋体"/>
          <w:u w:val="single"/>
        </w:rPr>
        <w:t xml:space="preserve">   </w:t>
      </w:r>
      <w:r>
        <w:rPr>
          <w:rFonts w:hint="eastAsia" w:hAnsi="宋体" w:cs="宋体"/>
        </w:rPr>
        <w:t>万元，资产总额为</w:t>
      </w:r>
      <w:r>
        <w:rPr>
          <w:rFonts w:hint="eastAsia" w:hAnsi="宋体" w:cs="宋体"/>
          <w:u w:val="single"/>
        </w:rPr>
        <w:tab/>
      </w:r>
      <w:r>
        <w:rPr>
          <w:rFonts w:hint="eastAsia" w:hAnsi="宋体" w:cs="宋体"/>
          <w:u w:val="single"/>
        </w:rPr>
        <w:t xml:space="preserve">   </w:t>
      </w:r>
      <w:r>
        <w:rPr>
          <w:rFonts w:hint="eastAsia" w:hAnsi="宋体" w:cs="宋体"/>
        </w:rPr>
        <w:t>万元</w:t>
      </w:r>
      <w:r>
        <w:rPr>
          <w:rFonts w:hint="eastAsia" w:hAnsi="宋体" w:cs="宋体"/>
          <w:vertAlign w:val="superscript"/>
        </w:rPr>
        <w:t>1</w:t>
      </w:r>
      <w:r>
        <w:rPr>
          <w:rFonts w:hint="eastAsia" w:hAnsi="宋体" w:cs="宋体"/>
        </w:rPr>
        <w:t>，属于</w:t>
      </w:r>
      <w:r>
        <w:rPr>
          <w:rFonts w:hint="eastAsia" w:hAnsi="宋体" w:cs="宋体"/>
          <w:i/>
          <w:iCs/>
          <w:u w:val="single"/>
        </w:rPr>
        <w:t>（中型企业、小型企业、微型企业）</w:t>
      </w:r>
      <w:r>
        <w:rPr>
          <w:rFonts w:hint="eastAsia" w:hAnsi="宋体" w:cs="宋体"/>
        </w:rPr>
        <w:t xml:space="preserve">； </w:t>
      </w:r>
    </w:p>
    <w:p w14:paraId="403A36F3">
      <w:pPr>
        <w:pStyle w:val="21"/>
        <w:shd w:val="clear"/>
        <w:snapToGrid w:val="0"/>
        <w:spacing w:line="360" w:lineRule="auto"/>
        <w:ind w:firstLine="420" w:firstLineChars="200"/>
        <w:rPr>
          <w:rFonts w:hint="eastAsia" w:hAnsi="宋体" w:cs="宋体"/>
        </w:rPr>
      </w:pPr>
      <w:r>
        <w:rPr>
          <w:rFonts w:hint="eastAsia" w:hAnsi="宋体" w:cs="宋体"/>
        </w:rPr>
        <w:t>……</w:t>
      </w:r>
    </w:p>
    <w:p w14:paraId="5F9E2915">
      <w:pPr>
        <w:pStyle w:val="21"/>
        <w:shd w:val="clear"/>
        <w:snapToGrid w:val="0"/>
        <w:spacing w:line="360" w:lineRule="auto"/>
        <w:ind w:firstLine="420" w:firstLineChars="200"/>
        <w:rPr>
          <w:rFonts w:hint="eastAsia" w:hAnsi="宋体" w:cs="宋体"/>
        </w:rPr>
      </w:pPr>
      <w:r>
        <w:rPr>
          <w:rFonts w:hint="eastAsia" w:hAnsi="宋体" w:cs="宋体"/>
        </w:rPr>
        <w:t>以上企业，不属于大企业的分支机构，不存在控股股东为大企业的情形，也不存在与大企业的负责人为同一人的情形。</w:t>
      </w:r>
    </w:p>
    <w:p w14:paraId="29FB6B6F">
      <w:pPr>
        <w:pStyle w:val="21"/>
        <w:shd w:val="clear"/>
        <w:snapToGrid w:val="0"/>
        <w:spacing w:line="360" w:lineRule="auto"/>
        <w:ind w:firstLine="420" w:firstLineChars="200"/>
        <w:rPr>
          <w:rFonts w:hint="eastAsia" w:hAnsi="宋体" w:cs="宋体"/>
        </w:rPr>
      </w:pPr>
      <w:r>
        <w:rPr>
          <w:rFonts w:hint="eastAsia" w:hAnsi="宋体" w:cs="宋体"/>
        </w:rPr>
        <w:t xml:space="preserve">本企业对上述声明内容的真实性负责。如有虚假，将依法承担相应责任。 </w:t>
      </w:r>
    </w:p>
    <w:p w14:paraId="2DB1B231">
      <w:pPr>
        <w:pStyle w:val="21"/>
        <w:shd w:val="clear"/>
        <w:snapToGrid w:val="0"/>
        <w:spacing w:line="360" w:lineRule="auto"/>
        <w:ind w:firstLine="420" w:firstLineChars="200"/>
        <w:rPr>
          <w:rFonts w:hint="eastAsia" w:hAnsi="宋体" w:cs="宋体"/>
        </w:rPr>
      </w:pPr>
    </w:p>
    <w:p w14:paraId="7818490A">
      <w:pPr>
        <w:pStyle w:val="21"/>
        <w:shd w:val="clear"/>
        <w:snapToGrid w:val="0"/>
        <w:spacing w:line="360" w:lineRule="auto"/>
        <w:ind w:firstLine="420" w:firstLineChars="200"/>
        <w:rPr>
          <w:rFonts w:hint="eastAsia" w:hAnsi="宋体" w:cs="宋体"/>
        </w:rPr>
      </w:pPr>
    </w:p>
    <w:p w14:paraId="73F69833">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14:paraId="4B759FB4">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48C45472">
      <w:pPr>
        <w:pStyle w:val="21"/>
        <w:shd w:val="clear"/>
        <w:snapToGrid w:val="0"/>
        <w:spacing w:line="360" w:lineRule="auto"/>
        <w:ind w:firstLine="480" w:firstLineChars="200"/>
        <w:rPr>
          <w:rFonts w:hint="eastAsia" w:hAnsi="宋体" w:cs="宋体"/>
          <w:sz w:val="24"/>
          <w:szCs w:val="24"/>
        </w:rPr>
      </w:pPr>
    </w:p>
    <w:p w14:paraId="104DAF2A">
      <w:pPr>
        <w:pStyle w:val="21"/>
        <w:shd w:val="clear"/>
        <w:snapToGrid w:val="0"/>
        <w:spacing w:line="360" w:lineRule="auto"/>
        <w:ind w:firstLine="480" w:firstLineChars="200"/>
        <w:rPr>
          <w:rFonts w:hint="eastAsia" w:hAnsi="宋体" w:cs="宋体"/>
          <w:sz w:val="24"/>
          <w:szCs w:val="24"/>
        </w:rPr>
      </w:pPr>
    </w:p>
    <w:p w14:paraId="32241F51">
      <w:pPr>
        <w:widowControl/>
        <w:shd w:val="clear"/>
        <w:rPr>
          <w:rFonts w:hint="eastAsia" w:ascii="宋体" w:hAnsi="宋体" w:eastAsia="宋体" w:cs="宋体"/>
        </w:rPr>
      </w:pPr>
    </w:p>
    <w:p w14:paraId="58F30C0A">
      <w:pPr>
        <w:widowControl/>
        <w:numPr>
          <w:ilvl w:val="255"/>
          <w:numId w:val="0"/>
        </w:numPr>
        <w:shd w:val="clear"/>
        <w:jc w:val="left"/>
        <w:rPr>
          <w:rFonts w:hint="eastAsia" w:ascii="宋体" w:hAnsi="宋体" w:eastAsia="宋体" w:cs="宋体"/>
          <w:kern w:val="0"/>
          <w:sz w:val="18"/>
          <w:szCs w:val="18"/>
        </w:rPr>
      </w:pPr>
      <w:r>
        <w:rPr>
          <w:rFonts w:hint="eastAsia" w:ascii="宋体" w:hAnsi="宋体" w:eastAsia="宋体" w:cs="宋体"/>
          <w:kern w:val="0"/>
          <w:sz w:val="18"/>
          <w:szCs w:val="18"/>
        </w:rPr>
        <w:t>1.从业人员、营业收入、资产总额填报上一年度数据，无上一年度数据的新成立企业可不填报。</w:t>
      </w:r>
    </w:p>
    <w:p w14:paraId="5FAA6D63">
      <w:pPr>
        <w:widowControl/>
        <w:numPr>
          <w:ilvl w:val="255"/>
          <w:numId w:val="0"/>
        </w:numPr>
        <w:shd w:val="clear"/>
        <w:jc w:val="left"/>
        <w:rPr>
          <w:rFonts w:hint="eastAsia" w:ascii="宋体" w:hAnsi="宋体" w:eastAsia="宋体" w:cs="宋体"/>
          <w:kern w:val="0"/>
          <w:sz w:val="18"/>
          <w:szCs w:val="18"/>
        </w:rPr>
      </w:pPr>
      <w:r>
        <w:rPr>
          <w:rFonts w:hint="eastAsia" w:ascii="宋体" w:hAnsi="宋体" w:eastAsia="宋体" w:cs="宋体"/>
          <w:kern w:val="0"/>
          <w:sz w:val="18"/>
          <w:szCs w:val="1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25E18A">
      <w:pPr>
        <w:widowControl/>
        <w:numPr>
          <w:ilvl w:val="255"/>
          <w:numId w:val="0"/>
        </w:numPr>
        <w:shd w:val="clear"/>
        <w:jc w:val="left"/>
        <w:rPr>
          <w:rFonts w:hint="eastAsia" w:ascii="宋体" w:hAnsi="宋体" w:eastAsia="宋体" w:cs="宋体"/>
          <w:kern w:val="0"/>
          <w:sz w:val="18"/>
          <w:szCs w:val="18"/>
        </w:rPr>
      </w:pPr>
      <w:r>
        <w:rPr>
          <w:rFonts w:hint="eastAsia" w:ascii="宋体" w:hAnsi="宋体" w:eastAsia="宋体" w:cs="宋体"/>
          <w:kern w:val="0"/>
          <w:sz w:val="18"/>
          <w:szCs w:val="18"/>
        </w:rPr>
        <w:t>3.投标人应当对其出具的《中小企业声明函》真实性负责，投标人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07D7FBF4">
      <w:pPr>
        <w:pStyle w:val="21"/>
        <w:shd w:val="clear"/>
        <w:snapToGrid w:val="0"/>
        <w:spacing w:line="360" w:lineRule="auto"/>
        <w:ind w:firstLine="480" w:firstLineChars="200"/>
        <w:rPr>
          <w:rFonts w:hint="eastAsia" w:hAnsi="宋体" w:cs="宋体"/>
          <w:sz w:val="24"/>
          <w:szCs w:val="24"/>
        </w:rPr>
      </w:pPr>
    </w:p>
    <w:p w14:paraId="4C21F42F">
      <w:pPr>
        <w:pStyle w:val="21"/>
        <w:shd w:val="clear"/>
        <w:topLinePunct/>
        <w:autoSpaceDE w:val="0"/>
        <w:autoSpaceDN w:val="0"/>
        <w:spacing w:line="460" w:lineRule="exact"/>
        <w:jc w:val="center"/>
        <w:rPr>
          <w:rFonts w:hint="eastAsia" w:hAnsi="宋体" w:cs="宋体"/>
          <w:b/>
          <w:bCs/>
          <w:sz w:val="28"/>
          <w:szCs w:val="28"/>
        </w:rPr>
      </w:pPr>
      <w:r>
        <w:rPr>
          <w:rFonts w:hint="eastAsia" w:hAnsi="宋体" w:cs="宋体"/>
          <w:sz w:val="24"/>
        </w:rPr>
        <w:br w:type="page"/>
      </w:r>
      <w:r>
        <w:rPr>
          <w:rFonts w:hint="eastAsia" w:hAnsi="宋体" w:cs="宋体"/>
          <w:b/>
          <w:bCs/>
          <w:sz w:val="28"/>
          <w:szCs w:val="28"/>
        </w:rPr>
        <w:t>格式7  残疾人福利性单位声明函</w:t>
      </w:r>
    </w:p>
    <w:p w14:paraId="2A5DE69B">
      <w:pPr>
        <w:pStyle w:val="21"/>
        <w:shd w:val="clear"/>
        <w:topLinePunct/>
        <w:autoSpaceDE w:val="0"/>
        <w:autoSpaceDN w:val="0"/>
        <w:spacing w:line="460" w:lineRule="exact"/>
        <w:jc w:val="center"/>
        <w:rPr>
          <w:rFonts w:hint="eastAsia" w:hAnsi="宋体" w:cs="宋体"/>
          <w:b/>
          <w:bCs/>
          <w:sz w:val="28"/>
          <w:szCs w:val="28"/>
        </w:rPr>
      </w:pPr>
    </w:p>
    <w:p w14:paraId="59D73B29">
      <w:pPr>
        <w:pStyle w:val="76"/>
        <w:shd w:val="clear"/>
        <w:ind w:firstLine="480"/>
        <w:rPr>
          <w:rFonts w:ascii="宋体" w:hAnsi="宋体" w:cs="宋体"/>
          <w:sz w:val="18"/>
          <w:szCs w:val="18"/>
        </w:rPr>
      </w:pPr>
      <w:r>
        <w:rPr>
          <w:rFonts w:ascii="宋体" w:hAnsi="宋体" w:cs="宋体"/>
          <w:sz w:val="18"/>
          <w:szCs w:val="18"/>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12BEC20">
      <w:pPr>
        <w:pStyle w:val="76"/>
        <w:shd w:val="clear"/>
        <w:ind w:firstLine="480"/>
        <w:rPr>
          <w:rFonts w:ascii="宋体" w:hAnsi="宋体" w:cs="宋体"/>
          <w:sz w:val="18"/>
          <w:szCs w:val="18"/>
        </w:rPr>
      </w:pPr>
      <w:r>
        <w:rPr>
          <w:rFonts w:ascii="宋体" w:hAnsi="宋体" w:cs="宋体"/>
          <w:sz w:val="18"/>
          <w:szCs w:val="18"/>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3A7643">
      <w:pPr>
        <w:pStyle w:val="76"/>
        <w:shd w:val="clear"/>
        <w:ind w:firstLine="480"/>
        <w:rPr>
          <w:rFonts w:ascii="宋体" w:hAnsi="宋体" w:cs="宋体"/>
          <w:sz w:val="18"/>
          <w:szCs w:val="18"/>
        </w:rPr>
      </w:pPr>
      <w:r>
        <w:rPr>
          <w:rFonts w:ascii="宋体" w:hAnsi="宋体" w:cs="宋体"/>
          <w:sz w:val="18"/>
          <w:szCs w:val="18"/>
        </w:rPr>
        <w:t>（ ）由本投标人承建的（填写“所投采购包、品目号”）工程</w:t>
      </w:r>
    </w:p>
    <w:p w14:paraId="175828BA">
      <w:pPr>
        <w:pStyle w:val="76"/>
        <w:shd w:val="clear"/>
        <w:ind w:firstLine="480"/>
        <w:rPr>
          <w:rFonts w:ascii="宋体" w:hAnsi="宋体" w:cs="宋体"/>
          <w:sz w:val="18"/>
          <w:szCs w:val="18"/>
        </w:rPr>
      </w:pPr>
      <w:r>
        <w:rPr>
          <w:rFonts w:ascii="宋体" w:hAnsi="宋体" w:cs="宋体"/>
          <w:sz w:val="18"/>
          <w:szCs w:val="18"/>
        </w:rPr>
        <w:t>（ ）由本投标人承接的（填写“所投采购包、品目号”）服务；</w:t>
      </w:r>
    </w:p>
    <w:p w14:paraId="44AD32E0">
      <w:pPr>
        <w:pStyle w:val="76"/>
        <w:shd w:val="clear"/>
        <w:ind w:firstLine="480"/>
        <w:rPr>
          <w:rFonts w:ascii="宋体" w:hAnsi="宋体" w:cs="宋体"/>
          <w:sz w:val="18"/>
          <w:szCs w:val="18"/>
        </w:rPr>
      </w:pPr>
      <w:r>
        <w:rPr>
          <w:rFonts w:ascii="宋体" w:hAnsi="宋体" w:cs="宋体"/>
          <w:sz w:val="18"/>
          <w:szCs w:val="18"/>
        </w:rPr>
        <w:t>本投标人对上述声明的真实性负责。如有虚假，将依法承担相应责任。</w:t>
      </w:r>
    </w:p>
    <w:p w14:paraId="74EC6025">
      <w:pPr>
        <w:pStyle w:val="76"/>
        <w:shd w:val="clear"/>
        <w:ind w:firstLine="480"/>
        <w:rPr>
          <w:rFonts w:ascii="宋体" w:hAnsi="宋体" w:cs="宋体"/>
          <w:sz w:val="18"/>
          <w:szCs w:val="18"/>
        </w:rPr>
      </w:pPr>
      <w:r>
        <w:rPr>
          <w:rFonts w:ascii="宋体" w:hAnsi="宋体" w:cs="宋体"/>
          <w:sz w:val="18"/>
          <w:szCs w:val="18"/>
        </w:rPr>
        <w:t>备注：</w:t>
      </w:r>
    </w:p>
    <w:p w14:paraId="7216B7C2">
      <w:pPr>
        <w:pStyle w:val="76"/>
        <w:shd w:val="clear"/>
        <w:ind w:firstLine="480"/>
        <w:rPr>
          <w:rFonts w:ascii="宋体" w:hAnsi="宋体" w:cs="宋体"/>
          <w:sz w:val="18"/>
          <w:szCs w:val="18"/>
        </w:rPr>
      </w:pPr>
      <w:r>
        <w:rPr>
          <w:rFonts w:ascii="宋体" w:hAnsi="宋体" w:cs="宋体"/>
          <w:sz w:val="18"/>
          <w:szCs w:val="18"/>
        </w:rPr>
        <w:t>1、请投标人按照实际情况编制填写本声明函，并在相应的（）中打“√”。</w:t>
      </w:r>
    </w:p>
    <w:p w14:paraId="6DD27C24">
      <w:pPr>
        <w:pStyle w:val="76"/>
        <w:shd w:val="clear"/>
        <w:ind w:firstLine="480"/>
        <w:rPr>
          <w:rFonts w:ascii="宋体" w:hAnsi="宋体" w:cs="宋体"/>
          <w:sz w:val="18"/>
          <w:szCs w:val="18"/>
        </w:rPr>
      </w:pPr>
      <w:r>
        <w:rPr>
          <w:rFonts w:ascii="宋体" w:hAnsi="宋体" w:cs="宋体"/>
          <w:sz w:val="18"/>
          <w:szCs w:val="18"/>
        </w:rPr>
        <w:t>2、若《残疾人福利性单位声明函》内容不真实，视为提供虚假材料。</w:t>
      </w:r>
    </w:p>
    <w:p w14:paraId="31C382F4">
      <w:pPr>
        <w:pStyle w:val="76"/>
        <w:shd w:val="clear"/>
        <w:ind w:firstLine="480"/>
        <w:jc w:val="right"/>
        <w:rPr>
          <w:rFonts w:ascii="宋体" w:hAnsi="宋体" w:cs="宋体"/>
        </w:rPr>
      </w:pPr>
      <w:r>
        <w:rPr>
          <w:rFonts w:ascii="宋体" w:hAnsi="宋体" w:cs="宋体"/>
        </w:rPr>
        <w:t>投标人：</w:t>
      </w:r>
      <w:r>
        <w:rPr>
          <w:rFonts w:ascii="宋体" w:hAnsi="宋体" w:cs="宋体"/>
          <w:u w:val="single"/>
        </w:rPr>
        <w:t>（全称并加盖单位公章）</w:t>
      </w:r>
    </w:p>
    <w:p w14:paraId="1B3FB58A">
      <w:pPr>
        <w:pStyle w:val="76"/>
        <w:shd w:val="clear"/>
        <w:ind w:firstLine="480"/>
        <w:jc w:val="right"/>
        <w:rPr>
          <w:rFonts w:ascii="宋体" w:hAnsi="宋体" w:cs="宋体"/>
        </w:rPr>
      </w:pPr>
      <w:r>
        <w:rPr>
          <w:rFonts w:ascii="宋体" w:hAnsi="宋体" w:cs="宋体"/>
        </w:rPr>
        <w:t>日期：</w:t>
      </w:r>
      <w:r>
        <w:rPr>
          <w:rFonts w:ascii="宋体" w:hAnsi="宋体" w:cs="宋体"/>
          <w:u w:val="single"/>
        </w:rPr>
        <w:t>　　年　　月　　日</w:t>
      </w:r>
    </w:p>
    <w:p w14:paraId="7DE6398C">
      <w:pPr>
        <w:pStyle w:val="76"/>
        <w:shd w:val="clear"/>
        <w:ind w:firstLine="960"/>
        <w:jc w:val="center"/>
        <w:rPr>
          <w:rFonts w:ascii="仿宋_GB2312" w:hAnsi="仿宋_GB2312" w:eastAsia="仿宋_GB2312" w:cs="仿宋_GB2312"/>
          <w:b/>
          <w:sz w:val="24"/>
        </w:rPr>
      </w:pPr>
    </w:p>
    <w:p w14:paraId="61805981">
      <w:pPr>
        <w:pStyle w:val="76"/>
        <w:shd w:val="clear"/>
        <w:ind w:firstLine="960"/>
        <w:jc w:val="center"/>
        <w:rPr>
          <w:rFonts w:ascii="仿宋_GB2312" w:hAnsi="仿宋_GB2312" w:eastAsia="仿宋_GB2312" w:cs="仿宋_GB2312"/>
          <w:b/>
          <w:sz w:val="24"/>
        </w:rPr>
      </w:pPr>
    </w:p>
    <w:p w14:paraId="7AE3EE5A">
      <w:pPr>
        <w:pStyle w:val="76"/>
        <w:shd w:val="clear"/>
        <w:ind w:firstLine="960"/>
        <w:jc w:val="center"/>
        <w:rPr>
          <w:rFonts w:ascii="仿宋_GB2312" w:hAnsi="仿宋_GB2312" w:eastAsia="仿宋_GB2312" w:cs="仿宋_GB2312"/>
          <w:b/>
          <w:sz w:val="24"/>
        </w:rPr>
      </w:pPr>
    </w:p>
    <w:p w14:paraId="32ABA71E">
      <w:pPr>
        <w:pStyle w:val="76"/>
        <w:shd w:val="clear"/>
        <w:ind w:firstLine="960"/>
        <w:jc w:val="center"/>
        <w:rPr>
          <w:rFonts w:hint="default"/>
        </w:rPr>
      </w:pPr>
      <w:r>
        <w:rPr>
          <w:rFonts w:ascii="仿宋_GB2312" w:hAnsi="仿宋_GB2312" w:eastAsia="仿宋_GB2312" w:cs="仿宋_GB2312"/>
          <w:b/>
          <w:sz w:val="24"/>
        </w:rPr>
        <w:t>监狱企业证明材料</w:t>
      </w:r>
    </w:p>
    <w:p w14:paraId="393FC2EB">
      <w:pPr>
        <w:shd w:val="clear"/>
        <w:topLinePunct/>
        <w:autoSpaceDE w:val="0"/>
        <w:autoSpaceDN w:val="0"/>
        <w:spacing w:line="460" w:lineRule="exact"/>
        <w:jc w:val="center"/>
        <w:rPr>
          <w:rFonts w:hint="eastAsia" w:ascii="宋体" w:hAnsi="宋体" w:eastAsia="宋体" w:cs="宋体"/>
          <w:spacing w:val="6"/>
          <w:szCs w:val="21"/>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40FE9F4A">
      <w:pPr>
        <w:shd w:val="clear"/>
        <w:rPr>
          <w:rFonts w:hint="eastAsia" w:ascii="宋体" w:hAnsi="宋体" w:eastAsia="宋体" w:cs="宋体"/>
          <w:b/>
          <w:bCs/>
          <w:sz w:val="28"/>
          <w:szCs w:val="28"/>
        </w:rPr>
      </w:pPr>
    </w:p>
    <w:p w14:paraId="369CDDB9">
      <w:pPr>
        <w:pStyle w:val="74"/>
        <w:shd w:val="clear"/>
        <w:tabs>
          <w:tab w:val="left" w:pos="420"/>
        </w:tabs>
        <w:snapToGrid w:val="0"/>
        <w:spacing w:line="460" w:lineRule="atLeast"/>
        <w:rPr>
          <w:rFonts w:hint="eastAsia" w:ascii="宋体" w:hAnsi="宋体" w:eastAsia="宋体" w:cs="宋体"/>
          <w:b/>
          <w:bCs/>
          <w:sz w:val="28"/>
          <w:szCs w:val="28"/>
        </w:rPr>
      </w:pPr>
      <w:bookmarkStart w:id="37" w:name="_Toc1652355655"/>
      <w:bookmarkStart w:id="38" w:name="_Toc113393336"/>
      <w:bookmarkStart w:id="39" w:name="_Toc38030154"/>
      <w:bookmarkStart w:id="40" w:name="_Toc386861148"/>
      <w:bookmarkStart w:id="41" w:name="_Toc38030071"/>
      <w:bookmarkStart w:id="42" w:name="_Toc1403531177"/>
      <w:r>
        <w:rPr>
          <w:rFonts w:hint="eastAsia" w:ascii="宋体" w:hAnsi="宋体" w:eastAsia="宋体" w:cs="宋体"/>
          <w:sz w:val="28"/>
          <w:szCs w:val="28"/>
        </w:rPr>
        <w:br w:type="page"/>
      </w:r>
      <w:bookmarkStart w:id="43" w:name="_Toc78504842"/>
      <w:bookmarkStart w:id="44" w:name="_Toc1615545750"/>
      <w:bookmarkStart w:id="45" w:name="_Toc681730266"/>
      <w:bookmarkStart w:id="46" w:name="_Toc220361175"/>
      <w:bookmarkStart w:id="47" w:name="_Toc1381122819"/>
      <w:bookmarkStart w:id="48" w:name="_Toc1749127877"/>
      <w:bookmarkStart w:id="49" w:name="_Toc680706022"/>
      <w:bookmarkStart w:id="50" w:name="_Toc598152851"/>
      <w:bookmarkStart w:id="51" w:name="_Toc1097421187"/>
      <w:r>
        <w:rPr>
          <w:rFonts w:hint="eastAsia" w:ascii="宋体" w:hAnsi="宋体" w:eastAsia="宋体" w:cs="宋体"/>
          <w:b/>
          <w:bCs/>
          <w:sz w:val="28"/>
          <w:szCs w:val="28"/>
        </w:rPr>
        <w:t>格式8 成功案例一览表</w:t>
      </w:r>
      <w:bookmarkEnd w:id="43"/>
      <w:bookmarkEnd w:id="44"/>
      <w:bookmarkEnd w:id="45"/>
      <w:bookmarkEnd w:id="46"/>
      <w:bookmarkEnd w:id="47"/>
      <w:bookmarkEnd w:id="48"/>
      <w:bookmarkEnd w:id="49"/>
      <w:bookmarkEnd w:id="50"/>
      <w:bookmarkEnd w:id="51"/>
    </w:p>
    <w:p w14:paraId="3F09A613">
      <w:pPr>
        <w:shd w:val="clear"/>
        <w:jc w:val="center"/>
        <w:rPr>
          <w:rFonts w:hint="eastAsia" w:ascii="宋体" w:hAnsi="宋体" w:eastAsia="宋体" w:cs="宋体"/>
        </w:rPr>
      </w:pPr>
      <w:r>
        <w:rPr>
          <w:rFonts w:hint="eastAsia" w:ascii="宋体" w:hAnsi="宋体" w:eastAsia="宋体" w:cs="宋体"/>
        </w:rPr>
        <w:t>（根据招标文件要求调整）</w:t>
      </w:r>
    </w:p>
    <w:tbl>
      <w:tblPr>
        <w:tblStyle w:val="32"/>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14:paraId="66F8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5D067803">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14:paraId="0506A4A6">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w:t>
            </w:r>
          </w:p>
          <w:p w14:paraId="74FF05A0">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14:paraId="43412A38">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w:t>
            </w:r>
          </w:p>
          <w:p w14:paraId="406A0B35">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14:paraId="54B99ACC">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14:paraId="5CFFCD6B">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w:t>
            </w:r>
          </w:p>
          <w:p w14:paraId="5400FC1E">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14:paraId="6736C070">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合同主要</w:t>
            </w:r>
          </w:p>
          <w:p w14:paraId="4A10FEF0">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14:paraId="5FE95B94">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用  户</w:t>
            </w:r>
          </w:p>
          <w:p w14:paraId="6673BF3F">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14:paraId="731D2783">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用户联</w:t>
            </w:r>
          </w:p>
          <w:p w14:paraId="1DD48CFC">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14:paraId="67942779">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32F8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2990E038">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819" w:type="dxa"/>
            <w:tcBorders>
              <w:top w:val="single" w:color="auto" w:sz="4" w:space="0"/>
              <w:left w:val="single" w:color="auto" w:sz="4" w:space="0"/>
              <w:bottom w:val="single" w:color="auto" w:sz="4" w:space="0"/>
              <w:right w:val="single" w:color="auto" w:sz="4" w:space="0"/>
            </w:tcBorders>
            <w:noWrap/>
            <w:vAlign w:val="center"/>
          </w:tcPr>
          <w:p w14:paraId="3EBEB9B8">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2C060B73">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14:paraId="729E4CB5">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7454FD4C">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4C4E71DA">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5921DC12">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149954EF">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3EDB894C">
            <w:pPr>
              <w:shd w:val="clear"/>
              <w:topLinePunct/>
              <w:autoSpaceDE w:val="0"/>
              <w:autoSpaceDN w:val="0"/>
              <w:adjustRightInd w:val="0"/>
              <w:snapToGrid w:val="0"/>
              <w:jc w:val="center"/>
              <w:rPr>
                <w:rFonts w:hint="eastAsia" w:ascii="宋体" w:hAnsi="宋体" w:eastAsia="宋体" w:cs="宋体"/>
                <w:szCs w:val="21"/>
              </w:rPr>
            </w:pPr>
          </w:p>
        </w:tc>
      </w:tr>
      <w:tr w14:paraId="6BA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CF9E943">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819" w:type="dxa"/>
            <w:tcBorders>
              <w:top w:val="single" w:color="auto" w:sz="4" w:space="0"/>
              <w:left w:val="single" w:color="auto" w:sz="4" w:space="0"/>
              <w:bottom w:val="single" w:color="auto" w:sz="4" w:space="0"/>
              <w:right w:val="single" w:color="auto" w:sz="4" w:space="0"/>
            </w:tcBorders>
            <w:noWrap/>
            <w:vAlign w:val="center"/>
          </w:tcPr>
          <w:p w14:paraId="78323648">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52482932">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14:paraId="4F436851">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2EC43D02">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358D2F9C">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40849447">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7191BA94">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94F1DBE">
            <w:pPr>
              <w:shd w:val="clear"/>
              <w:topLinePunct/>
              <w:autoSpaceDE w:val="0"/>
              <w:autoSpaceDN w:val="0"/>
              <w:adjustRightInd w:val="0"/>
              <w:snapToGrid w:val="0"/>
              <w:jc w:val="center"/>
              <w:rPr>
                <w:rFonts w:hint="eastAsia" w:ascii="宋体" w:hAnsi="宋体" w:eastAsia="宋体" w:cs="宋体"/>
                <w:szCs w:val="21"/>
              </w:rPr>
            </w:pPr>
          </w:p>
        </w:tc>
      </w:tr>
      <w:tr w14:paraId="73BB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3FA0AF1F">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819" w:type="dxa"/>
            <w:tcBorders>
              <w:top w:val="single" w:color="auto" w:sz="4" w:space="0"/>
              <w:left w:val="single" w:color="auto" w:sz="4" w:space="0"/>
              <w:bottom w:val="single" w:color="auto" w:sz="4" w:space="0"/>
              <w:right w:val="single" w:color="auto" w:sz="4" w:space="0"/>
            </w:tcBorders>
            <w:noWrap/>
            <w:vAlign w:val="center"/>
          </w:tcPr>
          <w:p w14:paraId="71437BC9">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7DEE9BB8">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14:paraId="0055D4A0">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213138B8">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11B72F20">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34A6394F">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8A3C34C">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74D0B14A">
            <w:pPr>
              <w:shd w:val="clear"/>
              <w:topLinePunct/>
              <w:autoSpaceDE w:val="0"/>
              <w:autoSpaceDN w:val="0"/>
              <w:adjustRightInd w:val="0"/>
              <w:snapToGrid w:val="0"/>
              <w:jc w:val="center"/>
              <w:rPr>
                <w:rFonts w:hint="eastAsia" w:ascii="宋体" w:hAnsi="宋体" w:eastAsia="宋体" w:cs="宋体"/>
                <w:szCs w:val="21"/>
              </w:rPr>
            </w:pPr>
          </w:p>
        </w:tc>
      </w:tr>
      <w:tr w14:paraId="11B1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48663F9E">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819" w:type="dxa"/>
            <w:tcBorders>
              <w:top w:val="single" w:color="auto" w:sz="4" w:space="0"/>
              <w:left w:val="single" w:color="auto" w:sz="4" w:space="0"/>
              <w:bottom w:val="single" w:color="auto" w:sz="4" w:space="0"/>
              <w:right w:val="single" w:color="auto" w:sz="4" w:space="0"/>
            </w:tcBorders>
            <w:noWrap/>
            <w:vAlign w:val="center"/>
          </w:tcPr>
          <w:p w14:paraId="58F9E435">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6EA7D8F8">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14:paraId="39E83899">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12D616B7">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3446E726">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6B6A70ED">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EB7981F">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3D9D25CB">
            <w:pPr>
              <w:shd w:val="clear"/>
              <w:topLinePunct/>
              <w:autoSpaceDE w:val="0"/>
              <w:autoSpaceDN w:val="0"/>
              <w:adjustRightInd w:val="0"/>
              <w:snapToGrid w:val="0"/>
              <w:jc w:val="center"/>
              <w:rPr>
                <w:rFonts w:hint="eastAsia" w:ascii="宋体" w:hAnsi="宋体" w:eastAsia="宋体" w:cs="宋体"/>
                <w:szCs w:val="21"/>
              </w:rPr>
            </w:pPr>
          </w:p>
        </w:tc>
      </w:tr>
      <w:tr w14:paraId="3CE1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7A54BEA">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819" w:type="dxa"/>
            <w:tcBorders>
              <w:top w:val="single" w:color="auto" w:sz="4" w:space="0"/>
              <w:left w:val="single" w:color="auto" w:sz="4" w:space="0"/>
              <w:bottom w:val="single" w:color="auto" w:sz="4" w:space="0"/>
              <w:right w:val="single" w:color="auto" w:sz="4" w:space="0"/>
            </w:tcBorders>
            <w:noWrap/>
            <w:vAlign w:val="center"/>
          </w:tcPr>
          <w:p w14:paraId="39A8562F">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5091D2DF">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14:paraId="382E78BC">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10B09184">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00FC5041">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31E1E8E5">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8E3875A">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55FE9855">
            <w:pPr>
              <w:shd w:val="clear"/>
              <w:topLinePunct/>
              <w:autoSpaceDE w:val="0"/>
              <w:autoSpaceDN w:val="0"/>
              <w:adjustRightInd w:val="0"/>
              <w:snapToGrid w:val="0"/>
              <w:jc w:val="center"/>
              <w:rPr>
                <w:rFonts w:hint="eastAsia" w:ascii="宋体" w:hAnsi="宋体" w:eastAsia="宋体" w:cs="宋体"/>
                <w:szCs w:val="21"/>
              </w:rPr>
            </w:pPr>
          </w:p>
        </w:tc>
      </w:tr>
      <w:tr w14:paraId="5A0F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0C53010">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w:t>
            </w:r>
          </w:p>
        </w:tc>
        <w:tc>
          <w:tcPr>
            <w:tcW w:w="819" w:type="dxa"/>
            <w:tcBorders>
              <w:top w:val="single" w:color="auto" w:sz="4" w:space="0"/>
              <w:left w:val="single" w:color="auto" w:sz="4" w:space="0"/>
              <w:bottom w:val="single" w:color="auto" w:sz="4" w:space="0"/>
              <w:right w:val="single" w:color="auto" w:sz="4" w:space="0"/>
            </w:tcBorders>
            <w:noWrap/>
            <w:vAlign w:val="center"/>
          </w:tcPr>
          <w:p w14:paraId="1A92B85D">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5DE2B9C3">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14:paraId="4E566505">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6F52B084">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54AFED47">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A716783">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47ED7027">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75814873">
            <w:pPr>
              <w:shd w:val="clear"/>
              <w:topLinePunct/>
              <w:autoSpaceDE w:val="0"/>
              <w:autoSpaceDN w:val="0"/>
              <w:adjustRightInd w:val="0"/>
              <w:snapToGrid w:val="0"/>
              <w:jc w:val="center"/>
              <w:rPr>
                <w:rFonts w:hint="eastAsia" w:ascii="宋体" w:hAnsi="宋体" w:eastAsia="宋体" w:cs="宋体"/>
                <w:szCs w:val="21"/>
              </w:rPr>
            </w:pPr>
          </w:p>
        </w:tc>
      </w:tr>
    </w:tbl>
    <w:p w14:paraId="02CDC13D">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743C0A5B">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1.提供20XX年1月1日以来（以合同签订日期为准），投标人独立承担的XXXX的项目案例。</w:t>
      </w:r>
    </w:p>
    <w:bookmarkEnd w:id="37"/>
    <w:bookmarkEnd w:id="38"/>
    <w:bookmarkEnd w:id="39"/>
    <w:bookmarkEnd w:id="40"/>
    <w:bookmarkEnd w:id="41"/>
    <w:bookmarkEnd w:id="42"/>
    <w:p w14:paraId="51AEF187">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2.应提供合同复印件（线上采购项目提供扫描件，下同）。合同复印件应能清晰体现合同甲乙双方、合同时间、合同金额、合同主要内容等，并提供对方联系人及联系方式，否则不能获得相应分值。</w:t>
      </w:r>
    </w:p>
    <w:p w14:paraId="0C547B24">
      <w:pPr>
        <w:pStyle w:val="21"/>
        <w:shd w:val="clear"/>
        <w:topLinePunct/>
        <w:autoSpaceDE w:val="0"/>
        <w:autoSpaceDN w:val="0"/>
        <w:spacing w:line="460" w:lineRule="exact"/>
        <w:jc w:val="center"/>
        <w:rPr>
          <w:rFonts w:hint="eastAsia" w:hAnsi="宋体" w:cs="宋体"/>
          <w:b/>
          <w:bCs/>
          <w:sz w:val="36"/>
          <w:szCs w:val="36"/>
        </w:rPr>
      </w:pPr>
    </w:p>
    <w:p w14:paraId="0F5B2E43">
      <w:pPr>
        <w:shd w:val="clear"/>
        <w:rPr>
          <w:rFonts w:hint="eastAsia" w:ascii="宋体" w:hAnsi="宋体" w:eastAsia="宋体" w:cs="宋体"/>
          <w:b/>
          <w:bCs/>
          <w:sz w:val="36"/>
          <w:szCs w:val="36"/>
        </w:rPr>
      </w:pPr>
      <w:r>
        <w:rPr>
          <w:rFonts w:hint="eastAsia" w:ascii="宋体" w:hAnsi="宋体" w:eastAsia="宋体" w:cs="宋体"/>
          <w:b/>
          <w:bCs/>
          <w:sz w:val="36"/>
          <w:szCs w:val="36"/>
        </w:rPr>
        <w:br w:type="page"/>
      </w:r>
    </w:p>
    <w:p w14:paraId="6DE4287B">
      <w:pPr>
        <w:shd w:val="clear"/>
        <w:spacing w:line="600" w:lineRule="auto"/>
        <w:jc w:val="center"/>
        <w:rPr>
          <w:rFonts w:hint="eastAsia" w:ascii="宋体" w:hAnsi="宋体" w:eastAsia="宋体" w:cs="宋体"/>
          <w:b/>
          <w:kern w:val="0"/>
          <w:sz w:val="44"/>
          <w:szCs w:val="44"/>
        </w:rPr>
      </w:pPr>
    </w:p>
    <w:p w14:paraId="5781795F">
      <w:pPr>
        <w:shd w:val="clear"/>
        <w:spacing w:line="6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t>投  标  文  件</w:t>
      </w:r>
    </w:p>
    <w:p w14:paraId="4E544054">
      <w:pPr>
        <w:shd w:val="clear"/>
        <w:spacing w:line="6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t>技术部分</w:t>
      </w:r>
    </w:p>
    <w:p w14:paraId="25A3B7CF">
      <w:pPr>
        <w:shd w:val="clear"/>
        <w:spacing w:line="360" w:lineRule="auto"/>
        <w:jc w:val="center"/>
        <w:rPr>
          <w:rFonts w:hint="eastAsia" w:ascii="宋体" w:hAnsi="宋体" w:eastAsia="宋体" w:cs="宋体"/>
          <w:kern w:val="0"/>
          <w:sz w:val="32"/>
          <w:szCs w:val="32"/>
        </w:rPr>
      </w:pPr>
    </w:p>
    <w:p w14:paraId="52E48BA9">
      <w:pPr>
        <w:shd w:val="clea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（填写正本或副本）</w:t>
      </w:r>
    </w:p>
    <w:p w14:paraId="2B5BB829">
      <w:pPr>
        <w:shd w:val="clear"/>
        <w:spacing w:line="360" w:lineRule="auto"/>
        <w:ind w:firstLine="480" w:firstLineChars="200"/>
        <w:jc w:val="center"/>
        <w:rPr>
          <w:rFonts w:hint="eastAsia" w:ascii="宋体" w:hAnsi="宋体" w:eastAsia="宋体" w:cs="宋体"/>
          <w:bCs/>
          <w:kern w:val="0"/>
          <w:sz w:val="24"/>
          <w:szCs w:val="24"/>
        </w:rPr>
      </w:pPr>
    </w:p>
    <w:p w14:paraId="46F9976F">
      <w:pPr>
        <w:pStyle w:val="17"/>
        <w:shd w:val="clear"/>
        <w:rPr>
          <w:rFonts w:hint="eastAsia" w:ascii="宋体" w:hAnsi="宋体" w:cs="宋体"/>
          <w:b w:val="0"/>
          <w:bCs/>
          <w:kern w:val="0"/>
          <w:sz w:val="24"/>
        </w:rPr>
      </w:pPr>
    </w:p>
    <w:p w14:paraId="0866188A">
      <w:pPr>
        <w:shd w:val="clear"/>
        <w:rPr>
          <w:rFonts w:hint="eastAsia" w:ascii="宋体" w:hAnsi="宋体" w:eastAsia="宋体" w:cs="宋体"/>
        </w:rPr>
      </w:pPr>
    </w:p>
    <w:p w14:paraId="1975FC7D">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r>
        <w:rPr>
          <w:rFonts w:hint="eastAsia" w:ascii="宋体" w:hAnsi="宋体" w:eastAsia="宋体" w:cs="宋体"/>
          <w:bCs/>
          <w:kern w:val="0"/>
          <w:sz w:val="24"/>
          <w:szCs w:val="24"/>
          <w:u w:val="single"/>
        </w:rPr>
        <w:t xml:space="preserve">               </w:t>
      </w:r>
    </w:p>
    <w:p w14:paraId="5A3B9635">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项目编号：</w:t>
      </w:r>
      <w:r>
        <w:rPr>
          <w:rFonts w:hint="eastAsia" w:ascii="宋体" w:hAnsi="宋体" w:eastAsia="宋体" w:cs="宋体"/>
          <w:bCs/>
          <w:kern w:val="0"/>
          <w:sz w:val="24"/>
          <w:szCs w:val="24"/>
          <w:u w:val="single"/>
        </w:rPr>
        <w:t xml:space="preserve">               </w:t>
      </w:r>
    </w:p>
    <w:p w14:paraId="6506ABD9">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所投采购包：</w:t>
      </w:r>
      <w:r>
        <w:rPr>
          <w:rFonts w:hint="eastAsia" w:ascii="宋体" w:hAnsi="宋体" w:eastAsia="宋体" w:cs="宋体"/>
          <w:bCs/>
          <w:kern w:val="0"/>
          <w:sz w:val="24"/>
          <w:szCs w:val="24"/>
          <w:u w:val="single"/>
        </w:rPr>
        <w:t xml:space="preserve">             </w:t>
      </w:r>
    </w:p>
    <w:p w14:paraId="4E7898B3">
      <w:pPr>
        <w:shd w:val="clear"/>
        <w:spacing w:line="360" w:lineRule="auto"/>
        <w:ind w:left="1470" w:leftChars="700" w:firstLine="480" w:firstLineChars="200"/>
        <w:jc w:val="center"/>
        <w:rPr>
          <w:rFonts w:hint="eastAsia" w:ascii="宋体" w:hAnsi="宋体" w:eastAsia="宋体" w:cs="宋体"/>
          <w:bCs/>
          <w:kern w:val="0"/>
          <w:sz w:val="24"/>
          <w:szCs w:val="24"/>
        </w:rPr>
      </w:pPr>
    </w:p>
    <w:p w14:paraId="1A960B26">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投标人：</w:t>
      </w:r>
      <w:r>
        <w:rPr>
          <w:rFonts w:hint="eastAsia" w:ascii="宋体" w:hAnsi="宋体" w:eastAsia="宋体" w:cs="宋体"/>
          <w:bCs/>
          <w:kern w:val="0"/>
          <w:sz w:val="24"/>
          <w:szCs w:val="24"/>
          <w:u w:val="single"/>
        </w:rPr>
        <w:t xml:space="preserve">                 </w:t>
      </w:r>
    </w:p>
    <w:p w14:paraId="2B066CA4">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日  期：</w:t>
      </w:r>
      <w:r>
        <w:rPr>
          <w:rFonts w:hint="eastAsia" w:ascii="宋体" w:hAnsi="宋体" w:eastAsia="宋体" w:cs="宋体"/>
          <w:bCs/>
          <w:kern w:val="0"/>
          <w:sz w:val="24"/>
          <w:szCs w:val="24"/>
          <w:u w:val="single"/>
        </w:rPr>
        <w:t xml:space="preserve">                 </w:t>
      </w:r>
    </w:p>
    <w:p w14:paraId="69FDC677">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格式9 技术条款偏离表</w:t>
      </w:r>
    </w:p>
    <w:tbl>
      <w:tblPr>
        <w:tblStyle w:val="32"/>
        <w:tblW w:w="8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639"/>
      </w:tblGrid>
      <w:tr w14:paraId="38CC8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E436C6D">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1516" w:type="dxa"/>
            <w:noWrap/>
          </w:tcPr>
          <w:p w14:paraId="6E008B94">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招标文件</w:t>
            </w:r>
          </w:p>
          <w:p w14:paraId="6AF89214">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技术部分序号</w:t>
            </w:r>
          </w:p>
        </w:tc>
        <w:tc>
          <w:tcPr>
            <w:tcW w:w="2116" w:type="dxa"/>
            <w:noWrap/>
            <w:vAlign w:val="center"/>
          </w:tcPr>
          <w:p w14:paraId="31CFBED8">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招标文件</w:t>
            </w:r>
          </w:p>
          <w:p w14:paraId="445DA655">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技术部分内容要求</w:t>
            </w:r>
          </w:p>
        </w:tc>
        <w:tc>
          <w:tcPr>
            <w:tcW w:w="1684" w:type="dxa"/>
            <w:noWrap/>
            <w:vAlign w:val="center"/>
          </w:tcPr>
          <w:p w14:paraId="4AF116BE">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投标文件</w:t>
            </w:r>
          </w:p>
          <w:p w14:paraId="1D6BB445">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应答情况</w:t>
            </w:r>
          </w:p>
        </w:tc>
        <w:tc>
          <w:tcPr>
            <w:tcW w:w="2090" w:type="dxa"/>
            <w:noWrap/>
            <w:vAlign w:val="center"/>
          </w:tcPr>
          <w:p w14:paraId="5D11993B">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偏离（无/正/负）</w:t>
            </w:r>
          </w:p>
        </w:tc>
        <w:tc>
          <w:tcPr>
            <w:tcW w:w="639" w:type="dxa"/>
            <w:noWrap/>
            <w:vAlign w:val="center"/>
          </w:tcPr>
          <w:p w14:paraId="15CC97F8">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7B07B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437FE19E">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1516" w:type="dxa"/>
            <w:noWrap/>
            <w:vAlign w:val="center"/>
          </w:tcPr>
          <w:p w14:paraId="2B2A3110">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14:paraId="3DF62FDF">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14:paraId="788115CE">
            <w:pPr>
              <w:shd w:val="clear"/>
              <w:adjustRightInd w:val="0"/>
              <w:snapToGrid w:val="0"/>
              <w:jc w:val="center"/>
              <w:rPr>
                <w:rFonts w:hint="eastAsia" w:ascii="宋体" w:hAnsi="宋体" w:eastAsia="宋体" w:cs="宋体"/>
                <w:szCs w:val="21"/>
              </w:rPr>
            </w:pPr>
          </w:p>
        </w:tc>
        <w:tc>
          <w:tcPr>
            <w:tcW w:w="2090" w:type="dxa"/>
            <w:noWrap/>
            <w:vAlign w:val="center"/>
          </w:tcPr>
          <w:p w14:paraId="7F3AE96C">
            <w:pPr>
              <w:shd w:val="clear"/>
              <w:adjustRightInd w:val="0"/>
              <w:snapToGrid w:val="0"/>
              <w:jc w:val="center"/>
              <w:rPr>
                <w:rFonts w:hint="eastAsia" w:ascii="宋体" w:hAnsi="宋体" w:eastAsia="宋体" w:cs="宋体"/>
                <w:szCs w:val="21"/>
              </w:rPr>
            </w:pPr>
          </w:p>
        </w:tc>
        <w:tc>
          <w:tcPr>
            <w:tcW w:w="639" w:type="dxa"/>
            <w:noWrap/>
            <w:vAlign w:val="center"/>
          </w:tcPr>
          <w:p w14:paraId="017F949C">
            <w:pPr>
              <w:shd w:val="clear"/>
              <w:adjustRightInd w:val="0"/>
              <w:snapToGrid w:val="0"/>
              <w:jc w:val="center"/>
              <w:rPr>
                <w:rFonts w:hint="eastAsia" w:ascii="宋体" w:hAnsi="宋体" w:eastAsia="宋体" w:cs="宋体"/>
                <w:szCs w:val="21"/>
              </w:rPr>
            </w:pPr>
          </w:p>
        </w:tc>
      </w:tr>
      <w:tr w14:paraId="19E0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48A1D808">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1516" w:type="dxa"/>
            <w:noWrap/>
            <w:vAlign w:val="center"/>
          </w:tcPr>
          <w:p w14:paraId="49272777">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14:paraId="72639999">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14:paraId="3163D92A">
            <w:pPr>
              <w:shd w:val="clear"/>
              <w:adjustRightInd w:val="0"/>
              <w:snapToGrid w:val="0"/>
              <w:jc w:val="center"/>
              <w:rPr>
                <w:rFonts w:hint="eastAsia" w:ascii="宋体" w:hAnsi="宋体" w:eastAsia="宋体" w:cs="宋体"/>
                <w:szCs w:val="21"/>
              </w:rPr>
            </w:pPr>
          </w:p>
        </w:tc>
        <w:tc>
          <w:tcPr>
            <w:tcW w:w="2090" w:type="dxa"/>
            <w:noWrap/>
            <w:vAlign w:val="center"/>
          </w:tcPr>
          <w:p w14:paraId="74C08D37">
            <w:pPr>
              <w:shd w:val="clear"/>
              <w:adjustRightInd w:val="0"/>
              <w:snapToGrid w:val="0"/>
              <w:jc w:val="center"/>
              <w:rPr>
                <w:rFonts w:hint="eastAsia" w:ascii="宋体" w:hAnsi="宋体" w:eastAsia="宋体" w:cs="宋体"/>
                <w:szCs w:val="21"/>
              </w:rPr>
            </w:pPr>
          </w:p>
        </w:tc>
        <w:tc>
          <w:tcPr>
            <w:tcW w:w="639" w:type="dxa"/>
            <w:noWrap/>
            <w:vAlign w:val="center"/>
          </w:tcPr>
          <w:p w14:paraId="3D0C7267">
            <w:pPr>
              <w:shd w:val="clear"/>
              <w:adjustRightInd w:val="0"/>
              <w:snapToGrid w:val="0"/>
              <w:jc w:val="center"/>
              <w:rPr>
                <w:rFonts w:hint="eastAsia" w:ascii="宋体" w:hAnsi="宋体" w:eastAsia="宋体" w:cs="宋体"/>
                <w:szCs w:val="21"/>
              </w:rPr>
            </w:pPr>
          </w:p>
        </w:tc>
      </w:tr>
      <w:tr w14:paraId="4ECD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6F10EE7C">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1516" w:type="dxa"/>
            <w:noWrap/>
            <w:vAlign w:val="center"/>
          </w:tcPr>
          <w:p w14:paraId="161053A8">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14:paraId="2B58765E">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14:paraId="36FD60CD">
            <w:pPr>
              <w:shd w:val="clear"/>
              <w:adjustRightInd w:val="0"/>
              <w:snapToGrid w:val="0"/>
              <w:jc w:val="center"/>
              <w:rPr>
                <w:rFonts w:hint="eastAsia" w:ascii="宋体" w:hAnsi="宋体" w:eastAsia="宋体" w:cs="宋体"/>
                <w:szCs w:val="21"/>
              </w:rPr>
            </w:pPr>
          </w:p>
        </w:tc>
        <w:tc>
          <w:tcPr>
            <w:tcW w:w="2090" w:type="dxa"/>
            <w:noWrap/>
            <w:vAlign w:val="center"/>
          </w:tcPr>
          <w:p w14:paraId="65E81EB3">
            <w:pPr>
              <w:shd w:val="clear"/>
              <w:adjustRightInd w:val="0"/>
              <w:snapToGrid w:val="0"/>
              <w:jc w:val="center"/>
              <w:rPr>
                <w:rFonts w:hint="eastAsia" w:ascii="宋体" w:hAnsi="宋体" w:eastAsia="宋体" w:cs="宋体"/>
                <w:szCs w:val="21"/>
              </w:rPr>
            </w:pPr>
          </w:p>
        </w:tc>
        <w:tc>
          <w:tcPr>
            <w:tcW w:w="639" w:type="dxa"/>
            <w:noWrap/>
            <w:vAlign w:val="center"/>
          </w:tcPr>
          <w:p w14:paraId="0321DE17">
            <w:pPr>
              <w:shd w:val="clear"/>
              <w:adjustRightInd w:val="0"/>
              <w:snapToGrid w:val="0"/>
              <w:jc w:val="center"/>
              <w:rPr>
                <w:rFonts w:hint="eastAsia" w:ascii="宋体" w:hAnsi="宋体" w:eastAsia="宋体" w:cs="宋体"/>
                <w:szCs w:val="21"/>
              </w:rPr>
            </w:pPr>
          </w:p>
        </w:tc>
      </w:tr>
      <w:tr w14:paraId="2E907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1A6AF8C">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1516" w:type="dxa"/>
            <w:noWrap/>
            <w:vAlign w:val="center"/>
          </w:tcPr>
          <w:p w14:paraId="0958C13B">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14:paraId="7453E34D">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14:paraId="5992A79E">
            <w:pPr>
              <w:shd w:val="clear"/>
              <w:adjustRightInd w:val="0"/>
              <w:snapToGrid w:val="0"/>
              <w:jc w:val="center"/>
              <w:rPr>
                <w:rFonts w:hint="eastAsia" w:ascii="宋体" w:hAnsi="宋体" w:eastAsia="宋体" w:cs="宋体"/>
                <w:szCs w:val="21"/>
              </w:rPr>
            </w:pPr>
          </w:p>
        </w:tc>
        <w:tc>
          <w:tcPr>
            <w:tcW w:w="2090" w:type="dxa"/>
            <w:noWrap/>
            <w:vAlign w:val="center"/>
          </w:tcPr>
          <w:p w14:paraId="530C058D">
            <w:pPr>
              <w:shd w:val="clear"/>
              <w:adjustRightInd w:val="0"/>
              <w:snapToGrid w:val="0"/>
              <w:jc w:val="center"/>
              <w:rPr>
                <w:rFonts w:hint="eastAsia" w:ascii="宋体" w:hAnsi="宋体" w:eastAsia="宋体" w:cs="宋体"/>
                <w:szCs w:val="21"/>
              </w:rPr>
            </w:pPr>
          </w:p>
        </w:tc>
        <w:tc>
          <w:tcPr>
            <w:tcW w:w="639" w:type="dxa"/>
            <w:noWrap/>
            <w:vAlign w:val="center"/>
          </w:tcPr>
          <w:p w14:paraId="662CAB75">
            <w:pPr>
              <w:shd w:val="clear"/>
              <w:adjustRightInd w:val="0"/>
              <w:snapToGrid w:val="0"/>
              <w:jc w:val="center"/>
              <w:rPr>
                <w:rFonts w:hint="eastAsia" w:ascii="宋体" w:hAnsi="宋体" w:eastAsia="宋体" w:cs="宋体"/>
                <w:szCs w:val="21"/>
              </w:rPr>
            </w:pPr>
          </w:p>
        </w:tc>
      </w:tr>
      <w:tr w14:paraId="7B6F3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18EE80A">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1516" w:type="dxa"/>
            <w:noWrap/>
            <w:vAlign w:val="center"/>
          </w:tcPr>
          <w:p w14:paraId="0BA240D2">
            <w:pPr>
              <w:shd w:val="clear"/>
              <w:adjustRightInd w:val="0"/>
              <w:snapToGrid w:val="0"/>
              <w:jc w:val="center"/>
              <w:rPr>
                <w:rFonts w:hint="eastAsia" w:ascii="宋体" w:hAnsi="宋体" w:eastAsia="宋体" w:cs="宋体"/>
                <w:szCs w:val="21"/>
              </w:rPr>
            </w:pPr>
          </w:p>
        </w:tc>
        <w:tc>
          <w:tcPr>
            <w:tcW w:w="2116" w:type="dxa"/>
            <w:noWrap/>
            <w:vAlign w:val="center"/>
          </w:tcPr>
          <w:p w14:paraId="0FA746E4">
            <w:pPr>
              <w:shd w:val="clear"/>
              <w:adjustRightInd w:val="0"/>
              <w:snapToGrid w:val="0"/>
              <w:jc w:val="center"/>
              <w:rPr>
                <w:rFonts w:hint="eastAsia" w:ascii="宋体" w:hAnsi="宋体" w:eastAsia="宋体" w:cs="宋体"/>
                <w:szCs w:val="21"/>
              </w:rPr>
            </w:pPr>
          </w:p>
        </w:tc>
        <w:tc>
          <w:tcPr>
            <w:tcW w:w="1684" w:type="dxa"/>
            <w:noWrap/>
            <w:vAlign w:val="center"/>
          </w:tcPr>
          <w:p w14:paraId="4490B040">
            <w:pPr>
              <w:shd w:val="clear"/>
              <w:adjustRightInd w:val="0"/>
              <w:snapToGrid w:val="0"/>
              <w:jc w:val="center"/>
              <w:rPr>
                <w:rFonts w:hint="eastAsia" w:ascii="宋体" w:hAnsi="宋体" w:eastAsia="宋体" w:cs="宋体"/>
                <w:szCs w:val="21"/>
              </w:rPr>
            </w:pPr>
          </w:p>
        </w:tc>
        <w:tc>
          <w:tcPr>
            <w:tcW w:w="2090" w:type="dxa"/>
            <w:noWrap/>
            <w:vAlign w:val="center"/>
          </w:tcPr>
          <w:p w14:paraId="299A6C17">
            <w:pPr>
              <w:shd w:val="clear"/>
              <w:adjustRightInd w:val="0"/>
              <w:snapToGrid w:val="0"/>
              <w:jc w:val="center"/>
              <w:rPr>
                <w:rFonts w:hint="eastAsia" w:ascii="宋体" w:hAnsi="宋体" w:eastAsia="宋体" w:cs="宋体"/>
                <w:szCs w:val="21"/>
              </w:rPr>
            </w:pPr>
          </w:p>
        </w:tc>
        <w:tc>
          <w:tcPr>
            <w:tcW w:w="639" w:type="dxa"/>
            <w:noWrap/>
            <w:vAlign w:val="center"/>
          </w:tcPr>
          <w:p w14:paraId="52921798">
            <w:pPr>
              <w:shd w:val="clear"/>
              <w:adjustRightInd w:val="0"/>
              <w:snapToGrid w:val="0"/>
              <w:jc w:val="center"/>
              <w:rPr>
                <w:rFonts w:hint="eastAsia" w:ascii="宋体" w:hAnsi="宋体" w:eastAsia="宋体" w:cs="宋体"/>
                <w:szCs w:val="21"/>
              </w:rPr>
            </w:pPr>
          </w:p>
        </w:tc>
      </w:tr>
      <w:tr w14:paraId="5BB2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CA7C65D">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w:t>
            </w:r>
          </w:p>
        </w:tc>
        <w:tc>
          <w:tcPr>
            <w:tcW w:w="1516" w:type="dxa"/>
            <w:noWrap/>
            <w:vAlign w:val="center"/>
          </w:tcPr>
          <w:p w14:paraId="2D0A6540">
            <w:pPr>
              <w:shd w:val="clear"/>
              <w:adjustRightInd w:val="0"/>
              <w:snapToGrid w:val="0"/>
              <w:jc w:val="center"/>
              <w:rPr>
                <w:rFonts w:hint="eastAsia" w:ascii="宋体" w:hAnsi="宋体" w:eastAsia="宋体" w:cs="宋体"/>
                <w:szCs w:val="21"/>
              </w:rPr>
            </w:pPr>
          </w:p>
        </w:tc>
        <w:tc>
          <w:tcPr>
            <w:tcW w:w="2116" w:type="dxa"/>
            <w:noWrap/>
            <w:vAlign w:val="center"/>
          </w:tcPr>
          <w:p w14:paraId="1C0C4A77">
            <w:pPr>
              <w:shd w:val="clear"/>
              <w:adjustRightInd w:val="0"/>
              <w:snapToGrid w:val="0"/>
              <w:jc w:val="center"/>
              <w:rPr>
                <w:rFonts w:hint="eastAsia" w:ascii="宋体" w:hAnsi="宋体" w:eastAsia="宋体" w:cs="宋体"/>
                <w:szCs w:val="21"/>
              </w:rPr>
            </w:pPr>
          </w:p>
        </w:tc>
        <w:tc>
          <w:tcPr>
            <w:tcW w:w="1684" w:type="dxa"/>
            <w:noWrap/>
            <w:vAlign w:val="center"/>
          </w:tcPr>
          <w:p w14:paraId="38689D2D">
            <w:pPr>
              <w:shd w:val="clear"/>
              <w:adjustRightInd w:val="0"/>
              <w:snapToGrid w:val="0"/>
              <w:jc w:val="center"/>
              <w:rPr>
                <w:rFonts w:hint="eastAsia" w:ascii="宋体" w:hAnsi="宋体" w:eastAsia="宋体" w:cs="宋体"/>
                <w:szCs w:val="21"/>
              </w:rPr>
            </w:pPr>
          </w:p>
        </w:tc>
        <w:tc>
          <w:tcPr>
            <w:tcW w:w="2090" w:type="dxa"/>
            <w:noWrap/>
            <w:vAlign w:val="center"/>
          </w:tcPr>
          <w:p w14:paraId="4D23080C">
            <w:pPr>
              <w:shd w:val="clear"/>
              <w:adjustRightInd w:val="0"/>
              <w:snapToGrid w:val="0"/>
              <w:jc w:val="center"/>
              <w:rPr>
                <w:rFonts w:hint="eastAsia" w:ascii="宋体" w:hAnsi="宋体" w:eastAsia="宋体" w:cs="宋体"/>
                <w:szCs w:val="21"/>
              </w:rPr>
            </w:pPr>
          </w:p>
        </w:tc>
        <w:tc>
          <w:tcPr>
            <w:tcW w:w="639" w:type="dxa"/>
            <w:noWrap/>
            <w:vAlign w:val="center"/>
          </w:tcPr>
          <w:p w14:paraId="09AA250D">
            <w:pPr>
              <w:shd w:val="clear"/>
              <w:adjustRightInd w:val="0"/>
              <w:snapToGrid w:val="0"/>
              <w:jc w:val="center"/>
              <w:rPr>
                <w:rFonts w:hint="eastAsia" w:ascii="宋体" w:hAnsi="宋体" w:eastAsia="宋体" w:cs="宋体"/>
                <w:szCs w:val="21"/>
              </w:rPr>
            </w:pPr>
          </w:p>
        </w:tc>
      </w:tr>
    </w:tbl>
    <w:p w14:paraId="4299D091">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13998205">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1.按照《招标文件-技术部分》内容要求，一一对应填写。如果对《招标文件-技术部分》内容不做一一响应，而将“投标文件应答情况”简单笼统描述为“无偏离”，则视为无效应答。</w:t>
      </w:r>
    </w:p>
    <w:p w14:paraId="0527B40E">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2.《招标文件-技术部分》内容须条对条应答，不得遗漏；如有遗漏，则视为无效应答。如无偏离，请在此表中填写“无偏离”。如有偏离，请在此表中应答为“正/负偏离”并说明偏离情况；</w:t>
      </w:r>
    </w:p>
    <w:p w14:paraId="646B8251">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3.如《招标文件-技术部分》中有标注★号的，则为实质性要求，必须满足，如应答为“负偏离”，将导致投标无效。</w:t>
      </w:r>
    </w:p>
    <w:p w14:paraId="2293BD0A">
      <w:pPr>
        <w:shd w:val="clear"/>
        <w:topLinePunct/>
        <w:autoSpaceDE w:val="0"/>
        <w:autoSpaceDN w:val="0"/>
        <w:spacing w:line="360" w:lineRule="auto"/>
        <w:ind w:firstLine="420" w:firstLineChars="200"/>
        <w:rPr>
          <w:rFonts w:hint="eastAsia" w:ascii="宋体" w:hAnsi="宋体" w:eastAsia="宋体" w:cs="宋体"/>
          <w:szCs w:val="21"/>
        </w:rPr>
      </w:pPr>
    </w:p>
    <w:p w14:paraId="2F0A8294">
      <w:pPr>
        <w:pStyle w:val="62"/>
        <w:shd w:val="clear"/>
        <w:spacing w:after="156"/>
        <w:rPr>
          <w:rFonts w:hint="eastAsia" w:ascii="宋体" w:hAnsi="宋体" w:cs="宋体"/>
          <w:sz w:val="21"/>
          <w:szCs w:val="21"/>
        </w:rPr>
      </w:pPr>
    </w:p>
    <w:p w14:paraId="0606BAD0">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14:paraId="5E4F3D28">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45809C7C">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6DB79392">
      <w:pPr>
        <w:shd w:val="clear"/>
        <w:jc w:val="center"/>
        <w:rPr>
          <w:b/>
          <w:bCs/>
          <w:sz w:val="36"/>
          <w:szCs w:val="36"/>
        </w:rPr>
      </w:pPr>
      <w:r>
        <w:rPr>
          <w:rFonts w:hint="eastAsia" w:ascii="宋体" w:hAnsi="宋体" w:eastAsia="宋体" w:cs="宋体"/>
          <w:sz w:val="24"/>
        </w:rPr>
        <w:br w:type="page"/>
      </w:r>
      <w:r>
        <w:rPr>
          <w:rFonts w:hint="eastAsia" w:ascii="宋体" w:hAnsi="宋体"/>
          <w:b/>
          <w:bCs/>
          <w:sz w:val="28"/>
          <w:szCs w:val="28"/>
        </w:rPr>
        <w:t>格式</w:t>
      </w:r>
      <w:r>
        <w:rPr>
          <w:rFonts w:hint="eastAsia" w:ascii="Times New Roman" w:hAnsi="Times New Roman"/>
          <w:b/>
          <w:bCs/>
          <w:sz w:val="28"/>
          <w:szCs w:val="28"/>
        </w:rPr>
        <w:t>10</w:t>
      </w:r>
      <w:r>
        <w:rPr>
          <w:rFonts w:hint="eastAsia"/>
          <w:b/>
          <w:bCs/>
          <w:sz w:val="28"/>
          <w:szCs w:val="28"/>
        </w:rPr>
        <w:t>服务方案、实施方案及技术方案</w:t>
      </w:r>
    </w:p>
    <w:p w14:paraId="74A1E799">
      <w:pPr>
        <w:shd w:val="clear"/>
        <w:ind w:firstLine="420" w:firstLineChars="200"/>
        <w:rPr>
          <w:szCs w:val="21"/>
        </w:rPr>
      </w:pPr>
    </w:p>
    <w:p w14:paraId="239B882C">
      <w:pPr>
        <w:shd w:val="clear"/>
        <w:adjustRightInd w:val="0"/>
        <w:snapToGrid w:val="0"/>
        <w:spacing w:line="360" w:lineRule="auto"/>
        <w:jc w:val="center"/>
        <w:rPr>
          <w:rFonts w:eastAsia="黑体"/>
          <w:sz w:val="28"/>
          <w:szCs w:val="28"/>
        </w:rPr>
      </w:pPr>
      <w:r>
        <w:rPr>
          <w:rFonts w:hint="eastAsia" w:ascii="宋体" w:hAnsi="宋体" w:cs="宋体"/>
          <w:b/>
          <w:bCs/>
          <w:sz w:val="28"/>
          <w:szCs w:val="28"/>
        </w:rPr>
        <w:t>服务方案说明</w:t>
      </w:r>
    </w:p>
    <w:p w14:paraId="799C35F5">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服务类项目供应商应根据第六章规定编写服务方案说明。服务方案说明包括但不限于：</w:t>
      </w:r>
    </w:p>
    <w:p w14:paraId="5EE9AB30">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(1)服务目标、范围和任务；</w:t>
      </w:r>
    </w:p>
    <w:p w14:paraId="3ED9B616">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(2)服务方案；</w:t>
      </w:r>
    </w:p>
    <w:p w14:paraId="112CD45B">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(3)服务团队组织安排计划；</w:t>
      </w:r>
    </w:p>
    <w:p w14:paraId="730DB59B">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(4)工作流程；</w:t>
      </w:r>
    </w:p>
    <w:p w14:paraId="78EC7FDE">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(5)进度计划及保证措施；</w:t>
      </w:r>
    </w:p>
    <w:p w14:paraId="254AE088">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(6)质量保证措施；</w:t>
      </w:r>
    </w:p>
    <w:p w14:paraId="42AAD957">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(7)合理化建议；</w:t>
      </w:r>
    </w:p>
    <w:p w14:paraId="1AD8D570">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(8)其他。</w:t>
      </w:r>
    </w:p>
    <w:p w14:paraId="2C1207AE">
      <w:pPr>
        <w:shd w:val="clear"/>
        <w:ind w:firstLine="420" w:firstLineChars="200"/>
        <w:rPr>
          <w:rFonts w:eastAsia="仿宋_GB2312"/>
          <w:szCs w:val="21"/>
        </w:rPr>
      </w:pPr>
    </w:p>
    <w:p w14:paraId="41D02331">
      <w:pPr>
        <w:shd w:val="clear"/>
        <w:adjustRightInd w:val="0"/>
        <w:snapToGrid w:val="0"/>
        <w:spacing w:line="360" w:lineRule="auto"/>
        <w:ind w:firstLine="723"/>
        <w:jc w:val="center"/>
        <w:rPr>
          <w:rFonts w:hint="eastAsia" w:ascii="宋体" w:hAnsi="宋体" w:cs="宋体"/>
          <w:b/>
          <w:bCs/>
          <w:sz w:val="28"/>
          <w:szCs w:val="28"/>
        </w:rPr>
      </w:pPr>
      <w:r>
        <w:rPr>
          <w:rFonts w:hint="eastAsia" w:ascii="宋体" w:hAnsi="宋体" w:cs="宋体"/>
          <w:b/>
          <w:bCs/>
          <w:sz w:val="28"/>
          <w:szCs w:val="28"/>
        </w:rPr>
        <w:t>实施方案</w:t>
      </w:r>
    </w:p>
    <w:p w14:paraId="2DCA1CB2">
      <w:pPr>
        <w:shd w:val="clear"/>
        <w:spacing w:line="360" w:lineRule="auto"/>
        <w:ind w:firstLine="420" w:firstLineChars="200"/>
        <w:jc w:val="left"/>
        <w:rPr>
          <w:rFonts w:hint="eastAsia" w:ascii="宋体" w:hAnsi="宋体"/>
          <w:kern w:val="0"/>
          <w:szCs w:val="21"/>
        </w:rPr>
      </w:pPr>
      <w:r>
        <w:rPr>
          <w:rFonts w:hint="eastAsia" w:ascii="宋体" w:hAnsi="宋体"/>
          <w:kern w:val="0"/>
          <w:szCs w:val="21"/>
        </w:rPr>
        <w:t>(示例略)</w:t>
      </w:r>
    </w:p>
    <w:p w14:paraId="182A48B7">
      <w:pPr>
        <w:shd w:val="clear"/>
        <w:ind w:firstLine="420" w:firstLineChars="200"/>
        <w:rPr>
          <w:rFonts w:eastAsia="仿宋_GB2312"/>
          <w:szCs w:val="21"/>
        </w:rPr>
      </w:pPr>
    </w:p>
    <w:p w14:paraId="170306FC">
      <w:pPr>
        <w:shd w:val="clear"/>
        <w:adjustRightInd w:val="0"/>
        <w:snapToGrid w:val="0"/>
        <w:spacing w:line="360" w:lineRule="auto"/>
        <w:ind w:firstLine="723"/>
        <w:jc w:val="center"/>
        <w:rPr>
          <w:rFonts w:hint="eastAsia" w:ascii="宋体" w:hAnsi="宋体" w:cs="宋体"/>
          <w:b/>
          <w:bCs/>
          <w:sz w:val="28"/>
          <w:szCs w:val="28"/>
        </w:rPr>
      </w:pPr>
      <w:r>
        <w:rPr>
          <w:rFonts w:hint="eastAsia" w:ascii="宋体" w:hAnsi="宋体" w:cs="宋体"/>
          <w:b/>
          <w:bCs/>
          <w:sz w:val="28"/>
          <w:szCs w:val="28"/>
        </w:rPr>
        <w:t>技术方案</w:t>
      </w:r>
    </w:p>
    <w:p w14:paraId="6AFE5B3F">
      <w:pPr>
        <w:shd w:val="clear"/>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示例略</w:t>
      </w:r>
      <w:r>
        <w:rPr>
          <w:rFonts w:ascii="宋体" w:hAnsi="宋体"/>
          <w:kern w:val="0"/>
          <w:szCs w:val="21"/>
        </w:rPr>
        <w:t>)</w:t>
      </w:r>
    </w:p>
    <w:p w14:paraId="57983C90">
      <w:pPr>
        <w:shd w:val="clear"/>
        <w:spacing w:line="360" w:lineRule="auto"/>
        <w:ind w:firstLine="420" w:firstLineChars="200"/>
        <w:jc w:val="center"/>
        <w:rPr>
          <w:rFonts w:hint="eastAsia" w:ascii="宋体" w:hAnsi="宋体" w:eastAsia="宋体" w:cs="宋体"/>
          <w:kern w:val="0"/>
          <w:szCs w:val="21"/>
        </w:rPr>
      </w:pPr>
    </w:p>
    <w:p w14:paraId="4AF25CF8">
      <w:pPr>
        <w:shd w:val="clear"/>
        <w:ind w:firstLine="420" w:firstLineChars="200"/>
        <w:rPr>
          <w:rFonts w:hint="eastAsia" w:ascii="宋体" w:hAnsi="宋体" w:eastAsia="宋体" w:cs="宋体"/>
          <w:szCs w:val="21"/>
        </w:rPr>
      </w:pPr>
    </w:p>
    <w:p w14:paraId="3E8E5319">
      <w:pPr>
        <w:shd w:val="clear"/>
        <w:spacing w:line="360" w:lineRule="auto"/>
        <w:jc w:val="center"/>
        <w:rPr>
          <w:rFonts w:hint="eastAsia" w:ascii="宋体" w:hAnsi="宋体" w:eastAsia="宋体" w:cs="宋体"/>
          <w:b/>
          <w:bCs/>
          <w:sz w:val="28"/>
          <w:szCs w:val="28"/>
        </w:rPr>
      </w:pPr>
      <w:r>
        <w:rPr>
          <w:rFonts w:hint="eastAsia" w:ascii="宋体" w:hAnsi="宋体" w:eastAsia="宋体" w:cs="宋体"/>
          <w:kern w:val="0"/>
          <w:sz w:val="24"/>
        </w:rPr>
        <w:br w:type="page"/>
      </w:r>
      <w:r>
        <w:rPr>
          <w:rFonts w:hint="eastAsia" w:ascii="宋体" w:hAnsi="宋体" w:eastAsia="宋体" w:cs="宋体"/>
          <w:b/>
          <w:bCs/>
          <w:sz w:val="28"/>
          <w:szCs w:val="28"/>
        </w:rPr>
        <w:t>格式</w:t>
      </w:r>
      <w:bookmarkStart w:id="52" w:name="_Toc231801039"/>
      <w:r>
        <w:rPr>
          <w:rFonts w:hint="eastAsia" w:ascii="宋体" w:hAnsi="宋体" w:eastAsia="宋体" w:cs="宋体"/>
          <w:b/>
          <w:bCs/>
          <w:sz w:val="28"/>
          <w:szCs w:val="28"/>
        </w:rPr>
        <w:t>11 技术力量一览表</w:t>
      </w:r>
    </w:p>
    <w:tbl>
      <w:tblPr>
        <w:tblStyle w:val="3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14:paraId="4C55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028E0270">
            <w:pPr>
              <w:shd w:val="clear"/>
              <w:adjustRightInd w:val="0"/>
              <w:jc w:val="center"/>
              <w:rPr>
                <w:rFonts w:hint="eastAsia" w:ascii="宋体" w:hAnsi="宋体" w:eastAsia="宋体" w:cs="宋体"/>
                <w:b/>
                <w:szCs w:val="21"/>
              </w:rPr>
            </w:pPr>
            <w:r>
              <w:rPr>
                <w:rFonts w:hint="eastAsia" w:ascii="宋体" w:hAnsi="宋体" w:eastAsia="宋体" w:cs="宋体"/>
                <w:b/>
                <w:szCs w:val="21"/>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16CCD466">
            <w:pPr>
              <w:shd w:val="clear"/>
              <w:adjustRightInd w:val="0"/>
              <w:jc w:val="center"/>
              <w:rPr>
                <w:rFonts w:hint="eastAsia" w:ascii="宋体" w:hAnsi="宋体" w:eastAsia="宋体" w:cs="宋体"/>
                <w:b/>
                <w:szCs w:val="21"/>
              </w:rPr>
            </w:pPr>
            <w:r>
              <w:rPr>
                <w:rFonts w:hint="eastAsia" w:ascii="宋体" w:hAnsi="宋体" w:eastAsia="宋体" w:cs="宋体"/>
                <w:b/>
                <w:szCs w:val="21"/>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0C2BD934">
            <w:pPr>
              <w:shd w:val="clear"/>
              <w:adjustRightInd w:val="0"/>
              <w:jc w:val="center"/>
              <w:rPr>
                <w:rFonts w:hint="eastAsia" w:ascii="宋体" w:hAnsi="宋体" w:eastAsia="宋体" w:cs="宋体"/>
                <w:b/>
                <w:szCs w:val="21"/>
              </w:rPr>
            </w:pPr>
            <w:r>
              <w:rPr>
                <w:rFonts w:hint="eastAsia" w:ascii="宋体" w:hAnsi="宋体" w:eastAsia="宋体" w:cs="宋体"/>
                <w:b/>
                <w:szCs w:val="21"/>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0278F4DD">
            <w:pPr>
              <w:shd w:val="clear"/>
              <w:adjustRightInd w:val="0"/>
              <w:jc w:val="center"/>
              <w:rPr>
                <w:rFonts w:hint="eastAsia" w:ascii="宋体" w:hAnsi="宋体" w:eastAsia="宋体" w:cs="宋体"/>
                <w:b/>
                <w:szCs w:val="21"/>
              </w:rPr>
            </w:pPr>
            <w:r>
              <w:rPr>
                <w:rFonts w:hint="eastAsia" w:ascii="宋体" w:hAnsi="宋体" w:eastAsia="宋体" w:cs="宋体"/>
                <w:b/>
                <w:szCs w:val="21"/>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509F66D1">
            <w:pPr>
              <w:shd w:val="clear"/>
              <w:adjustRightInd w:val="0"/>
              <w:jc w:val="center"/>
              <w:rPr>
                <w:rFonts w:hint="eastAsia" w:ascii="宋体" w:hAnsi="宋体" w:eastAsia="宋体" w:cs="宋体"/>
                <w:b/>
                <w:szCs w:val="21"/>
              </w:rPr>
            </w:pPr>
            <w:r>
              <w:rPr>
                <w:rFonts w:hint="eastAsia" w:ascii="宋体" w:hAnsi="宋体" w:eastAsia="宋体" w:cs="宋体"/>
                <w:b/>
                <w:szCs w:val="21"/>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49D0541F">
            <w:pPr>
              <w:shd w:val="clear"/>
              <w:adjustRightInd w:val="0"/>
              <w:jc w:val="center"/>
              <w:rPr>
                <w:rFonts w:hint="eastAsia" w:ascii="宋体" w:hAnsi="宋体" w:eastAsia="宋体" w:cs="宋体"/>
                <w:b/>
                <w:szCs w:val="21"/>
              </w:rPr>
            </w:pPr>
            <w:r>
              <w:rPr>
                <w:rFonts w:hint="eastAsia" w:ascii="宋体" w:hAnsi="宋体" w:eastAsia="宋体" w:cs="宋体"/>
                <w:b/>
                <w:szCs w:val="21"/>
              </w:rPr>
              <w:t>本项目中担任职务</w:t>
            </w:r>
          </w:p>
        </w:tc>
        <w:tc>
          <w:tcPr>
            <w:tcW w:w="1916" w:type="dxa"/>
            <w:tcBorders>
              <w:top w:val="single" w:color="auto" w:sz="4" w:space="0"/>
              <w:left w:val="single" w:color="auto" w:sz="4" w:space="0"/>
              <w:bottom w:val="single" w:color="auto" w:sz="4" w:space="0"/>
              <w:right w:val="single" w:color="auto" w:sz="4" w:space="0"/>
            </w:tcBorders>
            <w:noWrap/>
            <w:vAlign w:val="center"/>
          </w:tcPr>
          <w:p w14:paraId="31F3C48F">
            <w:pPr>
              <w:shd w:val="clear"/>
              <w:adjustRightInd w:val="0"/>
              <w:jc w:val="center"/>
              <w:rPr>
                <w:rFonts w:hint="eastAsia" w:ascii="宋体" w:hAnsi="宋体" w:eastAsia="宋体" w:cs="宋体"/>
                <w:b/>
                <w:szCs w:val="21"/>
              </w:rPr>
            </w:pPr>
            <w:r>
              <w:rPr>
                <w:rFonts w:hint="eastAsia" w:ascii="宋体" w:hAnsi="宋体" w:eastAsia="宋体" w:cs="宋体"/>
                <w:b/>
                <w:szCs w:val="21"/>
              </w:rPr>
              <w:t>认证情况</w:t>
            </w:r>
          </w:p>
        </w:tc>
      </w:tr>
      <w:tr w14:paraId="292A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5A2B01DB">
            <w:pPr>
              <w:shd w:val="clear"/>
              <w:adjustRightInd w:val="0"/>
              <w:jc w:val="left"/>
              <w:rPr>
                <w:rFonts w:hint="eastAsia" w:ascii="宋体" w:hAnsi="宋体" w:eastAsia="宋体" w:cs="宋体"/>
                <w:szCs w:val="21"/>
              </w:rPr>
            </w:pPr>
            <w:r>
              <w:rPr>
                <w:rFonts w:hint="eastAsia" w:ascii="宋体" w:hAnsi="宋体" w:eastAsia="宋体" w:cs="宋体"/>
                <w:szCs w:val="21"/>
              </w:rPr>
              <w:t>项目管理人员</w:t>
            </w:r>
          </w:p>
          <w:p w14:paraId="10FB17A2">
            <w:pPr>
              <w:shd w:val="clear"/>
              <w:adjustRightInd w:val="0"/>
              <w:jc w:val="left"/>
              <w:rPr>
                <w:rFonts w:hint="eastAsia" w:ascii="宋体" w:hAnsi="宋体" w:eastAsia="宋体" w:cs="宋体"/>
                <w:szCs w:val="21"/>
              </w:rPr>
            </w:pPr>
            <w:r>
              <w:rPr>
                <w:rFonts w:hint="eastAsia" w:ascii="宋体" w:hAnsi="宋体" w:eastAsia="宋体" w:cs="宋体"/>
                <w:szCs w:val="21"/>
              </w:rPr>
              <w:t>（一）项目负责人</w:t>
            </w:r>
          </w:p>
        </w:tc>
      </w:tr>
      <w:tr w14:paraId="751D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40994562">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76D9A45C">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2CF3473">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5A63F74">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EEA5FED">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5832B0A">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4A4B7AB1">
            <w:pPr>
              <w:shd w:val="clear"/>
              <w:adjustRightInd w:val="0"/>
              <w:jc w:val="center"/>
              <w:rPr>
                <w:rFonts w:hint="eastAsia" w:ascii="宋体" w:hAnsi="宋体" w:eastAsia="宋体" w:cs="宋体"/>
                <w:szCs w:val="21"/>
              </w:rPr>
            </w:pPr>
          </w:p>
        </w:tc>
      </w:tr>
      <w:tr w14:paraId="32B2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57A9A36">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7C199B30">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2EE2469">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0F0A89B">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E3786DC">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FB1EC7B">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385F384A">
            <w:pPr>
              <w:shd w:val="clear"/>
              <w:adjustRightInd w:val="0"/>
              <w:jc w:val="center"/>
              <w:rPr>
                <w:rFonts w:hint="eastAsia" w:ascii="宋体" w:hAnsi="宋体" w:eastAsia="宋体" w:cs="宋体"/>
                <w:szCs w:val="21"/>
              </w:rPr>
            </w:pPr>
          </w:p>
        </w:tc>
      </w:tr>
      <w:tr w14:paraId="478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4ADB263">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031158CF">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B6F92BB">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D4AE08E">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16108A1">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08C8F43">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4BACDB55">
            <w:pPr>
              <w:shd w:val="clear"/>
              <w:adjustRightInd w:val="0"/>
              <w:jc w:val="center"/>
              <w:rPr>
                <w:rFonts w:hint="eastAsia" w:ascii="宋体" w:hAnsi="宋体" w:eastAsia="宋体" w:cs="宋体"/>
                <w:szCs w:val="21"/>
              </w:rPr>
            </w:pPr>
          </w:p>
        </w:tc>
      </w:tr>
      <w:tr w14:paraId="00D2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616B3546">
            <w:pPr>
              <w:shd w:val="clear"/>
              <w:adjustRightInd w:val="0"/>
              <w:jc w:val="left"/>
              <w:rPr>
                <w:rFonts w:hint="eastAsia" w:ascii="宋体" w:hAnsi="宋体" w:eastAsia="宋体" w:cs="宋体"/>
                <w:szCs w:val="21"/>
              </w:rPr>
            </w:pPr>
            <w:r>
              <w:rPr>
                <w:rFonts w:hint="eastAsia" w:ascii="宋体" w:hAnsi="宋体" w:eastAsia="宋体" w:cs="宋体"/>
                <w:szCs w:val="21"/>
              </w:rPr>
              <w:t>（二）技术负责人</w:t>
            </w:r>
          </w:p>
        </w:tc>
      </w:tr>
      <w:tr w14:paraId="393B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2998EEB">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37B7EC96">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52F1923">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86DBF4D">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2DE9A0F">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712E6E4">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647F4313">
            <w:pPr>
              <w:shd w:val="clear"/>
              <w:adjustRightInd w:val="0"/>
              <w:jc w:val="center"/>
              <w:rPr>
                <w:rFonts w:hint="eastAsia" w:ascii="宋体" w:hAnsi="宋体" w:eastAsia="宋体" w:cs="宋体"/>
                <w:szCs w:val="21"/>
              </w:rPr>
            </w:pPr>
          </w:p>
        </w:tc>
      </w:tr>
      <w:tr w14:paraId="4A7A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AA39556">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2711B91E">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F87A9BD">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D749B40">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452D9FC">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7336A77">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7FBD0F11">
            <w:pPr>
              <w:shd w:val="clear"/>
              <w:adjustRightInd w:val="0"/>
              <w:jc w:val="center"/>
              <w:rPr>
                <w:rFonts w:hint="eastAsia" w:ascii="宋体" w:hAnsi="宋体" w:eastAsia="宋体" w:cs="宋体"/>
                <w:szCs w:val="21"/>
              </w:rPr>
            </w:pPr>
          </w:p>
        </w:tc>
      </w:tr>
      <w:tr w14:paraId="0747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2BEEFDB9">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665BBFEE">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0F2DC98">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7D8D249">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E1C2AF3">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C957B12">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344E1167">
            <w:pPr>
              <w:shd w:val="clear"/>
              <w:adjustRightInd w:val="0"/>
              <w:jc w:val="center"/>
              <w:rPr>
                <w:rFonts w:hint="eastAsia" w:ascii="宋体" w:hAnsi="宋体" w:eastAsia="宋体" w:cs="宋体"/>
                <w:szCs w:val="21"/>
              </w:rPr>
            </w:pPr>
          </w:p>
        </w:tc>
      </w:tr>
      <w:tr w14:paraId="446E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0A388430">
            <w:pPr>
              <w:shd w:val="clear"/>
              <w:adjustRightInd w:val="0"/>
              <w:jc w:val="left"/>
              <w:rPr>
                <w:rFonts w:hint="eastAsia" w:ascii="宋体" w:hAnsi="宋体" w:eastAsia="宋体" w:cs="宋体"/>
                <w:szCs w:val="21"/>
              </w:rPr>
            </w:pPr>
            <w:r>
              <w:rPr>
                <w:rFonts w:hint="eastAsia" w:ascii="宋体" w:hAnsi="宋体" w:eastAsia="宋体" w:cs="宋体"/>
                <w:szCs w:val="21"/>
              </w:rPr>
              <w:t>二、XX人员</w:t>
            </w:r>
          </w:p>
        </w:tc>
      </w:tr>
      <w:tr w14:paraId="4956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913A794">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4CBFA145">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7BDB569">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5E07E1C">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A5C4B89">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D981607">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A945309">
            <w:pPr>
              <w:shd w:val="clear"/>
              <w:adjustRightInd w:val="0"/>
              <w:jc w:val="center"/>
              <w:rPr>
                <w:rFonts w:hint="eastAsia" w:ascii="宋体" w:hAnsi="宋体" w:eastAsia="宋体" w:cs="宋体"/>
                <w:szCs w:val="21"/>
              </w:rPr>
            </w:pPr>
          </w:p>
        </w:tc>
      </w:tr>
      <w:tr w14:paraId="29A1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CB4BE7A">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20360B05">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34E0CB0">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435F38C">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0516158">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3E0F110">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C2E94A3">
            <w:pPr>
              <w:shd w:val="clear"/>
              <w:adjustRightInd w:val="0"/>
              <w:jc w:val="center"/>
              <w:rPr>
                <w:rFonts w:hint="eastAsia" w:ascii="宋体" w:hAnsi="宋体" w:eastAsia="宋体" w:cs="宋体"/>
                <w:szCs w:val="21"/>
              </w:rPr>
            </w:pPr>
          </w:p>
        </w:tc>
      </w:tr>
      <w:tr w14:paraId="456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47F3A351">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696888D6">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C6DCC93">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15E591E">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41C0FFC">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85A0829">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3A857F1B">
            <w:pPr>
              <w:shd w:val="clear"/>
              <w:adjustRightInd w:val="0"/>
              <w:jc w:val="center"/>
              <w:rPr>
                <w:rFonts w:hint="eastAsia" w:ascii="宋体" w:hAnsi="宋体" w:eastAsia="宋体" w:cs="宋体"/>
                <w:szCs w:val="21"/>
              </w:rPr>
            </w:pPr>
          </w:p>
        </w:tc>
      </w:tr>
      <w:tr w14:paraId="1D14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2E8A50FD">
            <w:pPr>
              <w:shd w:val="clear"/>
              <w:adjustRightInd w:val="0"/>
              <w:jc w:val="left"/>
              <w:rPr>
                <w:rFonts w:hint="eastAsia" w:ascii="宋体" w:hAnsi="宋体" w:eastAsia="宋体" w:cs="宋体"/>
                <w:szCs w:val="21"/>
              </w:rPr>
            </w:pPr>
            <w:r>
              <w:rPr>
                <w:rFonts w:hint="eastAsia" w:ascii="宋体" w:hAnsi="宋体" w:eastAsia="宋体" w:cs="宋体"/>
                <w:szCs w:val="21"/>
              </w:rPr>
              <w:t>三、XX人员</w:t>
            </w:r>
          </w:p>
        </w:tc>
      </w:tr>
      <w:tr w14:paraId="190A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4FC777F">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vAlign w:val="center"/>
          </w:tcPr>
          <w:p w14:paraId="37F81DD2">
            <w:pPr>
              <w:shd w:val="clear"/>
              <w:adjustRightInd w:val="0"/>
              <w:jc w:val="center"/>
              <w:rPr>
                <w:rFonts w:hint="eastAsia" w:ascii="宋体" w:hAnsi="宋体" w:eastAsia="宋体" w:cs="宋体"/>
                <w:szCs w:val="21"/>
              </w:rPr>
            </w:pPr>
          </w:p>
        </w:tc>
        <w:tc>
          <w:tcPr>
            <w:tcW w:w="1187" w:type="dxa"/>
            <w:vAlign w:val="center"/>
          </w:tcPr>
          <w:p w14:paraId="4B3E038F">
            <w:pPr>
              <w:shd w:val="clear"/>
              <w:adjustRightInd w:val="0"/>
              <w:jc w:val="center"/>
              <w:rPr>
                <w:rFonts w:hint="eastAsia" w:ascii="宋体" w:hAnsi="宋体" w:eastAsia="宋体" w:cs="宋体"/>
                <w:szCs w:val="21"/>
              </w:rPr>
            </w:pPr>
          </w:p>
        </w:tc>
        <w:tc>
          <w:tcPr>
            <w:tcW w:w="1189" w:type="dxa"/>
            <w:vAlign w:val="center"/>
          </w:tcPr>
          <w:p w14:paraId="70F43994">
            <w:pPr>
              <w:shd w:val="clear"/>
              <w:adjustRightInd w:val="0"/>
              <w:jc w:val="center"/>
              <w:rPr>
                <w:rFonts w:hint="eastAsia" w:ascii="宋体" w:hAnsi="宋体" w:eastAsia="宋体" w:cs="宋体"/>
                <w:szCs w:val="21"/>
              </w:rPr>
            </w:pPr>
          </w:p>
        </w:tc>
        <w:tc>
          <w:tcPr>
            <w:tcW w:w="1275" w:type="dxa"/>
            <w:vAlign w:val="center"/>
          </w:tcPr>
          <w:p w14:paraId="3D998ACC">
            <w:pPr>
              <w:shd w:val="clear"/>
              <w:adjustRightInd w:val="0"/>
              <w:jc w:val="center"/>
              <w:rPr>
                <w:rFonts w:hint="eastAsia" w:ascii="宋体" w:hAnsi="宋体" w:eastAsia="宋体" w:cs="宋体"/>
                <w:szCs w:val="21"/>
              </w:rPr>
            </w:pPr>
          </w:p>
        </w:tc>
        <w:tc>
          <w:tcPr>
            <w:tcW w:w="1243" w:type="dxa"/>
            <w:vAlign w:val="center"/>
          </w:tcPr>
          <w:p w14:paraId="514F9ED4">
            <w:pPr>
              <w:shd w:val="clear"/>
              <w:adjustRightInd w:val="0"/>
              <w:jc w:val="center"/>
              <w:rPr>
                <w:rFonts w:hint="eastAsia" w:ascii="宋体" w:hAnsi="宋体" w:eastAsia="宋体" w:cs="宋体"/>
                <w:szCs w:val="21"/>
              </w:rPr>
            </w:pPr>
          </w:p>
        </w:tc>
        <w:tc>
          <w:tcPr>
            <w:tcW w:w="1916" w:type="dxa"/>
            <w:vAlign w:val="center"/>
          </w:tcPr>
          <w:p w14:paraId="23ED5278">
            <w:pPr>
              <w:shd w:val="clear"/>
              <w:adjustRightInd w:val="0"/>
              <w:jc w:val="center"/>
              <w:rPr>
                <w:rFonts w:hint="eastAsia" w:ascii="宋体" w:hAnsi="宋体" w:eastAsia="宋体" w:cs="宋体"/>
                <w:szCs w:val="21"/>
              </w:rPr>
            </w:pPr>
          </w:p>
        </w:tc>
      </w:tr>
      <w:tr w14:paraId="2C4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5FA23B82">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vAlign w:val="center"/>
          </w:tcPr>
          <w:p w14:paraId="1A5F1D5F">
            <w:pPr>
              <w:shd w:val="clear"/>
              <w:adjustRightInd w:val="0"/>
              <w:jc w:val="center"/>
              <w:rPr>
                <w:rFonts w:hint="eastAsia" w:ascii="宋体" w:hAnsi="宋体" w:eastAsia="宋体" w:cs="宋体"/>
                <w:szCs w:val="21"/>
              </w:rPr>
            </w:pPr>
          </w:p>
        </w:tc>
        <w:tc>
          <w:tcPr>
            <w:tcW w:w="1187" w:type="dxa"/>
            <w:vAlign w:val="center"/>
          </w:tcPr>
          <w:p w14:paraId="1588461A">
            <w:pPr>
              <w:shd w:val="clear"/>
              <w:adjustRightInd w:val="0"/>
              <w:jc w:val="center"/>
              <w:rPr>
                <w:rFonts w:hint="eastAsia" w:ascii="宋体" w:hAnsi="宋体" w:eastAsia="宋体" w:cs="宋体"/>
                <w:szCs w:val="21"/>
              </w:rPr>
            </w:pPr>
          </w:p>
        </w:tc>
        <w:tc>
          <w:tcPr>
            <w:tcW w:w="1189" w:type="dxa"/>
            <w:vAlign w:val="center"/>
          </w:tcPr>
          <w:p w14:paraId="514CD186">
            <w:pPr>
              <w:shd w:val="clear"/>
              <w:adjustRightInd w:val="0"/>
              <w:jc w:val="center"/>
              <w:rPr>
                <w:rFonts w:hint="eastAsia" w:ascii="宋体" w:hAnsi="宋体" w:eastAsia="宋体" w:cs="宋体"/>
                <w:szCs w:val="21"/>
              </w:rPr>
            </w:pPr>
          </w:p>
        </w:tc>
        <w:tc>
          <w:tcPr>
            <w:tcW w:w="1275" w:type="dxa"/>
            <w:vAlign w:val="center"/>
          </w:tcPr>
          <w:p w14:paraId="1801FCA0">
            <w:pPr>
              <w:shd w:val="clear"/>
              <w:adjustRightInd w:val="0"/>
              <w:jc w:val="center"/>
              <w:rPr>
                <w:rFonts w:hint="eastAsia" w:ascii="宋体" w:hAnsi="宋体" w:eastAsia="宋体" w:cs="宋体"/>
                <w:szCs w:val="21"/>
              </w:rPr>
            </w:pPr>
          </w:p>
        </w:tc>
        <w:tc>
          <w:tcPr>
            <w:tcW w:w="1243" w:type="dxa"/>
            <w:vAlign w:val="center"/>
          </w:tcPr>
          <w:p w14:paraId="29B1B8C0">
            <w:pPr>
              <w:shd w:val="clear"/>
              <w:adjustRightInd w:val="0"/>
              <w:jc w:val="center"/>
              <w:rPr>
                <w:rFonts w:hint="eastAsia" w:ascii="宋体" w:hAnsi="宋体" w:eastAsia="宋体" w:cs="宋体"/>
                <w:szCs w:val="21"/>
              </w:rPr>
            </w:pPr>
          </w:p>
        </w:tc>
        <w:tc>
          <w:tcPr>
            <w:tcW w:w="1916" w:type="dxa"/>
            <w:vAlign w:val="center"/>
          </w:tcPr>
          <w:p w14:paraId="62CB720A">
            <w:pPr>
              <w:shd w:val="clear"/>
              <w:adjustRightInd w:val="0"/>
              <w:jc w:val="center"/>
              <w:rPr>
                <w:rFonts w:hint="eastAsia" w:ascii="宋体" w:hAnsi="宋体" w:eastAsia="宋体" w:cs="宋体"/>
                <w:szCs w:val="21"/>
              </w:rPr>
            </w:pPr>
          </w:p>
        </w:tc>
      </w:tr>
      <w:tr w14:paraId="3EA1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CCD42BC">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vAlign w:val="center"/>
          </w:tcPr>
          <w:p w14:paraId="7A96711F">
            <w:pPr>
              <w:shd w:val="clear"/>
              <w:adjustRightInd w:val="0"/>
              <w:jc w:val="center"/>
              <w:rPr>
                <w:rFonts w:hint="eastAsia" w:ascii="宋体" w:hAnsi="宋体" w:eastAsia="宋体" w:cs="宋体"/>
                <w:szCs w:val="21"/>
              </w:rPr>
            </w:pPr>
          </w:p>
        </w:tc>
        <w:tc>
          <w:tcPr>
            <w:tcW w:w="1187" w:type="dxa"/>
            <w:vAlign w:val="center"/>
          </w:tcPr>
          <w:p w14:paraId="3DF688A8">
            <w:pPr>
              <w:shd w:val="clear"/>
              <w:adjustRightInd w:val="0"/>
              <w:jc w:val="center"/>
              <w:rPr>
                <w:rFonts w:hint="eastAsia" w:ascii="宋体" w:hAnsi="宋体" w:eastAsia="宋体" w:cs="宋体"/>
                <w:szCs w:val="21"/>
              </w:rPr>
            </w:pPr>
          </w:p>
        </w:tc>
        <w:tc>
          <w:tcPr>
            <w:tcW w:w="1189" w:type="dxa"/>
            <w:vAlign w:val="center"/>
          </w:tcPr>
          <w:p w14:paraId="08144CD6">
            <w:pPr>
              <w:shd w:val="clear"/>
              <w:adjustRightInd w:val="0"/>
              <w:jc w:val="center"/>
              <w:rPr>
                <w:rFonts w:hint="eastAsia" w:ascii="宋体" w:hAnsi="宋体" w:eastAsia="宋体" w:cs="宋体"/>
                <w:szCs w:val="21"/>
              </w:rPr>
            </w:pPr>
          </w:p>
        </w:tc>
        <w:tc>
          <w:tcPr>
            <w:tcW w:w="1275" w:type="dxa"/>
            <w:vAlign w:val="center"/>
          </w:tcPr>
          <w:p w14:paraId="1F179FA2">
            <w:pPr>
              <w:shd w:val="clear"/>
              <w:adjustRightInd w:val="0"/>
              <w:jc w:val="center"/>
              <w:rPr>
                <w:rFonts w:hint="eastAsia" w:ascii="宋体" w:hAnsi="宋体" w:eastAsia="宋体" w:cs="宋体"/>
                <w:szCs w:val="21"/>
              </w:rPr>
            </w:pPr>
          </w:p>
        </w:tc>
        <w:tc>
          <w:tcPr>
            <w:tcW w:w="1243" w:type="dxa"/>
            <w:vAlign w:val="center"/>
          </w:tcPr>
          <w:p w14:paraId="1C8C39C4">
            <w:pPr>
              <w:shd w:val="clear"/>
              <w:adjustRightInd w:val="0"/>
              <w:jc w:val="center"/>
              <w:rPr>
                <w:rFonts w:hint="eastAsia" w:ascii="宋体" w:hAnsi="宋体" w:eastAsia="宋体" w:cs="宋体"/>
                <w:szCs w:val="21"/>
              </w:rPr>
            </w:pPr>
          </w:p>
        </w:tc>
        <w:tc>
          <w:tcPr>
            <w:tcW w:w="1916" w:type="dxa"/>
            <w:vAlign w:val="center"/>
          </w:tcPr>
          <w:p w14:paraId="097EF57D">
            <w:pPr>
              <w:shd w:val="clear"/>
              <w:adjustRightInd w:val="0"/>
              <w:jc w:val="center"/>
              <w:rPr>
                <w:rFonts w:hint="eastAsia" w:ascii="宋体" w:hAnsi="宋体" w:eastAsia="宋体" w:cs="宋体"/>
                <w:szCs w:val="21"/>
              </w:rPr>
            </w:pPr>
          </w:p>
        </w:tc>
      </w:tr>
      <w:bookmarkEnd w:id="52"/>
    </w:tbl>
    <w:p w14:paraId="68CB22E0">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117BA437">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投标人须按照上述格式填写投入本项目所有人员的相关信息。</w:t>
      </w:r>
    </w:p>
    <w:p w14:paraId="5F9A18C8">
      <w:pPr>
        <w:shd w:val="clear"/>
        <w:topLinePunct/>
        <w:autoSpaceDE w:val="0"/>
        <w:autoSpaceDN w:val="0"/>
        <w:spacing w:line="460" w:lineRule="exact"/>
        <w:rPr>
          <w:rFonts w:hint="eastAsia" w:ascii="宋体" w:hAnsi="宋体" w:eastAsia="宋体" w:cs="宋体"/>
          <w:bCs/>
          <w:w w:val="150"/>
          <w:sz w:val="24"/>
          <w:shd w:val="clear" w:color="auto" w:fill="FFFF00"/>
        </w:rPr>
      </w:pPr>
    </w:p>
    <w:p w14:paraId="12097291">
      <w:pPr>
        <w:shd w:val="clear"/>
        <w:topLinePunct/>
        <w:autoSpaceDE w:val="0"/>
        <w:autoSpaceDN w:val="0"/>
        <w:spacing w:line="360" w:lineRule="auto"/>
        <w:jc w:val="center"/>
        <w:rPr>
          <w:rFonts w:hint="eastAsia" w:ascii="宋体" w:hAnsi="宋体" w:eastAsia="宋体" w:cs="宋体"/>
          <w:b/>
          <w:bCs/>
          <w:sz w:val="28"/>
          <w:szCs w:val="28"/>
        </w:rPr>
      </w:pPr>
      <w:r>
        <w:rPr>
          <w:rFonts w:hint="eastAsia" w:ascii="宋体" w:hAnsi="宋体" w:eastAsia="宋体" w:cs="宋体"/>
          <w:b/>
          <w:sz w:val="30"/>
          <w:szCs w:val="30"/>
        </w:rPr>
        <w:br w:type="page"/>
      </w:r>
      <w:r>
        <w:rPr>
          <w:rFonts w:hint="eastAsia" w:ascii="宋体" w:hAnsi="宋体" w:eastAsia="宋体" w:cs="宋体"/>
          <w:b/>
          <w:bCs/>
          <w:sz w:val="28"/>
          <w:szCs w:val="28"/>
        </w:rPr>
        <w:t>格式12 技术人员简历表</w:t>
      </w:r>
    </w:p>
    <w:tbl>
      <w:tblPr>
        <w:tblStyle w:val="32"/>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902"/>
      </w:tblGrid>
      <w:tr w14:paraId="08DB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57B896A5">
            <w:pPr>
              <w:shd w:val="clear"/>
              <w:adjustRightInd w:val="0"/>
              <w:jc w:val="center"/>
              <w:rPr>
                <w:rFonts w:hint="eastAsia" w:ascii="宋体" w:hAnsi="宋体" w:eastAsia="宋体" w:cs="宋体"/>
                <w:szCs w:val="21"/>
              </w:rPr>
            </w:pPr>
            <w:r>
              <w:rPr>
                <w:rFonts w:hint="eastAsia" w:ascii="宋体" w:hAnsi="宋体" w:eastAsia="宋体" w:cs="宋体"/>
                <w:szCs w:val="21"/>
              </w:rPr>
              <w:t>姓   名</w:t>
            </w:r>
          </w:p>
        </w:tc>
        <w:tc>
          <w:tcPr>
            <w:tcW w:w="1713" w:type="dxa"/>
            <w:tcBorders>
              <w:top w:val="single" w:color="auto" w:sz="4" w:space="0"/>
              <w:left w:val="single" w:color="auto" w:sz="4" w:space="0"/>
              <w:bottom w:val="single" w:color="auto" w:sz="4" w:space="0"/>
              <w:right w:val="single" w:color="auto" w:sz="4" w:space="0"/>
            </w:tcBorders>
            <w:vAlign w:val="center"/>
          </w:tcPr>
          <w:p w14:paraId="4C33AB64">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07147FCC">
            <w:pPr>
              <w:shd w:val="clear"/>
              <w:adjustRightInd w:val="0"/>
              <w:jc w:val="center"/>
              <w:rPr>
                <w:rFonts w:hint="eastAsia" w:ascii="宋体" w:hAnsi="宋体" w:eastAsia="宋体" w:cs="宋体"/>
                <w:szCs w:val="21"/>
              </w:rPr>
            </w:pPr>
            <w:r>
              <w:rPr>
                <w:rFonts w:hint="eastAsia" w:ascii="宋体" w:hAnsi="宋体" w:eastAsia="宋体" w:cs="宋体"/>
                <w:szCs w:val="21"/>
              </w:rPr>
              <w:t>性    别</w:t>
            </w:r>
          </w:p>
        </w:tc>
        <w:tc>
          <w:tcPr>
            <w:tcW w:w="1388" w:type="dxa"/>
            <w:tcBorders>
              <w:top w:val="single" w:color="auto" w:sz="4" w:space="0"/>
              <w:left w:val="single" w:color="auto" w:sz="4" w:space="0"/>
              <w:bottom w:val="single" w:color="auto" w:sz="4" w:space="0"/>
              <w:right w:val="single" w:color="auto" w:sz="4" w:space="0"/>
            </w:tcBorders>
            <w:vAlign w:val="center"/>
          </w:tcPr>
          <w:p w14:paraId="42EBD409">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14:paraId="4F78EF7E">
            <w:pPr>
              <w:shd w:val="clear"/>
              <w:adjustRightInd w:val="0"/>
              <w:jc w:val="center"/>
              <w:rPr>
                <w:rFonts w:hint="eastAsia" w:ascii="宋体" w:hAnsi="宋体" w:eastAsia="宋体" w:cs="宋体"/>
                <w:szCs w:val="21"/>
              </w:rPr>
            </w:pPr>
            <w:r>
              <w:rPr>
                <w:rFonts w:hint="eastAsia" w:ascii="宋体" w:hAnsi="宋体" w:eastAsia="宋体" w:cs="宋体"/>
                <w:szCs w:val="21"/>
              </w:rPr>
              <w:t>出生日期</w:t>
            </w:r>
          </w:p>
        </w:tc>
        <w:tc>
          <w:tcPr>
            <w:tcW w:w="902" w:type="dxa"/>
            <w:tcBorders>
              <w:top w:val="single" w:color="auto" w:sz="4" w:space="0"/>
              <w:left w:val="single" w:color="auto" w:sz="4" w:space="0"/>
              <w:bottom w:val="single" w:color="auto" w:sz="4" w:space="0"/>
              <w:right w:val="single" w:color="auto" w:sz="4" w:space="0"/>
            </w:tcBorders>
            <w:vAlign w:val="center"/>
          </w:tcPr>
          <w:p w14:paraId="480689C5">
            <w:pPr>
              <w:shd w:val="clear"/>
              <w:adjustRightInd w:val="0"/>
              <w:jc w:val="center"/>
              <w:rPr>
                <w:rFonts w:hint="eastAsia" w:ascii="宋体" w:hAnsi="宋体" w:eastAsia="宋体" w:cs="宋体"/>
                <w:szCs w:val="21"/>
              </w:rPr>
            </w:pPr>
          </w:p>
        </w:tc>
      </w:tr>
      <w:tr w14:paraId="162D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4C225679">
            <w:pPr>
              <w:shd w:val="clear"/>
              <w:adjustRightInd w:val="0"/>
              <w:jc w:val="center"/>
              <w:rPr>
                <w:rFonts w:hint="eastAsia" w:ascii="宋体" w:hAnsi="宋体" w:eastAsia="宋体" w:cs="宋体"/>
                <w:szCs w:val="21"/>
              </w:rPr>
            </w:pPr>
            <w:r>
              <w:rPr>
                <w:rFonts w:hint="eastAsia" w:ascii="宋体" w:hAnsi="宋体" w:eastAsia="宋体" w:cs="宋体"/>
                <w:szCs w:val="21"/>
              </w:rPr>
              <w:t>学   历</w:t>
            </w:r>
          </w:p>
        </w:tc>
        <w:tc>
          <w:tcPr>
            <w:tcW w:w="1713" w:type="dxa"/>
            <w:tcBorders>
              <w:top w:val="single" w:color="auto" w:sz="4" w:space="0"/>
              <w:left w:val="single" w:color="auto" w:sz="4" w:space="0"/>
              <w:bottom w:val="single" w:color="auto" w:sz="4" w:space="0"/>
              <w:right w:val="single" w:color="auto" w:sz="4" w:space="0"/>
            </w:tcBorders>
            <w:vAlign w:val="center"/>
          </w:tcPr>
          <w:p w14:paraId="011A14CF">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0596B21C">
            <w:pPr>
              <w:shd w:val="clear"/>
              <w:adjustRightInd w:val="0"/>
              <w:jc w:val="center"/>
              <w:rPr>
                <w:rFonts w:hint="eastAsia" w:ascii="宋体" w:hAnsi="宋体" w:eastAsia="宋体" w:cs="宋体"/>
                <w:szCs w:val="21"/>
              </w:rPr>
            </w:pPr>
            <w:r>
              <w:rPr>
                <w:rFonts w:hint="eastAsia" w:ascii="宋体" w:hAnsi="宋体" w:eastAsia="宋体" w:cs="宋体"/>
                <w:szCs w:val="21"/>
              </w:rPr>
              <w:t>毕业学校</w:t>
            </w:r>
          </w:p>
        </w:tc>
        <w:tc>
          <w:tcPr>
            <w:tcW w:w="1388" w:type="dxa"/>
            <w:tcBorders>
              <w:top w:val="single" w:color="auto" w:sz="4" w:space="0"/>
              <w:left w:val="single" w:color="auto" w:sz="4" w:space="0"/>
              <w:bottom w:val="single" w:color="auto" w:sz="4" w:space="0"/>
              <w:right w:val="single" w:color="auto" w:sz="4" w:space="0"/>
            </w:tcBorders>
            <w:vAlign w:val="center"/>
          </w:tcPr>
          <w:p w14:paraId="6C01A92F">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14:paraId="21288B78">
            <w:pPr>
              <w:shd w:val="clear"/>
              <w:adjustRightInd w:val="0"/>
              <w:jc w:val="center"/>
              <w:rPr>
                <w:rFonts w:hint="eastAsia" w:ascii="宋体" w:hAnsi="宋体" w:eastAsia="宋体" w:cs="宋体"/>
                <w:szCs w:val="21"/>
              </w:rPr>
            </w:pPr>
            <w:r>
              <w:rPr>
                <w:rFonts w:hint="eastAsia" w:ascii="宋体" w:hAnsi="宋体" w:eastAsia="宋体" w:cs="宋体"/>
                <w:szCs w:val="21"/>
              </w:rPr>
              <w:t>技术职称</w:t>
            </w:r>
          </w:p>
        </w:tc>
        <w:tc>
          <w:tcPr>
            <w:tcW w:w="902" w:type="dxa"/>
            <w:tcBorders>
              <w:top w:val="single" w:color="auto" w:sz="4" w:space="0"/>
              <w:left w:val="single" w:color="auto" w:sz="4" w:space="0"/>
              <w:bottom w:val="single" w:color="auto" w:sz="4" w:space="0"/>
              <w:right w:val="single" w:color="auto" w:sz="4" w:space="0"/>
            </w:tcBorders>
            <w:vAlign w:val="center"/>
          </w:tcPr>
          <w:p w14:paraId="6EC64AC1">
            <w:pPr>
              <w:shd w:val="clear"/>
              <w:adjustRightInd w:val="0"/>
              <w:jc w:val="center"/>
              <w:rPr>
                <w:rFonts w:hint="eastAsia" w:ascii="宋体" w:hAnsi="宋体" w:eastAsia="宋体" w:cs="宋体"/>
                <w:szCs w:val="21"/>
              </w:rPr>
            </w:pPr>
          </w:p>
        </w:tc>
      </w:tr>
      <w:tr w14:paraId="502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59950DBE">
            <w:pPr>
              <w:shd w:val="clear"/>
              <w:adjustRightInd w:val="0"/>
              <w:jc w:val="center"/>
              <w:rPr>
                <w:rFonts w:hint="eastAsia" w:ascii="宋体" w:hAnsi="宋体" w:eastAsia="宋体" w:cs="宋体"/>
                <w:szCs w:val="21"/>
              </w:rPr>
            </w:pPr>
            <w:r>
              <w:rPr>
                <w:rFonts w:hint="eastAsia" w:ascii="宋体" w:hAnsi="宋体" w:eastAsia="宋体" w:cs="宋体"/>
                <w:szCs w:val="21"/>
              </w:rPr>
              <w:t>公司职务</w:t>
            </w:r>
          </w:p>
        </w:tc>
        <w:tc>
          <w:tcPr>
            <w:tcW w:w="1713" w:type="dxa"/>
            <w:tcBorders>
              <w:top w:val="single" w:color="auto" w:sz="4" w:space="0"/>
              <w:left w:val="single" w:color="auto" w:sz="4" w:space="0"/>
              <w:bottom w:val="single" w:color="auto" w:sz="4" w:space="0"/>
              <w:right w:val="single" w:color="auto" w:sz="4" w:space="0"/>
            </w:tcBorders>
            <w:vAlign w:val="center"/>
          </w:tcPr>
          <w:p w14:paraId="44CE8AC1">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1EA32386">
            <w:pPr>
              <w:shd w:val="clear"/>
              <w:adjustRightInd w:val="0"/>
              <w:jc w:val="center"/>
              <w:rPr>
                <w:rFonts w:hint="eastAsia" w:ascii="宋体" w:hAnsi="宋体" w:eastAsia="宋体" w:cs="宋体"/>
                <w:szCs w:val="21"/>
              </w:rPr>
            </w:pPr>
            <w:r>
              <w:rPr>
                <w:rFonts w:hint="eastAsia" w:ascii="宋体" w:hAnsi="宋体" w:eastAsia="宋体" w:cs="宋体"/>
                <w:szCs w:val="21"/>
              </w:rPr>
              <w:t>任职时间</w:t>
            </w:r>
          </w:p>
        </w:tc>
        <w:tc>
          <w:tcPr>
            <w:tcW w:w="1388" w:type="dxa"/>
            <w:tcBorders>
              <w:top w:val="single" w:color="auto" w:sz="4" w:space="0"/>
              <w:left w:val="single" w:color="auto" w:sz="4" w:space="0"/>
              <w:bottom w:val="single" w:color="auto" w:sz="4" w:space="0"/>
              <w:right w:val="single" w:color="auto" w:sz="4" w:space="0"/>
            </w:tcBorders>
            <w:vAlign w:val="center"/>
          </w:tcPr>
          <w:p w14:paraId="45C7E390">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14:paraId="1AEC64F5">
            <w:pPr>
              <w:shd w:val="clear"/>
              <w:adjustRightInd w:val="0"/>
              <w:jc w:val="center"/>
              <w:rPr>
                <w:rFonts w:hint="eastAsia" w:ascii="宋体" w:hAnsi="宋体" w:eastAsia="宋体" w:cs="宋体"/>
                <w:szCs w:val="21"/>
              </w:rPr>
            </w:pPr>
            <w:r>
              <w:rPr>
                <w:rFonts w:hint="eastAsia" w:ascii="宋体" w:hAnsi="宋体" w:eastAsia="宋体" w:cs="宋体"/>
                <w:szCs w:val="21"/>
              </w:rPr>
              <w:t>本项目任职</w:t>
            </w:r>
          </w:p>
        </w:tc>
        <w:tc>
          <w:tcPr>
            <w:tcW w:w="902" w:type="dxa"/>
            <w:tcBorders>
              <w:top w:val="single" w:color="auto" w:sz="4" w:space="0"/>
              <w:left w:val="single" w:color="auto" w:sz="4" w:space="0"/>
              <w:bottom w:val="single" w:color="auto" w:sz="4" w:space="0"/>
              <w:right w:val="single" w:color="auto" w:sz="4" w:space="0"/>
            </w:tcBorders>
            <w:vAlign w:val="center"/>
          </w:tcPr>
          <w:p w14:paraId="373F13E7">
            <w:pPr>
              <w:shd w:val="clear"/>
              <w:adjustRightInd w:val="0"/>
              <w:jc w:val="center"/>
              <w:rPr>
                <w:rFonts w:hint="eastAsia" w:ascii="宋体" w:hAnsi="宋体" w:eastAsia="宋体" w:cs="宋体"/>
                <w:szCs w:val="21"/>
              </w:rPr>
            </w:pPr>
          </w:p>
        </w:tc>
      </w:tr>
      <w:tr w14:paraId="53D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14:paraId="7916032A">
            <w:pPr>
              <w:shd w:val="clear"/>
              <w:adjustRightInd w:val="0"/>
              <w:jc w:val="center"/>
              <w:rPr>
                <w:rFonts w:hint="eastAsia" w:ascii="宋体" w:hAnsi="宋体" w:eastAsia="宋体" w:cs="宋体"/>
                <w:szCs w:val="21"/>
              </w:rPr>
            </w:pPr>
            <w:r>
              <w:rPr>
                <w:rFonts w:hint="eastAsia" w:ascii="宋体" w:hAnsi="宋体" w:eastAsia="宋体" w:cs="宋体"/>
                <w:szCs w:val="21"/>
              </w:rPr>
              <w:t>人员级别</w:t>
            </w:r>
          </w:p>
        </w:tc>
        <w:tc>
          <w:tcPr>
            <w:tcW w:w="1713" w:type="dxa"/>
            <w:tcBorders>
              <w:top w:val="single" w:color="auto" w:sz="4" w:space="0"/>
              <w:left w:val="single" w:color="auto" w:sz="4" w:space="0"/>
              <w:bottom w:val="single" w:color="auto" w:sz="4" w:space="0"/>
              <w:right w:val="single" w:color="auto" w:sz="4" w:space="0"/>
            </w:tcBorders>
            <w:vAlign w:val="center"/>
          </w:tcPr>
          <w:p w14:paraId="6997788B">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13B01308">
            <w:pPr>
              <w:shd w:val="clear"/>
              <w:adjustRightInd w:val="0"/>
              <w:jc w:val="center"/>
              <w:rPr>
                <w:rFonts w:hint="eastAsia" w:ascii="宋体" w:hAnsi="宋体" w:eastAsia="宋体" w:cs="宋体"/>
                <w:szCs w:val="21"/>
              </w:rPr>
            </w:pPr>
            <w:r>
              <w:rPr>
                <w:rFonts w:hint="eastAsia" w:ascii="宋体" w:hAnsi="宋体" w:eastAsia="宋体" w:cs="宋体"/>
                <w:szCs w:val="21"/>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14:paraId="7AC908C7">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14:paraId="7CED9AB3">
            <w:pPr>
              <w:shd w:val="clear"/>
              <w:adjustRightInd w:val="0"/>
              <w:jc w:val="center"/>
              <w:rPr>
                <w:rFonts w:hint="eastAsia" w:ascii="宋体" w:hAnsi="宋体" w:eastAsia="宋体" w:cs="宋体"/>
                <w:szCs w:val="21"/>
              </w:rPr>
            </w:pPr>
            <w:r>
              <w:rPr>
                <w:rFonts w:hint="eastAsia" w:ascii="宋体" w:hAnsi="宋体" w:eastAsia="宋体" w:cs="宋体"/>
                <w:szCs w:val="21"/>
              </w:rPr>
              <w:t>从事XXXX年限</w:t>
            </w:r>
          </w:p>
        </w:tc>
        <w:tc>
          <w:tcPr>
            <w:tcW w:w="902" w:type="dxa"/>
            <w:tcBorders>
              <w:top w:val="single" w:color="auto" w:sz="4" w:space="0"/>
              <w:left w:val="single" w:color="auto" w:sz="4" w:space="0"/>
              <w:bottom w:val="single" w:color="auto" w:sz="4" w:space="0"/>
              <w:right w:val="single" w:color="auto" w:sz="4" w:space="0"/>
            </w:tcBorders>
            <w:vAlign w:val="center"/>
          </w:tcPr>
          <w:p w14:paraId="2BBEDBCF">
            <w:pPr>
              <w:shd w:val="clear"/>
              <w:adjustRightInd w:val="0"/>
              <w:jc w:val="center"/>
              <w:rPr>
                <w:rFonts w:hint="eastAsia" w:ascii="宋体" w:hAnsi="宋体" w:eastAsia="宋体" w:cs="宋体"/>
                <w:szCs w:val="21"/>
              </w:rPr>
            </w:pPr>
          </w:p>
        </w:tc>
      </w:tr>
      <w:tr w14:paraId="2FEC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14:paraId="5D8A2581">
            <w:pPr>
              <w:shd w:val="clear"/>
              <w:adjustRightInd w:val="0"/>
              <w:jc w:val="center"/>
              <w:rPr>
                <w:rFonts w:hint="eastAsia" w:ascii="宋体" w:hAnsi="宋体" w:eastAsia="宋体" w:cs="宋体"/>
                <w:szCs w:val="21"/>
              </w:rPr>
            </w:pPr>
            <w:r>
              <w:rPr>
                <w:rFonts w:hint="eastAsia" w:ascii="宋体" w:hAnsi="宋体" w:eastAsia="宋体" w:cs="宋体"/>
                <w:szCs w:val="21"/>
              </w:rPr>
              <w:t>认证证书</w:t>
            </w:r>
          </w:p>
        </w:tc>
        <w:tc>
          <w:tcPr>
            <w:tcW w:w="7304" w:type="dxa"/>
            <w:gridSpan w:val="5"/>
            <w:tcBorders>
              <w:top w:val="single" w:color="auto" w:sz="4" w:space="0"/>
              <w:left w:val="single" w:color="auto" w:sz="4" w:space="0"/>
              <w:bottom w:val="single" w:color="auto" w:sz="4" w:space="0"/>
              <w:right w:val="single" w:color="auto" w:sz="4" w:space="0"/>
            </w:tcBorders>
            <w:vAlign w:val="center"/>
          </w:tcPr>
          <w:p w14:paraId="2170D5B9">
            <w:pPr>
              <w:shd w:val="clear"/>
              <w:adjustRightInd w:val="0"/>
              <w:jc w:val="center"/>
              <w:rPr>
                <w:rFonts w:hint="eastAsia" w:ascii="宋体" w:hAnsi="宋体" w:eastAsia="宋体" w:cs="宋体"/>
                <w:szCs w:val="21"/>
              </w:rPr>
            </w:pPr>
          </w:p>
        </w:tc>
      </w:tr>
      <w:tr w14:paraId="174C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67" w:type="dxa"/>
            <w:gridSpan w:val="6"/>
            <w:tcBorders>
              <w:top w:val="single" w:color="auto" w:sz="4" w:space="0"/>
              <w:left w:val="single" w:color="auto" w:sz="4" w:space="0"/>
              <w:bottom w:val="single" w:color="auto" w:sz="4" w:space="0"/>
              <w:right w:val="single" w:color="auto" w:sz="4" w:space="0"/>
            </w:tcBorders>
          </w:tcPr>
          <w:p w14:paraId="563D4CA1">
            <w:pPr>
              <w:shd w:val="clear"/>
              <w:rPr>
                <w:rFonts w:hint="eastAsia" w:ascii="宋体" w:hAnsi="宋体" w:eastAsia="宋体" w:cs="宋体"/>
                <w:szCs w:val="21"/>
              </w:rPr>
            </w:pPr>
            <w:r>
              <w:rPr>
                <w:rFonts w:hint="eastAsia" w:ascii="宋体" w:hAnsi="宋体" w:eastAsia="宋体" w:cs="宋体"/>
                <w:szCs w:val="21"/>
              </w:rPr>
              <w:t>工作简历及主要业绩</w:t>
            </w:r>
          </w:p>
          <w:p w14:paraId="58B7B7D7">
            <w:pPr>
              <w:shd w:val="clear"/>
              <w:adjustRightInd w:val="0"/>
              <w:rPr>
                <w:rFonts w:hint="eastAsia" w:ascii="宋体" w:hAnsi="宋体" w:eastAsia="宋体" w:cs="宋体"/>
                <w:szCs w:val="21"/>
              </w:rPr>
            </w:pPr>
          </w:p>
        </w:tc>
      </w:tr>
    </w:tbl>
    <w:p w14:paraId="62FDA08A">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14:paraId="73B46F0B">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1.投标人应提供投入本项目所有人员的简历。</w:t>
      </w:r>
    </w:p>
    <w:p w14:paraId="6CE85169">
      <w:pPr>
        <w:shd w:val="clear"/>
        <w:topLinePunct/>
        <w:autoSpaceDE w:val="0"/>
        <w:autoSpaceDN w:val="0"/>
        <w:spacing w:line="360" w:lineRule="auto"/>
        <w:ind w:firstLine="420" w:firstLineChars="200"/>
        <w:rPr>
          <w:rFonts w:hint="eastAsia" w:ascii="宋体" w:hAnsi="宋体" w:eastAsia="宋体" w:cs="宋体"/>
        </w:rPr>
      </w:pPr>
      <w:r>
        <w:rPr>
          <w:rFonts w:hint="eastAsia" w:ascii="宋体" w:hAnsi="宋体" w:eastAsia="宋体" w:cs="宋体"/>
          <w:szCs w:val="21"/>
        </w:rPr>
        <w:t>2.</w:t>
      </w:r>
      <w:r>
        <w:rPr>
          <w:rFonts w:hint="eastAsia" w:ascii="宋体" w:hAnsi="宋体" w:eastAsia="宋体" w:cs="宋体"/>
          <w:szCs w:val="21"/>
          <w:u w:val="single"/>
        </w:rPr>
        <w:t xml:space="preserve">    </w:t>
      </w:r>
      <w:r>
        <w:rPr>
          <w:rFonts w:hint="eastAsia" w:ascii="宋体" w:hAnsi="宋体" w:eastAsia="宋体" w:cs="宋体"/>
          <w:szCs w:val="21"/>
        </w:rPr>
        <w:t>等人员应提供</w:t>
      </w:r>
      <w:r>
        <w:rPr>
          <w:rFonts w:hint="eastAsia" w:ascii="宋体" w:hAnsi="宋体" w:eastAsia="宋体" w:cs="宋体"/>
          <w:szCs w:val="21"/>
          <w:u w:val="single"/>
        </w:rPr>
        <w:t xml:space="preserve">       </w:t>
      </w:r>
      <w:r>
        <w:rPr>
          <w:rFonts w:hint="eastAsia" w:ascii="宋体" w:hAnsi="宋体" w:eastAsia="宋体" w:cs="宋体"/>
          <w:szCs w:val="21"/>
        </w:rPr>
        <w:t xml:space="preserve">复印件。 </w:t>
      </w:r>
    </w:p>
    <w:p w14:paraId="7DC7063E">
      <w:pPr>
        <w:widowControl/>
        <w:shd w:val="clear"/>
        <w:jc w:val="left"/>
        <w:rPr>
          <w:rFonts w:hint="eastAsia" w:ascii="宋体" w:hAnsi="宋体" w:eastAsia="宋体" w:cs="宋体"/>
        </w:rPr>
      </w:pPr>
    </w:p>
    <w:p w14:paraId="3DFC84EC">
      <w:pPr>
        <w:widowControl/>
        <w:shd w:val="clear"/>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28"/>
          <w:szCs w:val="28"/>
        </w:rPr>
        <w:t>格式13 投标人售后服务承诺</w:t>
      </w:r>
    </w:p>
    <w:p w14:paraId="24FFCEB8">
      <w:pPr>
        <w:shd w:val="clear"/>
        <w:ind w:firstLine="420" w:firstLineChars="200"/>
        <w:rPr>
          <w:rFonts w:hint="eastAsia" w:ascii="宋体" w:hAnsi="宋体" w:eastAsia="宋体" w:cs="宋体"/>
          <w:szCs w:val="21"/>
        </w:rPr>
      </w:pPr>
    </w:p>
    <w:p w14:paraId="3446C90B">
      <w:pPr>
        <w:shd w:val="clear"/>
        <w:spacing w:line="360" w:lineRule="auto"/>
        <w:ind w:firstLine="420" w:firstLineChars="200"/>
        <w:jc w:val="center"/>
        <w:rPr>
          <w:rFonts w:hint="eastAsia" w:ascii="宋体" w:hAnsi="宋体" w:eastAsia="宋体" w:cs="宋体"/>
          <w:kern w:val="0"/>
          <w:szCs w:val="21"/>
        </w:rPr>
      </w:pPr>
      <w:r>
        <w:rPr>
          <w:rFonts w:hint="eastAsia" w:ascii="宋体" w:hAnsi="宋体" w:eastAsia="宋体" w:cs="宋体"/>
          <w:kern w:val="0"/>
          <w:szCs w:val="21"/>
        </w:rPr>
        <w:t>(示例略)</w:t>
      </w:r>
    </w:p>
    <w:p w14:paraId="1FF0E3E9">
      <w:pPr>
        <w:shd w:val="clear"/>
        <w:rPr>
          <w:rFonts w:hint="eastAsia" w:ascii="宋体" w:hAnsi="宋体" w:eastAsia="宋体" w:cs="宋体"/>
          <w:szCs w:val="21"/>
        </w:rPr>
        <w:sectPr>
          <w:pgSz w:w="11906" w:h="16838"/>
          <w:pgMar w:top="1440" w:right="1752" w:bottom="1440" w:left="1752" w:header="851" w:footer="992" w:gutter="0"/>
          <w:cols w:space="720" w:num="1"/>
          <w:titlePg/>
          <w:docGrid w:type="lines" w:linePitch="312" w:charSpace="0"/>
        </w:sectPr>
      </w:pPr>
    </w:p>
    <w:p w14:paraId="2D3C4D55">
      <w:pPr>
        <w:shd w:val="clear"/>
        <w:topLinePunct/>
        <w:autoSpaceDE w:val="0"/>
        <w:autoSpaceDN w:val="0"/>
        <w:jc w:val="center"/>
        <w:rPr>
          <w:rFonts w:hint="eastAsia" w:ascii="宋体" w:hAnsi="宋体" w:eastAsia="宋体" w:cs="宋体"/>
          <w:bCs/>
          <w:sz w:val="96"/>
          <w:szCs w:val="96"/>
        </w:rPr>
      </w:pPr>
      <w:r>
        <w:rPr>
          <w:rFonts w:hint="eastAsia" w:ascii="宋体" w:hAnsi="宋体" w:eastAsia="宋体" w:cs="宋体"/>
          <w:bCs/>
          <w:sz w:val="96"/>
          <w:szCs w:val="96"/>
        </w:rPr>
        <w:t>招 标 文 件</w:t>
      </w:r>
    </w:p>
    <w:p w14:paraId="7A5712EF">
      <w:pPr>
        <w:shd w:val="clear"/>
        <w:topLinePunct/>
        <w:autoSpaceDE w:val="0"/>
        <w:autoSpaceDN w:val="0"/>
        <w:spacing w:line="60" w:lineRule="exact"/>
        <w:jc w:val="center"/>
        <w:rPr>
          <w:rFonts w:hint="eastAsia" w:ascii="宋体" w:hAnsi="宋体" w:eastAsia="宋体" w:cs="宋体"/>
          <w:bCs/>
          <w:sz w:val="32"/>
          <w:szCs w:val="32"/>
        </w:rPr>
      </w:pPr>
    </w:p>
    <w:p w14:paraId="1745D3FB">
      <w:pPr>
        <w:shd w:val="clear"/>
        <w:topLinePunct/>
        <w:autoSpaceDE w:val="0"/>
        <w:autoSpaceDN w:val="0"/>
        <w:snapToGrid w:val="0"/>
        <w:jc w:val="center"/>
        <w:rPr>
          <w:rFonts w:hint="eastAsia" w:ascii="宋体" w:hAnsi="宋体" w:eastAsia="宋体" w:cs="宋体"/>
          <w:bCs/>
          <w:sz w:val="40"/>
          <w:szCs w:val="40"/>
        </w:rPr>
      </w:pPr>
      <w:r>
        <w:rPr>
          <w:rFonts w:hint="eastAsia" w:ascii="宋体" w:hAnsi="宋体" w:eastAsia="宋体" w:cs="宋体"/>
          <w:bCs/>
          <w:sz w:val="40"/>
          <w:szCs w:val="40"/>
        </w:rPr>
        <w:t>（技术部分）</w:t>
      </w:r>
    </w:p>
    <w:p w14:paraId="23869398">
      <w:pPr>
        <w:shd w:val="clear"/>
        <w:topLinePunct/>
        <w:autoSpaceDE w:val="0"/>
        <w:autoSpaceDN w:val="0"/>
        <w:snapToGrid w:val="0"/>
        <w:rPr>
          <w:rFonts w:hint="eastAsia" w:ascii="宋体" w:hAnsi="宋体" w:eastAsia="宋体" w:cs="宋体"/>
          <w:bCs/>
          <w:sz w:val="40"/>
          <w:szCs w:val="40"/>
        </w:rPr>
      </w:pPr>
    </w:p>
    <w:p w14:paraId="4690EBB6">
      <w:pPr>
        <w:shd w:val="clear"/>
        <w:jc w:val="center"/>
        <w:rPr>
          <w:rFonts w:hint="eastAsia" w:ascii="宋体" w:hAnsi="宋体" w:eastAsia="宋体" w:cs="宋体"/>
          <w:sz w:val="24"/>
          <w:szCs w:val="24"/>
        </w:rPr>
      </w:pPr>
    </w:p>
    <w:p w14:paraId="04177F87">
      <w:pPr>
        <w:shd w:val="clear"/>
        <w:jc w:val="center"/>
        <w:rPr>
          <w:rFonts w:hint="eastAsia" w:ascii="宋体" w:hAnsi="宋体" w:eastAsia="宋体" w:cs="宋体"/>
          <w:sz w:val="24"/>
          <w:szCs w:val="24"/>
        </w:rPr>
      </w:pPr>
    </w:p>
    <w:p w14:paraId="754B2871">
      <w:pPr>
        <w:shd w:val="clear"/>
        <w:spacing w:line="480" w:lineRule="exact"/>
        <w:jc w:val="center"/>
        <w:rPr>
          <w:rFonts w:hint="eastAsia" w:ascii="宋体" w:hAnsi="宋体" w:eastAsia="宋体" w:cs="宋体"/>
          <w:sz w:val="24"/>
          <w:szCs w:val="24"/>
        </w:rPr>
      </w:pPr>
    </w:p>
    <w:p w14:paraId="03B02651">
      <w:pPr>
        <w:shd w:val="clear"/>
        <w:spacing w:line="480" w:lineRule="exact"/>
        <w:jc w:val="center"/>
        <w:rPr>
          <w:rFonts w:hint="eastAsia" w:ascii="宋体" w:hAnsi="宋体" w:eastAsia="宋体" w:cs="宋体"/>
          <w:sz w:val="24"/>
          <w:szCs w:val="24"/>
        </w:rPr>
      </w:pPr>
    </w:p>
    <w:p w14:paraId="15CFD8D8">
      <w:pPr>
        <w:shd w:val="clear"/>
        <w:spacing w:line="480" w:lineRule="exact"/>
        <w:jc w:val="center"/>
        <w:rPr>
          <w:rFonts w:hint="eastAsia" w:ascii="宋体" w:hAnsi="宋体" w:eastAsia="宋体" w:cs="宋体"/>
          <w:sz w:val="24"/>
          <w:szCs w:val="24"/>
        </w:rPr>
      </w:pPr>
    </w:p>
    <w:p w14:paraId="673A4191">
      <w:pPr>
        <w:shd w:val="clear"/>
        <w:spacing w:line="480" w:lineRule="exact"/>
        <w:jc w:val="center"/>
        <w:rPr>
          <w:rFonts w:hint="eastAsia" w:ascii="宋体" w:hAnsi="宋体" w:eastAsia="宋体" w:cs="宋体"/>
          <w:sz w:val="24"/>
          <w:szCs w:val="24"/>
        </w:rPr>
      </w:pPr>
    </w:p>
    <w:p w14:paraId="10CF9DC7">
      <w:pPr>
        <w:shd w:val="clear"/>
        <w:spacing w:line="480" w:lineRule="exact"/>
        <w:jc w:val="center"/>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z w:val="32"/>
          <w:szCs w:val="32"/>
          <w:u w:val="single"/>
        </w:rPr>
        <w:t>国家税务总局福州市税务局2025-2028年度采购物业管理服务项目</w:t>
      </w:r>
      <w:r>
        <w:rPr>
          <w:rFonts w:hint="eastAsia" w:ascii="宋体" w:hAnsi="宋体" w:eastAsia="宋体" w:cs="宋体"/>
          <w:sz w:val="32"/>
          <w:szCs w:val="32"/>
        </w:rPr>
        <w:t xml:space="preserve"> </w:t>
      </w:r>
    </w:p>
    <w:p w14:paraId="362E59EF">
      <w:pPr>
        <w:shd w:val="clear"/>
        <w:spacing w:line="480" w:lineRule="exact"/>
        <w:jc w:val="center"/>
        <w:rPr>
          <w:rFonts w:hint="eastAsia" w:ascii="宋体" w:hAnsi="宋体" w:eastAsia="宋体" w:cs="宋体"/>
          <w:sz w:val="32"/>
          <w:szCs w:val="32"/>
          <w:u w:val="single"/>
        </w:rPr>
      </w:pPr>
      <w:r>
        <w:rPr>
          <w:rFonts w:hint="eastAsia" w:ascii="宋体" w:hAnsi="宋体" w:eastAsia="宋体" w:cs="宋体"/>
          <w:sz w:val="32"/>
          <w:szCs w:val="32"/>
          <w:u w:val="single"/>
        </w:rPr>
        <w:t>项目编号：FJ2025-DLGK-C0050-B00</w:t>
      </w:r>
    </w:p>
    <w:p w14:paraId="17673DCA">
      <w:pPr>
        <w:shd w:val="clear"/>
        <w:spacing w:line="480" w:lineRule="exact"/>
        <w:jc w:val="center"/>
        <w:rPr>
          <w:rFonts w:hint="eastAsia" w:ascii="宋体" w:hAnsi="宋体" w:eastAsia="宋体" w:cs="宋体"/>
          <w:sz w:val="32"/>
          <w:szCs w:val="32"/>
        </w:rPr>
      </w:pPr>
      <w:r>
        <w:rPr>
          <w:rFonts w:hint="eastAsia" w:ascii="宋体" w:hAnsi="宋体" w:eastAsia="宋体" w:cs="宋体"/>
          <w:sz w:val="32"/>
          <w:szCs w:val="32"/>
        </w:rPr>
        <w:t>采 购 人：</w:t>
      </w:r>
      <w:r>
        <w:rPr>
          <w:rFonts w:hint="eastAsia" w:ascii="宋体" w:hAnsi="宋体" w:eastAsia="宋体" w:cs="宋体"/>
          <w:sz w:val="32"/>
          <w:szCs w:val="32"/>
          <w:u w:val="single"/>
        </w:rPr>
        <w:t>国家税务总局福州市税务局</w:t>
      </w:r>
    </w:p>
    <w:p w14:paraId="27C62B91">
      <w:pPr>
        <w:shd w:val="clear"/>
        <w:spacing w:line="480" w:lineRule="exact"/>
        <w:jc w:val="center"/>
        <w:rPr>
          <w:rFonts w:hint="eastAsia" w:ascii="宋体" w:hAnsi="宋体" w:eastAsia="宋体" w:cs="宋体"/>
          <w:sz w:val="32"/>
          <w:szCs w:val="32"/>
        </w:rPr>
      </w:pPr>
      <w:r>
        <w:rPr>
          <w:rFonts w:hint="eastAsia" w:ascii="宋体" w:hAnsi="宋体" w:eastAsia="宋体" w:cs="宋体"/>
          <w:sz w:val="32"/>
          <w:szCs w:val="32"/>
        </w:rPr>
        <w:t>采购代理机构：</w:t>
      </w:r>
      <w:r>
        <w:rPr>
          <w:rFonts w:hint="eastAsia" w:ascii="宋体" w:hAnsi="宋体" w:eastAsia="宋体" w:cs="宋体"/>
          <w:sz w:val="32"/>
          <w:szCs w:val="32"/>
          <w:u w:val="single"/>
        </w:rPr>
        <w:t>福建省中亿通招标咨询有限公司</w:t>
      </w:r>
    </w:p>
    <w:p w14:paraId="0BB2B9EF">
      <w:pPr>
        <w:shd w:val="clear"/>
        <w:topLinePunct/>
        <w:autoSpaceDE w:val="0"/>
        <w:autoSpaceDN w:val="0"/>
        <w:spacing w:line="480" w:lineRule="exact"/>
        <w:rPr>
          <w:rFonts w:hint="eastAsia" w:ascii="宋体" w:hAnsi="宋体" w:eastAsia="宋体" w:cs="宋体"/>
          <w:sz w:val="32"/>
          <w:szCs w:val="32"/>
        </w:rPr>
      </w:pPr>
    </w:p>
    <w:p w14:paraId="6927B0D9">
      <w:pPr>
        <w:shd w:val="clear"/>
        <w:topLinePunct/>
        <w:autoSpaceDE w:val="0"/>
        <w:autoSpaceDN w:val="0"/>
        <w:spacing w:line="480" w:lineRule="exact"/>
        <w:jc w:val="center"/>
        <w:rPr>
          <w:rFonts w:hint="eastAsia" w:ascii="宋体" w:hAnsi="宋体" w:eastAsia="宋体" w:cs="宋体"/>
          <w:sz w:val="32"/>
          <w:szCs w:val="32"/>
        </w:rPr>
      </w:pPr>
    </w:p>
    <w:p w14:paraId="618E5490">
      <w:pPr>
        <w:shd w:val="clear"/>
        <w:topLinePunct/>
        <w:autoSpaceDE w:val="0"/>
        <w:autoSpaceDN w:val="0"/>
        <w:spacing w:line="480" w:lineRule="exact"/>
        <w:jc w:val="center"/>
        <w:rPr>
          <w:rFonts w:hint="eastAsia" w:ascii="宋体" w:hAnsi="宋体" w:eastAsia="宋体" w:cs="宋体"/>
          <w:sz w:val="32"/>
          <w:szCs w:val="32"/>
        </w:rPr>
      </w:pPr>
    </w:p>
    <w:p w14:paraId="6FBB7BBC">
      <w:pPr>
        <w:shd w:val="clear"/>
        <w:topLinePunct/>
        <w:autoSpaceDE w:val="0"/>
        <w:autoSpaceDN w:val="0"/>
        <w:spacing w:line="480" w:lineRule="exact"/>
        <w:jc w:val="center"/>
        <w:rPr>
          <w:rFonts w:hint="eastAsia" w:ascii="宋体" w:hAnsi="宋体" w:eastAsia="宋体" w:cs="宋体"/>
          <w:sz w:val="32"/>
          <w:szCs w:val="32"/>
        </w:rPr>
      </w:pPr>
    </w:p>
    <w:p w14:paraId="7A7C276B">
      <w:pPr>
        <w:shd w:val="clear"/>
        <w:topLinePunct/>
        <w:autoSpaceDE w:val="0"/>
        <w:autoSpaceDN w:val="0"/>
        <w:spacing w:line="480" w:lineRule="exact"/>
        <w:jc w:val="center"/>
        <w:rPr>
          <w:rFonts w:hint="eastAsia" w:ascii="宋体" w:hAnsi="宋体" w:eastAsia="宋体" w:cs="宋体"/>
          <w:sz w:val="32"/>
          <w:szCs w:val="32"/>
        </w:rPr>
      </w:pPr>
    </w:p>
    <w:p w14:paraId="202E1ED4">
      <w:pPr>
        <w:shd w:val="clear"/>
        <w:topLinePunct/>
        <w:autoSpaceDE w:val="0"/>
        <w:autoSpaceDN w:val="0"/>
        <w:spacing w:line="480" w:lineRule="exact"/>
        <w:jc w:val="center"/>
        <w:rPr>
          <w:rFonts w:hint="eastAsia" w:ascii="宋体" w:hAnsi="宋体" w:eastAsia="宋体" w:cs="宋体"/>
          <w:sz w:val="32"/>
          <w:szCs w:val="32"/>
        </w:rPr>
      </w:pPr>
    </w:p>
    <w:p w14:paraId="0C2C8F5C">
      <w:pPr>
        <w:shd w:val="clear"/>
        <w:topLinePunct/>
        <w:autoSpaceDE w:val="0"/>
        <w:autoSpaceDN w:val="0"/>
        <w:spacing w:line="480" w:lineRule="exact"/>
        <w:jc w:val="center"/>
        <w:rPr>
          <w:rFonts w:hint="eastAsia" w:ascii="宋体" w:hAnsi="宋体" w:eastAsia="宋体" w:cs="宋体"/>
          <w:sz w:val="32"/>
          <w:szCs w:val="32"/>
        </w:rPr>
      </w:pPr>
    </w:p>
    <w:p w14:paraId="47588D01">
      <w:pPr>
        <w:shd w:val="clear"/>
        <w:topLinePunct/>
        <w:autoSpaceDE w:val="0"/>
        <w:autoSpaceDN w:val="0"/>
        <w:spacing w:line="480" w:lineRule="exact"/>
        <w:jc w:val="center"/>
        <w:rPr>
          <w:rFonts w:hint="eastAsia" w:ascii="宋体" w:hAnsi="宋体" w:eastAsia="宋体" w:cs="宋体"/>
          <w:sz w:val="32"/>
          <w:szCs w:val="32"/>
        </w:rPr>
      </w:pPr>
    </w:p>
    <w:p w14:paraId="03C62982">
      <w:pPr>
        <w:shd w:val="clear"/>
        <w:topLinePunct/>
        <w:autoSpaceDE w:val="0"/>
        <w:autoSpaceDN w:val="0"/>
        <w:spacing w:line="480" w:lineRule="exact"/>
        <w:jc w:val="center"/>
        <w:rPr>
          <w:rFonts w:hint="eastAsia" w:ascii="宋体" w:hAnsi="宋体" w:eastAsia="宋体" w:cs="宋体"/>
          <w:sz w:val="32"/>
          <w:szCs w:val="32"/>
        </w:rPr>
      </w:pPr>
    </w:p>
    <w:p w14:paraId="20B43723">
      <w:pPr>
        <w:shd w:val="clear"/>
        <w:topLinePunct/>
        <w:autoSpaceDE w:val="0"/>
        <w:autoSpaceDN w:val="0"/>
        <w:spacing w:line="480" w:lineRule="exact"/>
        <w:jc w:val="center"/>
        <w:rPr>
          <w:rFonts w:hint="eastAsia" w:ascii="宋体" w:hAnsi="宋体" w:eastAsia="宋体" w:cs="宋体"/>
          <w:sz w:val="32"/>
          <w:szCs w:val="32"/>
        </w:rPr>
      </w:pPr>
    </w:p>
    <w:p w14:paraId="22D97094">
      <w:pPr>
        <w:shd w:val="clear"/>
        <w:topLinePunct/>
        <w:autoSpaceDE w:val="0"/>
        <w:autoSpaceDN w:val="0"/>
        <w:spacing w:line="480" w:lineRule="exact"/>
        <w:jc w:val="center"/>
        <w:rPr>
          <w:rFonts w:hint="eastAsia" w:ascii="宋体" w:hAnsi="宋体" w:eastAsia="宋体" w:cs="宋体"/>
          <w:sz w:val="32"/>
          <w:szCs w:val="32"/>
        </w:rPr>
      </w:pPr>
      <w:r>
        <w:rPr>
          <w:rFonts w:hint="eastAsia" w:ascii="宋体" w:hAnsi="宋体" w:eastAsia="宋体" w:cs="宋体"/>
          <w:sz w:val="32"/>
          <w:szCs w:val="32"/>
        </w:rPr>
        <w:t>国家税务总局福州市税务局</w:t>
      </w:r>
    </w:p>
    <w:p w14:paraId="0AA5E855">
      <w:pPr>
        <w:shd w:val="clear"/>
        <w:spacing w:line="480" w:lineRule="exact"/>
        <w:jc w:val="center"/>
        <w:rPr>
          <w:rFonts w:hint="eastAsia" w:ascii="宋体" w:hAnsi="宋体" w:eastAsia="宋体" w:cs="宋体"/>
          <w:sz w:val="32"/>
          <w:szCs w:val="32"/>
          <w:u w:val="single"/>
        </w:rPr>
      </w:pPr>
      <w:r>
        <w:rPr>
          <w:rFonts w:hint="eastAsia" w:ascii="宋体" w:hAnsi="宋体" w:eastAsia="宋体" w:cs="宋体"/>
          <w:sz w:val="32"/>
          <w:szCs w:val="32"/>
          <w:u w:val="single"/>
        </w:rPr>
        <w:t>2025年</w:t>
      </w:r>
      <w:r>
        <w:rPr>
          <w:rFonts w:hint="eastAsia" w:ascii="宋体" w:hAnsi="宋体" w:eastAsia="宋体" w:cs="宋体"/>
          <w:sz w:val="32"/>
          <w:szCs w:val="32"/>
          <w:u w:val="single"/>
          <w:lang w:val="en-US" w:eastAsia="zh-CN"/>
        </w:rPr>
        <w:t>6</w:t>
      </w:r>
      <w:r>
        <w:rPr>
          <w:rFonts w:hint="eastAsia" w:ascii="宋体" w:hAnsi="宋体" w:eastAsia="宋体" w:cs="宋体"/>
          <w:sz w:val="32"/>
          <w:szCs w:val="32"/>
          <w:u w:val="single"/>
        </w:rPr>
        <w:t>月</w:t>
      </w:r>
      <w:r>
        <w:rPr>
          <w:rFonts w:hint="eastAsia" w:ascii="宋体" w:hAnsi="宋体" w:eastAsia="宋体" w:cs="宋体"/>
          <w:sz w:val="32"/>
          <w:szCs w:val="32"/>
          <w:u w:val="single"/>
          <w:lang w:val="en-US" w:eastAsia="zh-CN"/>
        </w:rPr>
        <w:t>4</w:t>
      </w:r>
      <w:r>
        <w:rPr>
          <w:rFonts w:hint="eastAsia" w:ascii="宋体" w:hAnsi="宋体" w:eastAsia="宋体" w:cs="宋体"/>
          <w:sz w:val="32"/>
          <w:szCs w:val="32"/>
          <w:u w:val="single"/>
        </w:rPr>
        <w:t>日</w:t>
      </w:r>
    </w:p>
    <w:p w14:paraId="3487C8B3">
      <w:pPr>
        <w:widowControl/>
        <w:shd w:val="clear"/>
        <w:jc w:val="center"/>
        <w:outlineLvl w:val="0"/>
        <w:rPr>
          <w:rFonts w:hint="eastAsia" w:ascii="宋体" w:hAnsi="宋体" w:eastAsia="宋体" w:cs="宋体"/>
          <w:b/>
          <w:bCs/>
          <w:sz w:val="28"/>
          <w:szCs w:val="28"/>
        </w:rPr>
      </w:pPr>
      <w:r>
        <w:rPr>
          <w:rFonts w:hint="eastAsia" w:ascii="宋体" w:hAnsi="宋体" w:eastAsia="宋体" w:cs="宋体"/>
          <w:sz w:val="24"/>
          <w:szCs w:val="24"/>
        </w:rPr>
        <w:br w:type="page"/>
      </w:r>
      <w:bookmarkStart w:id="53" w:name="_Toc7675"/>
      <w:r>
        <w:rPr>
          <w:rFonts w:hint="eastAsia" w:ascii="宋体" w:hAnsi="宋体" w:eastAsia="宋体" w:cs="宋体"/>
          <w:b/>
          <w:bCs/>
          <w:sz w:val="28"/>
          <w:szCs w:val="28"/>
        </w:rPr>
        <w:t>第六章  项目采购需求</w:t>
      </w:r>
      <w:bookmarkEnd w:id="53"/>
    </w:p>
    <w:p w14:paraId="7E533B85">
      <w:pPr>
        <w:pageBreakBefore w:val="0"/>
        <w:shd w:val="clear"/>
        <w:kinsoku/>
        <w:topLinePunct w:val="0"/>
        <w:bidi w:val="0"/>
        <w:spacing w:line="360" w:lineRule="auto"/>
        <w:ind w:firstLine="420" w:firstLineChars="200"/>
        <w:outlineLvl w:val="9"/>
        <w:rPr>
          <w:rFonts w:hint="eastAsia" w:ascii="宋体" w:hAnsi="宋体" w:eastAsia="宋体" w:cs="宋体"/>
          <w:b/>
          <w:bCs/>
        </w:rPr>
      </w:pPr>
      <w:bookmarkStart w:id="54" w:name="_Toc129529569"/>
      <w:r>
        <w:rPr>
          <w:rFonts w:hint="eastAsia"/>
        </w:rPr>
        <w:t>★</w:t>
      </w:r>
      <w:r>
        <w:rPr>
          <w:rFonts w:hint="eastAsia" w:ascii="宋体" w:hAnsi="宋体" w:eastAsia="宋体" w:cs="宋体"/>
          <w:b/>
          <w:bCs/>
        </w:rPr>
        <w:t>注:本章内容为不允许负偏离的实质性要求。</w:t>
      </w:r>
    </w:p>
    <w:p w14:paraId="72AE326B">
      <w:pPr>
        <w:pageBreakBefore w:val="0"/>
        <w:shd w:val="clear"/>
        <w:kinsoku/>
        <w:topLinePunct w:val="0"/>
        <w:bidi w:val="0"/>
        <w:spacing w:line="460" w:lineRule="exact"/>
        <w:ind w:firstLine="422" w:firstLineChars="200"/>
        <w:outlineLvl w:val="9"/>
        <w:rPr>
          <w:rFonts w:hint="eastAsia" w:ascii="宋体" w:hAnsi="宋体" w:eastAsia="宋体" w:cs="宋体"/>
          <w:b/>
          <w:bCs/>
          <w:szCs w:val="21"/>
        </w:rPr>
      </w:pPr>
      <w:r>
        <w:rPr>
          <w:rFonts w:hint="eastAsia" w:ascii="宋体" w:hAnsi="宋体" w:eastAsia="宋体" w:cs="宋体"/>
          <w:b/>
          <w:bCs/>
          <w:szCs w:val="21"/>
        </w:rPr>
        <w:t>一、项目概况</w:t>
      </w:r>
      <w:bookmarkEnd w:id="54"/>
    </w:p>
    <w:p w14:paraId="0B72187A">
      <w:pPr>
        <w:pStyle w:val="21"/>
        <w:pageBreakBefore w:val="0"/>
        <w:shd w:val="clear"/>
        <w:kinsoku/>
        <w:topLinePunct w:val="0"/>
        <w:bidi w:val="0"/>
        <w:snapToGrid w:val="0"/>
        <w:spacing w:line="560" w:lineRule="exact"/>
        <w:ind w:firstLine="315" w:firstLineChars="150"/>
        <w:outlineLvl w:val="9"/>
        <w:rPr>
          <w:rFonts w:hint="eastAsia" w:hAnsi="宋体" w:cs="宋体"/>
          <w:color w:val="000000" w:themeColor="text1"/>
          <w14:textFill>
            <w14:solidFill>
              <w14:schemeClr w14:val="tx1"/>
            </w14:solidFill>
          </w14:textFill>
        </w:rPr>
      </w:pPr>
      <w:bookmarkStart w:id="55" w:name="_Toc129529570"/>
      <w:r>
        <w:rPr>
          <w:rFonts w:hint="eastAsia" w:hAnsi="宋体" w:cs="宋体"/>
          <w:color w:val="000000" w:themeColor="text1"/>
          <w14:textFill>
            <w14:solidFill>
              <w14:schemeClr w14:val="tx1"/>
            </w14:solidFill>
          </w14:textFill>
        </w:rPr>
        <w:t>（一）项目基本情况</w:t>
      </w:r>
    </w:p>
    <w:p w14:paraId="2BC8BDB0">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国家税务总局福州市税务局办公区位于福州市鼓楼区八一七中路49号，项目总建筑面积约30720（产权面积）平方米，具体如下：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70"/>
        <w:gridCol w:w="1190"/>
        <w:gridCol w:w="2035"/>
        <w:gridCol w:w="3859"/>
      </w:tblGrid>
      <w:tr w14:paraId="28BE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l2br w:val="nil"/>
              <w:tr2bl w:val="nil"/>
            </w:tcBorders>
            <w:vAlign w:val="center"/>
          </w:tcPr>
          <w:p w14:paraId="588EA343">
            <w:pPr>
              <w:pStyle w:val="21"/>
              <w:pageBreakBefore w:val="0"/>
              <w:shd w:val="clear"/>
              <w:kinsoku/>
              <w:topLinePunct w:val="0"/>
              <w:bidi w:val="0"/>
              <w:snapToGrid w:val="0"/>
              <w:spacing w:line="560" w:lineRule="exact"/>
              <w:jc w:val="center"/>
              <w:outlineLvl w:val="9"/>
              <w:rPr>
                <w:rFonts w:hint="eastAsia" w:hAnsi="宋体" w:cs="宋体"/>
                <w:b/>
                <w:bCs/>
              </w:rPr>
            </w:pPr>
            <w:r>
              <w:rPr>
                <w:rFonts w:hint="eastAsia" w:hAnsi="宋体" w:cs="宋体"/>
                <w:b/>
                <w:bCs/>
              </w:rPr>
              <w:t>序号</w:t>
            </w:r>
          </w:p>
        </w:tc>
        <w:tc>
          <w:tcPr>
            <w:tcW w:w="970" w:type="dxa"/>
            <w:tcBorders>
              <w:tl2br w:val="nil"/>
              <w:tr2bl w:val="nil"/>
            </w:tcBorders>
            <w:vAlign w:val="center"/>
          </w:tcPr>
          <w:p w14:paraId="6539378B">
            <w:pPr>
              <w:pStyle w:val="21"/>
              <w:pageBreakBefore w:val="0"/>
              <w:shd w:val="clear"/>
              <w:kinsoku/>
              <w:topLinePunct w:val="0"/>
              <w:bidi w:val="0"/>
              <w:snapToGrid w:val="0"/>
              <w:spacing w:line="560" w:lineRule="exact"/>
              <w:jc w:val="center"/>
              <w:outlineLvl w:val="9"/>
              <w:rPr>
                <w:rFonts w:hint="eastAsia" w:hAnsi="宋体" w:cs="宋体"/>
                <w:b/>
                <w:bCs/>
              </w:rPr>
            </w:pPr>
            <w:r>
              <w:rPr>
                <w:rFonts w:hint="eastAsia" w:hAnsi="宋体" w:cs="宋体"/>
                <w:b/>
                <w:bCs/>
              </w:rPr>
              <w:t>建筑名称</w:t>
            </w:r>
          </w:p>
        </w:tc>
        <w:tc>
          <w:tcPr>
            <w:tcW w:w="1190" w:type="dxa"/>
            <w:tcBorders>
              <w:tl2br w:val="nil"/>
              <w:tr2bl w:val="nil"/>
            </w:tcBorders>
            <w:vAlign w:val="center"/>
          </w:tcPr>
          <w:p w14:paraId="2DD69117">
            <w:pPr>
              <w:pStyle w:val="21"/>
              <w:pageBreakBefore w:val="0"/>
              <w:shd w:val="clear"/>
              <w:kinsoku/>
              <w:topLinePunct w:val="0"/>
              <w:bidi w:val="0"/>
              <w:snapToGrid w:val="0"/>
              <w:spacing w:line="560" w:lineRule="exact"/>
              <w:jc w:val="center"/>
              <w:outlineLvl w:val="9"/>
              <w:rPr>
                <w:rFonts w:hint="eastAsia" w:hAnsi="宋体" w:cs="宋体"/>
                <w:b/>
                <w:bCs/>
              </w:rPr>
            </w:pPr>
            <w:r>
              <w:rPr>
                <w:rFonts w:hint="eastAsia" w:hAnsi="宋体" w:cs="宋体"/>
                <w:b/>
                <w:bCs/>
              </w:rPr>
              <w:t>层数</w:t>
            </w:r>
          </w:p>
        </w:tc>
        <w:tc>
          <w:tcPr>
            <w:tcW w:w="2035" w:type="dxa"/>
            <w:tcBorders>
              <w:tl2br w:val="nil"/>
              <w:tr2bl w:val="nil"/>
            </w:tcBorders>
            <w:vAlign w:val="center"/>
          </w:tcPr>
          <w:p w14:paraId="3E8375BB">
            <w:pPr>
              <w:pStyle w:val="21"/>
              <w:pageBreakBefore w:val="0"/>
              <w:shd w:val="clear"/>
              <w:kinsoku/>
              <w:topLinePunct w:val="0"/>
              <w:bidi w:val="0"/>
              <w:snapToGrid w:val="0"/>
              <w:spacing w:line="560" w:lineRule="exact"/>
              <w:jc w:val="center"/>
              <w:outlineLvl w:val="9"/>
              <w:rPr>
                <w:rFonts w:hint="eastAsia" w:hAnsi="宋体" w:cs="宋体"/>
                <w:b/>
                <w:bCs/>
              </w:rPr>
            </w:pPr>
            <w:r>
              <w:rPr>
                <w:rFonts w:hint="eastAsia" w:hAnsi="宋体" w:cs="宋体"/>
                <w:b/>
                <w:bCs/>
              </w:rPr>
              <w:t>建筑面积（㎡）</w:t>
            </w:r>
          </w:p>
        </w:tc>
        <w:tc>
          <w:tcPr>
            <w:tcW w:w="3859" w:type="dxa"/>
            <w:tcBorders>
              <w:tl2br w:val="nil"/>
              <w:tr2bl w:val="nil"/>
            </w:tcBorders>
            <w:vAlign w:val="center"/>
          </w:tcPr>
          <w:p w14:paraId="43418346">
            <w:pPr>
              <w:pStyle w:val="21"/>
              <w:pageBreakBefore w:val="0"/>
              <w:shd w:val="clear"/>
              <w:kinsoku/>
              <w:topLinePunct w:val="0"/>
              <w:bidi w:val="0"/>
              <w:snapToGrid w:val="0"/>
              <w:spacing w:line="560" w:lineRule="exact"/>
              <w:jc w:val="center"/>
              <w:outlineLvl w:val="9"/>
              <w:rPr>
                <w:rFonts w:hint="eastAsia" w:hAnsi="宋体" w:cs="宋体"/>
                <w:b/>
                <w:bCs/>
              </w:rPr>
            </w:pPr>
            <w:r>
              <w:rPr>
                <w:rFonts w:hint="eastAsia" w:hAnsi="宋体" w:cs="宋体"/>
                <w:b/>
                <w:bCs/>
              </w:rPr>
              <w:t>用途</w:t>
            </w:r>
          </w:p>
        </w:tc>
      </w:tr>
      <w:tr w14:paraId="2A39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tcBorders>
              <w:tl2br w:val="nil"/>
              <w:tr2bl w:val="nil"/>
            </w:tcBorders>
            <w:vAlign w:val="center"/>
          </w:tcPr>
          <w:p w14:paraId="4EAFB9D2">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1</w:t>
            </w:r>
          </w:p>
        </w:tc>
        <w:tc>
          <w:tcPr>
            <w:tcW w:w="970" w:type="dxa"/>
            <w:vMerge w:val="restart"/>
            <w:tcBorders>
              <w:tl2br w:val="nil"/>
              <w:tr2bl w:val="nil"/>
            </w:tcBorders>
            <w:vAlign w:val="center"/>
          </w:tcPr>
          <w:p w14:paraId="06208A70">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福州市税务局大楼</w:t>
            </w:r>
          </w:p>
        </w:tc>
        <w:tc>
          <w:tcPr>
            <w:tcW w:w="1190" w:type="dxa"/>
            <w:tcBorders>
              <w:tl2br w:val="nil"/>
              <w:tr2bl w:val="nil"/>
            </w:tcBorders>
            <w:vAlign w:val="center"/>
          </w:tcPr>
          <w:p w14:paraId="2CC3256E">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负一楼</w:t>
            </w:r>
          </w:p>
        </w:tc>
        <w:tc>
          <w:tcPr>
            <w:tcW w:w="2035" w:type="dxa"/>
            <w:tcBorders>
              <w:tl2br w:val="nil"/>
              <w:tr2bl w:val="nil"/>
            </w:tcBorders>
            <w:vAlign w:val="center"/>
          </w:tcPr>
          <w:p w14:paraId="1A5C08FE">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2000</w:t>
            </w:r>
          </w:p>
        </w:tc>
        <w:tc>
          <w:tcPr>
            <w:tcW w:w="3859" w:type="dxa"/>
            <w:tcBorders>
              <w:tl2br w:val="nil"/>
              <w:tr2bl w:val="nil"/>
            </w:tcBorders>
            <w:vAlign w:val="center"/>
          </w:tcPr>
          <w:p w14:paraId="68797709">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地下停车场</w:t>
            </w:r>
          </w:p>
        </w:tc>
      </w:tr>
      <w:tr w14:paraId="3092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tcBorders>
              <w:tl2br w:val="nil"/>
              <w:tr2bl w:val="nil"/>
            </w:tcBorders>
            <w:vAlign w:val="center"/>
          </w:tcPr>
          <w:p w14:paraId="6999382F">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w:t>
            </w:r>
          </w:p>
        </w:tc>
        <w:tc>
          <w:tcPr>
            <w:tcW w:w="970" w:type="dxa"/>
            <w:vMerge w:val="continue"/>
            <w:tcBorders>
              <w:tl2br w:val="nil"/>
              <w:tr2bl w:val="nil"/>
            </w:tcBorders>
            <w:vAlign w:val="center"/>
          </w:tcPr>
          <w:p w14:paraId="783B29B7">
            <w:pPr>
              <w:pageBreakBefore w:val="0"/>
              <w:shd w:val="clear"/>
              <w:kinsoku/>
              <w:topLinePunct w:val="0"/>
              <w:bidi w:val="0"/>
              <w:snapToGrid w:val="0"/>
              <w:spacing w:line="560" w:lineRule="exact"/>
              <w:jc w:val="center"/>
              <w:outlineLvl w:val="9"/>
              <w:rPr>
                <w:rFonts w:hint="eastAsia" w:ascii="宋体" w:hAnsi="宋体" w:eastAsia="宋体" w:cs="宋体"/>
                <w:szCs w:val="21"/>
              </w:rPr>
            </w:pPr>
          </w:p>
        </w:tc>
        <w:tc>
          <w:tcPr>
            <w:tcW w:w="1190" w:type="dxa"/>
            <w:tcBorders>
              <w:tl2br w:val="nil"/>
              <w:tr2bl w:val="nil"/>
            </w:tcBorders>
            <w:vAlign w:val="center"/>
          </w:tcPr>
          <w:p w14:paraId="343C6E92">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一楼</w:t>
            </w:r>
          </w:p>
        </w:tc>
        <w:tc>
          <w:tcPr>
            <w:tcW w:w="2035" w:type="dxa"/>
            <w:tcBorders>
              <w:tl2br w:val="nil"/>
              <w:tr2bl w:val="nil"/>
            </w:tcBorders>
            <w:vAlign w:val="center"/>
          </w:tcPr>
          <w:p w14:paraId="1805CD08">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2000</w:t>
            </w:r>
          </w:p>
        </w:tc>
        <w:tc>
          <w:tcPr>
            <w:tcW w:w="3859" w:type="dxa"/>
            <w:tcBorders>
              <w:tl2br w:val="nil"/>
              <w:tr2bl w:val="nil"/>
            </w:tcBorders>
            <w:vAlign w:val="center"/>
          </w:tcPr>
          <w:p w14:paraId="537E80A8">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12366办公大厅</w:t>
            </w:r>
          </w:p>
        </w:tc>
      </w:tr>
      <w:tr w14:paraId="48A3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68" w:type="dxa"/>
            <w:tcBorders>
              <w:tl2br w:val="nil"/>
              <w:tr2bl w:val="nil"/>
            </w:tcBorders>
            <w:vAlign w:val="center"/>
          </w:tcPr>
          <w:p w14:paraId="144678BD">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3</w:t>
            </w:r>
          </w:p>
        </w:tc>
        <w:tc>
          <w:tcPr>
            <w:tcW w:w="970" w:type="dxa"/>
            <w:vMerge w:val="continue"/>
            <w:tcBorders>
              <w:tl2br w:val="nil"/>
              <w:tr2bl w:val="nil"/>
            </w:tcBorders>
            <w:vAlign w:val="center"/>
          </w:tcPr>
          <w:p w14:paraId="7EFFE776">
            <w:pPr>
              <w:pageBreakBefore w:val="0"/>
              <w:shd w:val="clear"/>
              <w:kinsoku/>
              <w:topLinePunct w:val="0"/>
              <w:bidi w:val="0"/>
              <w:snapToGrid w:val="0"/>
              <w:spacing w:line="560" w:lineRule="exact"/>
              <w:jc w:val="center"/>
              <w:outlineLvl w:val="9"/>
              <w:rPr>
                <w:rFonts w:hint="eastAsia" w:ascii="宋体" w:hAnsi="宋体" w:eastAsia="宋体" w:cs="宋体"/>
                <w:szCs w:val="21"/>
              </w:rPr>
            </w:pPr>
          </w:p>
        </w:tc>
        <w:tc>
          <w:tcPr>
            <w:tcW w:w="1190" w:type="dxa"/>
            <w:tcBorders>
              <w:tl2br w:val="nil"/>
              <w:tr2bl w:val="nil"/>
            </w:tcBorders>
            <w:vAlign w:val="center"/>
          </w:tcPr>
          <w:p w14:paraId="76C655EB">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2F-7F</w:t>
            </w:r>
          </w:p>
        </w:tc>
        <w:tc>
          <w:tcPr>
            <w:tcW w:w="2035" w:type="dxa"/>
            <w:tcBorders>
              <w:tl2br w:val="nil"/>
              <w:tr2bl w:val="nil"/>
            </w:tcBorders>
            <w:vAlign w:val="center"/>
          </w:tcPr>
          <w:p w14:paraId="31489137">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2000/每层</w:t>
            </w:r>
          </w:p>
        </w:tc>
        <w:tc>
          <w:tcPr>
            <w:tcW w:w="3859" w:type="dxa"/>
            <w:tcBorders>
              <w:tl2br w:val="nil"/>
              <w:tr2bl w:val="nil"/>
            </w:tcBorders>
            <w:vAlign w:val="center"/>
          </w:tcPr>
          <w:p w14:paraId="498A5AE6">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综合办公室</w:t>
            </w:r>
          </w:p>
        </w:tc>
      </w:tr>
      <w:tr w14:paraId="481E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tcBorders>
              <w:tl2br w:val="nil"/>
              <w:tr2bl w:val="nil"/>
            </w:tcBorders>
            <w:vAlign w:val="center"/>
          </w:tcPr>
          <w:p w14:paraId="375DE2DA">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4</w:t>
            </w:r>
          </w:p>
        </w:tc>
        <w:tc>
          <w:tcPr>
            <w:tcW w:w="970" w:type="dxa"/>
            <w:vMerge w:val="continue"/>
            <w:tcBorders>
              <w:tl2br w:val="nil"/>
              <w:tr2bl w:val="nil"/>
            </w:tcBorders>
            <w:vAlign w:val="center"/>
          </w:tcPr>
          <w:p w14:paraId="0D4E6067">
            <w:pPr>
              <w:pageBreakBefore w:val="0"/>
              <w:shd w:val="clear"/>
              <w:kinsoku/>
              <w:topLinePunct w:val="0"/>
              <w:bidi w:val="0"/>
              <w:snapToGrid w:val="0"/>
              <w:spacing w:line="560" w:lineRule="exact"/>
              <w:jc w:val="center"/>
              <w:outlineLvl w:val="9"/>
              <w:rPr>
                <w:rFonts w:hint="eastAsia" w:ascii="宋体" w:hAnsi="宋体" w:eastAsia="宋体" w:cs="宋体"/>
                <w:szCs w:val="21"/>
              </w:rPr>
            </w:pPr>
          </w:p>
        </w:tc>
        <w:tc>
          <w:tcPr>
            <w:tcW w:w="1190" w:type="dxa"/>
            <w:tcBorders>
              <w:tl2br w:val="nil"/>
              <w:tr2bl w:val="nil"/>
            </w:tcBorders>
            <w:vAlign w:val="center"/>
          </w:tcPr>
          <w:p w14:paraId="01FE280D">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8F-21F</w:t>
            </w:r>
          </w:p>
        </w:tc>
        <w:tc>
          <w:tcPr>
            <w:tcW w:w="2035" w:type="dxa"/>
            <w:tcBorders>
              <w:tl2br w:val="nil"/>
              <w:tr2bl w:val="nil"/>
            </w:tcBorders>
            <w:vAlign w:val="center"/>
          </w:tcPr>
          <w:p w14:paraId="42FE3816">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980/每层</w:t>
            </w:r>
          </w:p>
        </w:tc>
        <w:tc>
          <w:tcPr>
            <w:tcW w:w="3859" w:type="dxa"/>
            <w:tcBorders>
              <w:tl2br w:val="nil"/>
              <w:tr2bl w:val="nil"/>
            </w:tcBorders>
            <w:vAlign w:val="center"/>
          </w:tcPr>
          <w:p w14:paraId="02D6508B">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干部办公室</w:t>
            </w:r>
          </w:p>
        </w:tc>
      </w:tr>
      <w:tr w14:paraId="3CED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tcBorders>
              <w:tl2br w:val="nil"/>
              <w:tr2bl w:val="nil"/>
            </w:tcBorders>
            <w:vAlign w:val="center"/>
          </w:tcPr>
          <w:p w14:paraId="521A5FB2">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5</w:t>
            </w:r>
          </w:p>
        </w:tc>
        <w:tc>
          <w:tcPr>
            <w:tcW w:w="970" w:type="dxa"/>
            <w:tcBorders>
              <w:tl2br w:val="nil"/>
              <w:tr2bl w:val="nil"/>
            </w:tcBorders>
            <w:vAlign w:val="center"/>
          </w:tcPr>
          <w:p w14:paraId="5357B39F">
            <w:pPr>
              <w:pageBreakBefore w:val="0"/>
              <w:shd w:val="clear"/>
              <w:kinsoku/>
              <w:topLinePunct w:val="0"/>
              <w:bidi w:val="0"/>
              <w:snapToGrid w:val="0"/>
              <w:spacing w:line="560" w:lineRule="exact"/>
              <w:jc w:val="center"/>
              <w:outlineLvl w:val="9"/>
              <w:rPr>
                <w:rFonts w:hint="eastAsia" w:ascii="宋体" w:hAnsi="宋体" w:eastAsia="宋体" w:cs="宋体"/>
                <w:szCs w:val="21"/>
              </w:rPr>
            </w:pPr>
          </w:p>
        </w:tc>
        <w:tc>
          <w:tcPr>
            <w:tcW w:w="1190" w:type="dxa"/>
            <w:tcBorders>
              <w:tl2br w:val="nil"/>
              <w:tr2bl w:val="nil"/>
            </w:tcBorders>
            <w:vAlign w:val="center"/>
          </w:tcPr>
          <w:p w14:paraId="12A6B05D">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22F</w:t>
            </w:r>
          </w:p>
        </w:tc>
        <w:tc>
          <w:tcPr>
            <w:tcW w:w="2035" w:type="dxa"/>
            <w:tcBorders>
              <w:tl2br w:val="nil"/>
              <w:tr2bl w:val="nil"/>
            </w:tcBorders>
            <w:vAlign w:val="center"/>
          </w:tcPr>
          <w:p w14:paraId="015B01A4">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1000</w:t>
            </w:r>
          </w:p>
        </w:tc>
        <w:tc>
          <w:tcPr>
            <w:tcW w:w="3859" w:type="dxa"/>
            <w:tcBorders>
              <w:tl2br w:val="nil"/>
              <w:tr2bl w:val="nil"/>
            </w:tcBorders>
            <w:vAlign w:val="center"/>
          </w:tcPr>
          <w:p w14:paraId="6B297E33">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干部办公室</w:t>
            </w:r>
          </w:p>
        </w:tc>
      </w:tr>
      <w:tr w14:paraId="070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gridSpan w:val="3"/>
            <w:tcBorders>
              <w:tl2br w:val="nil"/>
              <w:tr2bl w:val="nil"/>
            </w:tcBorders>
            <w:vAlign w:val="center"/>
          </w:tcPr>
          <w:p w14:paraId="27AACD07">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合计面积</w:t>
            </w:r>
          </w:p>
        </w:tc>
        <w:tc>
          <w:tcPr>
            <w:tcW w:w="5894" w:type="dxa"/>
            <w:gridSpan w:val="2"/>
            <w:tcBorders>
              <w:tl2br w:val="nil"/>
              <w:tr2bl w:val="nil"/>
            </w:tcBorders>
            <w:vAlign w:val="center"/>
          </w:tcPr>
          <w:p w14:paraId="27EAB500">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约30720㎡</w:t>
            </w:r>
          </w:p>
        </w:tc>
      </w:tr>
    </w:tbl>
    <w:p w14:paraId="0EFE08CE">
      <w:pPr>
        <w:pStyle w:val="21"/>
        <w:pageBreakBefore w:val="0"/>
        <w:numPr>
          <w:ilvl w:val="255"/>
          <w:numId w:val="0"/>
        </w:numPr>
        <w:shd w:val="clear"/>
        <w:kinsoku/>
        <w:topLinePunct w:val="0"/>
        <w:bidi w:val="0"/>
        <w:snapToGrid w:val="0"/>
        <w:spacing w:line="560" w:lineRule="exact"/>
        <w:ind w:firstLine="315" w:firstLineChars="150"/>
        <w:outlineLvl w:val="9"/>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（二）设施设备情况</w:t>
      </w:r>
    </w:p>
    <w:p w14:paraId="72CAF3E2">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项目的公用设施设备主要有：绿地、道路、停车场；化粪池、污水池、雨水井、充电桩、垃圾屋、门禁系统、安防监控系统；电梯4部、发电机1台；消防设施；中央空调（制冷系统、供暖系统）；高低压配电房；避雷设施等。</w:t>
      </w:r>
    </w:p>
    <w:p w14:paraId="4A3A01FC">
      <w:pPr>
        <w:pageBreakBefore w:val="0"/>
        <w:numPr>
          <w:ilvl w:val="255"/>
          <w:numId w:val="0"/>
        </w:numPr>
        <w:shd w:val="clear"/>
        <w:kinsoku/>
        <w:topLinePunct w:val="0"/>
        <w:bidi w:val="0"/>
        <w:spacing w:line="440" w:lineRule="atLeast"/>
        <w:ind w:firstLine="422" w:firstLineChars="200"/>
        <w:outlineLvl w:val="9"/>
        <w:rPr>
          <w:rFonts w:hint="eastAsia" w:ascii="宋体" w:hAnsi="宋体" w:eastAsia="宋体" w:cs="宋体"/>
          <w:b/>
          <w:bCs/>
          <w:szCs w:val="21"/>
        </w:rPr>
      </w:pPr>
      <w:r>
        <w:rPr>
          <w:rFonts w:hint="eastAsia" w:ascii="宋体" w:hAnsi="宋体" w:eastAsia="宋体" w:cs="宋体"/>
          <w:b/>
          <w:bCs/>
          <w:szCs w:val="21"/>
        </w:rPr>
        <w:t>二、技术要求</w:t>
      </w:r>
      <w:bookmarkEnd w:id="55"/>
    </w:p>
    <w:p w14:paraId="4A54EDCF">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14:textFill>
            <w14:solidFill>
              <w14:schemeClr w14:val="tx1"/>
            </w14:solidFill>
          </w14:textFill>
        </w:rPr>
      </w:pPr>
      <w:bookmarkStart w:id="56" w:name="_Toc129529571"/>
      <w:r>
        <w:rPr>
          <w:rFonts w:hint="eastAsia" w:ascii="宋体" w:hAnsi="宋体" w:eastAsia="宋体" w:cs="宋体"/>
          <w:color w:val="000000" w:themeColor="text1"/>
          <w:szCs w:val="21"/>
          <w14:textFill>
            <w14:solidFill>
              <w14:schemeClr w14:val="tx1"/>
            </w14:solidFill>
          </w14:textFill>
        </w:rPr>
        <w:t>（一）物业管理范围</w:t>
      </w:r>
    </w:p>
    <w:p w14:paraId="36FC8874">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管理范围：包括但不限于前台服务（指定楼层）、保安、保洁、会务服务、水电及房屋养护、高低压配电机房和发电机房日常维护、充电桩日常维护、中央空调操作、电梯日常检查、消防设施日常检查、日常绿化维护管理、垃圾屋日常管理、四害消杀、采购人其他房产管理以及交办的其他工作。</w:t>
      </w:r>
    </w:p>
    <w:p w14:paraId="11B8875A">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（二）物业管理项目</w:t>
      </w:r>
    </w:p>
    <w:p w14:paraId="2ED301DF">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1.行政、档案管理工作内容及服务要求：</w:t>
      </w:r>
    </w:p>
    <w:p w14:paraId="49587057">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
          <w14:textFill>
            <w14:solidFill>
              <w14:schemeClr w14:val="tx1"/>
            </w14:solidFill>
          </w14:textFill>
        </w:rPr>
        <w:t>）负责大楼全面的物业管理工作，监督落实日常及各部门的具体工作；</w:t>
      </w:r>
    </w:p>
    <w:p w14:paraId="79BDE3D7">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
          <w14:textFill>
            <w14:solidFill>
              <w14:schemeClr w14:val="tx1"/>
            </w14:solidFill>
          </w14:textFill>
        </w:rPr>
        <w:t>）接受</w:t>
      </w:r>
      <w:r>
        <w:rPr>
          <w:rFonts w:hint="eastAsia" w:ascii="宋体" w:hAnsi="宋体" w:eastAsia="宋体" w:cs="宋体"/>
          <w:color w:val="000000" w:themeColor="text1"/>
          <w:szCs w:val="21"/>
          <w:lang w:val="en" w:eastAsia="zh-CN"/>
          <w14:textFill>
            <w14:solidFill>
              <w14:schemeClr w14:val="tx1"/>
            </w14:solidFill>
          </w14:textFill>
        </w:rPr>
        <w:t>采购人</w:t>
      </w:r>
      <w:r>
        <w:rPr>
          <w:rFonts w:hint="eastAsia" w:ascii="宋体" w:hAnsi="宋体" w:eastAsia="宋体" w:cs="宋体"/>
          <w:color w:val="000000" w:themeColor="text1"/>
          <w:szCs w:val="21"/>
          <w:lang w:val="en"/>
          <w14:textFill>
            <w14:solidFill>
              <w14:schemeClr w14:val="tx1"/>
            </w14:solidFill>
          </w14:textFill>
        </w:rPr>
        <w:t>投诉，并及时反馈；</w:t>
      </w:r>
    </w:p>
    <w:p w14:paraId="64B2FC5E">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
          <w14:textFill>
            <w14:solidFill>
              <w14:schemeClr w14:val="tx1"/>
            </w14:solidFill>
          </w14:textFill>
        </w:rPr>
        <w:t>）接受采购人的监督，完成和落实下达的物业管理事务；</w:t>
      </w:r>
    </w:p>
    <w:p w14:paraId="4DEB252B">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
          <w14:textFill>
            <w14:solidFill>
              <w14:schemeClr w14:val="tx1"/>
            </w14:solidFill>
          </w14:textFill>
        </w:rPr>
        <w:t>）配合</w:t>
      </w:r>
      <w:r>
        <w:rPr>
          <w:rFonts w:hint="eastAsia" w:ascii="宋体" w:hAnsi="宋体" w:eastAsia="宋体" w:cs="宋体"/>
          <w:color w:val="000000" w:themeColor="text1"/>
          <w:szCs w:val="21"/>
          <w:lang w:val="en" w:eastAsia="zh-CN"/>
          <w14:textFill>
            <w14:solidFill>
              <w14:schemeClr w14:val="tx1"/>
            </w14:solidFill>
          </w14:textFill>
        </w:rPr>
        <w:t>采购人</w:t>
      </w:r>
      <w:r>
        <w:rPr>
          <w:rFonts w:hint="eastAsia" w:ascii="宋体" w:hAnsi="宋体" w:eastAsia="宋体" w:cs="宋体"/>
          <w:color w:val="000000" w:themeColor="text1"/>
          <w:szCs w:val="21"/>
          <w:lang w:val="en"/>
          <w14:textFill>
            <w14:solidFill>
              <w14:schemeClr w14:val="tx1"/>
            </w14:solidFill>
          </w14:textFill>
        </w:rPr>
        <w:t>协调好与社区、派出所等单位的关系，处理好有关的公共事宜；</w:t>
      </w:r>
    </w:p>
    <w:p w14:paraId="07BC6449">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en"/>
          <w14:textFill>
            <w14:solidFill>
              <w14:schemeClr w14:val="tx1"/>
            </w14:solidFill>
          </w14:textFill>
        </w:rPr>
        <w:t>）监督各岗位人员着装整齐、及时上岗并做好考勤登记；</w:t>
      </w:r>
    </w:p>
    <w:p w14:paraId="5D65163C">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lang w:val="en"/>
          <w14:textFill>
            <w14:solidFill>
              <w14:schemeClr w14:val="tx1"/>
            </w14:solidFill>
          </w14:textFill>
        </w:rPr>
        <w:t>）做好各类易耗品的领用、保管手续；</w:t>
      </w:r>
    </w:p>
    <w:p w14:paraId="2EC8B3FC">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en"/>
          <w14:textFill>
            <w14:solidFill>
              <w14:schemeClr w14:val="tx1"/>
            </w14:solidFill>
          </w14:textFill>
        </w:rPr>
        <w:t>）加强员工的思想教育、职业道德、技能、安全生产、保密等教育培训；</w:t>
      </w:r>
    </w:p>
    <w:p w14:paraId="7B027B3F">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en"/>
          <w14:textFill>
            <w14:solidFill>
              <w14:schemeClr w14:val="tx1"/>
            </w14:solidFill>
          </w14:textFill>
        </w:rPr>
        <w:t>）遵守</w:t>
      </w:r>
      <w:r>
        <w:rPr>
          <w:rFonts w:hint="eastAsia" w:ascii="宋体" w:hAnsi="宋体" w:eastAsia="宋体" w:cs="宋体"/>
          <w:color w:val="000000" w:themeColor="text1"/>
          <w:szCs w:val="21"/>
          <w:lang w:val="en" w:eastAsia="zh-CN"/>
          <w14:textFill>
            <w14:solidFill>
              <w14:schemeClr w14:val="tx1"/>
            </w14:solidFill>
          </w14:textFill>
        </w:rPr>
        <w:t>采购人</w:t>
      </w:r>
      <w:r>
        <w:rPr>
          <w:rFonts w:hint="eastAsia" w:ascii="宋体" w:hAnsi="宋体" w:eastAsia="宋体" w:cs="宋体"/>
          <w:color w:val="000000" w:themeColor="text1"/>
          <w:szCs w:val="21"/>
          <w:lang w:val="en"/>
          <w14:textFill>
            <w14:solidFill>
              <w14:schemeClr w14:val="tx1"/>
            </w14:solidFill>
          </w14:textFill>
        </w:rPr>
        <w:t>有关规章制度；</w:t>
      </w:r>
    </w:p>
    <w:p w14:paraId="51EBE423">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lang w:val="en"/>
          <w14:textFill>
            <w14:solidFill>
              <w14:schemeClr w14:val="tx1"/>
            </w14:solidFill>
          </w14:textFill>
        </w:rPr>
        <w:t>）建立、健全</w:t>
      </w:r>
      <w:r>
        <w:rPr>
          <w:rFonts w:hint="eastAsia" w:ascii="宋体" w:hAnsi="宋体" w:eastAsia="宋体" w:cs="宋体"/>
          <w:color w:val="000000" w:themeColor="text1"/>
          <w:szCs w:val="21"/>
          <w:lang w:val="en" w:eastAsia="zh-CN"/>
          <w14:textFill>
            <w14:solidFill>
              <w14:schemeClr w14:val="tx1"/>
            </w14:solidFill>
          </w14:textFill>
        </w:rPr>
        <w:t>采购人</w:t>
      </w:r>
      <w:r>
        <w:rPr>
          <w:rFonts w:hint="eastAsia" w:ascii="宋体" w:hAnsi="宋体" w:eastAsia="宋体" w:cs="宋体"/>
          <w:color w:val="000000" w:themeColor="text1"/>
          <w:szCs w:val="21"/>
          <w:lang w:val="en"/>
          <w14:textFill>
            <w14:solidFill>
              <w14:schemeClr w14:val="tx1"/>
            </w14:solidFill>
          </w14:textFill>
        </w:rPr>
        <w:t>提供的相关档案资料、管理人员档案、设备清单、工具与服装台账、竣工验收资料、水电巡检和维修资料等资料管理；</w:t>
      </w:r>
    </w:p>
    <w:p w14:paraId="42F82514">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lang w:val="en"/>
          <w14:textFill>
            <w14:solidFill>
              <w14:schemeClr w14:val="tx1"/>
            </w14:solidFill>
          </w14:textFill>
        </w:rPr>
        <w:t>）建立保安工作记录资料，及特殊事件的全程记录；</w:t>
      </w:r>
    </w:p>
    <w:p w14:paraId="62B74E3F">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11</w:t>
      </w:r>
      <w:r>
        <w:rPr>
          <w:rFonts w:hint="eastAsia" w:ascii="宋体" w:hAnsi="宋体" w:eastAsia="宋体" w:cs="宋体"/>
          <w:color w:val="000000" w:themeColor="text1"/>
          <w:szCs w:val="21"/>
          <w:lang w:val="en"/>
          <w14:textFill>
            <w14:solidFill>
              <w14:schemeClr w14:val="tx1"/>
            </w14:solidFill>
          </w14:textFill>
        </w:rPr>
        <w:t>）采购人交办的其他工作。</w:t>
      </w:r>
    </w:p>
    <w:p w14:paraId="1F482F1C">
      <w:pPr>
        <w:pStyle w:val="19"/>
        <w:pageBreakBefore w:val="0"/>
        <w:shd w:val="clear"/>
        <w:kinsoku/>
        <w:topLinePunct w:val="0"/>
        <w:bidi w:val="0"/>
        <w:snapToGrid w:val="0"/>
        <w:spacing w:line="560" w:lineRule="exact"/>
        <w:ind w:left="0" w:right="0" w:rightChars="0" w:firstLine="315" w:firstLineChars="150"/>
        <w:outlineLvl w:val="9"/>
        <w:rPr>
          <w:rFonts w:hint="eastAsia" w:eastAsia="宋体" w:cs="宋体"/>
          <w:color w:val="000000" w:themeColor="text1"/>
          <w:sz w:val="21"/>
          <w:szCs w:val="21"/>
          <w:lang w:val="en"/>
          <w14:textFill>
            <w14:solidFill>
              <w14:schemeClr w14:val="tx1"/>
            </w14:solidFill>
          </w14:textFill>
        </w:rPr>
      </w:pPr>
      <w:r>
        <w:rPr>
          <w:rFonts w:hint="eastAsia" w:eastAsia="宋体" w:cs="宋体"/>
          <w:color w:val="000000" w:themeColor="text1"/>
          <w:sz w:val="21"/>
          <w:szCs w:val="21"/>
          <w:lang w:val="e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12</w:t>
      </w:r>
      <w:r>
        <w:rPr>
          <w:rFonts w:hint="eastAsia" w:eastAsia="宋体" w:cs="宋体"/>
          <w:color w:val="000000" w:themeColor="text1"/>
          <w:sz w:val="21"/>
          <w:szCs w:val="21"/>
          <w:lang w:val="en"/>
          <w14:textFill>
            <w14:solidFill>
              <w14:schemeClr w14:val="tx1"/>
            </w14:solidFill>
          </w14:textFill>
        </w:rPr>
        <w:t>）服务要求：</w:t>
      </w:r>
    </w:p>
    <w:p w14:paraId="7720036F">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
          <w14:textFill>
            <w14:solidFill>
              <w14:schemeClr w14:val="tx1"/>
            </w14:solidFill>
          </w14:textFill>
        </w:rPr>
        <w:t>）各项工作落实率达100%；</w:t>
      </w:r>
    </w:p>
    <w:p w14:paraId="227914A1">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
          <w14:textFill>
            <w14:solidFill>
              <w14:schemeClr w14:val="tx1"/>
            </w14:solidFill>
          </w14:textFill>
        </w:rPr>
        <w:t>）确保大楼规范管理；</w:t>
      </w:r>
    </w:p>
    <w:p w14:paraId="49828E35">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
          <w14:textFill>
            <w14:solidFill>
              <w14:schemeClr w14:val="tx1"/>
            </w14:solidFill>
          </w14:textFill>
        </w:rPr>
        <w:t>）热情接待，认真做好投诉记录，及时分析原因，拟定处理办法，并安排服务，满意率达到95%以上；</w:t>
      </w:r>
    </w:p>
    <w:p w14:paraId="0C48748B">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
          <w14:textFill>
            <w14:solidFill>
              <w14:schemeClr w14:val="tx1"/>
            </w14:solidFill>
          </w14:textFill>
        </w:rPr>
        <w:t>）投诉处理应及时回访。</w:t>
      </w:r>
    </w:p>
    <w:p w14:paraId="1E10752E">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en"/>
          <w14:textFill>
            <w14:solidFill>
              <w14:schemeClr w14:val="tx1"/>
            </w14:solidFill>
          </w14:textFill>
        </w:rPr>
        <w:t>）管理处形成《整改措施报告》报备；资料齐全清楚，随到随查，做好按月归档工作。</w:t>
      </w:r>
    </w:p>
    <w:p w14:paraId="0F640EA6">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lang w:val="en"/>
          <w14:textFill>
            <w14:solidFill>
              <w14:schemeClr w14:val="tx1"/>
            </w14:solidFill>
          </w14:textFill>
        </w:rPr>
        <w:t>）对外关系密切、融洽，确保</w:t>
      </w:r>
      <w:r>
        <w:rPr>
          <w:rFonts w:hint="eastAsia" w:ascii="宋体" w:hAnsi="宋体" w:eastAsia="宋体" w:cs="宋体"/>
          <w:color w:val="000000" w:themeColor="text1"/>
          <w:szCs w:val="21"/>
          <w:lang w:val="en" w:eastAsia="zh-CN"/>
          <w14:textFill>
            <w14:solidFill>
              <w14:schemeClr w14:val="tx1"/>
            </w14:solidFill>
          </w14:textFill>
        </w:rPr>
        <w:t>采购人</w:t>
      </w:r>
      <w:r>
        <w:rPr>
          <w:rFonts w:hint="eastAsia" w:ascii="宋体" w:hAnsi="宋体" w:eastAsia="宋体" w:cs="宋体"/>
          <w:color w:val="000000" w:themeColor="text1"/>
          <w:szCs w:val="21"/>
          <w:lang w:val="en"/>
          <w14:textFill>
            <w14:solidFill>
              <w14:schemeClr w14:val="tx1"/>
            </w14:solidFill>
          </w14:textFill>
        </w:rPr>
        <w:t>有一个舒适整洁、安全的办公环境；</w:t>
      </w:r>
    </w:p>
    <w:p w14:paraId="62F64748">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en"/>
          <w14:textFill>
            <w14:solidFill>
              <w14:schemeClr w14:val="tx1"/>
            </w14:solidFill>
          </w14:textFill>
        </w:rPr>
        <w:t>）增进</w:t>
      </w:r>
      <w:r>
        <w:rPr>
          <w:rFonts w:hint="eastAsia" w:ascii="宋体" w:hAnsi="宋体" w:eastAsia="宋体" w:cs="宋体"/>
          <w:color w:val="000000" w:themeColor="text1"/>
          <w:szCs w:val="21"/>
          <w:lang w:val="en" w:eastAsia="zh-CN"/>
          <w14:textFill>
            <w14:solidFill>
              <w14:schemeClr w14:val="tx1"/>
            </w14:solidFill>
          </w14:textFill>
        </w:rPr>
        <w:t>采购人</w:t>
      </w:r>
      <w:r>
        <w:rPr>
          <w:rFonts w:hint="eastAsia" w:ascii="宋体" w:hAnsi="宋体" w:eastAsia="宋体" w:cs="宋体"/>
          <w:color w:val="000000" w:themeColor="text1"/>
          <w:szCs w:val="21"/>
          <w:lang w:val="en"/>
          <w14:textFill>
            <w14:solidFill>
              <w14:schemeClr w14:val="tx1"/>
            </w14:solidFill>
          </w14:textFill>
        </w:rPr>
        <w:t>与物业管理处之间的相互了解与沟通；</w:t>
      </w:r>
    </w:p>
    <w:p w14:paraId="1CC7D172">
      <w:pPr>
        <w:pageBreakBefore w:val="0"/>
        <w:shd w:val="clear"/>
        <w:kinsoku/>
        <w:topLinePunct w:val="0"/>
        <w:bidi w:val="0"/>
        <w:snapToGrid w:val="0"/>
        <w:spacing w:line="560" w:lineRule="exact"/>
        <w:ind w:firstLine="525" w:firstLineChars="2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en"/>
          <w14:textFill>
            <w14:solidFill>
              <w14:schemeClr w14:val="tx1"/>
            </w14:solidFill>
          </w14:textFill>
        </w:rPr>
        <w:t>）上岗人员着装整齐，到岗率100%。</w:t>
      </w:r>
    </w:p>
    <w:p w14:paraId="0B80E54F">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13</w:t>
      </w:r>
      <w:r>
        <w:rPr>
          <w:rFonts w:hint="eastAsia" w:ascii="宋体" w:hAnsi="宋体" w:eastAsia="宋体" w:cs="宋体"/>
          <w:color w:val="000000" w:themeColor="text1"/>
          <w:szCs w:val="21"/>
          <w:lang w:val="en"/>
          <w14:textFill>
            <w14:solidFill>
              <w14:schemeClr w14:val="tx1"/>
            </w14:solidFill>
          </w14:textFill>
        </w:rPr>
        <w:t>）对于正常上班时间之外的加班保障工作，</w:t>
      </w:r>
      <w:r>
        <w:rPr>
          <w:rFonts w:hint="eastAsia" w:ascii="宋体" w:hAnsi="宋体" w:eastAsia="宋体" w:cs="宋体"/>
          <w:color w:val="000000" w:themeColor="text1"/>
          <w:szCs w:val="21"/>
          <w14:textFill>
            <w14:solidFill>
              <w14:schemeClr w14:val="tx1"/>
            </w14:solidFill>
          </w14:textFill>
        </w:rPr>
        <w:t>中标</w:t>
      </w:r>
      <w:r>
        <w:rPr>
          <w:rFonts w:hint="eastAsia" w:ascii="宋体" w:hAnsi="宋体" w:eastAsia="宋体" w:cs="宋体"/>
          <w:color w:val="000000" w:themeColor="text1"/>
          <w:szCs w:val="21"/>
          <w:lang w:val="en"/>
          <w14:textFill>
            <w14:solidFill>
              <w14:schemeClr w14:val="tx1"/>
            </w14:solidFill>
          </w14:textFill>
        </w:rPr>
        <w:t>人需无条件服从采购</w:t>
      </w:r>
      <w:r>
        <w:rPr>
          <w:rFonts w:hint="eastAsia" w:ascii="宋体" w:hAnsi="宋体" w:eastAsia="宋体" w:cs="宋体"/>
          <w:color w:val="000000" w:themeColor="text1"/>
          <w:szCs w:val="21"/>
          <w14:textFill>
            <w14:solidFill>
              <w14:schemeClr w14:val="tx1"/>
            </w14:solidFill>
          </w14:textFill>
        </w:rPr>
        <w:t>人</w:t>
      </w:r>
      <w:r>
        <w:rPr>
          <w:rFonts w:hint="eastAsia" w:ascii="宋体" w:hAnsi="宋体" w:eastAsia="宋体" w:cs="宋体"/>
          <w:color w:val="000000" w:themeColor="text1"/>
          <w:szCs w:val="21"/>
          <w:lang w:val="en"/>
          <w14:textFill>
            <w14:solidFill>
              <w14:schemeClr w14:val="tx1"/>
            </w14:solidFill>
          </w14:textFill>
        </w:rPr>
        <w:t>的安排。</w:t>
      </w:r>
    </w:p>
    <w:p w14:paraId="30519499">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2.管理规范</w:t>
      </w:r>
    </w:p>
    <w:p w14:paraId="13987D06">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（1）</w:t>
      </w:r>
      <w:r>
        <w:rPr>
          <w:rFonts w:hint="eastAsia"/>
          <w:color w:val="000000" w:themeColor="text1"/>
          <w:kern w:val="2"/>
          <w:sz w:val="21"/>
          <w:szCs w:val="21"/>
          <w:lang w:val="en"/>
          <w14:textFill>
            <w14:solidFill>
              <w14:schemeClr w14:val="tx1"/>
            </w14:solidFill>
          </w14:textFill>
        </w:rPr>
        <w:t>管理制度健全：有基本的服务规范标准与物业管理制度，并制定具体作业流程及物业管理工作计划、制订上岗要求及服务准则、推行公众制度管理和宣传计划、实施员工考核办法、实行岗位培训制度等。</w:t>
      </w:r>
    </w:p>
    <w:p w14:paraId="24FE544D">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（2）</w:t>
      </w:r>
      <w:r>
        <w:rPr>
          <w:rFonts w:hint="eastAsia"/>
          <w:color w:val="000000" w:themeColor="text1"/>
          <w:kern w:val="2"/>
          <w:sz w:val="21"/>
          <w:szCs w:val="21"/>
          <w:lang w:val="en"/>
          <w14:textFill>
            <w14:solidFill>
              <w14:schemeClr w14:val="tx1"/>
            </w14:solidFill>
          </w14:textFill>
        </w:rPr>
        <w:t>管理手段先进：充分应用计算机等现代化管理手段进行科学管理，财务管理、</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资料、房屋档案、设备档案、投诉管理等不仅要求纸质资料齐全，且全面实行信息化管理。</w:t>
      </w:r>
    </w:p>
    <w:p w14:paraId="2920E4BB">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（3）</w:t>
      </w:r>
      <w:r>
        <w:rPr>
          <w:rFonts w:hint="eastAsia"/>
          <w:color w:val="000000" w:themeColor="text1"/>
          <w:kern w:val="2"/>
          <w:sz w:val="21"/>
          <w:szCs w:val="21"/>
          <w:lang w:val="en"/>
          <w14:textFill>
            <w14:solidFill>
              <w14:schemeClr w14:val="tx1"/>
            </w14:solidFill>
          </w14:textFill>
        </w:rPr>
        <w:t>管理责任明晰：有完善的各类管理人员工作与业绩考核制度，各岗位责任制明确，物业管理人员的培训应有计划、有考核、有记录、有成效。尤其保洁管理责任；若因管理范围内清洁服务质量不达标而受到有关部门（爱卫、环卫、市容、街道办事处等单位）处罚的，其中所需的罚款全部由</w:t>
      </w:r>
      <w:r>
        <w:rPr>
          <w:rFonts w:hint="eastAsia"/>
          <w:color w:val="000000" w:themeColor="text1"/>
          <w:kern w:val="2"/>
          <w:sz w:val="21"/>
          <w:szCs w:val="21"/>
          <w14:textFill>
            <w14:solidFill>
              <w14:schemeClr w14:val="tx1"/>
            </w14:solidFill>
          </w14:textFill>
        </w:rPr>
        <w:t>中标</w:t>
      </w:r>
      <w:r>
        <w:rPr>
          <w:rFonts w:hint="eastAsia"/>
          <w:color w:val="000000" w:themeColor="text1"/>
          <w:kern w:val="2"/>
          <w:sz w:val="21"/>
          <w:szCs w:val="21"/>
          <w:lang w:val="en"/>
          <w14:textFill>
            <w14:solidFill>
              <w14:schemeClr w14:val="tx1"/>
            </w14:solidFill>
          </w14:textFill>
        </w:rPr>
        <w:t>人承担。</w:t>
      </w:r>
    </w:p>
    <w:p w14:paraId="4D5A36F1">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（4）</w:t>
      </w:r>
      <w:r>
        <w:rPr>
          <w:rFonts w:hint="eastAsia"/>
          <w:color w:val="000000" w:themeColor="text1"/>
          <w:kern w:val="2"/>
          <w:sz w:val="21"/>
          <w:szCs w:val="21"/>
          <w:lang w:val="en"/>
          <w14:textFill>
            <w14:solidFill>
              <w14:schemeClr w14:val="tx1"/>
            </w14:solidFill>
          </w14:textFill>
        </w:rPr>
        <w:t>管理流程公开：</w:t>
      </w:r>
      <w:r>
        <w:rPr>
          <w:rFonts w:hint="eastAsia"/>
          <w:color w:val="000000" w:themeColor="text1"/>
          <w:kern w:val="2"/>
          <w:sz w:val="21"/>
          <w:szCs w:val="21"/>
          <w14:textFill>
            <w14:solidFill>
              <w14:schemeClr w14:val="tx1"/>
            </w14:solidFill>
          </w14:textFill>
        </w:rPr>
        <w:t>中标人</w:t>
      </w:r>
      <w:r>
        <w:rPr>
          <w:rFonts w:hint="eastAsia"/>
          <w:color w:val="000000" w:themeColor="text1"/>
          <w:kern w:val="2"/>
          <w:sz w:val="21"/>
          <w:szCs w:val="21"/>
          <w:lang w:val="en"/>
          <w14:textFill>
            <w14:solidFill>
              <w14:schemeClr w14:val="tx1"/>
            </w14:solidFill>
          </w14:textFill>
        </w:rPr>
        <w:t>要主动公开管理服务流程，主动接受</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群众监督。及时向</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汇报工作进度，接受</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后勤管理部门的日常监督和不定期抽查抽检。</w:t>
      </w:r>
    </w:p>
    <w:p w14:paraId="19ADCABF">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（5）</w:t>
      </w:r>
      <w:r>
        <w:rPr>
          <w:rFonts w:hint="eastAsia"/>
          <w:color w:val="000000" w:themeColor="text1"/>
          <w:kern w:val="2"/>
          <w:sz w:val="21"/>
          <w:szCs w:val="21"/>
          <w:lang w:val="en"/>
          <w14:textFill>
            <w14:solidFill>
              <w14:schemeClr w14:val="tx1"/>
            </w14:solidFill>
          </w14:textFill>
        </w:rPr>
        <w:t>设立物业服务中心：设有各种沟通途径的，公示8小时服务电话和24小时值班电话，即时解答</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的咨询及受理维修等。</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有事可直接与值班人员或区域责任人联系。</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咨询、</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急修半小时内、其它报修按双方约定时间到达现场，有完整的报修、维修记录。</w:t>
      </w:r>
    </w:p>
    <w:p w14:paraId="3074B246">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（6）</w:t>
      </w:r>
      <w:r>
        <w:rPr>
          <w:rFonts w:hint="eastAsia"/>
          <w:color w:val="000000" w:themeColor="text1"/>
          <w:kern w:val="2"/>
          <w:sz w:val="21"/>
          <w:szCs w:val="21"/>
          <w:lang w:val="en"/>
          <w14:textFill>
            <w14:solidFill>
              <w14:schemeClr w14:val="tx1"/>
            </w14:solidFill>
          </w14:textFill>
        </w:rPr>
        <w:t>设立投诉中心：及时处理</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投诉，投诉在24小时内予以答复处理。</w:t>
      </w:r>
    </w:p>
    <w:p w14:paraId="64F630D7">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（7）</w:t>
      </w:r>
      <w:r>
        <w:rPr>
          <w:rFonts w:hint="eastAsia"/>
          <w:color w:val="000000" w:themeColor="text1"/>
          <w:kern w:val="2"/>
          <w:sz w:val="21"/>
          <w:szCs w:val="21"/>
          <w:lang w:val="en"/>
          <w14:textFill>
            <w14:solidFill>
              <w14:schemeClr w14:val="tx1"/>
            </w14:solidFill>
          </w14:textFill>
        </w:rPr>
        <w:t>主动支持配合：积极协助</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筹办各种会议、活动事项，做好会场布置、秩序维护、后勤保障、临时搬运、报刊分发、“四害消杀”、垃圾处理、水池清洗及各种管道疏通、清掏等</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提出的各项合理性工作。</w:t>
      </w:r>
    </w:p>
    <w:p w14:paraId="4260D281">
      <w:pPr>
        <w:pStyle w:val="21"/>
        <w:pageBreakBefore w:val="0"/>
        <w:shd w:val="clear"/>
        <w:kinsoku/>
        <w:topLinePunct w:val="0"/>
        <w:bidi w:val="0"/>
        <w:snapToGrid w:val="0"/>
        <w:spacing w:line="560" w:lineRule="exact"/>
        <w:ind w:firstLine="315" w:firstLineChars="150"/>
        <w:outlineLvl w:val="9"/>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3.设备、设施、养护、运行管理要求</w:t>
      </w:r>
    </w:p>
    <w:p w14:paraId="03CD21DD">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b/>
          <w:bCs/>
          <w:color w:val="000000" w:themeColor="text1"/>
          <w:kern w:val="2"/>
          <w:sz w:val="21"/>
          <w:szCs w:val="21"/>
          <w:lang w:val="en"/>
          <w14:textFill>
            <w14:solidFill>
              <w14:schemeClr w14:val="tx1"/>
            </w14:solidFill>
          </w14:textFill>
        </w:rPr>
      </w:pPr>
      <w:r>
        <w:rPr>
          <w:rFonts w:hint="eastAsia"/>
          <w:color w:val="000000" w:themeColor="text1"/>
          <w:kern w:val="2"/>
          <w:sz w:val="21"/>
          <w:szCs w:val="21"/>
          <w14:textFill>
            <w14:solidFill>
              <w14:schemeClr w14:val="tx1"/>
            </w14:solidFill>
          </w14:textFill>
        </w:rPr>
        <w:t>（1）</w:t>
      </w:r>
      <w:r>
        <w:rPr>
          <w:rFonts w:hint="eastAsia"/>
          <w:b/>
          <w:bCs/>
          <w:color w:val="000000" w:themeColor="text1"/>
          <w:kern w:val="2"/>
          <w:sz w:val="21"/>
          <w:szCs w:val="21"/>
          <w:lang w:val="en"/>
          <w14:textFill>
            <w14:solidFill>
              <w14:schemeClr w14:val="tx1"/>
            </w14:solidFill>
          </w14:textFill>
        </w:rPr>
        <w:t>设施设备管理的原则要求</w:t>
      </w:r>
    </w:p>
    <w:p w14:paraId="4F8EB258">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1）健全管理制度：通过制定各项符合楼宇设备运行要求的值班、交接班制度以及设备操作人员的岗位责任制，推行“设备定号、管理定人”的管理原则。细化各项管理制度（包括给排水系统运行维护管理、配电运行维护管理、电梯运行维护管理、消控室运行维护管理、充电桩运行维护管理、垃圾屋运行维护管理等），建立公用设施设备档案（设备台账）、技术资料档案，各设备的账、卡、物一致。制定详细的设备三级维护保养制度。采用日常保养、定期维护，计划相结合的维护保养体制，配备所需专业技术人员，严格执行操作规程和维护保养内容要求，容易危及人身安全的设施设备有明显警示标识和防范措施；对可能发生的各种突发设备故障应制定应急方案。</w:t>
      </w:r>
    </w:p>
    <w:p w14:paraId="4A1B7E49">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2）加强运行管理：对各种设备进行监控管理，保障视频设备网络畅通并可以调用3个月历史记录；实时监视智能化系统的运行情况；物业设备标志齐全、规范，责任人明确，操作人员严格执行设备设施操作规程及保养规范，坚持“零干扰服务”，定时将各设备运行情况记录在案；把该设备的状态与该员工的绩效考核联系起来，保持各设备房整洁、有序、正常运行；定时开关楼宇公共部位照明系统；保证正常供电、供水、供冷、供热，设备运行正常；定期对物业设备进行巡查，运行、维保、操作等工作记录要齐全清楚。巡查中发现属于小修的要根据采购人的时限要求完成修复；属于大、中修或需要更新改造的，及时编制计划，向采购人报告。</w:t>
      </w:r>
    </w:p>
    <w:p w14:paraId="3FC03F1A">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3）切实做好保养：根据已制定的维修保养计划，按时予以实施；定期对设备检查、清洁、润滑,并记录在案；定期对电梯、管道、管线、消防、智能化系统等设备、设施进行巡视,发现问题，及时解决；并配合专业维保公司做好定期专业保养，每次检修保养完成进行验收确认，实行24小时报修值班制度。</w:t>
      </w:r>
    </w:p>
    <w:p w14:paraId="6944605B">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4）设备综合管理：设施设备运行正常，管理期间无重大设备事故发生； 水、电、电梯、消防、监控、充电桩等设备运行维修人员操作技能熟练；严格执行设施设备操作规程及保养规范；工程运行人员实行24小时值班制度；机房出入及钥匙管理须严格规定；公用设施设备档案（设备台账），设施设备的运行、检查、维修、保养等记录齐全，字迹工整；设备房保持整洁、通风，无杂物、灰尘；无跑、冒、滴、漏和鼠害现象；机房环境符合设备要求；设备不发热、不滴水、不漏油、不漏气、不生锈、无异响；设施设备标志齐全、规范，责任人明确；设备运行正常，安全监控、消防监控等设备完好。</w:t>
      </w:r>
    </w:p>
    <w:p w14:paraId="4BF88FA1">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5）供电设备维护保养：高压设备按期年检；妥善保管操作用具，高压操作用具完好并定期送检；严格执行临时用电管理措施与停电应急处理措施；备用应急发电机应完好可随时启用，维护、保养到位；限电、停电有明确的审批权限，按规定时间提前通知。每日按照《设备、设施巡视内容与程序》巡视配电机房设备，并记录《配电房巡视记录表》；配电机房每周打扫一次，配电柜每月清洁一次。按《设备、设施（年度）周期检查、保养计划表》和《供配电设备（设施）维修保养规程》的内容要求进行周期检查、保养，并将结果记录于《设备、设施周期检查、保养记录表》内；供配电设备、设施维修工作记录于《设备、设施维修记录表》内；供配电设备发生异常和故障及时报告服务公司负责人，记录《设备故障记录表》，并在负责人协同下排除异常和故障。每年12月制订下一年度《设备、设施（年度）周期检查、保养计划表》，并按运行情况制订《设备、设施（年度）维修计划表》；</w:t>
      </w:r>
      <w:r>
        <w:rPr>
          <w:rFonts w:hint="eastAsia"/>
          <w:color w:val="000000" w:themeColor="text1"/>
          <w:kern w:val="2"/>
          <w:sz w:val="21"/>
          <w:szCs w:val="21"/>
          <w14:textFill>
            <w14:solidFill>
              <w14:schemeClr w14:val="tx1"/>
            </w14:solidFill>
          </w14:textFill>
        </w:rPr>
        <w:t>中标人</w:t>
      </w:r>
      <w:r>
        <w:rPr>
          <w:rFonts w:hint="eastAsia"/>
          <w:color w:val="000000" w:themeColor="text1"/>
          <w:kern w:val="2"/>
          <w:sz w:val="21"/>
          <w:szCs w:val="21"/>
          <w:lang w:val="en"/>
          <w14:textFill>
            <w14:solidFill>
              <w14:schemeClr w14:val="tx1"/>
            </w14:solidFill>
          </w14:textFill>
        </w:rPr>
        <w:t>每月定期组织电工检查供配电设备的运行状况，填写《供配电系统检查表》。</w:t>
      </w:r>
    </w:p>
    <w:p w14:paraId="3C7C26CE">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6）完善标志标识：在楼宇主出入口设有楼宇总平面示意图，各主要通道设有指引路标；建立、完善主要出入口、各大楼内外、地下室、各机房、设施设备等各类指示牌、标识牌的设置。各楼层及公共配套设施、场地有明显标志。各类标识牌维护完善，无标志破损现象。</w:t>
      </w:r>
    </w:p>
    <w:p w14:paraId="3B903727">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7）加强日常监管：确保无私搭乱建及擅自改变房屋用途的现象；制止在外墙及公共空间乱张贴、乱涂、乱画、乱悬挂的行为。房屋装饰装修符合规定，无私改乱拆管线、破坏房屋结构安全或损害公共利益的现象。</w:t>
      </w:r>
    </w:p>
    <w:p w14:paraId="14BC4C92">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8）实施巡查制度：每日至少巡查两次各层门户、楼梯通道以及其他公用部位的门窗、玻璃等，并做好巡查记录，发现问题及时维修养护，做好巡查记录。发现门窗损坏、锁被撬、异味等异常情况及时通知</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，并采取必要的紧急处理措施。</w:t>
      </w:r>
    </w:p>
    <w:p w14:paraId="239DB6EA">
      <w:pPr>
        <w:pStyle w:val="9"/>
        <w:pageBreakBefore w:val="0"/>
        <w:shd w:val="clear"/>
        <w:kinsoku/>
        <w:topLinePunct w:val="0"/>
        <w:bidi w:val="0"/>
        <w:snapToGrid w:val="0"/>
        <w:spacing w:beforeAutospacing="0" w:afterAutospacing="0" w:line="560" w:lineRule="exact"/>
        <w:ind w:firstLine="315" w:firstLineChars="150"/>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4.房屋建筑日常养护要求</w:t>
      </w:r>
    </w:p>
    <w:p w14:paraId="0A084B17">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w:t>
      </w:r>
      <w:r>
        <w:rPr>
          <w:rFonts w:hint="eastAsia"/>
          <w:color w:val="000000" w:themeColor="text1"/>
          <w:kern w:val="2"/>
          <w:sz w:val="21"/>
          <w:szCs w:val="21"/>
          <w:lang w:val="en"/>
          <w14:textFill>
            <w14:solidFill>
              <w14:schemeClr w14:val="tx1"/>
            </w14:solidFill>
          </w14:textFill>
        </w:rPr>
        <w:t>）外观形象维护：对大楼、公用部位的维护、养护，使房屋外观（包括屋面、天台）完好、整洁，无妨碍市容和观瞻；室外招牌、广告牌、按规定设置，整齐有序；保持整洁统一美观，无安全隐患或破损；玻璃幕墙面，清洁明亮、无破损；涂料墙面，无脱落、无污渍。</w:t>
      </w:r>
    </w:p>
    <w:p w14:paraId="3CD5F728">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 xml:space="preserve"> （</w:t>
      </w:r>
      <w:r>
        <w:rPr>
          <w:rFonts w:hint="eastAsia"/>
          <w:color w:val="000000" w:themeColor="text1"/>
          <w:kern w:val="2"/>
          <w:sz w:val="21"/>
          <w:szCs w:val="21"/>
          <w14:textFill>
            <w14:solidFill>
              <w14:schemeClr w14:val="tx1"/>
            </w14:solidFill>
          </w14:textFill>
        </w:rPr>
        <w:t>2</w:t>
      </w:r>
      <w:r>
        <w:rPr>
          <w:rFonts w:hint="eastAsia"/>
          <w:color w:val="000000" w:themeColor="text1"/>
          <w:kern w:val="2"/>
          <w:sz w:val="21"/>
          <w:szCs w:val="21"/>
          <w:lang w:val="en"/>
          <w14:textFill>
            <w14:solidFill>
              <w14:schemeClr w14:val="tx1"/>
            </w14:solidFill>
          </w14:textFill>
        </w:rPr>
        <w:t>）建筑设施完好：房屋及公用设施保持完好，路灯、通道照明、景观灯、LED夜景灯等公共照明设施完好；门窗、灯具、开关等功能良好无乱张贴；每月对楼宇主体及管道、沟渠进行检查，发现问题及时修复；保持道路平坦通畅，大厅、停车场及其他公共场所字画、宣传画等完好无损；公共楼梯、走道、天台、大厅等无随意堆放杂物和占用现象；建立维修保养记录，房屋及设施维护、保养合格完好率达到100%。</w:t>
      </w:r>
    </w:p>
    <w:p w14:paraId="7AE6014D">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3</w:t>
      </w:r>
      <w:r>
        <w:rPr>
          <w:rFonts w:hint="eastAsia"/>
          <w:color w:val="000000" w:themeColor="text1"/>
          <w:kern w:val="2"/>
          <w:sz w:val="21"/>
          <w:szCs w:val="21"/>
          <w:lang w:val="en"/>
          <w14:textFill>
            <w14:solidFill>
              <w14:schemeClr w14:val="tx1"/>
            </w14:solidFill>
          </w14:textFill>
        </w:rPr>
        <w:t>）采购人交办的其他工作。</w:t>
      </w:r>
    </w:p>
    <w:p w14:paraId="53F45F3A">
      <w:pPr>
        <w:pStyle w:val="9"/>
        <w:pageBreakBefore w:val="0"/>
        <w:shd w:val="clear"/>
        <w:kinsoku/>
        <w:topLinePunct w:val="0"/>
        <w:bidi w:val="0"/>
        <w:snapToGrid w:val="0"/>
        <w:spacing w:beforeAutospacing="0" w:afterAutospacing="0" w:line="560" w:lineRule="exact"/>
        <w:ind w:firstLine="315" w:firstLineChars="150"/>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5.房屋修缮管理要求</w:t>
      </w:r>
    </w:p>
    <w:p w14:paraId="3ACAFF4F">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w:t>
      </w:r>
      <w:r>
        <w:rPr>
          <w:rFonts w:hint="eastAsia"/>
          <w:color w:val="000000" w:themeColor="text1"/>
          <w:kern w:val="2"/>
          <w:sz w:val="21"/>
          <w:szCs w:val="21"/>
          <w:lang w:val="en"/>
          <w14:textFill>
            <w14:solidFill>
              <w14:schemeClr w14:val="tx1"/>
            </w14:solidFill>
          </w14:textFill>
        </w:rPr>
        <w:t>）及时修补破损：</w:t>
      </w:r>
      <w:r>
        <w:rPr>
          <w:rFonts w:hint="eastAsia"/>
          <w:color w:val="000000" w:themeColor="text1"/>
          <w:kern w:val="2"/>
          <w:sz w:val="21"/>
          <w:szCs w:val="21"/>
          <w14:textFill>
            <w14:solidFill>
              <w14:schemeClr w14:val="tx1"/>
            </w14:solidFill>
          </w14:textFill>
        </w:rPr>
        <w:t>中标人</w:t>
      </w:r>
      <w:r>
        <w:rPr>
          <w:rFonts w:hint="eastAsia"/>
          <w:color w:val="000000" w:themeColor="text1"/>
          <w:kern w:val="2"/>
          <w:sz w:val="21"/>
          <w:szCs w:val="21"/>
          <w:lang w:val="en"/>
          <w14:textFill>
            <w14:solidFill>
              <w14:schemeClr w14:val="tx1"/>
            </w14:solidFill>
          </w14:textFill>
        </w:rPr>
        <w:t>须确定楼宇容易发生问题的重点部位，定期检查房屋公用部位的使用状况，及时修补房屋建筑公共部位的漏水和破损，确保公用部位的地面、楼梯、走道、扶手、天花板、吊顶等及各类管道无破损。</w:t>
      </w:r>
    </w:p>
    <w:p w14:paraId="65C3262C">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2</w:t>
      </w:r>
      <w:r>
        <w:rPr>
          <w:rFonts w:hint="eastAsia"/>
          <w:color w:val="000000" w:themeColor="text1"/>
          <w:kern w:val="2"/>
          <w:sz w:val="21"/>
          <w:szCs w:val="21"/>
          <w:lang w:val="en"/>
          <w14:textFill>
            <w14:solidFill>
              <w14:schemeClr w14:val="tx1"/>
            </w14:solidFill>
          </w14:textFill>
        </w:rPr>
        <w:t>）遵循维修程序：发现问题及时组织修复；属大、中修范围的，及时编制维修计划，向</w:t>
      </w:r>
      <w:r>
        <w:rPr>
          <w:rFonts w:hint="eastAsia"/>
          <w:color w:val="000000" w:themeColor="text1"/>
          <w:kern w:val="2"/>
          <w:sz w:val="21"/>
          <w:szCs w:val="21"/>
          <w:lang w:val="en" w:eastAsia="zh-CN"/>
          <w14:textFill>
            <w14:solidFill>
              <w14:schemeClr w14:val="tx1"/>
            </w14:solidFill>
          </w14:textFill>
        </w:rPr>
        <w:t>采购人</w:t>
      </w:r>
      <w:r>
        <w:rPr>
          <w:rFonts w:hint="eastAsia"/>
          <w:color w:val="000000" w:themeColor="text1"/>
          <w:kern w:val="2"/>
          <w:sz w:val="21"/>
          <w:szCs w:val="21"/>
          <w:lang w:val="en"/>
          <w14:textFill>
            <w14:solidFill>
              <w14:schemeClr w14:val="tx1"/>
            </w14:solidFill>
          </w14:textFill>
        </w:rPr>
        <w:t>提出报告与建议。</w:t>
      </w:r>
    </w:p>
    <w:p w14:paraId="079AEEAF">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3</w:t>
      </w:r>
      <w:r>
        <w:rPr>
          <w:rFonts w:hint="eastAsia"/>
          <w:color w:val="000000" w:themeColor="text1"/>
          <w:kern w:val="2"/>
          <w:sz w:val="21"/>
          <w:szCs w:val="21"/>
          <w:lang w:val="en"/>
          <w14:textFill>
            <w14:solidFill>
              <w14:schemeClr w14:val="tx1"/>
            </w14:solidFill>
          </w14:textFill>
        </w:rPr>
        <w:t>）采购人交办的其他工作。</w:t>
      </w:r>
    </w:p>
    <w:p w14:paraId="5574FFB8">
      <w:pPr>
        <w:pStyle w:val="9"/>
        <w:pageBreakBefore w:val="0"/>
        <w:shd w:val="clear"/>
        <w:kinsoku/>
        <w:topLinePunct w:val="0"/>
        <w:bidi w:val="0"/>
        <w:snapToGrid w:val="0"/>
        <w:spacing w:beforeAutospacing="0" w:afterAutospacing="0" w:line="560" w:lineRule="exact"/>
        <w:ind w:firstLine="315" w:firstLineChars="150"/>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6.公共照明等检查项目和标准</w:t>
      </w:r>
    </w:p>
    <w:p w14:paraId="3B9AE43E">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w:t>
      </w:r>
      <w:r>
        <w:rPr>
          <w:rFonts w:hint="eastAsia"/>
          <w:color w:val="000000" w:themeColor="text1"/>
          <w:kern w:val="2"/>
          <w:sz w:val="21"/>
          <w:szCs w:val="21"/>
          <w:lang w:val="en"/>
          <w14:textFill>
            <w14:solidFill>
              <w14:schemeClr w14:val="tx1"/>
            </w14:solidFill>
          </w14:textFill>
        </w:rPr>
        <w:t>）公用设施设备工作内容及检查标准</w:t>
      </w:r>
    </w:p>
    <w:tbl>
      <w:tblPr>
        <w:tblStyle w:val="32"/>
        <w:tblW w:w="8560" w:type="dxa"/>
        <w:tblCellSpacing w:w="1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80"/>
        <w:gridCol w:w="2953"/>
        <w:gridCol w:w="3827"/>
      </w:tblGrid>
      <w:tr w14:paraId="706C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blCellSpacing w:w="15" w:type="dxa"/>
        </w:trPr>
        <w:tc>
          <w:tcPr>
            <w:tcW w:w="1735" w:type="dxa"/>
            <w:tcBorders>
              <w:tl2br w:val="nil"/>
              <w:tr2bl w:val="nil"/>
            </w:tcBorders>
            <w:tcMar>
              <w:top w:w="0" w:type="dxa"/>
              <w:left w:w="0" w:type="dxa"/>
              <w:bottom w:w="0" w:type="dxa"/>
              <w:right w:w="0" w:type="dxa"/>
            </w:tcMar>
            <w:vAlign w:val="center"/>
          </w:tcPr>
          <w:p w14:paraId="214A7F21">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项目</w:t>
            </w:r>
          </w:p>
        </w:tc>
        <w:tc>
          <w:tcPr>
            <w:tcW w:w="2923" w:type="dxa"/>
            <w:tcBorders>
              <w:tl2br w:val="nil"/>
              <w:tr2bl w:val="nil"/>
            </w:tcBorders>
            <w:tcMar>
              <w:top w:w="0" w:type="dxa"/>
              <w:left w:w="0" w:type="dxa"/>
              <w:bottom w:w="0" w:type="dxa"/>
              <w:right w:w="0" w:type="dxa"/>
            </w:tcMar>
            <w:vAlign w:val="center"/>
          </w:tcPr>
          <w:p w14:paraId="0D545A5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工作内容</w:t>
            </w:r>
          </w:p>
        </w:tc>
        <w:tc>
          <w:tcPr>
            <w:tcW w:w="3782" w:type="dxa"/>
            <w:tcBorders>
              <w:tl2br w:val="nil"/>
              <w:tr2bl w:val="nil"/>
            </w:tcBorders>
            <w:tcMar>
              <w:top w:w="0" w:type="dxa"/>
              <w:left w:w="0" w:type="dxa"/>
              <w:bottom w:w="0" w:type="dxa"/>
              <w:right w:w="0" w:type="dxa"/>
            </w:tcMar>
            <w:vAlign w:val="center"/>
          </w:tcPr>
          <w:p w14:paraId="6C3D1C0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检查标准</w:t>
            </w:r>
          </w:p>
        </w:tc>
      </w:tr>
      <w:tr w14:paraId="6469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blCellSpacing w:w="15" w:type="dxa"/>
        </w:trPr>
        <w:tc>
          <w:tcPr>
            <w:tcW w:w="1735" w:type="dxa"/>
            <w:tcBorders>
              <w:tl2br w:val="nil"/>
              <w:tr2bl w:val="nil"/>
            </w:tcBorders>
            <w:tcMar>
              <w:top w:w="0" w:type="dxa"/>
              <w:left w:w="0" w:type="dxa"/>
              <w:bottom w:w="0" w:type="dxa"/>
              <w:right w:w="0" w:type="dxa"/>
            </w:tcMar>
            <w:vAlign w:val="center"/>
          </w:tcPr>
          <w:p w14:paraId="5CD87CFB">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公共区域、室内等照明</w:t>
            </w:r>
          </w:p>
        </w:tc>
        <w:tc>
          <w:tcPr>
            <w:tcW w:w="2923" w:type="dxa"/>
            <w:tcBorders>
              <w:tl2br w:val="nil"/>
              <w:tr2bl w:val="nil"/>
            </w:tcBorders>
            <w:tcMar>
              <w:top w:w="0" w:type="dxa"/>
              <w:left w:w="0" w:type="dxa"/>
              <w:bottom w:w="0" w:type="dxa"/>
              <w:right w:w="0" w:type="dxa"/>
            </w:tcMar>
            <w:vAlign w:val="center"/>
          </w:tcPr>
          <w:p w14:paraId="5458895B">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每日巡检各楼层照明。</w:t>
            </w:r>
          </w:p>
        </w:tc>
        <w:tc>
          <w:tcPr>
            <w:tcW w:w="3782" w:type="dxa"/>
            <w:tcBorders>
              <w:tl2br w:val="nil"/>
              <w:tr2bl w:val="nil"/>
            </w:tcBorders>
            <w:tcMar>
              <w:top w:w="0" w:type="dxa"/>
              <w:left w:w="0" w:type="dxa"/>
              <w:bottom w:w="0" w:type="dxa"/>
              <w:right w:w="0" w:type="dxa"/>
            </w:tcMar>
            <w:vAlign w:val="center"/>
          </w:tcPr>
          <w:p w14:paraId="30511B31">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各照明灯具，开关完好，一般情况下，检修不过日，大楼内急修15分钟到场。</w:t>
            </w:r>
          </w:p>
        </w:tc>
      </w:tr>
      <w:tr w14:paraId="1B17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blCellSpacing w:w="15" w:type="dxa"/>
        </w:trPr>
        <w:tc>
          <w:tcPr>
            <w:tcW w:w="1735" w:type="dxa"/>
            <w:tcBorders>
              <w:tl2br w:val="nil"/>
              <w:tr2bl w:val="nil"/>
            </w:tcBorders>
            <w:tcMar>
              <w:top w:w="0" w:type="dxa"/>
              <w:left w:w="0" w:type="dxa"/>
              <w:bottom w:w="0" w:type="dxa"/>
              <w:right w:w="0" w:type="dxa"/>
            </w:tcMar>
            <w:vAlign w:val="center"/>
          </w:tcPr>
          <w:p w14:paraId="282E14ED">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消防箱</w:t>
            </w:r>
          </w:p>
        </w:tc>
        <w:tc>
          <w:tcPr>
            <w:tcW w:w="2923" w:type="dxa"/>
            <w:tcBorders>
              <w:tl2br w:val="nil"/>
              <w:tr2bl w:val="nil"/>
            </w:tcBorders>
            <w:tcMar>
              <w:top w:w="0" w:type="dxa"/>
              <w:left w:w="0" w:type="dxa"/>
              <w:bottom w:w="0" w:type="dxa"/>
              <w:right w:w="0" w:type="dxa"/>
            </w:tcMar>
            <w:vAlign w:val="center"/>
          </w:tcPr>
          <w:p w14:paraId="3125F26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日巡检封条有无损坏；月开箱检查、保养。</w:t>
            </w:r>
          </w:p>
        </w:tc>
        <w:tc>
          <w:tcPr>
            <w:tcW w:w="3782" w:type="dxa"/>
            <w:tcBorders>
              <w:tl2br w:val="nil"/>
              <w:tr2bl w:val="nil"/>
            </w:tcBorders>
            <w:tcMar>
              <w:top w:w="0" w:type="dxa"/>
              <w:left w:w="0" w:type="dxa"/>
              <w:bottom w:w="0" w:type="dxa"/>
              <w:right w:w="0" w:type="dxa"/>
            </w:tcMar>
            <w:vAlign w:val="center"/>
          </w:tcPr>
          <w:p w14:paraId="55DD2DC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开阀开关灵活，配置齐全无缺，封条无损坏。</w:t>
            </w:r>
          </w:p>
        </w:tc>
      </w:tr>
      <w:tr w14:paraId="32B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CellSpacing w:w="15" w:type="dxa"/>
        </w:trPr>
        <w:tc>
          <w:tcPr>
            <w:tcW w:w="1735" w:type="dxa"/>
            <w:tcBorders>
              <w:tl2br w:val="nil"/>
              <w:tr2bl w:val="nil"/>
            </w:tcBorders>
            <w:tcMar>
              <w:top w:w="0" w:type="dxa"/>
              <w:left w:w="0" w:type="dxa"/>
              <w:bottom w:w="0" w:type="dxa"/>
              <w:right w:w="0" w:type="dxa"/>
            </w:tcMar>
            <w:vAlign w:val="center"/>
          </w:tcPr>
          <w:p w14:paraId="30E6B09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U-风机</w:t>
            </w:r>
          </w:p>
        </w:tc>
        <w:tc>
          <w:tcPr>
            <w:tcW w:w="2923" w:type="dxa"/>
            <w:tcBorders>
              <w:tl2br w:val="nil"/>
              <w:tr2bl w:val="nil"/>
            </w:tcBorders>
            <w:tcMar>
              <w:top w:w="0" w:type="dxa"/>
              <w:left w:w="0" w:type="dxa"/>
              <w:bottom w:w="0" w:type="dxa"/>
              <w:right w:w="0" w:type="dxa"/>
            </w:tcMar>
            <w:vAlign w:val="center"/>
          </w:tcPr>
          <w:p w14:paraId="03959D6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每周巡查各排烟风机；每月巡查天台各风机。</w:t>
            </w:r>
          </w:p>
        </w:tc>
        <w:tc>
          <w:tcPr>
            <w:tcW w:w="3782" w:type="dxa"/>
            <w:tcBorders>
              <w:tl2br w:val="nil"/>
              <w:tr2bl w:val="nil"/>
            </w:tcBorders>
            <w:tcMar>
              <w:top w:w="0" w:type="dxa"/>
              <w:left w:w="0" w:type="dxa"/>
              <w:bottom w:w="0" w:type="dxa"/>
              <w:right w:w="0" w:type="dxa"/>
            </w:tcMar>
            <w:vAlign w:val="center"/>
          </w:tcPr>
          <w:p w14:paraId="6A577C9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风机运转正常无杂音，风机运转时无共振现象。</w:t>
            </w:r>
          </w:p>
        </w:tc>
      </w:tr>
      <w:tr w14:paraId="255D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5" w:hRule="atLeast"/>
          <w:tblCellSpacing w:w="15" w:type="dxa"/>
        </w:trPr>
        <w:tc>
          <w:tcPr>
            <w:tcW w:w="1735" w:type="dxa"/>
            <w:tcBorders>
              <w:tl2br w:val="nil"/>
              <w:tr2bl w:val="nil"/>
            </w:tcBorders>
            <w:tcMar>
              <w:top w:w="0" w:type="dxa"/>
              <w:left w:w="0" w:type="dxa"/>
              <w:bottom w:w="0" w:type="dxa"/>
              <w:right w:w="0" w:type="dxa"/>
            </w:tcMar>
            <w:vAlign w:val="center"/>
          </w:tcPr>
          <w:p w14:paraId="3B892EF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给排水</w:t>
            </w:r>
          </w:p>
        </w:tc>
        <w:tc>
          <w:tcPr>
            <w:tcW w:w="2923" w:type="dxa"/>
            <w:tcBorders>
              <w:tl2br w:val="nil"/>
              <w:tr2bl w:val="nil"/>
            </w:tcBorders>
            <w:tcMar>
              <w:top w:w="0" w:type="dxa"/>
              <w:left w:w="0" w:type="dxa"/>
              <w:bottom w:w="0" w:type="dxa"/>
              <w:right w:w="0" w:type="dxa"/>
            </w:tcMar>
            <w:vAlign w:val="center"/>
          </w:tcPr>
          <w:p w14:paraId="36A056E8">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日巡查各卫生间、茶水间，每季清洗生活水池（水池清洗费用由采购人支付）。</w:t>
            </w:r>
          </w:p>
        </w:tc>
        <w:tc>
          <w:tcPr>
            <w:tcW w:w="3782" w:type="dxa"/>
            <w:tcBorders>
              <w:tl2br w:val="nil"/>
              <w:tr2bl w:val="nil"/>
            </w:tcBorders>
            <w:tcMar>
              <w:top w:w="0" w:type="dxa"/>
              <w:left w:w="0" w:type="dxa"/>
              <w:bottom w:w="0" w:type="dxa"/>
              <w:right w:w="0" w:type="dxa"/>
            </w:tcMar>
            <w:vAlign w:val="center"/>
          </w:tcPr>
          <w:p w14:paraId="1A0A1BA3">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供水正常，龙头无渗漏，地漏无堵塞，粪坑冲水畅，水池清洗后水质检验合格。</w:t>
            </w:r>
          </w:p>
        </w:tc>
      </w:tr>
      <w:tr w14:paraId="491C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blCellSpacing w:w="15" w:type="dxa"/>
        </w:trPr>
        <w:tc>
          <w:tcPr>
            <w:tcW w:w="1735" w:type="dxa"/>
            <w:tcBorders>
              <w:tl2br w:val="nil"/>
              <w:tr2bl w:val="nil"/>
            </w:tcBorders>
            <w:tcMar>
              <w:top w:w="0" w:type="dxa"/>
              <w:left w:w="0" w:type="dxa"/>
              <w:bottom w:w="0" w:type="dxa"/>
              <w:right w:w="0" w:type="dxa"/>
            </w:tcMar>
            <w:vAlign w:val="center"/>
          </w:tcPr>
          <w:p w14:paraId="0254587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排烟、通风系统</w:t>
            </w:r>
          </w:p>
        </w:tc>
        <w:tc>
          <w:tcPr>
            <w:tcW w:w="2923" w:type="dxa"/>
            <w:tcBorders>
              <w:tl2br w:val="nil"/>
              <w:tr2bl w:val="nil"/>
            </w:tcBorders>
            <w:tcMar>
              <w:top w:w="0" w:type="dxa"/>
              <w:left w:w="0" w:type="dxa"/>
              <w:bottom w:w="0" w:type="dxa"/>
              <w:right w:w="0" w:type="dxa"/>
            </w:tcMar>
            <w:vAlign w:val="center"/>
          </w:tcPr>
          <w:p w14:paraId="788182F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开关阀门要每月检查一次。</w:t>
            </w:r>
          </w:p>
        </w:tc>
        <w:tc>
          <w:tcPr>
            <w:tcW w:w="3782" w:type="dxa"/>
            <w:tcBorders>
              <w:tl2br w:val="nil"/>
              <w:tr2bl w:val="nil"/>
            </w:tcBorders>
            <w:tcMar>
              <w:top w:w="0" w:type="dxa"/>
              <w:left w:w="0" w:type="dxa"/>
              <w:bottom w:w="0" w:type="dxa"/>
              <w:right w:w="0" w:type="dxa"/>
            </w:tcMar>
            <w:vAlign w:val="center"/>
          </w:tcPr>
          <w:p w14:paraId="76963171">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保持设备清洁，无松脱、无隐患、无油渍、无渗漏。</w:t>
            </w:r>
          </w:p>
        </w:tc>
      </w:tr>
      <w:tr w14:paraId="76C2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5" w:hRule="atLeast"/>
          <w:tblCellSpacing w:w="15" w:type="dxa"/>
        </w:trPr>
        <w:tc>
          <w:tcPr>
            <w:tcW w:w="1735" w:type="dxa"/>
            <w:tcBorders>
              <w:tl2br w:val="nil"/>
              <w:tr2bl w:val="nil"/>
            </w:tcBorders>
            <w:tcMar>
              <w:top w:w="0" w:type="dxa"/>
              <w:left w:w="0" w:type="dxa"/>
              <w:bottom w:w="0" w:type="dxa"/>
              <w:right w:w="0" w:type="dxa"/>
            </w:tcMar>
            <w:vAlign w:val="center"/>
          </w:tcPr>
          <w:p w14:paraId="781C3702">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房屋本体</w:t>
            </w:r>
          </w:p>
        </w:tc>
        <w:tc>
          <w:tcPr>
            <w:tcW w:w="2923" w:type="dxa"/>
            <w:tcBorders>
              <w:tl2br w:val="nil"/>
              <w:tr2bl w:val="nil"/>
            </w:tcBorders>
            <w:tcMar>
              <w:top w:w="0" w:type="dxa"/>
              <w:left w:w="0" w:type="dxa"/>
              <w:bottom w:w="0" w:type="dxa"/>
              <w:right w:w="0" w:type="dxa"/>
            </w:tcMar>
            <w:vAlign w:val="center"/>
          </w:tcPr>
          <w:p w14:paraId="0D0DAC68">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日巡查楼梯，墙壁，扶手，各卫生间门；月检查天台楼板，楼梯外墙检查， 外墙玻璃检查，简体外观检查，各层防烟门，各窗。</w:t>
            </w:r>
          </w:p>
        </w:tc>
        <w:tc>
          <w:tcPr>
            <w:tcW w:w="3782" w:type="dxa"/>
            <w:tcBorders>
              <w:tl2br w:val="nil"/>
              <w:tr2bl w:val="nil"/>
            </w:tcBorders>
            <w:tcMar>
              <w:top w:w="0" w:type="dxa"/>
              <w:left w:w="0" w:type="dxa"/>
              <w:bottom w:w="0" w:type="dxa"/>
              <w:right w:w="0" w:type="dxa"/>
            </w:tcMar>
            <w:vAlign w:val="center"/>
          </w:tcPr>
          <w:p w14:paraId="7690818A">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梯级无破坏，墙壁粉刷完好，扶手无脱落，外墙完好，门体无破坏，闭门器工作正常，窗户开闭自如。</w:t>
            </w:r>
          </w:p>
        </w:tc>
      </w:tr>
      <w:tr w14:paraId="73FC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blCellSpacing w:w="15" w:type="dxa"/>
        </w:trPr>
        <w:tc>
          <w:tcPr>
            <w:tcW w:w="1735" w:type="dxa"/>
            <w:tcBorders>
              <w:tl2br w:val="nil"/>
              <w:tr2bl w:val="nil"/>
            </w:tcBorders>
            <w:tcMar>
              <w:top w:w="0" w:type="dxa"/>
              <w:left w:w="0" w:type="dxa"/>
              <w:bottom w:w="0" w:type="dxa"/>
              <w:right w:w="0" w:type="dxa"/>
            </w:tcMar>
            <w:vAlign w:val="center"/>
          </w:tcPr>
          <w:p w14:paraId="28E7BF0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化粪池、化油池、水池</w:t>
            </w:r>
          </w:p>
        </w:tc>
        <w:tc>
          <w:tcPr>
            <w:tcW w:w="2923" w:type="dxa"/>
            <w:tcBorders>
              <w:tl2br w:val="nil"/>
              <w:tr2bl w:val="nil"/>
            </w:tcBorders>
            <w:tcMar>
              <w:top w:w="0" w:type="dxa"/>
              <w:left w:w="0" w:type="dxa"/>
              <w:bottom w:w="0" w:type="dxa"/>
              <w:right w:w="0" w:type="dxa"/>
            </w:tcMar>
            <w:vAlign w:val="center"/>
          </w:tcPr>
          <w:p w14:paraId="2A93CEFE">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每月检查一次，每年清疏一次，按时清理（清理费用由采购人支付）。</w:t>
            </w:r>
          </w:p>
        </w:tc>
        <w:tc>
          <w:tcPr>
            <w:tcW w:w="3782" w:type="dxa"/>
            <w:tcBorders>
              <w:tl2br w:val="nil"/>
              <w:tr2bl w:val="nil"/>
            </w:tcBorders>
            <w:tcMar>
              <w:top w:w="0" w:type="dxa"/>
              <w:left w:w="0" w:type="dxa"/>
              <w:bottom w:w="0" w:type="dxa"/>
              <w:right w:w="0" w:type="dxa"/>
            </w:tcMar>
            <w:vAlign w:val="center"/>
          </w:tcPr>
          <w:p w14:paraId="368F5D0F">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无淤塞，无臭气。</w:t>
            </w:r>
          </w:p>
        </w:tc>
      </w:tr>
      <w:tr w14:paraId="1BE8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blCellSpacing w:w="15" w:type="dxa"/>
        </w:trPr>
        <w:tc>
          <w:tcPr>
            <w:tcW w:w="1735" w:type="dxa"/>
            <w:tcBorders>
              <w:tl2br w:val="nil"/>
              <w:tr2bl w:val="nil"/>
            </w:tcBorders>
            <w:tcMar>
              <w:top w:w="0" w:type="dxa"/>
              <w:left w:w="0" w:type="dxa"/>
              <w:bottom w:w="0" w:type="dxa"/>
              <w:right w:w="0" w:type="dxa"/>
            </w:tcMar>
            <w:vAlign w:val="center"/>
          </w:tcPr>
          <w:p w14:paraId="41625F1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大堂</w:t>
            </w:r>
          </w:p>
        </w:tc>
        <w:tc>
          <w:tcPr>
            <w:tcW w:w="2923" w:type="dxa"/>
            <w:tcBorders>
              <w:tl2br w:val="nil"/>
              <w:tr2bl w:val="nil"/>
            </w:tcBorders>
            <w:tcMar>
              <w:top w:w="0" w:type="dxa"/>
              <w:left w:w="0" w:type="dxa"/>
              <w:bottom w:w="0" w:type="dxa"/>
              <w:right w:w="0" w:type="dxa"/>
            </w:tcMar>
            <w:vAlign w:val="center"/>
          </w:tcPr>
          <w:p w14:paraId="18F04C38">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检查地面无损坏，花基围栏无损坏，射灯座，支架。</w:t>
            </w:r>
          </w:p>
        </w:tc>
        <w:tc>
          <w:tcPr>
            <w:tcW w:w="3782" w:type="dxa"/>
            <w:tcBorders>
              <w:tl2br w:val="nil"/>
              <w:tr2bl w:val="nil"/>
            </w:tcBorders>
            <w:tcMar>
              <w:top w:w="0" w:type="dxa"/>
              <w:left w:w="0" w:type="dxa"/>
              <w:bottom w:w="0" w:type="dxa"/>
              <w:right w:w="0" w:type="dxa"/>
            </w:tcMar>
            <w:vAlign w:val="center"/>
          </w:tcPr>
          <w:p w14:paraId="305CA9A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地板砖完好，无松动；大堂砖无损，无松动，射灯座完好；射灯支架无脱焊。</w:t>
            </w:r>
          </w:p>
        </w:tc>
      </w:tr>
      <w:tr w14:paraId="22C6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blCellSpacing w:w="15" w:type="dxa"/>
        </w:trPr>
        <w:tc>
          <w:tcPr>
            <w:tcW w:w="1735" w:type="dxa"/>
            <w:tcBorders>
              <w:tl2br w:val="nil"/>
              <w:tr2bl w:val="nil"/>
            </w:tcBorders>
            <w:tcMar>
              <w:top w:w="0" w:type="dxa"/>
              <w:left w:w="0" w:type="dxa"/>
              <w:bottom w:w="0" w:type="dxa"/>
              <w:right w:w="0" w:type="dxa"/>
            </w:tcMar>
            <w:vAlign w:val="center"/>
          </w:tcPr>
          <w:p w14:paraId="6EE89096">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监控系统</w:t>
            </w:r>
          </w:p>
        </w:tc>
        <w:tc>
          <w:tcPr>
            <w:tcW w:w="2923" w:type="dxa"/>
            <w:tcBorders>
              <w:tl2br w:val="nil"/>
              <w:tr2bl w:val="nil"/>
            </w:tcBorders>
            <w:tcMar>
              <w:top w:w="0" w:type="dxa"/>
              <w:left w:w="0" w:type="dxa"/>
              <w:bottom w:w="0" w:type="dxa"/>
              <w:right w:w="0" w:type="dxa"/>
            </w:tcMar>
            <w:vAlign w:val="center"/>
          </w:tcPr>
          <w:p w14:paraId="61C73271">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每日了解摄像点情况，发现某点图像不清及时查明情况及报告并做好维修保养跟踪工作。</w:t>
            </w:r>
          </w:p>
        </w:tc>
        <w:tc>
          <w:tcPr>
            <w:tcW w:w="3782" w:type="dxa"/>
            <w:tcBorders>
              <w:tl2br w:val="nil"/>
              <w:tr2bl w:val="nil"/>
            </w:tcBorders>
            <w:tcMar>
              <w:top w:w="0" w:type="dxa"/>
              <w:left w:w="0" w:type="dxa"/>
              <w:bottom w:w="0" w:type="dxa"/>
              <w:right w:w="0" w:type="dxa"/>
            </w:tcMar>
            <w:vAlign w:val="center"/>
          </w:tcPr>
          <w:p w14:paraId="0F993AD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画面清晰，外观干净，摆放整齐，灯光无损缺，记录齐全，设备随时可用。</w:t>
            </w:r>
          </w:p>
        </w:tc>
      </w:tr>
    </w:tbl>
    <w:p w14:paraId="39DE470D">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2</w:t>
      </w:r>
      <w:r>
        <w:rPr>
          <w:rFonts w:hint="eastAsia"/>
          <w:color w:val="000000" w:themeColor="text1"/>
          <w:kern w:val="2"/>
          <w:sz w:val="21"/>
          <w:szCs w:val="21"/>
          <w:lang w:val="en"/>
          <w14:textFill>
            <w14:solidFill>
              <w14:schemeClr w14:val="tx1"/>
            </w14:solidFill>
          </w14:textFill>
        </w:rPr>
        <w:t>）电梯检查项目和标准</w:t>
      </w:r>
    </w:p>
    <w:tbl>
      <w:tblPr>
        <w:tblStyle w:val="32"/>
        <w:tblW w:w="85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52"/>
        <w:gridCol w:w="2981"/>
        <w:gridCol w:w="3827"/>
      </w:tblGrid>
      <w:tr w14:paraId="5797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blCellSpacing w:w="15" w:type="dxa"/>
        </w:trPr>
        <w:tc>
          <w:tcPr>
            <w:tcW w:w="1707" w:type="dxa"/>
            <w:tcBorders>
              <w:tl2br w:val="nil"/>
              <w:tr2bl w:val="nil"/>
            </w:tcBorders>
            <w:tcMar>
              <w:top w:w="0" w:type="dxa"/>
              <w:left w:w="0" w:type="dxa"/>
              <w:bottom w:w="0" w:type="dxa"/>
              <w:right w:w="0" w:type="dxa"/>
            </w:tcMar>
            <w:vAlign w:val="center"/>
          </w:tcPr>
          <w:p w14:paraId="2BE63B0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项目</w:t>
            </w:r>
          </w:p>
        </w:tc>
        <w:tc>
          <w:tcPr>
            <w:tcW w:w="2951" w:type="dxa"/>
            <w:tcBorders>
              <w:tl2br w:val="nil"/>
              <w:tr2bl w:val="nil"/>
            </w:tcBorders>
            <w:tcMar>
              <w:top w:w="0" w:type="dxa"/>
              <w:left w:w="0" w:type="dxa"/>
              <w:bottom w:w="0" w:type="dxa"/>
              <w:right w:w="0" w:type="dxa"/>
            </w:tcMar>
            <w:vAlign w:val="center"/>
          </w:tcPr>
          <w:p w14:paraId="76D36BF6">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工作内容</w:t>
            </w:r>
          </w:p>
        </w:tc>
        <w:tc>
          <w:tcPr>
            <w:tcW w:w="3782" w:type="dxa"/>
            <w:tcBorders>
              <w:tl2br w:val="nil"/>
              <w:tr2bl w:val="nil"/>
            </w:tcBorders>
            <w:tcMar>
              <w:top w:w="0" w:type="dxa"/>
              <w:left w:w="0" w:type="dxa"/>
              <w:bottom w:w="0" w:type="dxa"/>
              <w:right w:w="0" w:type="dxa"/>
            </w:tcMar>
            <w:vAlign w:val="center"/>
          </w:tcPr>
          <w:p w14:paraId="1C0769B2">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检查标准</w:t>
            </w:r>
          </w:p>
        </w:tc>
      </w:tr>
      <w:tr w14:paraId="01E9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0" w:hRule="atLeast"/>
          <w:tblCellSpacing w:w="15" w:type="dxa"/>
        </w:trPr>
        <w:tc>
          <w:tcPr>
            <w:tcW w:w="1707" w:type="dxa"/>
            <w:tcBorders>
              <w:tl2br w:val="nil"/>
              <w:tr2bl w:val="nil"/>
            </w:tcBorders>
            <w:tcMar>
              <w:top w:w="0" w:type="dxa"/>
              <w:left w:w="0" w:type="dxa"/>
              <w:bottom w:w="0" w:type="dxa"/>
              <w:right w:w="0" w:type="dxa"/>
            </w:tcMar>
            <w:vAlign w:val="center"/>
          </w:tcPr>
          <w:p w14:paraId="43D92E1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机房</w:t>
            </w:r>
          </w:p>
        </w:tc>
        <w:tc>
          <w:tcPr>
            <w:tcW w:w="2951" w:type="dxa"/>
            <w:tcBorders>
              <w:tl2br w:val="nil"/>
              <w:tr2bl w:val="nil"/>
            </w:tcBorders>
            <w:tcMar>
              <w:top w:w="0" w:type="dxa"/>
              <w:left w:w="0" w:type="dxa"/>
              <w:bottom w:w="0" w:type="dxa"/>
              <w:right w:w="0" w:type="dxa"/>
            </w:tcMar>
            <w:vAlign w:val="center"/>
          </w:tcPr>
          <w:p w14:paraId="47D7A27C">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每日机房卫生清洁；跟踪电梯公司检查保养工作。</w:t>
            </w:r>
          </w:p>
        </w:tc>
        <w:tc>
          <w:tcPr>
            <w:tcW w:w="3782" w:type="dxa"/>
            <w:tcBorders>
              <w:tl2br w:val="nil"/>
              <w:tr2bl w:val="nil"/>
            </w:tcBorders>
            <w:tcMar>
              <w:top w:w="0" w:type="dxa"/>
              <w:left w:w="0" w:type="dxa"/>
              <w:bottom w:w="0" w:type="dxa"/>
              <w:right w:w="0" w:type="dxa"/>
            </w:tcMar>
            <w:vAlign w:val="center"/>
          </w:tcPr>
          <w:p w14:paraId="3BEB63E8">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电梯运转正常；地面、墙壁干净整洁；工具材料堆放整齐；机房温度合理；灯光齐全、无异味、无特殊运转噪音。</w:t>
            </w:r>
          </w:p>
        </w:tc>
      </w:tr>
      <w:tr w14:paraId="15C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1707" w:type="dxa"/>
            <w:tcBorders>
              <w:tl2br w:val="nil"/>
              <w:tr2bl w:val="nil"/>
            </w:tcBorders>
            <w:tcMar>
              <w:top w:w="0" w:type="dxa"/>
              <w:left w:w="0" w:type="dxa"/>
              <w:bottom w:w="0" w:type="dxa"/>
              <w:right w:w="0" w:type="dxa"/>
            </w:tcMar>
            <w:vAlign w:val="center"/>
          </w:tcPr>
          <w:p w14:paraId="48890C6B">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轿门（轿顶）</w:t>
            </w:r>
          </w:p>
        </w:tc>
        <w:tc>
          <w:tcPr>
            <w:tcW w:w="2951" w:type="dxa"/>
            <w:tcBorders>
              <w:tl2br w:val="nil"/>
              <w:tr2bl w:val="nil"/>
            </w:tcBorders>
            <w:tcMar>
              <w:top w:w="0" w:type="dxa"/>
              <w:left w:w="0" w:type="dxa"/>
              <w:bottom w:w="0" w:type="dxa"/>
              <w:right w:w="0" w:type="dxa"/>
            </w:tcMar>
            <w:vAlign w:val="center"/>
          </w:tcPr>
          <w:p w14:paraId="2495BD05">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pacing w:val="-15"/>
                <w:sz w:val="21"/>
                <w:szCs w:val="21"/>
              </w:rPr>
              <w:t>每日检查轿门厢门、楼层显示、照明、门保护装置，轿内指令，轿门导轨；跟踪</w:t>
            </w:r>
            <w:r>
              <w:rPr>
                <w:rFonts w:hint="eastAsia"/>
                <w:sz w:val="21"/>
                <w:szCs w:val="21"/>
              </w:rPr>
              <w:t>电梯公司保养工作。</w:t>
            </w:r>
          </w:p>
        </w:tc>
        <w:tc>
          <w:tcPr>
            <w:tcW w:w="3782" w:type="dxa"/>
            <w:tcBorders>
              <w:tl2br w:val="nil"/>
              <w:tr2bl w:val="nil"/>
            </w:tcBorders>
            <w:tcMar>
              <w:top w:w="0" w:type="dxa"/>
              <w:left w:w="0" w:type="dxa"/>
              <w:bottom w:w="0" w:type="dxa"/>
              <w:right w:w="0" w:type="dxa"/>
            </w:tcMar>
            <w:vAlign w:val="center"/>
          </w:tcPr>
          <w:p w14:paraId="3B34D73F">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pacing w:val="-15"/>
                <w:sz w:val="21"/>
                <w:szCs w:val="21"/>
              </w:rPr>
              <w:t>轿门无明显变化，轿厢灯具完好，开关门畅顺，门保护功能</w:t>
            </w:r>
            <w:r>
              <w:rPr>
                <w:rFonts w:hint="eastAsia"/>
                <w:sz w:val="21"/>
                <w:szCs w:val="21"/>
              </w:rPr>
              <w:t>可靠。楼层显示正确。</w:t>
            </w:r>
          </w:p>
        </w:tc>
      </w:tr>
      <w:tr w14:paraId="6169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5" w:hRule="atLeast"/>
          <w:tblCellSpacing w:w="15" w:type="dxa"/>
        </w:trPr>
        <w:tc>
          <w:tcPr>
            <w:tcW w:w="1707" w:type="dxa"/>
            <w:tcBorders>
              <w:tl2br w:val="nil"/>
              <w:tr2bl w:val="nil"/>
            </w:tcBorders>
            <w:tcMar>
              <w:top w:w="0" w:type="dxa"/>
              <w:left w:w="0" w:type="dxa"/>
              <w:bottom w:w="0" w:type="dxa"/>
              <w:right w:w="0" w:type="dxa"/>
            </w:tcMar>
            <w:vAlign w:val="center"/>
          </w:tcPr>
          <w:p w14:paraId="761C04A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井门（大堂）</w:t>
            </w:r>
          </w:p>
        </w:tc>
        <w:tc>
          <w:tcPr>
            <w:tcW w:w="2951" w:type="dxa"/>
            <w:tcBorders>
              <w:tl2br w:val="nil"/>
              <w:tr2bl w:val="nil"/>
            </w:tcBorders>
            <w:tcMar>
              <w:top w:w="0" w:type="dxa"/>
              <w:left w:w="0" w:type="dxa"/>
              <w:bottom w:w="0" w:type="dxa"/>
              <w:right w:w="0" w:type="dxa"/>
            </w:tcMar>
            <w:vAlign w:val="center"/>
          </w:tcPr>
          <w:p w14:paraId="28DA663C">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pacing w:val="-15"/>
                <w:sz w:val="21"/>
                <w:szCs w:val="21"/>
              </w:rPr>
              <w:t>每日检查各层厅门，厅门导轨，外呼功能及显示，运行层楼显示；每月导轨加油，厅门锁触头清洁，各厅门整洁，各</w:t>
            </w:r>
            <w:r>
              <w:rPr>
                <w:rFonts w:hint="eastAsia"/>
                <w:sz w:val="21"/>
                <w:szCs w:val="21"/>
              </w:rPr>
              <w:t>减速开关，机位开关调整。</w:t>
            </w:r>
          </w:p>
        </w:tc>
        <w:tc>
          <w:tcPr>
            <w:tcW w:w="3782" w:type="dxa"/>
            <w:tcBorders>
              <w:tl2br w:val="nil"/>
              <w:tr2bl w:val="nil"/>
            </w:tcBorders>
            <w:tcMar>
              <w:top w:w="0" w:type="dxa"/>
              <w:left w:w="0" w:type="dxa"/>
              <w:bottom w:w="0" w:type="dxa"/>
              <w:right w:w="0" w:type="dxa"/>
            </w:tcMar>
            <w:vAlign w:val="center"/>
          </w:tcPr>
          <w:p w14:paraId="270B4F0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pacing w:val="-15"/>
                <w:sz w:val="21"/>
                <w:szCs w:val="21"/>
              </w:rPr>
              <w:t>正常、层楼显示正常，有定期</w:t>
            </w:r>
            <w:r>
              <w:rPr>
                <w:rFonts w:hint="eastAsia"/>
                <w:sz w:val="21"/>
                <w:szCs w:val="21"/>
              </w:rPr>
              <w:t>维护保养记录。</w:t>
            </w:r>
          </w:p>
        </w:tc>
      </w:tr>
    </w:tbl>
    <w:p w14:paraId="3B415EAA">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3</w:t>
      </w:r>
      <w:r>
        <w:rPr>
          <w:rFonts w:hint="eastAsia"/>
          <w:color w:val="000000" w:themeColor="text1"/>
          <w:kern w:val="2"/>
          <w:sz w:val="21"/>
          <w:szCs w:val="21"/>
          <w:lang w:val="en"/>
          <w14:textFill>
            <w14:solidFill>
              <w14:schemeClr w14:val="tx1"/>
            </w14:solidFill>
          </w14:textFill>
        </w:rPr>
        <w:t>）电房检查项目和标准</w:t>
      </w:r>
    </w:p>
    <w:tbl>
      <w:tblPr>
        <w:tblStyle w:val="32"/>
        <w:tblW w:w="8346" w:type="dxa"/>
        <w:tblCellSpacing w:w="15" w:type="dxa"/>
        <w:tblInd w:w="3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61"/>
        <w:gridCol w:w="2935"/>
        <w:gridCol w:w="3750"/>
      </w:tblGrid>
      <w:tr w14:paraId="57173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15" w:type="dxa"/>
        </w:trPr>
        <w:tc>
          <w:tcPr>
            <w:tcW w:w="1616" w:type="dxa"/>
            <w:tcBorders>
              <w:top w:val="single" w:color="auto" w:sz="4" w:space="0"/>
              <w:left w:val="single" w:color="auto" w:sz="2" w:space="0"/>
              <w:bottom w:val="single" w:color="auto" w:sz="4" w:space="0"/>
              <w:right w:val="single" w:color="auto" w:sz="4" w:space="0"/>
              <w:tl2br w:val="nil"/>
              <w:tr2bl w:val="nil"/>
            </w:tcBorders>
            <w:tcMar>
              <w:top w:w="0" w:type="dxa"/>
              <w:left w:w="0" w:type="dxa"/>
              <w:bottom w:w="0" w:type="dxa"/>
              <w:right w:w="0" w:type="dxa"/>
            </w:tcMar>
          </w:tcPr>
          <w:p w14:paraId="0E5E539E">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项目</w:t>
            </w:r>
          </w:p>
        </w:tc>
        <w:tc>
          <w:tcPr>
            <w:tcW w:w="29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tcPr>
          <w:p w14:paraId="2C0C3CCB">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工作内容</w:t>
            </w:r>
          </w:p>
        </w:tc>
        <w:tc>
          <w:tcPr>
            <w:tcW w:w="37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tcPr>
          <w:p w14:paraId="47DBEF5F">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检查标准</w:t>
            </w:r>
          </w:p>
        </w:tc>
      </w:tr>
      <w:tr w14:paraId="32410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15" w:type="dxa"/>
        </w:trPr>
        <w:tc>
          <w:tcPr>
            <w:tcW w:w="1616"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5A1929E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电房</w:t>
            </w:r>
          </w:p>
        </w:tc>
        <w:tc>
          <w:tcPr>
            <w:tcW w:w="29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469BBD0E">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每日巡检高低压电房，检查电柜及地板清洁卫生工作，做好记录。</w:t>
            </w:r>
          </w:p>
        </w:tc>
        <w:tc>
          <w:tcPr>
            <w:tcW w:w="37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tcPr>
          <w:p w14:paraId="0334C2AA">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地板胶干净无尘，绝缘用具合格，动火作业有申请，有批准， 维护保养按要求填写工作记录， 抄记的各项数据、时间要准确。</w:t>
            </w:r>
          </w:p>
        </w:tc>
      </w:tr>
      <w:tr w14:paraId="19560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10" w:hRule="atLeast"/>
          <w:tblCellSpacing w:w="15" w:type="dxa"/>
        </w:trPr>
        <w:tc>
          <w:tcPr>
            <w:tcW w:w="1616"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0185DCDD">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水泵房</w:t>
            </w:r>
          </w:p>
        </w:tc>
        <w:tc>
          <w:tcPr>
            <w:tcW w:w="29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4C2D1AE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每日巡查水泵房，泵体及环境清洁卫生工作。检查水池，水位，排污泵，压力表，止回阀、水泵配电柜是否正常，检查各泵体，水阀有无渗漏现象。饮水工程机工作正常。</w:t>
            </w:r>
          </w:p>
        </w:tc>
        <w:tc>
          <w:tcPr>
            <w:tcW w:w="37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tcPr>
          <w:p w14:paraId="42FBD99B">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泵房干净无积水，泵体干净无尘无污渍，水泵工作时温升， 声音正常，泵体水阀无渗漏， 水位控制，显示正常，水泵、排污泵自动投入正常。</w:t>
            </w:r>
          </w:p>
        </w:tc>
      </w:tr>
      <w:tr w14:paraId="0D6211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9" w:hRule="atLeast"/>
          <w:tblCellSpacing w:w="15" w:type="dxa"/>
        </w:trPr>
        <w:tc>
          <w:tcPr>
            <w:tcW w:w="1616"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0AC6EFF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国有房产巡查</w:t>
            </w:r>
          </w:p>
        </w:tc>
        <w:tc>
          <w:tcPr>
            <w:tcW w:w="29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14:paraId="43C8B7BF">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配合采购人做好国有房产巡查工作</w:t>
            </w:r>
          </w:p>
        </w:tc>
        <w:tc>
          <w:tcPr>
            <w:tcW w:w="3705"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tcPr>
          <w:p w14:paraId="1D611E7A">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配合采购人做好国有房产巡查工作。</w:t>
            </w:r>
          </w:p>
        </w:tc>
      </w:tr>
    </w:tbl>
    <w:p w14:paraId="227B6E14">
      <w:pPr>
        <w:pStyle w:val="9"/>
        <w:pageBreakBefore w:val="0"/>
        <w:shd w:val="clear"/>
        <w:kinsoku/>
        <w:topLinePunct w:val="0"/>
        <w:bidi w:val="0"/>
        <w:snapToGrid w:val="0"/>
        <w:spacing w:beforeAutospacing="0" w:afterAutospacing="0" w:line="560" w:lineRule="exact"/>
        <w:ind w:firstLine="315" w:firstLineChars="150"/>
        <w:jc w:val="both"/>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4</w:t>
      </w:r>
      <w:r>
        <w:rPr>
          <w:rFonts w:hint="eastAsia"/>
          <w:color w:val="000000" w:themeColor="text1"/>
          <w:kern w:val="2"/>
          <w:sz w:val="21"/>
          <w:szCs w:val="21"/>
          <w:lang w:val="en"/>
          <w14:textFill>
            <w14:solidFill>
              <w14:schemeClr w14:val="tx1"/>
            </w14:solidFill>
          </w14:textFill>
        </w:rPr>
        <w:t>）采购人交办的其他工作。</w:t>
      </w:r>
    </w:p>
    <w:p w14:paraId="5DCFC264">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7.环境卫生保洁的维护要求</w:t>
      </w:r>
    </w:p>
    <w:p w14:paraId="4458A259">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
          <w14:textFill>
            <w14:solidFill>
              <w14:schemeClr w14:val="tx1"/>
            </w14:solidFill>
          </w14:textFill>
        </w:rPr>
        <w:t>）卫生保洁特点与重点</w:t>
      </w:r>
    </w:p>
    <w:p w14:paraId="31BD9832">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执行“零干扰”保洁服务措施，在非办公时间进行全面性保洁，办公时间进行巡回保洁的方式。巡回保洁重点为大楼各大厅、广场、楼层通道、卫生间等部位。通过实行保洁分区负责制，划定责任区域，规定巡回保洁及检查频率等措施，以保证各楼层在办公时间的清洁。</w:t>
      </w:r>
    </w:p>
    <w:p w14:paraId="64F83FCC">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
          <w14:textFill>
            <w14:solidFill>
              <w14:schemeClr w14:val="tx1"/>
            </w14:solidFill>
          </w14:textFill>
        </w:rPr>
        <w:t>）保洁服务基本要求</w:t>
      </w:r>
    </w:p>
    <w:p w14:paraId="3542C540">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承担物业管理区域内（含指定办公室、接待室、休息室、干部值班室、公共通道、走廊、梯道、台阶、公共卫生间、会议室、文体中心、老干部活动中心、绿化区域等）卫生清洁工作。分析各办公区的卫生保洁特点与重点，制定相应的管理制度；配合采购人的维保单位每年定期对水塔、水池（生活水池、消防水池、空调水池）等二次供水、蓄水设备进行清洗、消毒（清洗费用由采购人支付），保证设备及周围环境整洁；保证二次供水卫生达标；保证环卫设施完好整洁，环卫设施包括各楼层内的大垃圾桶、茶叶篓及桶、烟灰桶、蹲位内的小垃圾桶、垃圾分类桶、垃圾车、保洁及维修专用提示牌、电梯地毯及各类地毯、绿化品名标识及各类标识等；及时清理化粪池及垃圾清运（清理费用由采购人支付），每月定期清理、检查雨水井、污水井、油污井，发现不通及时处理，雨季、台风期间，更要及时巡查。</w:t>
      </w:r>
    </w:p>
    <w:p w14:paraId="5B25F9E4">
      <w:pPr>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
          <w14:textFill>
            <w14:solidFill>
              <w14:schemeClr w14:val="tx1"/>
            </w14:solidFill>
          </w14:textFill>
        </w:rPr>
        <w:t>）保洁具体要求</w:t>
      </w:r>
    </w:p>
    <w:tbl>
      <w:tblPr>
        <w:tblStyle w:val="32"/>
        <w:tblW w:w="4997"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96"/>
        <w:gridCol w:w="798"/>
        <w:gridCol w:w="795"/>
        <w:gridCol w:w="664"/>
        <w:gridCol w:w="664"/>
        <w:gridCol w:w="2264"/>
      </w:tblGrid>
      <w:tr w14:paraId="77AC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0AF8650F">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1.室外区域</w:t>
            </w:r>
          </w:p>
        </w:tc>
        <w:tc>
          <w:tcPr>
            <w:tcW w:w="458" w:type="pct"/>
            <w:tcBorders>
              <w:tl2br w:val="nil"/>
              <w:tr2bl w:val="nil"/>
            </w:tcBorders>
            <w:tcMar>
              <w:top w:w="0" w:type="dxa"/>
              <w:left w:w="0" w:type="dxa"/>
              <w:bottom w:w="0" w:type="dxa"/>
              <w:right w:w="0" w:type="dxa"/>
            </w:tcMar>
            <w:vAlign w:val="center"/>
          </w:tcPr>
          <w:p w14:paraId="5D1C183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每日</w:t>
            </w:r>
          </w:p>
        </w:tc>
        <w:tc>
          <w:tcPr>
            <w:tcW w:w="456" w:type="pct"/>
            <w:tcBorders>
              <w:tl2br w:val="nil"/>
              <w:tr2bl w:val="nil"/>
            </w:tcBorders>
            <w:tcMar>
              <w:top w:w="0" w:type="dxa"/>
              <w:left w:w="0" w:type="dxa"/>
              <w:bottom w:w="0" w:type="dxa"/>
              <w:right w:w="0" w:type="dxa"/>
            </w:tcMar>
            <w:vAlign w:val="center"/>
          </w:tcPr>
          <w:p w14:paraId="7DC5AA5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每周</w:t>
            </w:r>
          </w:p>
        </w:tc>
        <w:tc>
          <w:tcPr>
            <w:tcW w:w="378" w:type="pct"/>
            <w:tcBorders>
              <w:tl2br w:val="nil"/>
              <w:tr2bl w:val="nil"/>
            </w:tcBorders>
            <w:tcMar>
              <w:top w:w="0" w:type="dxa"/>
              <w:left w:w="0" w:type="dxa"/>
              <w:bottom w:w="0" w:type="dxa"/>
              <w:right w:w="0" w:type="dxa"/>
            </w:tcMar>
            <w:vAlign w:val="center"/>
          </w:tcPr>
          <w:p w14:paraId="3CDE9DE6">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每月</w:t>
            </w:r>
          </w:p>
        </w:tc>
        <w:tc>
          <w:tcPr>
            <w:tcW w:w="378" w:type="pct"/>
            <w:tcBorders>
              <w:tl2br w:val="nil"/>
              <w:tr2bl w:val="nil"/>
            </w:tcBorders>
            <w:tcMar>
              <w:top w:w="0" w:type="dxa"/>
              <w:left w:w="0" w:type="dxa"/>
              <w:bottom w:w="0" w:type="dxa"/>
              <w:right w:w="0" w:type="dxa"/>
            </w:tcMar>
            <w:vAlign w:val="center"/>
          </w:tcPr>
          <w:p w14:paraId="072C881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每年</w:t>
            </w:r>
          </w:p>
        </w:tc>
        <w:tc>
          <w:tcPr>
            <w:tcW w:w="1323" w:type="pct"/>
            <w:tcBorders>
              <w:tl2br w:val="nil"/>
              <w:tr2bl w:val="nil"/>
            </w:tcBorders>
            <w:tcMar>
              <w:top w:w="0" w:type="dxa"/>
              <w:left w:w="0" w:type="dxa"/>
              <w:bottom w:w="0" w:type="dxa"/>
              <w:right w:w="0" w:type="dxa"/>
            </w:tcMar>
            <w:vAlign w:val="center"/>
          </w:tcPr>
          <w:p w14:paraId="415760F2">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质量要求</w:t>
            </w:r>
          </w:p>
        </w:tc>
      </w:tr>
      <w:tr w14:paraId="5774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5BABA08B">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（1）清扫地面楼梯垃圾</w:t>
            </w:r>
          </w:p>
        </w:tc>
        <w:tc>
          <w:tcPr>
            <w:tcW w:w="458" w:type="pct"/>
            <w:tcBorders>
              <w:tl2br w:val="nil"/>
              <w:tr2bl w:val="nil"/>
            </w:tcBorders>
            <w:tcMar>
              <w:top w:w="0" w:type="dxa"/>
              <w:left w:w="0" w:type="dxa"/>
              <w:bottom w:w="0" w:type="dxa"/>
              <w:right w:w="0" w:type="dxa"/>
            </w:tcMar>
            <w:vAlign w:val="center"/>
          </w:tcPr>
          <w:p w14:paraId="07FAAD67">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vAlign w:val="center"/>
          </w:tcPr>
          <w:p w14:paraId="39B4A27F">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194745A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64C85F3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68B498D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无垃圾、无碎屑、</w:t>
            </w:r>
            <w:r>
              <w:rPr>
                <w:rFonts w:hint="eastAsia"/>
                <w:spacing w:val="-15"/>
                <w:sz w:val="21"/>
                <w:szCs w:val="21"/>
              </w:rPr>
              <w:t>无积水、无泥沙、无明显污垢。</w:t>
            </w:r>
          </w:p>
        </w:tc>
      </w:tr>
      <w:tr w14:paraId="1C4A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AF14889">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（2）清理、清洁公共垃圾桶</w:t>
            </w:r>
          </w:p>
        </w:tc>
        <w:tc>
          <w:tcPr>
            <w:tcW w:w="458" w:type="pct"/>
            <w:tcBorders>
              <w:tl2br w:val="nil"/>
              <w:tr2bl w:val="nil"/>
            </w:tcBorders>
            <w:tcMar>
              <w:top w:w="0" w:type="dxa"/>
              <w:left w:w="0" w:type="dxa"/>
              <w:bottom w:w="0" w:type="dxa"/>
              <w:right w:w="0" w:type="dxa"/>
            </w:tcMar>
            <w:vAlign w:val="center"/>
          </w:tcPr>
          <w:p w14:paraId="1295F91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vAlign w:val="center"/>
          </w:tcPr>
          <w:p w14:paraId="7D51F3A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63AF20B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2DC27CE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04A9C176">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04D0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1EA2A642">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（3）清洁绿化带垃圾</w:t>
            </w:r>
          </w:p>
        </w:tc>
        <w:tc>
          <w:tcPr>
            <w:tcW w:w="458" w:type="pct"/>
            <w:tcBorders>
              <w:tl2br w:val="nil"/>
              <w:tr2bl w:val="nil"/>
            </w:tcBorders>
            <w:tcMar>
              <w:top w:w="0" w:type="dxa"/>
              <w:left w:w="0" w:type="dxa"/>
              <w:bottom w:w="0" w:type="dxa"/>
              <w:right w:w="0" w:type="dxa"/>
            </w:tcMar>
            <w:vAlign w:val="center"/>
          </w:tcPr>
          <w:p w14:paraId="21B228A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vAlign w:val="center"/>
          </w:tcPr>
          <w:p w14:paraId="4D64EA4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66BD73B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7C13470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7DCD08C1">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01F7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17651BD">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（4）清洁路面明沟内垃圾</w:t>
            </w:r>
          </w:p>
        </w:tc>
        <w:tc>
          <w:tcPr>
            <w:tcW w:w="458" w:type="pct"/>
            <w:tcBorders>
              <w:tl2br w:val="nil"/>
              <w:tr2bl w:val="nil"/>
            </w:tcBorders>
            <w:tcMar>
              <w:top w:w="0" w:type="dxa"/>
              <w:left w:w="0" w:type="dxa"/>
              <w:bottom w:w="0" w:type="dxa"/>
              <w:right w:w="0" w:type="dxa"/>
            </w:tcMar>
            <w:vAlign w:val="center"/>
          </w:tcPr>
          <w:p w14:paraId="50E5E70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06E84370">
            <w:pPr>
              <w:pageBreakBefore w:val="0"/>
              <w:widowControl/>
              <w:shd w:val="clear"/>
              <w:kinsoku/>
              <w:topLinePunct w:val="0"/>
              <w:bidi w:val="0"/>
              <w:snapToGrid w:val="0"/>
              <w:spacing w:line="560" w:lineRule="exact"/>
              <w:ind w:firstLine="210" w:firstLineChars="100"/>
              <w:outlineLvl w:val="9"/>
              <w:rPr>
                <w:rFonts w:hint="eastAsia" w:ascii="宋体" w:hAnsi="宋体" w:eastAsia="宋体" w:cs="宋体"/>
                <w:szCs w:val="21"/>
              </w:rPr>
            </w:pPr>
            <w:r>
              <w:rPr>
                <w:rFonts w:hint="eastAsia" w:ascii="宋体" w:hAnsi="宋体" w:eastAsia="宋体" w:cs="宋体"/>
                <w:szCs w:val="21"/>
              </w:rPr>
              <w:t>1</w:t>
            </w:r>
          </w:p>
        </w:tc>
        <w:tc>
          <w:tcPr>
            <w:tcW w:w="378" w:type="pct"/>
            <w:tcBorders>
              <w:tl2br w:val="nil"/>
              <w:tr2bl w:val="nil"/>
            </w:tcBorders>
            <w:tcMar>
              <w:top w:w="0" w:type="dxa"/>
              <w:left w:w="0" w:type="dxa"/>
              <w:bottom w:w="0" w:type="dxa"/>
              <w:right w:w="0" w:type="dxa"/>
            </w:tcMar>
            <w:vAlign w:val="center"/>
          </w:tcPr>
          <w:p w14:paraId="45283A9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74A4500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vAlign w:val="center"/>
          </w:tcPr>
          <w:p w14:paraId="7722D25E">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96B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3B9D50AD">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（5）巡回保洁</w:t>
            </w:r>
          </w:p>
        </w:tc>
        <w:tc>
          <w:tcPr>
            <w:tcW w:w="458" w:type="pct"/>
            <w:tcBorders>
              <w:tl2br w:val="nil"/>
              <w:tr2bl w:val="nil"/>
            </w:tcBorders>
            <w:tcMar>
              <w:top w:w="0" w:type="dxa"/>
              <w:left w:w="0" w:type="dxa"/>
              <w:bottom w:w="0" w:type="dxa"/>
              <w:right w:w="0" w:type="dxa"/>
            </w:tcMar>
            <w:vAlign w:val="center"/>
          </w:tcPr>
          <w:p w14:paraId="314EB3C1">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2</w:t>
            </w:r>
          </w:p>
        </w:tc>
        <w:tc>
          <w:tcPr>
            <w:tcW w:w="456" w:type="pct"/>
            <w:tcBorders>
              <w:tl2br w:val="nil"/>
              <w:tr2bl w:val="nil"/>
            </w:tcBorders>
            <w:tcMar>
              <w:top w:w="0" w:type="dxa"/>
              <w:left w:w="0" w:type="dxa"/>
              <w:bottom w:w="0" w:type="dxa"/>
              <w:right w:w="0" w:type="dxa"/>
            </w:tcMar>
            <w:vAlign w:val="center"/>
          </w:tcPr>
          <w:p w14:paraId="314F7CFF">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1224193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151145D1">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1898C704">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3A5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jc w:val="center"/>
        </w:trPr>
        <w:tc>
          <w:tcPr>
            <w:tcW w:w="1879" w:type="pct"/>
            <w:tcBorders>
              <w:tl2br w:val="nil"/>
              <w:tr2bl w:val="nil"/>
            </w:tcBorders>
            <w:tcMar>
              <w:top w:w="0" w:type="dxa"/>
              <w:left w:w="0" w:type="dxa"/>
              <w:bottom w:w="0" w:type="dxa"/>
              <w:right w:w="0" w:type="dxa"/>
            </w:tcMar>
            <w:vAlign w:val="center"/>
          </w:tcPr>
          <w:p w14:paraId="2F54F92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（6）冲洗垃圾桶及路面污渍</w:t>
            </w:r>
          </w:p>
        </w:tc>
        <w:tc>
          <w:tcPr>
            <w:tcW w:w="458" w:type="pct"/>
            <w:tcBorders>
              <w:tl2br w:val="nil"/>
              <w:tr2bl w:val="nil"/>
            </w:tcBorders>
            <w:tcMar>
              <w:top w:w="0" w:type="dxa"/>
              <w:left w:w="0" w:type="dxa"/>
              <w:bottom w:w="0" w:type="dxa"/>
              <w:right w:w="0" w:type="dxa"/>
            </w:tcMar>
            <w:vAlign w:val="center"/>
          </w:tcPr>
          <w:p w14:paraId="6575CDA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24B731D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vAlign w:val="center"/>
          </w:tcPr>
          <w:p w14:paraId="0E9B347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612A3AF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3207FC4C">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794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00DA99D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2.大堂</w:t>
            </w:r>
          </w:p>
        </w:tc>
        <w:tc>
          <w:tcPr>
            <w:tcW w:w="458" w:type="pct"/>
            <w:tcBorders>
              <w:tl2br w:val="nil"/>
              <w:tr2bl w:val="nil"/>
            </w:tcBorders>
            <w:tcMar>
              <w:top w:w="0" w:type="dxa"/>
              <w:left w:w="0" w:type="dxa"/>
              <w:bottom w:w="0" w:type="dxa"/>
              <w:right w:w="0" w:type="dxa"/>
            </w:tcMar>
          </w:tcPr>
          <w:p w14:paraId="3FA2AF2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48BD09F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09E505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5EDCE8F">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130A755F">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保持地面整洁、干净、光亮、无白色垃圾；保持玻璃光亮、无手印、无污渍；保持墙身无尘土、光亮；保持灯饰光亮、保持天花板、风口无积尘、无污渍、手印。</w:t>
            </w:r>
          </w:p>
        </w:tc>
      </w:tr>
      <w:tr w14:paraId="01D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30069A6D">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（1）地面清扫垃圾</w:t>
            </w:r>
          </w:p>
        </w:tc>
        <w:tc>
          <w:tcPr>
            <w:tcW w:w="458" w:type="pct"/>
            <w:tcBorders>
              <w:tl2br w:val="nil"/>
              <w:tr2bl w:val="nil"/>
            </w:tcBorders>
            <w:tcMar>
              <w:top w:w="0" w:type="dxa"/>
              <w:left w:w="0" w:type="dxa"/>
              <w:bottom w:w="0" w:type="dxa"/>
              <w:right w:w="0" w:type="dxa"/>
            </w:tcMar>
          </w:tcPr>
          <w:p w14:paraId="0C87E5FD">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0213F9D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645AC1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D0F8ACB">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02BF0ABD">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3B76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0CE29F54">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（2）拖净地面水渍、污渍</w:t>
            </w:r>
          </w:p>
        </w:tc>
        <w:tc>
          <w:tcPr>
            <w:tcW w:w="458" w:type="pct"/>
            <w:tcBorders>
              <w:tl2br w:val="nil"/>
              <w:tr2bl w:val="nil"/>
            </w:tcBorders>
            <w:tcMar>
              <w:top w:w="0" w:type="dxa"/>
              <w:left w:w="0" w:type="dxa"/>
              <w:bottom w:w="0" w:type="dxa"/>
              <w:right w:w="0" w:type="dxa"/>
            </w:tcMar>
          </w:tcPr>
          <w:p w14:paraId="38E2278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22E2C04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525AC6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4335848">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369A5CE2">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105C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36BE2672">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（3）清洁垃圾桶内垃圾、容量不能超出桶外</w:t>
            </w:r>
          </w:p>
        </w:tc>
        <w:tc>
          <w:tcPr>
            <w:tcW w:w="458" w:type="pct"/>
            <w:tcBorders>
              <w:tl2br w:val="nil"/>
              <w:tr2bl w:val="nil"/>
            </w:tcBorders>
            <w:tcMar>
              <w:top w:w="0" w:type="dxa"/>
              <w:left w:w="0" w:type="dxa"/>
              <w:bottom w:w="0" w:type="dxa"/>
              <w:right w:w="0" w:type="dxa"/>
            </w:tcMar>
          </w:tcPr>
          <w:p w14:paraId="2151BBF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2</w:t>
            </w:r>
          </w:p>
        </w:tc>
        <w:tc>
          <w:tcPr>
            <w:tcW w:w="456" w:type="pct"/>
            <w:tcBorders>
              <w:tl2br w:val="nil"/>
              <w:tr2bl w:val="nil"/>
            </w:tcBorders>
            <w:tcMar>
              <w:top w:w="0" w:type="dxa"/>
              <w:left w:w="0" w:type="dxa"/>
              <w:bottom w:w="0" w:type="dxa"/>
              <w:right w:w="0" w:type="dxa"/>
            </w:tcMar>
          </w:tcPr>
          <w:p w14:paraId="4D41A1C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BACF15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382E66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3EC795ED">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1188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F7D463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（4）清洁垃圾桶表面</w:t>
            </w:r>
          </w:p>
        </w:tc>
        <w:tc>
          <w:tcPr>
            <w:tcW w:w="458" w:type="pct"/>
            <w:tcBorders>
              <w:tl2br w:val="nil"/>
              <w:tr2bl w:val="nil"/>
            </w:tcBorders>
            <w:tcMar>
              <w:top w:w="0" w:type="dxa"/>
              <w:left w:w="0" w:type="dxa"/>
              <w:bottom w:w="0" w:type="dxa"/>
              <w:right w:w="0" w:type="dxa"/>
            </w:tcMar>
          </w:tcPr>
          <w:p w14:paraId="58114F4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44F43BF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08B01C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5ABDBB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0AB99F1C">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212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161F599C">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（5）大堂和通道地面静电吸尘</w:t>
            </w:r>
          </w:p>
        </w:tc>
        <w:tc>
          <w:tcPr>
            <w:tcW w:w="458" w:type="pct"/>
            <w:tcBorders>
              <w:tl2br w:val="nil"/>
              <w:tr2bl w:val="nil"/>
            </w:tcBorders>
            <w:tcMar>
              <w:top w:w="0" w:type="dxa"/>
              <w:left w:w="0" w:type="dxa"/>
              <w:bottom w:w="0" w:type="dxa"/>
              <w:right w:w="0" w:type="dxa"/>
            </w:tcMar>
          </w:tcPr>
          <w:p w14:paraId="1518751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75C1B96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143D27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1DEF618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6D703362">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70F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24003D85">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（6）抹净大堂玻璃的手印、污渍</w:t>
            </w:r>
          </w:p>
        </w:tc>
        <w:tc>
          <w:tcPr>
            <w:tcW w:w="458" w:type="pct"/>
            <w:tcBorders>
              <w:tl2br w:val="nil"/>
              <w:tr2bl w:val="nil"/>
            </w:tcBorders>
            <w:tcMar>
              <w:top w:w="0" w:type="dxa"/>
              <w:left w:w="0" w:type="dxa"/>
              <w:bottom w:w="0" w:type="dxa"/>
              <w:right w:w="0" w:type="dxa"/>
            </w:tcMar>
          </w:tcPr>
          <w:p w14:paraId="63E23D2B">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22F12F0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78A6E2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00F4CAC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12007BAE">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DE2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2B185305">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（7）地面及时清理污渍及香口胶渍</w:t>
            </w:r>
          </w:p>
        </w:tc>
        <w:tc>
          <w:tcPr>
            <w:tcW w:w="458" w:type="pct"/>
            <w:tcBorders>
              <w:tl2br w:val="nil"/>
              <w:tr2bl w:val="nil"/>
            </w:tcBorders>
            <w:tcMar>
              <w:top w:w="0" w:type="dxa"/>
              <w:left w:w="0" w:type="dxa"/>
              <w:bottom w:w="0" w:type="dxa"/>
              <w:right w:w="0" w:type="dxa"/>
            </w:tcMar>
          </w:tcPr>
          <w:p w14:paraId="68FF791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16FB031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038730E4">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500265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24071BC8">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2AFA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9E50303">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（8）擦拭指示牌、告示牌、屏风、栏杆</w:t>
            </w:r>
          </w:p>
        </w:tc>
        <w:tc>
          <w:tcPr>
            <w:tcW w:w="458" w:type="pct"/>
            <w:tcBorders>
              <w:tl2br w:val="nil"/>
              <w:tr2bl w:val="nil"/>
            </w:tcBorders>
            <w:tcMar>
              <w:top w:w="0" w:type="dxa"/>
              <w:left w:w="0" w:type="dxa"/>
              <w:bottom w:w="0" w:type="dxa"/>
              <w:right w:w="0" w:type="dxa"/>
            </w:tcMar>
          </w:tcPr>
          <w:p w14:paraId="428CA56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1163157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03A0B744">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3F4762C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152AA399">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2747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53C66DE3">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（9）值班台、椅、沙发、茶几清洁</w:t>
            </w:r>
          </w:p>
        </w:tc>
        <w:tc>
          <w:tcPr>
            <w:tcW w:w="458" w:type="pct"/>
            <w:tcBorders>
              <w:tl2br w:val="nil"/>
              <w:tr2bl w:val="nil"/>
            </w:tcBorders>
            <w:tcMar>
              <w:top w:w="0" w:type="dxa"/>
              <w:left w:w="0" w:type="dxa"/>
              <w:bottom w:w="0" w:type="dxa"/>
              <w:right w:w="0" w:type="dxa"/>
            </w:tcMar>
          </w:tcPr>
          <w:p w14:paraId="79C57C4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0B9FAFD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32CAE68">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41C58C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60CBC10B">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72F0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1EF57195">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（10）大堂低位玻璃的清洗</w:t>
            </w:r>
          </w:p>
        </w:tc>
        <w:tc>
          <w:tcPr>
            <w:tcW w:w="458" w:type="pct"/>
            <w:tcBorders>
              <w:tl2br w:val="nil"/>
              <w:tr2bl w:val="nil"/>
            </w:tcBorders>
            <w:tcMar>
              <w:top w:w="0" w:type="dxa"/>
              <w:left w:w="0" w:type="dxa"/>
              <w:bottom w:w="0" w:type="dxa"/>
              <w:right w:w="0" w:type="dxa"/>
            </w:tcMar>
          </w:tcPr>
          <w:p w14:paraId="2C1A7B64">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477731E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00E1928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84B3C41">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38D5212D">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78C6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798987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（11）墙身抹尘</w:t>
            </w:r>
          </w:p>
        </w:tc>
        <w:tc>
          <w:tcPr>
            <w:tcW w:w="458" w:type="pct"/>
            <w:tcBorders>
              <w:tl2br w:val="nil"/>
              <w:tr2bl w:val="nil"/>
            </w:tcBorders>
            <w:tcMar>
              <w:top w:w="0" w:type="dxa"/>
              <w:left w:w="0" w:type="dxa"/>
              <w:bottom w:w="0" w:type="dxa"/>
              <w:right w:w="0" w:type="dxa"/>
            </w:tcMar>
          </w:tcPr>
          <w:p w14:paraId="58EEF4CA">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75BEBB7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01B2123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F9D73E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74402558">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78B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2EFA54A8">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（12）清洁烟灰桶</w:t>
            </w:r>
          </w:p>
        </w:tc>
        <w:tc>
          <w:tcPr>
            <w:tcW w:w="458" w:type="pct"/>
            <w:tcBorders>
              <w:tl2br w:val="nil"/>
              <w:tr2bl w:val="nil"/>
            </w:tcBorders>
            <w:tcMar>
              <w:top w:w="0" w:type="dxa"/>
              <w:left w:w="0" w:type="dxa"/>
              <w:bottom w:w="0" w:type="dxa"/>
              <w:right w:w="0" w:type="dxa"/>
            </w:tcMar>
          </w:tcPr>
          <w:p w14:paraId="3EB087DF">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2</w:t>
            </w:r>
          </w:p>
        </w:tc>
        <w:tc>
          <w:tcPr>
            <w:tcW w:w="456" w:type="pct"/>
            <w:tcBorders>
              <w:tl2br w:val="nil"/>
              <w:tr2bl w:val="nil"/>
            </w:tcBorders>
            <w:tcMar>
              <w:top w:w="0" w:type="dxa"/>
              <w:left w:w="0" w:type="dxa"/>
              <w:bottom w:w="0" w:type="dxa"/>
              <w:right w:w="0" w:type="dxa"/>
            </w:tcMar>
          </w:tcPr>
          <w:p w14:paraId="33072F5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1F33429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0B09278">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13BC3E6C">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6242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43D45D7">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（13）大堂高位玻璃的清洗（2 米以下）</w:t>
            </w:r>
          </w:p>
        </w:tc>
        <w:tc>
          <w:tcPr>
            <w:tcW w:w="458" w:type="pct"/>
            <w:tcBorders>
              <w:tl2br w:val="nil"/>
              <w:tr2bl w:val="nil"/>
            </w:tcBorders>
            <w:tcMar>
              <w:top w:w="0" w:type="dxa"/>
              <w:left w:w="0" w:type="dxa"/>
              <w:bottom w:w="0" w:type="dxa"/>
              <w:right w:w="0" w:type="dxa"/>
            </w:tcMar>
          </w:tcPr>
          <w:p w14:paraId="352EBFB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1E27B124">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39560E42">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0A77185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282F9A68">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06C2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0DA6F30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（14）清洗通风口、灯饰、天花、饰物</w:t>
            </w:r>
          </w:p>
        </w:tc>
        <w:tc>
          <w:tcPr>
            <w:tcW w:w="458" w:type="pct"/>
            <w:tcBorders>
              <w:tl2br w:val="nil"/>
              <w:tr2bl w:val="nil"/>
            </w:tcBorders>
            <w:tcMar>
              <w:top w:w="0" w:type="dxa"/>
              <w:left w:w="0" w:type="dxa"/>
              <w:bottom w:w="0" w:type="dxa"/>
              <w:right w:w="0" w:type="dxa"/>
            </w:tcMar>
          </w:tcPr>
          <w:p w14:paraId="5F1AABAB">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1F4C41E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1D5405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157FFE0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1736A85A">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0F30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64F7201">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（15）清洁消毒垃圾桶内部</w:t>
            </w:r>
          </w:p>
        </w:tc>
        <w:tc>
          <w:tcPr>
            <w:tcW w:w="458" w:type="pct"/>
            <w:tcBorders>
              <w:tl2br w:val="nil"/>
              <w:tr2bl w:val="nil"/>
            </w:tcBorders>
            <w:tcMar>
              <w:top w:w="0" w:type="dxa"/>
              <w:left w:w="0" w:type="dxa"/>
              <w:bottom w:w="0" w:type="dxa"/>
              <w:right w:w="0" w:type="dxa"/>
            </w:tcMar>
          </w:tcPr>
          <w:p w14:paraId="7B7C8BE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0C331988">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1CDDEDE">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1CA9E9B1">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7A40D66A">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7ACF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3EFA9451">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（16）地面边角污渍清洁</w:t>
            </w:r>
          </w:p>
        </w:tc>
        <w:tc>
          <w:tcPr>
            <w:tcW w:w="458" w:type="pct"/>
            <w:tcBorders>
              <w:tl2br w:val="nil"/>
              <w:tr2bl w:val="nil"/>
            </w:tcBorders>
            <w:tcMar>
              <w:top w:w="0" w:type="dxa"/>
              <w:left w:w="0" w:type="dxa"/>
              <w:bottom w:w="0" w:type="dxa"/>
              <w:right w:w="0" w:type="dxa"/>
            </w:tcMar>
            <w:vAlign w:val="center"/>
          </w:tcPr>
          <w:p w14:paraId="68897BC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66DEABFF">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5F860CA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DBDFA2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5A53DDE0">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179B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445621F">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3.停车场</w:t>
            </w:r>
          </w:p>
        </w:tc>
        <w:tc>
          <w:tcPr>
            <w:tcW w:w="458" w:type="pct"/>
            <w:tcBorders>
              <w:tl2br w:val="nil"/>
              <w:tr2bl w:val="nil"/>
            </w:tcBorders>
            <w:tcMar>
              <w:top w:w="0" w:type="dxa"/>
              <w:left w:w="0" w:type="dxa"/>
              <w:bottom w:w="0" w:type="dxa"/>
              <w:right w:w="0" w:type="dxa"/>
            </w:tcMar>
          </w:tcPr>
          <w:p w14:paraId="605861E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09F5620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6E15489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E46955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0BB845B6">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停车场地面无泥沙、无尘埃、无积水、保持干净。</w:t>
            </w:r>
          </w:p>
        </w:tc>
      </w:tr>
      <w:tr w14:paraId="3CFE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9EB69A7">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（1）车场出入口扫净地面垃圾</w:t>
            </w:r>
          </w:p>
        </w:tc>
        <w:tc>
          <w:tcPr>
            <w:tcW w:w="458" w:type="pct"/>
            <w:tcBorders>
              <w:tl2br w:val="nil"/>
              <w:tr2bl w:val="nil"/>
            </w:tcBorders>
            <w:tcMar>
              <w:top w:w="0" w:type="dxa"/>
              <w:left w:w="0" w:type="dxa"/>
              <w:bottom w:w="0" w:type="dxa"/>
              <w:right w:w="0" w:type="dxa"/>
            </w:tcMar>
          </w:tcPr>
          <w:p w14:paraId="0B1C0FD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2</w:t>
            </w:r>
          </w:p>
        </w:tc>
        <w:tc>
          <w:tcPr>
            <w:tcW w:w="456" w:type="pct"/>
            <w:tcBorders>
              <w:tl2br w:val="nil"/>
              <w:tr2bl w:val="nil"/>
            </w:tcBorders>
            <w:tcMar>
              <w:top w:w="0" w:type="dxa"/>
              <w:left w:w="0" w:type="dxa"/>
              <w:bottom w:w="0" w:type="dxa"/>
              <w:right w:w="0" w:type="dxa"/>
            </w:tcMar>
          </w:tcPr>
          <w:p w14:paraId="4C28D07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97E2D1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1ED8DD8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33A9D750">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DD9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72E910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（2）清洁地面油渍、积水清理</w:t>
            </w:r>
          </w:p>
        </w:tc>
        <w:tc>
          <w:tcPr>
            <w:tcW w:w="458" w:type="pct"/>
            <w:tcBorders>
              <w:tl2br w:val="nil"/>
              <w:tr2bl w:val="nil"/>
            </w:tcBorders>
            <w:tcMar>
              <w:top w:w="0" w:type="dxa"/>
              <w:left w:w="0" w:type="dxa"/>
              <w:bottom w:w="0" w:type="dxa"/>
              <w:right w:w="0" w:type="dxa"/>
            </w:tcMar>
          </w:tcPr>
          <w:p w14:paraId="057A315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2</w:t>
            </w:r>
          </w:p>
        </w:tc>
        <w:tc>
          <w:tcPr>
            <w:tcW w:w="456" w:type="pct"/>
            <w:tcBorders>
              <w:tl2br w:val="nil"/>
              <w:tr2bl w:val="nil"/>
            </w:tcBorders>
            <w:tcMar>
              <w:top w:w="0" w:type="dxa"/>
              <w:left w:w="0" w:type="dxa"/>
              <w:bottom w:w="0" w:type="dxa"/>
              <w:right w:w="0" w:type="dxa"/>
            </w:tcMar>
          </w:tcPr>
          <w:p w14:paraId="2512E16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46B6051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72F6BC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79898915">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6275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1987A131">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（3）指示牌的清洁</w:t>
            </w:r>
          </w:p>
        </w:tc>
        <w:tc>
          <w:tcPr>
            <w:tcW w:w="458" w:type="pct"/>
            <w:tcBorders>
              <w:tl2br w:val="nil"/>
              <w:tr2bl w:val="nil"/>
            </w:tcBorders>
            <w:tcMar>
              <w:top w:w="0" w:type="dxa"/>
              <w:left w:w="0" w:type="dxa"/>
              <w:bottom w:w="0" w:type="dxa"/>
              <w:right w:w="0" w:type="dxa"/>
            </w:tcMar>
          </w:tcPr>
          <w:p w14:paraId="32E606F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086A5B3C">
            <w:pPr>
              <w:pageBreakBefore w:val="0"/>
              <w:widowControl/>
              <w:shd w:val="clear"/>
              <w:kinsoku/>
              <w:topLinePunct w:val="0"/>
              <w:bidi w:val="0"/>
              <w:snapToGrid w:val="0"/>
              <w:spacing w:line="560" w:lineRule="exact"/>
              <w:ind w:left="420" w:hanging="420" w:hangingChars="200"/>
              <w:jc w:val="center"/>
              <w:outlineLvl w:val="9"/>
              <w:rPr>
                <w:rFonts w:hint="eastAsia" w:ascii="宋体" w:hAnsi="宋体" w:eastAsia="宋体" w:cs="宋体"/>
                <w:szCs w:val="21"/>
              </w:rPr>
            </w:pPr>
            <w:r>
              <w:rPr>
                <w:rFonts w:hint="eastAsia" w:ascii="宋体" w:hAnsi="宋体" w:eastAsia="宋体" w:cs="宋体"/>
                <w:szCs w:val="21"/>
              </w:rPr>
              <w:t>1</w:t>
            </w:r>
          </w:p>
        </w:tc>
        <w:tc>
          <w:tcPr>
            <w:tcW w:w="378" w:type="pct"/>
            <w:tcBorders>
              <w:tl2br w:val="nil"/>
              <w:tr2bl w:val="nil"/>
            </w:tcBorders>
            <w:tcMar>
              <w:top w:w="0" w:type="dxa"/>
              <w:left w:w="0" w:type="dxa"/>
              <w:bottom w:w="0" w:type="dxa"/>
              <w:right w:w="0" w:type="dxa"/>
            </w:tcMar>
          </w:tcPr>
          <w:p w14:paraId="2C6AF6D6">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378" w:type="pct"/>
            <w:tcBorders>
              <w:tl2br w:val="nil"/>
              <w:tr2bl w:val="nil"/>
            </w:tcBorders>
            <w:tcMar>
              <w:top w:w="0" w:type="dxa"/>
              <w:left w:w="0" w:type="dxa"/>
              <w:bottom w:w="0" w:type="dxa"/>
              <w:right w:w="0" w:type="dxa"/>
            </w:tcMar>
          </w:tcPr>
          <w:p w14:paraId="22D816C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vAlign w:val="center"/>
          </w:tcPr>
          <w:p w14:paraId="6C8430EB">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0A47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1649DB1">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（4）清洁消防设备、天花、管道、照明设备等</w:t>
            </w:r>
          </w:p>
        </w:tc>
        <w:tc>
          <w:tcPr>
            <w:tcW w:w="458" w:type="pct"/>
            <w:tcBorders>
              <w:tl2br w:val="nil"/>
              <w:tr2bl w:val="nil"/>
            </w:tcBorders>
            <w:tcMar>
              <w:top w:w="0" w:type="dxa"/>
              <w:left w:w="0" w:type="dxa"/>
              <w:bottom w:w="0" w:type="dxa"/>
              <w:right w:w="0" w:type="dxa"/>
            </w:tcMar>
          </w:tcPr>
          <w:p w14:paraId="391A01B1">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48962A2A">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059865E6">
            <w:pPr>
              <w:pageBreakBefore w:val="0"/>
              <w:widowControl/>
              <w:shd w:val="clear"/>
              <w:kinsoku/>
              <w:topLinePunct w:val="0"/>
              <w:bidi w:val="0"/>
              <w:snapToGrid w:val="0"/>
              <w:spacing w:line="560" w:lineRule="exact"/>
              <w:ind w:firstLine="210" w:firstLineChars="100"/>
              <w:outlineLvl w:val="9"/>
              <w:rPr>
                <w:rFonts w:hint="eastAsia" w:ascii="宋体" w:hAnsi="宋体" w:eastAsia="宋体" w:cs="宋体"/>
                <w:szCs w:val="21"/>
              </w:rPr>
            </w:pPr>
            <w:r>
              <w:rPr>
                <w:rFonts w:hint="eastAsia" w:ascii="宋体" w:hAnsi="宋体" w:eastAsia="宋体" w:cs="宋体"/>
                <w:szCs w:val="21"/>
              </w:rPr>
              <w:t>1</w:t>
            </w:r>
          </w:p>
        </w:tc>
        <w:tc>
          <w:tcPr>
            <w:tcW w:w="378" w:type="pct"/>
            <w:tcBorders>
              <w:tl2br w:val="nil"/>
              <w:tr2bl w:val="nil"/>
            </w:tcBorders>
            <w:tcMar>
              <w:top w:w="0" w:type="dxa"/>
              <w:left w:w="0" w:type="dxa"/>
              <w:bottom w:w="0" w:type="dxa"/>
              <w:right w:w="0" w:type="dxa"/>
            </w:tcMar>
          </w:tcPr>
          <w:p w14:paraId="55573CF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vAlign w:val="center"/>
          </w:tcPr>
          <w:p w14:paraId="627EA44C">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6A9B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7C9CFB70">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4.天台、露台</w:t>
            </w:r>
          </w:p>
        </w:tc>
        <w:tc>
          <w:tcPr>
            <w:tcW w:w="458" w:type="pct"/>
            <w:tcBorders>
              <w:tl2br w:val="nil"/>
              <w:tr2bl w:val="nil"/>
            </w:tcBorders>
            <w:tcMar>
              <w:top w:w="0" w:type="dxa"/>
              <w:left w:w="0" w:type="dxa"/>
              <w:bottom w:w="0" w:type="dxa"/>
              <w:right w:w="0" w:type="dxa"/>
            </w:tcMar>
          </w:tcPr>
          <w:p w14:paraId="1938F4CB">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5A7E667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58015B6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08C0585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632F12A4">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保持天台、</w:t>
            </w:r>
            <w:r>
              <w:rPr>
                <w:rFonts w:hint="eastAsia"/>
                <w:b/>
                <w:sz w:val="21"/>
                <w:szCs w:val="21"/>
              </w:rPr>
              <w:t>露台</w:t>
            </w:r>
            <w:r>
              <w:rPr>
                <w:rFonts w:hint="eastAsia"/>
                <w:sz w:val="21"/>
                <w:szCs w:val="21"/>
              </w:rPr>
              <w:t>地面无垃圾、无泥沙；保持排水口无堵塞。</w:t>
            </w:r>
          </w:p>
        </w:tc>
      </w:tr>
      <w:tr w14:paraId="07FA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7" w:hRule="atLeast"/>
          <w:tblCellSpacing w:w="15" w:type="dxa"/>
          <w:jc w:val="center"/>
        </w:trPr>
        <w:tc>
          <w:tcPr>
            <w:tcW w:w="1879" w:type="pct"/>
            <w:tcBorders>
              <w:tl2br w:val="nil"/>
              <w:tr2bl w:val="nil"/>
            </w:tcBorders>
            <w:tcMar>
              <w:top w:w="0" w:type="dxa"/>
              <w:left w:w="0" w:type="dxa"/>
              <w:bottom w:w="0" w:type="dxa"/>
              <w:right w:w="0" w:type="dxa"/>
            </w:tcMar>
            <w:vAlign w:val="center"/>
          </w:tcPr>
          <w:p w14:paraId="53F90991">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（1）地面垃圾</w:t>
            </w:r>
          </w:p>
        </w:tc>
        <w:tc>
          <w:tcPr>
            <w:tcW w:w="458" w:type="pct"/>
            <w:tcBorders>
              <w:tl2br w:val="nil"/>
              <w:tr2bl w:val="nil"/>
            </w:tcBorders>
            <w:tcMar>
              <w:top w:w="0" w:type="dxa"/>
              <w:left w:w="0" w:type="dxa"/>
              <w:bottom w:w="0" w:type="dxa"/>
              <w:right w:w="0" w:type="dxa"/>
            </w:tcMar>
          </w:tcPr>
          <w:p w14:paraId="1AA7BDC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7D167B21">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51AF0D4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765689B">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49B0E38A">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27B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1" w:hRule="atLeast"/>
          <w:tblCellSpacing w:w="15" w:type="dxa"/>
          <w:jc w:val="center"/>
        </w:trPr>
        <w:tc>
          <w:tcPr>
            <w:tcW w:w="1879" w:type="pct"/>
            <w:tcBorders>
              <w:tl2br w:val="nil"/>
              <w:tr2bl w:val="nil"/>
            </w:tcBorders>
            <w:tcMar>
              <w:top w:w="0" w:type="dxa"/>
              <w:left w:w="0" w:type="dxa"/>
              <w:bottom w:w="0" w:type="dxa"/>
              <w:right w:w="0" w:type="dxa"/>
            </w:tcMar>
            <w:vAlign w:val="center"/>
          </w:tcPr>
          <w:p w14:paraId="02D0231F">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（2）地面冲洗、地漏周边卫生</w:t>
            </w:r>
          </w:p>
        </w:tc>
        <w:tc>
          <w:tcPr>
            <w:tcW w:w="458" w:type="pct"/>
            <w:tcBorders>
              <w:tl2br w:val="nil"/>
              <w:tr2bl w:val="nil"/>
            </w:tcBorders>
            <w:tcMar>
              <w:top w:w="0" w:type="dxa"/>
              <w:left w:w="0" w:type="dxa"/>
              <w:bottom w:w="0" w:type="dxa"/>
              <w:right w:w="0" w:type="dxa"/>
            </w:tcMar>
          </w:tcPr>
          <w:p w14:paraId="5DED463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0DF117C1">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3B38150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22ED4FE3">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62E36306">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6529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C95CA64">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5.机房、设备房</w:t>
            </w:r>
          </w:p>
        </w:tc>
        <w:tc>
          <w:tcPr>
            <w:tcW w:w="458" w:type="pct"/>
            <w:tcBorders>
              <w:tl2br w:val="nil"/>
              <w:tr2bl w:val="nil"/>
            </w:tcBorders>
            <w:tcMar>
              <w:top w:w="0" w:type="dxa"/>
              <w:left w:w="0" w:type="dxa"/>
              <w:bottom w:w="0" w:type="dxa"/>
              <w:right w:w="0" w:type="dxa"/>
            </w:tcMar>
          </w:tcPr>
          <w:p w14:paraId="51E7729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029C23DB">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3149859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F083CE1">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6673765C">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pacing w:val="15"/>
                <w:sz w:val="21"/>
                <w:szCs w:val="21"/>
              </w:rPr>
              <w:t>保持地面无垃圾，天花板</w:t>
            </w:r>
            <w:r>
              <w:rPr>
                <w:rFonts w:hint="eastAsia"/>
                <w:sz w:val="21"/>
                <w:szCs w:val="21"/>
              </w:rPr>
              <w:t>、墙身无蜘蛛网悬挂物，有关设施无明显积尘。</w:t>
            </w:r>
          </w:p>
        </w:tc>
      </w:tr>
      <w:tr w14:paraId="1C02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4D0B9D7">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（1）清倒垃圾及抹净门窗</w:t>
            </w:r>
          </w:p>
        </w:tc>
        <w:tc>
          <w:tcPr>
            <w:tcW w:w="458" w:type="pct"/>
            <w:tcBorders>
              <w:tl2br w:val="nil"/>
              <w:tr2bl w:val="nil"/>
            </w:tcBorders>
            <w:tcMar>
              <w:top w:w="0" w:type="dxa"/>
              <w:left w:w="0" w:type="dxa"/>
              <w:bottom w:w="0" w:type="dxa"/>
              <w:right w:w="0" w:type="dxa"/>
            </w:tcMar>
          </w:tcPr>
          <w:p w14:paraId="6511D5F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1D6532F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4DD7439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8B0545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50E3D564">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2CC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0A751AC1">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（2）地面扫净垃圾</w:t>
            </w:r>
          </w:p>
        </w:tc>
        <w:tc>
          <w:tcPr>
            <w:tcW w:w="458" w:type="pct"/>
            <w:tcBorders>
              <w:tl2br w:val="nil"/>
              <w:tr2bl w:val="nil"/>
            </w:tcBorders>
            <w:tcMar>
              <w:top w:w="0" w:type="dxa"/>
              <w:left w:w="0" w:type="dxa"/>
              <w:bottom w:w="0" w:type="dxa"/>
              <w:right w:w="0" w:type="dxa"/>
            </w:tcMar>
          </w:tcPr>
          <w:p w14:paraId="4207804D">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72B1340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06A5AB8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00997A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7A4575C4">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64A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9A26C60">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（3）设备、管道除尘</w:t>
            </w:r>
          </w:p>
        </w:tc>
        <w:tc>
          <w:tcPr>
            <w:tcW w:w="458" w:type="pct"/>
            <w:tcBorders>
              <w:tl2br w:val="nil"/>
              <w:tr2bl w:val="nil"/>
            </w:tcBorders>
            <w:tcMar>
              <w:top w:w="0" w:type="dxa"/>
              <w:left w:w="0" w:type="dxa"/>
              <w:bottom w:w="0" w:type="dxa"/>
              <w:right w:w="0" w:type="dxa"/>
            </w:tcMar>
          </w:tcPr>
          <w:p w14:paraId="7B6EFC5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23C82144">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04132F4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378" w:type="pct"/>
            <w:tcBorders>
              <w:tl2br w:val="nil"/>
              <w:tr2bl w:val="nil"/>
            </w:tcBorders>
            <w:tcMar>
              <w:top w:w="0" w:type="dxa"/>
              <w:left w:w="0" w:type="dxa"/>
              <w:bottom w:w="0" w:type="dxa"/>
              <w:right w:w="0" w:type="dxa"/>
            </w:tcMar>
          </w:tcPr>
          <w:p w14:paraId="2337E3A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7A323AA5">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3107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431FDD35">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（4）天花板、风口、墙身、灯具除尘</w:t>
            </w:r>
          </w:p>
        </w:tc>
        <w:tc>
          <w:tcPr>
            <w:tcW w:w="458" w:type="pct"/>
            <w:tcBorders>
              <w:tl2br w:val="nil"/>
              <w:tr2bl w:val="nil"/>
            </w:tcBorders>
            <w:tcMar>
              <w:top w:w="0" w:type="dxa"/>
              <w:left w:w="0" w:type="dxa"/>
              <w:bottom w:w="0" w:type="dxa"/>
              <w:right w:w="0" w:type="dxa"/>
            </w:tcMar>
          </w:tcPr>
          <w:p w14:paraId="0AF0AE9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606BC16B">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58455B12">
            <w:pPr>
              <w:pageBreakBefore w:val="0"/>
              <w:widowControl/>
              <w:shd w:val="clear"/>
              <w:kinsoku/>
              <w:topLinePunct w:val="0"/>
              <w:bidi w:val="0"/>
              <w:snapToGrid w:val="0"/>
              <w:spacing w:line="560" w:lineRule="exact"/>
              <w:ind w:firstLine="210" w:firstLineChars="100"/>
              <w:outlineLvl w:val="9"/>
              <w:rPr>
                <w:rFonts w:hint="eastAsia" w:ascii="宋体" w:hAnsi="宋体" w:eastAsia="宋体" w:cs="宋体"/>
                <w:szCs w:val="21"/>
              </w:rPr>
            </w:pPr>
            <w:r>
              <w:rPr>
                <w:rFonts w:hint="eastAsia" w:ascii="宋体" w:hAnsi="宋体" w:eastAsia="宋体" w:cs="宋体"/>
                <w:szCs w:val="21"/>
              </w:rPr>
              <w:t>1</w:t>
            </w:r>
          </w:p>
        </w:tc>
        <w:tc>
          <w:tcPr>
            <w:tcW w:w="378" w:type="pct"/>
            <w:tcBorders>
              <w:tl2br w:val="nil"/>
              <w:tr2bl w:val="nil"/>
            </w:tcBorders>
            <w:tcMar>
              <w:top w:w="0" w:type="dxa"/>
              <w:left w:w="0" w:type="dxa"/>
              <w:bottom w:w="0" w:type="dxa"/>
              <w:right w:w="0" w:type="dxa"/>
            </w:tcMar>
          </w:tcPr>
          <w:p w14:paraId="51BCA1A1">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tcPr>
          <w:p w14:paraId="63BB5692">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2C6C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2A5AD9C">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6.电梯</w:t>
            </w:r>
          </w:p>
        </w:tc>
        <w:tc>
          <w:tcPr>
            <w:tcW w:w="458" w:type="pct"/>
            <w:tcBorders>
              <w:tl2br w:val="nil"/>
              <w:tr2bl w:val="nil"/>
            </w:tcBorders>
            <w:tcMar>
              <w:top w:w="0" w:type="dxa"/>
              <w:left w:w="0" w:type="dxa"/>
              <w:bottom w:w="0" w:type="dxa"/>
              <w:right w:w="0" w:type="dxa"/>
            </w:tcMar>
          </w:tcPr>
          <w:p w14:paraId="34FEF1D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3C681298">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146D4AA3">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0552010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058900FB">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电梯轿厢保持：面板干净无手纹、异味、垃圾。</w:t>
            </w:r>
          </w:p>
        </w:tc>
      </w:tr>
      <w:tr w14:paraId="6A7C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8FB5D83">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（1）电梯轿厢地毯清洗</w:t>
            </w:r>
          </w:p>
        </w:tc>
        <w:tc>
          <w:tcPr>
            <w:tcW w:w="458" w:type="pct"/>
            <w:tcBorders>
              <w:tl2br w:val="nil"/>
              <w:tr2bl w:val="nil"/>
            </w:tcBorders>
            <w:tcMar>
              <w:top w:w="0" w:type="dxa"/>
              <w:left w:w="0" w:type="dxa"/>
              <w:bottom w:w="0" w:type="dxa"/>
              <w:right w:w="0" w:type="dxa"/>
            </w:tcMar>
          </w:tcPr>
          <w:p w14:paraId="54EF3169">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056C0CBF">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r>
              <w:rPr>
                <w:rFonts w:hint="eastAsia" w:ascii="宋体" w:hAnsi="宋体" w:eastAsia="宋体" w:cs="宋体"/>
                <w:szCs w:val="21"/>
              </w:rPr>
              <w:t>1</w:t>
            </w:r>
          </w:p>
        </w:tc>
        <w:tc>
          <w:tcPr>
            <w:tcW w:w="378" w:type="pct"/>
            <w:tcBorders>
              <w:tl2br w:val="nil"/>
              <w:tr2bl w:val="nil"/>
            </w:tcBorders>
            <w:tcMar>
              <w:top w:w="0" w:type="dxa"/>
              <w:left w:w="0" w:type="dxa"/>
              <w:bottom w:w="0" w:type="dxa"/>
              <w:right w:w="0" w:type="dxa"/>
            </w:tcMar>
            <w:vAlign w:val="center"/>
          </w:tcPr>
          <w:p w14:paraId="1EE8E403">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7D73D68B">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tcPr>
          <w:p w14:paraId="2DB84D9F">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17B6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106C81B3">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（2）擦拭电梯轿厢不锈钢墙面</w:t>
            </w:r>
          </w:p>
        </w:tc>
        <w:tc>
          <w:tcPr>
            <w:tcW w:w="458" w:type="pct"/>
            <w:tcBorders>
              <w:tl2br w:val="nil"/>
              <w:tr2bl w:val="nil"/>
            </w:tcBorders>
            <w:tcMar>
              <w:top w:w="0" w:type="dxa"/>
              <w:left w:w="0" w:type="dxa"/>
              <w:bottom w:w="0" w:type="dxa"/>
              <w:right w:w="0" w:type="dxa"/>
            </w:tcMar>
            <w:vAlign w:val="center"/>
          </w:tcPr>
          <w:p w14:paraId="49946760">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r>
              <w:rPr>
                <w:rFonts w:hint="eastAsia" w:ascii="宋体" w:hAnsi="宋体" w:eastAsia="宋体" w:cs="宋体"/>
                <w:szCs w:val="21"/>
              </w:rPr>
              <w:t>2</w:t>
            </w:r>
          </w:p>
        </w:tc>
        <w:tc>
          <w:tcPr>
            <w:tcW w:w="456" w:type="pct"/>
            <w:tcBorders>
              <w:tl2br w:val="nil"/>
              <w:tr2bl w:val="nil"/>
            </w:tcBorders>
            <w:tcMar>
              <w:top w:w="0" w:type="dxa"/>
              <w:left w:w="0" w:type="dxa"/>
              <w:bottom w:w="0" w:type="dxa"/>
              <w:right w:w="0" w:type="dxa"/>
            </w:tcMar>
            <w:vAlign w:val="center"/>
          </w:tcPr>
          <w:p w14:paraId="711E6935">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13CA0F4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4E9EF38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tcPr>
          <w:p w14:paraId="3B9307A7">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0E14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tblCellSpacing w:w="15" w:type="dxa"/>
          <w:jc w:val="center"/>
        </w:trPr>
        <w:tc>
          <w:tcPr>
            <w:tcW w:w="1879" w:type="pct"/>
            <w:tcBorders>
              <w:tl2br w:val="nil"/>
              <w:tr2bl w:val="nil"/>
            </w:tcBorders>
            <w:tcMar>
              <w:top w:w="0" w:type="dxa"/>
              <w:left w:w="0" w:type="dxa"/>
              <w:bottom w:w="0" w:type="dxa"/>
              <w:right w:w="0" w:type="dxa"/>
            </w:tcMar>
            <w:vAlign w:val="center"/>
          </w:tcPr>
          <w:p w14:paraId="2E274FAE">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Style w:val="35"/>
                <w:rFonts w:hint="eastAsia"/>
                <w:sz w:val="21"/>
                <w:szCs w:val="21"/>
              </w:rPr>
              <w:t>7.重要楼层保洁</w:t>
            </w:r>
          </w:p>
        </w:tc>
        <w:tc>
          <w:tcPr>
            <w:tcW w:w="458" w:type="pct"/>
            <w:tcBorders>
              <w:tl2br w:val="nil"/>
              <w:tr2bl w:val="nil"/>
            </w:tcBorders>
            <w:tcMar>
              <w:top w:w="0" w:type="dxa"/>
              <w:left w:w="0" w:type="dxa"/>
              <w:bottom w:w="0" w:type="dxa"/>
              <w:right w:w="0" w:type="dxa"/>
            </w:tcMar>
          </w:tcPr>
          <w:p w14:paraId="199F4C85">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tcPr>
          <w:p w14:paraId="45EF5B5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393BAB4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2CCB7F3E">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restart"/>
            <w:tcBorders>
              <w:tl2br w:val="nil"/>
              <w:tr2bl w:val="nil"/>
            </w:tcBorders>
            <w:tcMar>
              <w:top w:w="0" w:type="dxa"/>
              <w:left w:w="0" w:type="dxa"/>
              <w:bottom w:w="0" w:type="dxa"/>
              <w:right w:w="0" w:type="dxa"/>
            </w:tcMar>
            <w:vAlign w:val="center"/>
          </w:tcPr>
          <w:p w14:paraId="1F309B55">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保持地面无垃圾，天花板、墙身无蜘蛛网悬挂物，有关设施无明显积尘，指定办公室内茶具清洗摆放整齐。</w:t>
            </w:r>
          </w:p>
        </w:tc>
      </w:tr>
      <w:tr w14:paraId="2E84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363FBC28">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（1）办公室外所有公共区域保洁</w:t>
            </w:r>
          </w:p>
        </w:tc>
        <w:tc>
          <w:tcPr>
            <w:tcW w:w="458" w:type="pct"/>
            <w:tcBorders>
              <w:tl2br w:val="nil"/>
              <w:tr2bl w:val="nil"/>
            </w:tcBorders>
            <w:tcMar>
              <w:top w:w="0" w:type="dxa"/>
              <w:left w:w="0" w:type="dxa"/>
              <w:bottom w:w="0" w:type="dxa"/>
              <w:right w:w="0" w:type="dxa"/>
            </w:tcMar>
            <w:vAlign w:val="center"/>
          </w:tcPr>
          <w:p w14:paraId="2D05FD9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0D9A5F16">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121074B0">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4E2A475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3D719713">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399F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14DD693C">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（2）文体活动中心、老干部活动中心室内保洁</w:t>
            </w:r>
          </w:p>
        </w:tc>
        <w:tc>
          <w:tcPr>
            <w:tcW w:w="458" w:type="pct"/>
            <w:tcBorders>
              <w:tl2br w:val="nil"/>
              <w:tr2bl w:val="nil"/>
            </w:tcBorders>
            <w:tcMar>
              <w:top w:w="0" w:type="dxa"/>
              <w:left w:w="0" w:type="dxa"/>
              <w:bottom w:w="0" w:type="dxa"/>
              <w:right w:w="0" w:type="dxa"/>
            </w:tcMar>
          </w:tcPr>
          <w:p w14:paraId="6E2FDC3F">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42AEACC8">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2A07644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7A52C7AC">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249A68BA">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4557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3A4466E7">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（3）指定办公室、会客室、休息室</w:t>
            </w:r>
          </w:p>
        </w:tc>
        <w:tc>
          <w:tcPr>
            <w:tcW w:w="458" w:type="pct"/>
            <w:tcBorders>
              <w:tl2br w:val="nil"/>
              <w:tr2bl w:val="nil"/>
            </w:tcBorders>
            <w:tcMar>
              <w:top w:w="0" w:type="dxa"/>
              <w:left w:w="0" w:type="dxa"/>
              <w:bottom w:w="0" w:type="dxa"/>
              <w:right w:w="0" w:type="dxa"/>
            </w:tcMar>
          </w:tcPr>
          <w:p w14:paraId="3D2D3B87">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456" w:type="pct"/>
            <w:tcBorders>
              <w:tl2br w:val="nil"/>
              <w:tr2bl w:val="nil"/>
            </w:tcBorders>
            <w:tcMar>
              <w:top w:w="0" w:type="dxa"/>
              <w:left w:w="0" w:type="dxa"/>
              <w:bottom w:w="0" w:type="dxa"/>
              <w:right w:w="0" w:type="dxa"/>
            </w:tcMar>
          </w:tcPr>
          <w:p w14:paraId="14D3EFE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tcPr>
          <w:p w14:paraId="3BAC7D1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5E2F76A2">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1323" w:type="pct"/>
            <w:vMerge w:val="continue"/>
            <w:tcBorders>
              <w:tl2br w:val="nil"/>
              <w:tr2bl w:val="nil"/>
            </w:tcBorders>
            <w:tcMar>
              <w:top w:w="0" w:type="dxa"/>
              <w:left w:w="0" w:type="dxa"/>
              <w:bottom w:w="0" w:type="dxa"/>
              <w:right w:w="0" w:type="dxa"/>
            </w:tcMar>
          </w:tcPr>
          <w:p w14:paraId="43159F27">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16D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66B72714">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（4）公共卫生间清洗、消毒</w:t>
            </w:r>
          </w:p>
        </w:tc>
        <w:tc>
          <w:tcPr>
            <w:tcW w:w="458" w:type="pct"/>
            <w:tcBorders>
              <w:tl2br w:val="nil"/>
              <w:tr2bl w:val="nil"/>
            </w:tcBorders>
            <w:tcMar>
              <w:top w:w="0" w:type="dxa"/>
              <w:left w:w="0" w:type="dxa"/>
              <w:bottom w:w="0" w:type="dxa"/>
              <w:right w:w="0" w:type="dxa"/>
            </w:tcMar>
          </w:tcPr>
          <w:p w14:paraId="1ABEBF67">
            <w:pPr>
              <w:pageBreakBefore w:val="0"/>
              <w:widowControl/>
              <w:shd w:val="clear"/>
              <w:kinsoku/>
              <w:topLinePunct w:val="0"/>
              <w:bidi w:val="0"/>
              <w:snapToGrid w:val="0"/>
              <w:spacing w:line="560" w:lineRule="exact"/>
              <w:outlineLvl w:val="9"/>
              <w:rPr>
                <w:rFonts w:hint="eastAsia" w:ascii="宋体" w:hAnsi="宋体" w:eastAsia="宋体" w:cs="宋体"/>
                <w:szCs w:val="21"/>
              </w:rPr>
            </w:pPr>
          </w:p>
        </w:tc>
        <w:tc>
          <w:tcPr>
            <w:tcW w:w="456" w:type="pct"/>
            <w:tcBorders>
              <w:tl2br w:val="nil"/>
              <w:tr2bl w:val="nil"/>
            </w:tcBorders>
            <w:tcMar>
              <w:top w:w="0" w:type="dxa"/>
              <w:left w:w="0" w:type="dxa"/>
              <w:bottom w:w="0" w:type="dxa"/>
              <w:right w:w="0" w:type="dxa"/>
            </w:tcMar>
            <w:vAlign w:val="center"/>
          </w:tcPr>
          <w:p w14:paraId="36574E6D">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r>
              <w:rPr>
                <w:rFonts w:hint="eastAsia" w:ascii="宋体" w:hAnsi="宋体" w:eastAsia="宋体" w:cs="宋体"/>
                <w:szCs w:val="21"/>
              </w:rPr>
              <w:t>1</w:t>
            </w:r>
          </w:p>
        </w:tc>
        <w:tc>
          <w:tcPr>
            <w:tcW w:w="378" w:type="pct"/>
            <w:tcBorders>
              <w:tl2br w:val="nil"/>
              <w:tr2bl w:val="nil"/>
            </w:tcBorders>
            <w:tcMar>
              <w:top w:w="0" w:type="dxa"/>
              <w:left w:w="0" w:type="dxa"/>
              <w:bottom w:w="0" w:type="dxa"/>
              <w:right w:w="0" w:type="dxa"/>
            </w:tcMar>
            <w:vAlign w:val="center"/>
          </w:tcPr>
          <w:p w14:paraId="5938FF05">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69CE77E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tcPr>
          <w:p w14:paraId="412E33F3">
            <w:pPr>
              <w:pageBreakBefore w:val="0"/>
              <w:shd w:val="clear"/>
              <w:kinsoku/>
              <w:topLinePunct w:val="0"/>
              <w:bidi w:val="0"/>
              <w:snapToGrid w:val="0"/>
              <w:spacing w:line="560" w:lineRule="exact"/>
              <w:outlineLvl w:val="9"/>
              <w:rPr>
                <w:rFonts w:hint="eastAsia" w:ascii="宋体" w:hAnsi="宋体" w:eastAsia="宋体" w:cs="宋体"/>
                <w:szCs w:val="21"/>
              </w:rPr>
            </w:pPr>
          </w:p>
        </w:tc>
      </w:tr>
      <w:tr w14:paraId="5266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jc w:val="center"/>
        </w:trPr>
        <w:tc>
          <w:tcPr>
            <w:tcW w:w="1879" w:type="pct"/>
            <w:tcBorders>
              <w:tl2br w:val="nil"/>
              <w:tr2bl w:val="nil"/>
            </w:tcBorders>
            <w:tcMar>
              <w:top w:w="0" w:type="dxa"/>
              <w:left w:w="0" w:type="dxa"/>
              <w:bottom w:w="0" w:type="dxa"/>
              <w:right w:w="0" w:type="dxa"/>
            </w:tcMar>
            <w:vAlign w:val="center"/>
          </w:tcPr>
          <w:p w14:paraId="58CFF910">
            <w:pPr>
              <w:pStyle w:val="9"/>
              <w:pageBreakBefore w:val="0"/>
              <w:shd w:val="clear"/>
              <w:kinsoku/>
              <w:topLinePunct w:val="0"/>
              <w:bidi w:val="0"/>
              <w:snapToGrid w:val="0"/>
              <w:spacing w:beforeAutospacing="0" w:afterAutospacing="0" w:line="560" w:lineRule="exact"/>
              <w:jc w:val="both"/>
              <w:outlineLvl w:val="9"/>
              <w:rPr>
                <w:rFonts w:hint="eastAsia"/>
                <w:sz w:val="21"/>
                <w:szCs w:val="21"/>
              </w:rPr>
            </w:pPr>
            <w:r>
              <w:rPr>
                <w:rFonts w:hint="eastAsia"/>
                <w:sz w:val="21"/>
                <w:szCs w:val="21"/>
              </w:rPr>
              <w:t>（5）所有公共会议室的保洁</w:t>
            </w:r>
          </w:p>
        </w:tc>
        <w:tc>
          <w:tcPr>
            <w:tcW w:w="458" w:type="pct"/>
            <w:tcBorders>
              <w:tl2br w:val="nil"/>
              <w:tr2bl w:val="nil"/>
            </w:tcBorders>
            <w:tcMar>
              <w:top w:w="0" w:type="dxa"/>
              <w:left w:w="0" w:type="dxa"/>
              <w:bottom w:w="0" w:type="dxa"/>
              <w:right w:w="0" w:type="dxa"/>
            </w:tcMar>
            <w:vAlign w:val="center"/>
          </w:tcPr>
          <w:p w14:paraId="2F11438C">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r>
              <w:rPr>
                <w:rFonts w:hint="eastAsia" w:ascii="宋体" w:hAnsi="宋体" w:eastAsia="宋体" w:cs="宋体"/>
                <w:szCs w:val="21"/>
              </w:rPr>
              <w:t>1</w:t>
            </w:r>
          </w:p>
        </w:tc>
        <w:tc>
          <w:tcPr>
            <w:tcW w:w="456" w:type="pct"/>
            <w:tcBorders>
              <w:tl2br w:val="nil"/>
              <w:tr2bl w:val="nil"/>
            </w:tcBorders>
            <w:tcMar>
              <w:top w:w="0" w:type="dxa"/>
              <w:left w:w="0" w:type="dxa"/>
              <w:bottom w:w="0" w:type="dxa"/>
              <w:right w:w="0" w:type="dxa"/>
            </w:tcMar>
            <w:vAlign w:val="center"/>
          </w:tcPr>
          <w:p w14:paraId="40FD8EF4">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712BAD59">
            <w:pPr>
              <w:pageBreakBefore w:val="0"/>
              <w:widowControl/>
              <w:shd w:val="clear"/>
              <w:kinsoku/>
              <w:topLinePunct w:val="0"/>
              <w:bidi w:val="0"/>
              <w:snapToGrid w:val="0"/>
              <w:spacing w:line="560" w:lineRule="exact"/>
              <w:jc w:val="center"/>
              <w:outlineLvl w:val="9"/>
              <w:rPr>
                <w:rFonts w:hint="eastAsia" w:ascii="宋体" w:hAnsi="宋体" w:eastAsia="宋体" w:cs="宋体"/>
                <w:szCs w:val="21"/>
              </w:rPr>
            </w:pPr>
          </w:p>
        </w:tc>
        <w:tc>
          <w:tcPr>
            <w:tcW w:w="378" w:type="pct"/>
            <w:tcBorders>
              <w:tl2br w:val="nil"/>
              <w:tr2bl w:val="nil"/>
            </w:tcBorders>
            <w:tcMar>
              <w:top w:w="0" w:type="dxa"/>
              <w:left w:w="0" w:type="dxa"/>
              <w:bottom w:w="0" w:type="dxa"/>
              <w:right w:w="0" w:type="dxa"/>
            </w:tcMar>
            <w:vAlign w:val="center"/>
          </w:tcPr>
          <w:p w14:paraId="310DB43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1323" w:type="pct"/>
            <w:vMerge w:val="continue"/>
            <w:tcBorders>
              <w:tl2br w:val="nil"/>
              <w:tr2bl w:val="nil"/>
            </w:tcBorders>
            <w:tcMar>
              <w:top w:w="0" w:type="dxa"/>
              <w:left w:w="0" w:type="dxa"/>
              <w:bottom w:w="0" w:type="dxa"/>
              <w:right w:w="0" w:type="dxa"/>
            </w:tcMar>
          </w:tcPr>
          <w:p w14:paraId="344C66F5">
            <w:pPr>
              <w:pageBreakBefore w:val="0"/>
              <w:shd w:val="clear"/>
              <w:kinsoku/>
              <w:topLinePunct w:val="0"/>
              <w:bidi w:val="0"/>
              <w:snapToGrid w:val="0"/>
              <w:spacing w:line="560" w:lineRule="exact"/>
              <w:outlineLvl w:val="9"/>
              <w:rPr>
                <w:rFonts w:hint="eastAsia" w:ascii="宋体" w:hAnsi="宋体" w:eastAsia="宋体" w:cs="宋体"/>
                <w:szCs w:val="21"/>
              </w:rPr>
            </w:pPr>
          </w:p>
        </w:tc>
      </w:tr>
    </w:tbl>
    <w:p w14:paraId="295A3933">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
          <w14:textFill>
            <w14:solidFill>
              <w14:schemeClr w14:val="tx1"/>
            </w14:solidFill>
          </w14:textFill>
        </w:rPr>
        <w:t>）保洁成效要求：</w:t>
      </w:r>
    </w:p>
    <w:p w14:paraId="22842A40">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1）目视清洁：玻璃门窗无灰尘、污垢、污渍、水渍、手印，玻璃透亮；玻璃与结构框之间的缝隙无污垢；墙面、扶手、消防栓管、电表箱、信报箱无积灰；人行、车行通道、楼梯台阶面干净，无杂物、污渍；公共部位无乱悬挂、乱丢弃、乱堆放、乱贴乱画现象；管线无污迹、无积灰，油漆无脱落、无锈迹；灯具、灯座、灯盖、灯罩、无积灰；管道标识、指示牌等公共设施目视无明显灰尘；果皮、垃圾箱无满溢现象；无过夜垃圾，桶箱内外无污渍；公共卫生间内卫生厕纸、洗手液无短缺，洁具、地面无污渍、积水；地面无杂物、垃圾、积水、污渍，目视干净；雨、污水管道无堵塞；雨、污水井底部无沉淀物，内壁无粘着物，目视无苍蝇飞绕；井盖无污迹；化粪池、油污池无积物浮于面上，出入口通畅。天花板无灰尘、蜘蛛网、污渍；电梯轿厢四壁干净无明显灰尘、手印、污迹，无乱张贴，灯具、天花板无明显灰尘；地面及地毯干净、无污迹；门轨无灰尘、砂土。无乱设摊点、广告牌和乱贴乱画现象，房屋外墙无污染；地面、墙面石材清洁保养达到光洁明亮，无明显划痕，无污迹，无粘附物，无灰尘。</w:t>
      </w:r>
    </w:p>
    <w:p w14:paraId="41F066EE">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2）环境卫生：管辖区域内无明显鼠害、虫害发生。公共卫生间内无异味，排水通畅，无堵塞；楼宇内废水、废气、废烟、噪音等符合国家环保标准。</w:t>
      </w:r>
    </w:p>
    <w:p w14:paraId="69E7FBE3">
      <w:pPr>
        <w:pStyle w:val="9"/>
        <w:pageBreakBefore w:val="0"/>
        <w:shd w:val="clear"/>
        <w:kinsoku/>
        <w:topLinePunct w:val="0"/>
        <w:bidi w:val="0"/>
        <w:snapToGrid w:val="0"/>
        <w:spacing w:beforeAutospacing="0" w:afterAutospacing="0" w:line="560" w:lineRule="exact"/>
        <w:ind w:firstLine="315" w:firstLineChars="15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5</w:t>
      </w:r>
      <w:r>
        <w:rPr>
          <w:rFonts w:hint="eastAsia"/>
          <w:color w:val="000000" w:themeColor="text1"/>
          <w:kern w:val="2"/>
          <w:sz w:val="21"/>
          <w:szCs w:val="21"/>
          <w:lang w:val="en"/>
          <w14:textFill>
            <w14:solidFill>
              <w14:schemeClr w14:val="tx1"/>
            </w14:solidFill>
          </w14:textFill>
        </w:rPr>
        <w:t>）采购人交办的其他工作。</w:t>
      </w:r>
    </w:p>
    <w:p w14:paraId="7F214657">
      <w:pPr>
        <w:pageBreakBefore w:val="0"/>
        <w:shd w:val="clear"/>
        <w:kinsoku/>
        <w:topLinePunct w:val="0"/>
        <w:bidi w:val="0"/>
        <w:snapToGrid w:val="0"/>
        <w:spacing w:line="560" w:lineRule="exact"/>
        <w:ind w:firstLine="315" w:firstLineChars="150"/>
        <w:jc w:val="left"/>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8.客服接待工作内容及服务要求：</w:t>
      </w:r>
    </w:p>
    <w:p w14:paraId="247FECDC">
      <w:pPr>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
          <w14:textFill>
            <w14:solidFill>
              <w14:schemeClr w14:val="tx1"/>
            </w14:solidFill>
          </w14:textFill>
        </w:rPr>
        <w:t>）按照会议流程图操作，认真做好会前的准备工作,协助会议主办方摆放座牌；做好茶水准备、卫生、空调等准备工作，核定会标位置使各场会议用具规范整齐。</w:t>
      </w:r>
    </w:p>
    <w:p w14:paraId="38595EEC">
      <w:pPr>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
          <w14:textFill>
            <w14:solidFill>
              <w14:schemeClr w14:val="tx1"/>
            </w14:solidFill>
          </w14:textFill>
        </w:rPr>
        <w:t>）会议期间坚守岗位、不得离岗，全程参与会议准备，工作间隙时到音控室等候任务。</w:t>
      </w:r>
    </w:p>
    <w:p w14:paraId="67D821ED">
      <w:pPr>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
          <w14:textFill>
            <w14:solidFill>
              <w14:schemeClr w14:val="tx1"/>
            </w14:solidFill>
          </w14:textFill>
        </w:rPr>
        <w:t>）每日巡视所有会议室的卫生及设备（4楼、6楼、8楼、11楼、13楼、14楼、17楼、20楼、22楼）是否达到标准随时可用。</w:t>
      </w:r>
    </w:p>
    <w:p w14:paraId="2DE16443">
      <w:pPr>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en"/>
          <w14:textFill>
            <w14:solidFill>
              <w14:schemeClr w14:val="tx1"/>
            </w14:solidFill>
          </w14:textFill>
        </w:rPr>
        <w:t>）会前15分钟做好茶水准备，会中每隔30分钟添加一次茶水，会后现场清理。</w:t>
      </w:r>
    </w:p>
    <w:p w14:paraId="17A84FE4">
      <w:pPr>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en"/>
          <w14:textFill>
            <w14:solidFill>
              <w14:schemeClr w14:val="tx1"/>
            </w14:solidFill>
          </w14:textFill>
        </w:rPr>
        <w:t>）认真做好会后的收尾工作。包括清理好会议室内的卫生，各类服务用具归位，保管好会议人员遗忘的物品，关闭空调、关好门窗，随时准备接待下次会议。</w:t>
      </w:r>
    </w:p>
    <w:p w14:paraId="0676FBA2">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lang w:val="en"/>
          <w14:textFill>
            <w14:solidFill>
              <w14:schemeClr w14:val="tx1"/>
            </w14:solidFill>
          </w14:textFill>
        </w:rPr>
        <w:t>）一层大堂及重要楼层（8楼、19楼、20楼、22楼）接待：做好早迎晚送服务、来电来访客户登记，20楼贵宾厅和会议室、22楼接待室的接待工作。</w:t>
      </w:r>
    </w:p>
    <w:p w14:paraId="2DC4AE92">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en"/>
          <w14:textFill>
            <w14:solidFill>
              <w14:schemeClr w14:val="tx1"/>
            </w14:solidFill>
          </w14:textFill>
        </w:rPr>
        <w:t>）每日巡视5楼、6楼、休息室、贵宾室，确保整洁干净。</w:t>
      </w:r>
    </w:p>
    <w:p w14:paraId="13542913">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en"/>
          <w14:textFill>
            <w14:solidFill>
              <w14:schemeClr w14:val="tx1"/>
            </w14:solidFill>
          </w14:textFill>
        </w:rPr>
        <w:t>）完成采购人交办的各项接待工作。</w:t>
      </w:r>
    </w:p>
    <w:p w14:paraId="7AB2E734">
      <w:pPr>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lang w:val="en"/>
          <w14:textFill>
            <w14:solidFill>
              <w14:schemeClr w14:val="tx1"/>
            </w14:solidFill>
          </w14:textFill>
        </w:rPr>
        <w:t>）服务要求：</w:t>
      </w:r>
    </w:p>
    <w:p w14:paraId="18BB685C">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1）确保每个会议室整洁干净,桌椅摆放整齐，地板、门窗、墙壁、主席台等无灰尘异物，桌椅干净整洁无茶迹随时可使用。</w:t>
      </w:r>
    </w:p>
    <w:p w14:paraId="2939E047">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2）确保每场会议无失误。</w:t>
      </w:r>
    </w:p>
    <w:p w14:paraId="28822711">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3）认真做好每次活动前的保障工作。包括活动场地的卫生清洁、设备保障、协助活动所需的其他工作。</w:t>
      </w:r>
    </w:p>
    <w:p w14:paraId="5EA544F8">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4）确保休息室及贵宾室的整洁干净有序。</w:t>
      </w:r>
    </w:p>
    <w:p w14:paraId="6C0250AF">
      <w:pPr>
        <w:pStyle w:val="41"/>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9.信件书报发放工作：</w:t>
      </w:r>
    </w:p>
    <w:p w14:paraId="1F0FD451">
      <w:pPr>
        <w:pStyle w:val="41"/>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kern w:val="2"/>
          <w:szCs w:val="21"/>
          <w:lang w:val="en"/>
          <w14:textFill>
            <w14:solidFill>
              <w14:schemeClr w14:val="tx1"/>
            </w14:solidFill>
          </w14:textFill>
        </w:rPr>
      </w:pPr>
      <w:r>
        <w:rPr>
          <w:rFonts w:hint="eastAsia" w:ascii="宋体" w:hAnsi="宋体" w:eastAsia="宋体" w:cs="宋体"/>
          <w:color w:val="000000" w:themeColor="text1"/>
          <w:kern w:val="2"/>
          <w:szCs w:val="21"/>
          <w:lang w:val="en"/>
          <w14:textFill>
            <w14:solidFill>
              <w14:schemeClr w14:val="tx1"/>
            </w14:solidFill>
          </w14:textFill>
        </w:rPr>
        <w:t>（</w:t>
      </w:r>
      <w:r>
        <w:rPr>
          <w:rFonts w:hint="eastAsia" w:ascii="宋体" w:hAnsi="宋体" w:eastAsia="宋体" w:cs="宋体"/>
          <w:color w:val="000000" w:themeColor="text1"/>
          <w:kern w:val="2"/>
          <w:szCs w:val="21"/>
          <w14:textFill>
            <w14:solidFill>
              <w14:schemeClr w14:val="tx1"/>
            </w14:solidFill>
          </w14:textFill>
        </w:rPr>
        <w:t>1</w:t>
      </w:r>
      <w:r>
        <w:rPr>
          <w:rFonts w:hint="eastAsia" w:ascii="宋体" w:hAnsi="宋体" w:eastAsia="宋体" w:cs="宋体"/>
          <w:color w:val="000000" w:themeColor="text1"/>
          <w:kern w:val="2"/>
          <w:szCs w:val="21"/>
          <w:lang w:val="en"/>
          <w14:textFill>
            <w14:solidFill>
              <w14:schemeClr w14:val="tx1"/>
            </w14:solidFill>
          </w14:textFill>
        </w:rPr>
        <w:t>）按规定时间对报刊、杂志、报纸、信件进行装订、分发工作，要求做到及时准确不出差错。</w:t>
      </w:r>
    </w:p>
    <w:p w14:paraId="474E079A">
      <w:pPr>
        <w:pStyle w:val="9"/>
        <w:pageBreakBefore w:val="0"/>
        <w:shd w:val="clear"/>
        <w:kinsoku/>
        <w:topLinePunct w:val="0"/>
        <w:bidi w:val="0"/>
        <w:snapToGrid w:val="0"/>
        <w:spacing w:beforeAutospacing="0" w:afterAutospacing="0" w:line="560" w:lineRule="exact"/>
        <w:ind w:firstLine="315" w:firstLineChars="15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2</w:t>
      </w:r>
      <w:r>
        <w:rPr>
          <w:rFonts w:hint="eastAsia"/>
          <w:color w:val="000000" w:themeColor="text1"/>
          <w:kern w:val="2"/>
          <w:sz w:val="21"/>
          <w:szCs w:val="21"/>
          <w:lang w:val="en"/>
          <w14:textFill>
            <w14:solidFill>
              <w14:schemeClr w14:val="tx1"/>
            </w14:solidFill>
          </w14:textFill>
        </w:rPr>
        <w:t>）采购人交办的其他工作。</w:t>
      </w:r>
    </w:p>
    <w:p w14:paraId="0C2183E8">
      <w:pPr>
        <w:pStyle w:val="41"/>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kern w:val="2"/>
          <w:szCs w:val="21"/>
          <w:lang w:val="en"/>
          <w14:textFill>
            <w14:solidFill>
              <w14:schemeClr w14:val="tx1"/>
            </w14:solidFill>
          </w14:textFill>
        </w:rPr>
      </w:pPr>
      <w:r>
        <w:rPr>
          <w:rFonts w:hint="eastAsia" w:ascii="宋体" w:hAnsi="宋体" w:eastAsia="宋体" w:cs="宋体"/>
          <w:color w:val="000000" w:themeColor="text1"/>
          <w:kern w:val="2"/>
          <w:szCs w:val="21"/>
          <w:lang w:val="en"/>
          <w14:textFill>
            <w14:solidFill>
              <w14:schemeClr w14:val="tx1"/>
            </w14:solidFill>
          </w14:textFill>
        </w:rPr>
        <w:t>（</w:t>
      </w:r>
      <w:r>
        <w:rPr>
          <w:rFonts w:hint="eastAsia" w:ascii="宋体" w:hAnsi="宋体" w:eastAsia="宋体" w:cs="宋体"/>
          <w:color w:val="000000" w:themeColor="text1"/>
          <w:kern w:val="2"/>
          <w:szCs w:val="21"/>
          <w14:textFill>
            <w14:solidFill>
              <w14:schemeClr w14:val="tx1"/>
            </w14:solidFill>
          </w14:textFill>
        </w:rPr>
        <w:t>3</w:t>
      </w:r>
      <w:r>
        <w:rPr>
          <w:rFonts w:hint="eastAsia" w:ascii="宋体" w:hAnsi="宋体" w:eastAsia="宋体" w:cs="宋体"/>
          <w:color w:val="000000" w:themeColor="text1"/>
          <w:kern w:val="2"/>
          <w:szCs w:val="21"/>
          <w:lang w:val="en"/>
          <w14:textFill>
            <w14:solidFill>
              <w14:schemeClr w14:val="tx1"/>
            </w14:solidFill>
          </w14:textFill>
        </w:rPr>
        <w:t>）服务要求：</w:t>
      </w:r>
    </w:p>
    <w:p w14:paraId="258C6110">
      <w:pPr>
        <w:pStyle w:val="41"/>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kern w:val="2"/>
          <w:szCs w:val="21"/>
          <w:lang w:val="en"/>
          <w14:textFill>
            <w14:solidFill>
              <w14:schemeClr w14:val="tx1"/>
            </w14:solidFill>
          </w14:textFill>
        </w:rPr>
      </w:pPr>
      <w:r>
        <w:rPr>
          <w:rFonts w:hint="eastAsia" w:ascii="宋体" w:hAnsi="宋体" w:eastAsia="宋体" w:cs="宋体"/>
          <w:color w:val="000000" w:themeColor="text1"/>
          <w:kern w:val="2"/>
          <w:szCs w:val="21"/>
          <w:lang w:val="en"/>
          <w14:textFill>
            <w14:solidFill>
              <w14:schemeClr w14:val="tx1"/>
            </w14:solidFill>
          </w14:textFill>
        </w:rPr>
        <w:t>对邮局及外单位送来的文件、邮件、挂号信，应按要求及时做好签收、登记分发工作。急件及时送到，不得延误。</w:t>
      </w:r>
    </w:p>
    <w:p w14:paraId="23BBF643">
      <w:pPr>
        <w:pStyle w:val="41"/>
        <w:pageBreakBefore w:val="0"/>
        <w:shd w:val="clear"/>
        <w:kinsoku/>
        <w:topLinePunct w:val="0"/>
        <w:bidi w:val="0"/>
        <w:snapToGrid w:val="0"/>
        <w:spacing w:line="560" w:lineRule="exact"/>
        <w:ind w:firstLine="315" w:firstLineChars="150"/>
        <w:outlineLvl w:val="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10.安全保卫工作内容及要求</w:t>
      </w:r>
    </w:p>
    <w:p w14:paraId="43DE1E64">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w:t>
      </w:r>
      <w:r>
        <w:rPr>
          <w:rFonts w:hint="eastAsia"/>
          <w:color w:val="000000" w:themeColor="text1"/>
          <w:kern w:val="2"/>
          <w:sz w:val="21"/>
          <w:szCs w:val="21"/>
          <w:lang w:val="en"/>
          <w14:textFill>
            <w14:solidFill>
              <w14:schemeClr w14:val="tx1"/>
            </w14:solidFill>
          </w14:textFill>
        </w:rPr>
        <w:t>）负责办公区内的安全、秩序维护，车辆停放以及来访登记等工作。</w:t>
      </w:r>
    </w:p>
    <w:p w14:paraId="72779B46">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2</w:t>
      </w:r>
      <w:r>
        <w:rPr>
          <w:rFonts w:hint="eastAsia"/>
          <w:color w:val="000000" w:themeColor="text1"/>
          <w:kern w:val="2"/>
          <w:sz w:val="21"/>
          <w:szCs w:val="21"/>
          <w:lang w:val="en"/>
          <w14:textFill>
            <w14:solidFill>
              <w14:schemeClr w14:val="tx1"/>
            </w14:solidFill>
          </w14:textFill>
        </w:rPr>
        <w:t>）组织一支思想素质高、业务能力强的保安队伍（保安员根据服务要求须具备相应资质证书，持证上岗），配齐行业先进的安保设施设备，职责明确，执行严格的岗位纪律和岗位责任制，以确保办公区的安防工作。</w:t>
      </w:r>
    </w:p>
    <w:p w14:paraId="7E473B80">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3</w:t>
      </w:r>
      <w:r>
        <w:rPr>
          <w:rFonts w:hint="eastAsia"/>
          <w:color w:val="000000" w:themeColor="text1"/>
          <w:kern w:val="2"/>
          <w:sz w:val="21"/>
          <w:szCs w:val="21"/>
          <w:lang w:val="en"/>
          <w14:textFill>
            <w14:solidFill>
              <w14:schemeClr w14:val="tx1"/>
            </w14:solidFill>
          </w14:textFill>
        </w:rPr>
        <w:t>）针对现场实际情况建立健全消防演练、电梯困人救援演练、突发事件应急处置演练等各类应急预案，并定期组织人员开展应急演练。</w:t>
      </w:r>
    </w:p>
    <w:p w14:paraId="1A22B7F3">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4</w:t>
      </w:r>
      <w:r>
        <w:rPr>
          <w:rFonts w:hint="eastAsia"/>
          <w:color w:val="000000" w:themeColor="text1"/>
          <w:kern w:val="2"/>
          <w:sz w:val="21"/>
          <w:szCs w:val="21"/>
          <w:lang w:val="en"/>
          <w14:textFill>
            <w14:solidFill>
              <w14:schemeClr w14:val="tx1"/>
            </w14:solidFill>
          </w14:textFill>
        </w:rPr>
        <w:t>）重要区域（如消控中心、配电房等）24小时值班、24小时监控。整个区域做到24小时内实行专人安全护卫巡查。</w:t>
      </w:r>
    </w:p>
    <w:p w14:paraId="50C78269">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5</w:t>
      </w:r>
      <w:r>
        <w:rPr>
          <w:rFonts w:hint="eastAsia"/>
          <w:color w:val="000000" w:themeColor="text1"/>
          <w:kern w:val="2"/>
          <w:sz w:val="21"/>
          <w:szCs w:val="21"/>
          <w:lang w:val="en"/>
          <w14:textFill>
            <w14:solidFill>
              <w14:schemeClr w14:val="tx1"/>
            </w14:solidFill>
          </w14:textFill>
        </w:rPr>
        <w:t>）设立安全检查小组，定期（每月和重大节日）或不定期对区域管理范围的安全进行检查，发现安全隐患要及时整改，并将情况书面报告采购人。</w:t>
      </w:r>
    </w:p>
    <w:p w14:paraId="1407AC1C">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6</w:t>
      </w:r>
      <w:r>
        <w:rPr>
          <w:rFonts w:hint="eastAsia"/>
          <w:color w:val="000000" w:themeColor="text1"/>
          <w:kern w:val="2"/>
          <w:sz w:val="21"/>
          <w:szCs w:val="21"/>
          <w:lang w:val="en"/>
          <w14:textFill>
            <w14:solidFill>
              <w14:schemeClr w14:val="tx1"/>
            </w14:solidFill>
          </w14:textFill>
        </w:rPr>
        <w:t>）设立义务消防组织，定期组织演练和培训，确保办公区内消防设施设备安全正常运行。设立防恐、防汛工作专责小组，定期实行防恐、防汛演练和培训。</w:t>
      </w:r>
    </w:p>
    <w:p w14:paraId="66F8F1B4">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7</w:t>
      </w:r>
      <w:r>
        <w:rPr>
          <w:rFonts w:hint="eastAsia"/>
          <w:color w:val="000000" w:themeColor="text1"/>
          <w:kern w:val="2"/>
          <w:sz w:val="21"/>
          <w:szCs w:val="21"/>
          <w:lang w:val="en"/>
          <w14:textFill>
            <w14:solidFill>
              <w14:schemeClr w14:val="tx1"/>
            </w14:solidFill>
          </w14:textFill>
        </w:rPr>
        <w:t>）加强对办公区域重点部位的安全防范。未经批准，不允许任何人在以上区域内照相、录音和录像，不得泄漏有关人员的办公地点、电话、车牌号码等资料。</w:t>
      </w:r>
    </w:p>
    <w:p w14:paraId="29106A34">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8</w:t>
      </w:r>
      <w:r>
        <w:rPr>
          <w:rFonts w:hint="eastAsia"/>
          <w:color w:val="000000" w:themeColor="text1"/>
          <w:kern w:val="2"/>
          <w:sz w:val="21"/>
          <w:szCs w:val="21"/>
          <w:lang w:val="en"/>
          <w14:textFill>
            <w14:solidFill>
              <w14:schemeClr w14:val="tx1"/>
            </w14:solidFill>
          </w14:textFill>
        </w:rPr>
        <w:t>）加强管理，预防火灾、刑事或交通事故的发生。对突发事件有完善的应急处理程序和措施，一旦发现事件苗头立即报告采购人并妥善处置，防止事态进一步恶化，全力保护现场。</w:t>
      </w:r>
    </w:p>
    <w:p w14:paraId="05C395B5">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9</w:t>
      </w:r>
      <w:r>
        <w:rPr>
          <w:rFonts w:hint="eastAsia"/>
          <w:color w:val="000000" w:themeColor="text1"/>
          <w:kern w:val="2"/>
          <w:sz w:val="21"/>
          <w:szCs w:val="21"/>
          <w:lang w:val="en"/>
          <w14:textFill>
            <w14:solidFill>
              <w14:schemeClr w14:val="tx1"/>
            </w14:solidFill>
          </w14:textFill>
        </w:rPr>
        <w:t>）熟练掌握安防监控、消防设备的使用方法，做好日常维护工作，并对每次维护情况有记录。</w:t>
      </w:r>
    </w:p>
    <w:p w14:paraId="7D11C43D">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10</w:t>
      </w:r>
      <w:r>
        <w:rPr>
          <w:rFonts w:hint="eastAsia"/>
          <w:color w:val="000000" w:themeColor="text1"/>
          <w:kern w:val="2"/>
          <w:sz w:val="21"/>
          <w:szCs w:val="21"/>
          <w:lang w:val="en"/>
          <w14:textFill>
            <w14:solidFill>
              <w14:schemeClr w14:val="tx1"/>
            </w14:solidFill>
          </w14:textFill>
        </w:rPr>
        <w:t>）定期检查辖区的消防设备设施（即消火栓、灭火器、应急照明、安全出口等设备）是否完好，消防通道是否畅通。</w:t>
      </w:r>
    </w:p>
    <w:p w14:paraId="29551064">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11</w:t>
      </w:r>
      <w:r>
        <w:rPr>
          <w:rFonts w:hint="eastAsia"/>
          <w:color w:val="000000" w:themeColor="text1"/>
          <w:kern w:val="2"/>
          <w:sz w:val="21"/>
          <w:szCs w:val="21"/>
          <w:lang w:val="en"/>
          <w14:textFill>
            <w14:solidFill>
              <w14:schemeClr w14:val="tx1"/>
            </w14:solidFill>
          </w14:textFill>
        </w:rPr>
        <w:t>）进出车辆要核实信息，特别是货车等大型车辆要做好检查、登记、管理。对采购</w:t>
      </w:r>
      <w:r>
        <w:rPr>
          <w:rFonts w:hint="eastAsia"/>
          <w:color w:val="000000" w:themeColor="text1"/>
          <w:kern w:val="2"/>
          <w:sz w:val="21"/>
          <w:szCs w:val="21"/>
          <w14:textFill>
            <w14:solidFill>
              <w14:schemeClr w14:val="tx1"/>
            </w14:solidFill>
          </w14:textFill>
        </w:rPr>
        <w:t>人</w:t>
      </w:r>
      <w:r>
        <w:rPr>
          <w:rFonts w:hint="eastAsia"/>
          <w:color w:val="000000" w:themeColor="text1"/>
          <w:kern w:val="2"/>
          <w:sz w:val="21"/>
          <w:szCs w:val="21"/>
          <w:lang w:val="en"/>
          <w14:textFill>
            <w14:solidFill>
              <w14:schemeClr w14:val="tx1"/>
            </w14:solidFill>
          </w14:textFill>
        </w:rPr>
        <w:t>公务用车和按规定停放的车辆（包括汽车、自行车、电动车、摩托车等，以下统称“私家车”）进行管理。如因为管理不善造成车辆失窃或受损，</w:t>
      </w:r>
      <w:r>
        <w:rPr>
          <w:rFonts w:hint="eastAsia"/>
          <w:color w:val="000000" w:themeColor="text1"/>
          <w:kern w:val="2"/>
          <w:sz w:val="21"/>
          <w:szCs w:val="21"/>
          <w14:textFill>
            <w14:solidFill>
              <w14:schemeClr w14:val="tx1"/>
            </w14:solidFill>
          </w14:textFill>
        </w:rPr>
        <w:t>中标</w:t>
      </w:r>
      <w:r>
        <w:rPr>
          <w:rFonts w:hint="eastAsia"/>
          <w:color w:val="000000" w:themeColor="text1"/>
          <w:kern w:val="2"/>
          <w:sz w:val="21"/>
          <w:szCs w:val="21"/>
          <w:lang w:val="en"/>
          <w14:textFill>
            <w14:solidFill>
              <w14:schemeClr w14:val="tx1"/>
            </w14:solidFill>
          </w14:textFill>
        </w:rPr>
        <w:t>人应承担相应的经济赔偿责任。</w:t>
      </w:r>
    </w:p>
    <w:p w14:paraId="72855585">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12</w:t>
      </w:r>
      <w:r>
        <w:rPr>
          <w:rFonts w:hint="eastAsia"/>
          <w:color w:val="000000" w:themeColor="text1"/>
          <w:kern w:val="2"/>
          <w:sz w:val="21"/>
          <w:szCs w:val="21"/>
          <w:lang w:val="en"/>
          <w14:textFill>
            <w14:solidFill>
              <w14:schemeClr w14:val="tx1"/>
            </w14:solidFill>
          </w14:textFill>
        </w:rPr>
        <w:t>）负责项目会议室内的会议桌椅调整、7楼文体中心器材的日常调整、以及楼内小规模搬运，采购人交办的事宜。</w:t>
      </w:r>
    </w:p>
    <w:p w14:paraId="0EE48745">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13</w:t>
      </w:r>
      <w:r>
        <w:rPr>
          <w:rFonts w:hint="eastAsia"/>
          <w:color w:val="000000" w:themeColor="text1"/>
          <w:kern w:val="2"/>
          <w:sz w:val="21"/>
          <w:szCs w:val="21"/>
          <w:lang w:val="en"/>
          <w14:textFill>
            <w14:solidFill>
              <w14:schemeClr w14:val="tx1"/>
            </w14:solidFill>
          </w14:textFill>
        </w:rPr>
        <w:t>）加强大楼安全管理，杜绝各类广告、保险推销、快递包裹、外卖快餐等各类人员进入办公区域。</w:t>
      </w:r>
    </w:p>
    <w:p w14:paraId="1811A6B6">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14</w:t>
      </w:r>
      <w:r>
        <w:rPr>
          <w:rFonts w:hint="eastAsia"/>
          <w:color w:val="000000" w:themeColor="text1"/>
          <w:kern w:val="2"/>
          <w:sz w:val="21"/>
          <w:szCs w:val="21"/>
          <w:lang w:val="en"/>
          <w14:textFill>
            <w14:solidFill>
              <w14:schemeClr w14:val="tx1"/>
            </w14:solidFill>
          </w14:textFill>
        </w:rPr>
        <w:t>）电动车摆放及充电管理，充电桩维护使用管理。</w:t>
      </w:r>
    </w:p>
    <w:p w14:paraId="09E659F4">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15</w:t>
      </w:r>
      <w:r>
        <w:rPr>
          <w:rFonts w:hint="eastAsia"/>
          <w:color w:val="000000" w:themeColor="text1"/>
          <w:kern w:val="2"/>
          <w:sz w:val="21"/>
          <w:szCs w:val="21"/>
          <w:lang w:val="en"/>
          <w14:textFill>
            <w14:solidFill>
              <w14:schemeClr w14:val="tx1"/>
            </w14:solidFill>
          </w14:textFill>
        </w:rPr>
        <w:t>）采购人交办的其他工作。</w:t>
      </w:r>
    </w:p>
    <w:p w14:paraId="35D83282">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w:t>
      </w:r>
      <w:r>
        <w:rPr>
          <w:rFonts w:hint="eastAsia"/>
          <w:color w:val="000000" w:themeColor="text1"/>
          <w:kern w:val="2"/>
          <w:sz w:val="21"/>
          <w:szCs w:val="21"/>
          <w14:textFill>
            <w14:solidFill>
              <w14:schemeClr w14:val="tx1"/>
            </w14:solidFill>
          </w14:textFill>
        </w:rPr>
        <w:t>16</w:t>
      </w:r>
      <w:r>
        <w:rPr>
          <w:rFonts w:hint="eastAsia"/>
          <w:color w:val="000000" w:themeColor="text1"/>
          <w:kern w:val="2"/>
          <w:sz w:val="21"/>
          <w:szCs w:val="21"/>
          <w:lang w:val="en"/>
          <w14:textFill>
            <w14:solidFill>
              <w14:schemeClr w14:val="tx1"/>
            </w14:solidFill>
          </w14:textFill>
        </w:rPr>
        <w:t>）服务要求：</w:t>
      </w:r>
    </w:p>
    <w:p w14:paraId="01E83C57">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1）办公区安全保卫，包括防火、防盗、维持正常办公秩序，实行24小时值班、巡查及监控。巡查范围包括大楼红线以内公共场所及大楼以内建筑物，巡查密度不少于 4 小时一次。</w:t>
      </w:r>
    </w:p>
    <w:p w14:paraId="4EC0AD14">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2）安防人员应持证上岗，确保所有安防人员无刑事和治安管理处罚记录。</w:t>
      </w:r>
    </w:p>
    <w:p w14:paraId="0839F78D">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3）熟悉本机关人员，执行大楼的各项管理规定，制定大楼保安人员设置、工作安排方案，建立行之有效的保安人员管理制度。监控系统工作人员及时报告异常情况，发现隐患或苗头第一时间报告采购人。</w:t>
      </w:r>
    </w:p>
    <w:p w14:paraId="22942662">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4）组织一支思想素质高、业务能力强的保安队伍，有上岗证及资格证的专业工程技术人员，按行业规定执行严格的纪律和岗位责任制以确保大楼的安全、有序。</w:t>
      </w:r>
    </w:p>
    <w:p w14:paraId="23E3967F">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5）确保无火灾、刑事和交通事故发生。</w:t>
      </w:r>
    </w:p>
    <w:p w14:paraId="0A63E326">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 xml:space="preserve">6）对突发事件有应急处理程序计划和措施，防止事态进一步恶化，维护现场秩序。 </w:t>
      </w:r>
    </w:p>
    <w:p w14:paraId="4D3C5505">
      <w:pPr>
        <w:pStyle w:val="41"/>
        <w:pageBreakBefore w:val="0"/>
        <w:shd w:val="clear"/>
        <w:kinsoku/>
        <w:topLinePunct w:val="0"/>
        <w:autoSpaceDE/>
        <w:autoSpaceDN/>
        <w:bidi w:val="0"/>
        <w:snapToGrid w:val="0"/>
        <w:spacing w:line="560" w:lineRule="exact"/>
        <w:ind w:firstLine="315" w:firstLineChars="150"/>
        <w:jc w:val="left"/>
        <w:outlineLvl w:val="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11.绿化养护要求</w:t>
      </w:r>
    </w:p>
    <w:p w14:paraId="0F0FB5B3">
      <w:pPr>
        <w:pStyle w:val="9"/>
        <w:pageBreakBefore w:val="0"/>
        <w:shd w:val="clear"/>
        <w:kinsoku/>
        <w:topLinePunct w:val="0"/>
        <w:bidi w:val="0"/>
        <w:snapToGrid w:val="0"/>
        <w:spacing w:beforeAutospacing="0" w:afterAutospacing="0" w:line="560" w:lineRule="exact"/>
        <w:ind w:firstLine="420" w:firstLineChars="200"/>
        <w:outlineLvl w:val="9"/>
        <w:rPr>
          <w:rFonts w:hint="eastAsia"/>
          <w:color w:val="000000" w:themeColor="text1"/>
          <w:kern w:val="2"/>
          <w:sz w:val="21"/>
          <w:szCs w:val="21"/>
          <w:lang w:val="en"/>
          <w14:textFill>
            <w14:solidFill>
              <w14:schemeClr w14:val="tx1"/>
            </w14:solidFill>
          </w14:textFill>
        </w:rPr>
      </w:pPr>
      <w:r>
        <w:rPr>
          <w:rFonts w:hint="eastAsia"/>
          <w:color w:val="000000" w:themeColor="text1"/>
          <w:kern w:val="2"/>
          <w:sz w:val="21"/>
          <w:szCs w:val="21"/>
          <w:lang w:val="en"/>
          <w14:textFill>
            <w14:solidFill>
              <w14:schemeClr w14:val="tx1"/>
            </w14:solidFill>
          </w14:textFill>
        </w:rPr>
        <w:t>办公楼(区)室外各类植株进行整形修剪、土壤、水肥管理和病虫害综合治理等日常养护，绿化带、盆株的日常清洁和绿化生产垃圾的清运，办公楼(区)门前规定区域绿地的养护管理等。</w:t>
      </w:r>
    </w:p>
    <w:p w14:paraId="404F9612">
      <w:pPr>
        <w:pStyle w:val="41"/>
        <w:pageBreakBefore w:val="0"/>
        <w:shd w:val="clear"/>
        <w:kinsoku/>
        <w:topLinePunct w:val="0"/>
        <w:bidi w:val="0"/>
        <w:snapToGrid w:val="0"/>
        <w:spacing w:line="560" w:lineRule="exact"/>
        <w:ind w:firstLine="315" w:firstLineChars="150"/>
        <w:jc w:val="left"/>
        <w:outlineLvl w:val="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12.总体响应要求</w:t>
      </w:r>
    </w:p>
    <w:p w14:paraId="5FB4A8CF">
      <w:pPr>
        <w:pStyle w:val="41"/>
        <w:pageBreakBefore w:val="0"/>
        <w:shd w:val="clear"/>
        <w:tabs>
          <w:tab w:val="left" w:pos="0"/>
        </w:tabs>
        <w:kinsoku/>
        <w:topLinePunct w:val="0"/>
        <w:bidi w:val="0"/>
        <w:snapToGrid w:val="0"/>
        <w:spacing w:line="560" w:lineRule="exact"/>
        <w:ind w:left="15" w:leftChars="7" w:firstLine="301" w:firstLineChars="143"/>
        <w:jc w:val="left"/>
        <w:outlineLvl w:val="9"/>
        <w:rPr>
          <w:rFonts w:hint="eastAsia" w:ascii="宋体" w:hAnsi="宋体" w:eastAsia="宋体" w:cs="宋体"/>
          <w:b/>
          <w:bCs/>
          <w:color w:val="000000" w:themeColor="text1"/>
          <w:kern w:val="2"/>
          <w:szCs w:val="21"/>
          <w:lang w:val="en"/>
          <w14:textFill>
            <w14:solidFill>
              <w14:schemeClr w14:val="tx1"/>
            </w14:solidFill>
          </w14:textFill>
        </w:rPr>
      </w:pPr>
      <w:r>
        <w:rPr>
          <w:rFonts w:hint="eastAsia" w:ascii="宋体" w:hAnsi="宋体" w:eastAsia="宋体" w:cs="宋体"/>
          <w:b/>
          <w:bCs/>
          <w:color w:val="000000" w:themeColor="text1"/>
          <w:kern w:val="2"/>
          <w:szCs w:val="21"/>
          <w:lang w:val="en"/>
          <w14:textFill>
            <w14:solidFill>
              <w14:schemeClr w14:val="tx1"/>
            </w14:solidFill>
          </w14:textFill>
        </w:rPr>
        <w:t>物业报修10分钟内响应，15分钟内到达现场，有报修、维修记录。</w:t>
      </w:r>
    </w:p>
    <w:p w14:paraId="252DE9D4">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（四）、人员配备及要求</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50"/>
        <w:gridCol w:w="950"/>
        <w:gridCol w:w="2043"/>
        <w:gridCol w:w="3779"/>
      </w:tblGrid>
      <w:tr w14:paraId="781B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tcPr>
          <w:p w14:paraId="0F8D404D">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Style w:val="35"/>
                <w:rFonts w:hint="eastAsia"/>
                <w:sz w:val="21"/>
                <w:szCs w:val="21"/>
              </w:rPr>
              <w:t>序号</w:t>
            </w:r>
          </w:p>
        </w:tc>
        <w:tc>
          <w:tcPr>
            <w:tcW w:w="557" w:type="pct"/>
            <w:shd w:val="clear" w:color="auto" w:fill="auto"/>
          </w:tcPr>
          <w:p w14:paraId="2E180B67">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Style w:val="35"/>
                <w:rFonts w:hint="eastAsia"/>
                <w:sz w:val="21"/>
                <w:szCs w:val="21"/>
              </w:rPr>
              <w:t>岗位名称</w:t>
            </w:r>
          </w:p>
        </w:tc>
        <w:tc>
          <w:tcPr>
            <w:tcW w:w="557" w:type="pct"/>
            <w:shd w:val="clear" w:color="auto" w:fill="auto"/>
          </w:tcPr>
          <w:p w14:paraId="790D5E7E">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Style w:val="35"/>
                <w:rFonts w:hint="eastAsia"/>
                <w:sz w:val="21"/>
                <w:szCs w:val="21"/>
              </w:rPr>
              <w:t>人数</w:t>
            </w:r>
          </w:p>
        </w:tc>
        <w:tc>
          <w:tcPr>
            <w:tcW w:w="1198" w:type="pct"/>
            <w:shd w:val="clear" w:color="auto" w:fill="auto"/>
          </w:tcPr>
          <w:p w14:paraId="1E6B9AD8">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Style w:val="35"/>
                <w:rFonts w:hint="eastAsia"/>
                <w:sz w:val="21"/>
                <w:szCs w:val="21"/>
              </w:rPr>
              <w:t>基本要求</w:t>
            </w:r>
          </w:p>
        </w:tc>
        <w:tc>
          <w:tcPr>
            <w:tcW w:w="2216" w:type="pct"/>
            <w:shd w:val="clear" w:color="auto" w:fill="auto"/>
          </w:tcPr>
          <w:p w14:paraId="4CA877A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Style w:val="35"/>
                <w:rFonts w:hint="eastAsia"/>
                <w:sz w:val="21"/>
                <w:szCs w:val="21"/>
              </w:rPr>
              <w:t>岗位职责</w:t>
            </w:r>
          </w:p>
        </w:tc>
      </w:tr>
      <w:tr w14:paraId="50C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1C8E617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557" w:type="pct"/>
            <w:shd w:val="clear" w:color="auto" w:fill="auto"/>
            <w:vAlign w:val="center"/>
          </w:tcPr>
          <w:p w14:paraId="5297C90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项目经理</w:t>
            </w:r>
          </w:p>
        </w:tc>
        <w:tc>
          <w:tcPr>
            <w:tcW w:w="557" w:type="pct"/>
            <w:shd w:val="clear" w:color="auto" w:fill="auto"/>
            <w:vAlign w:val="center"/>
          </w:tcPr>
          <w:p w14:paraId="44A48171">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1198" w:type="pct"/>
            <w:shd w:val="clear" w:color="auto" w:fill="auto"/>
            <w:vAlign w:val="center"/>
          </w:tcPr>
          <w:p w14:paraId="3C7841C2">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熟悉物业法规和物业知识，具有服务意识和亲和力。年龄不超过55周岁。</w:t>
            </w:r>
          </w:p>
        </w:tc>
        <w:tc>
          <w:tcPr>
            <w:tcW w:w="2216" w:type="pct"/>
            <w:shd w:val="clear" w:color="auto" w:fill="auto"/>
            <w:vAlign w:val="center"/>
          </w:tcPr>
          <w:p w14:paraId="5F3CD8E2">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全面负责物业日常工作，定期向采购人物业负责人汇报物业工作情况；负责会议接待及协调督促各项工作。负责本项目的全面管理和队伍管理、应急事项处置、及时处理</w:t>
            </w:r>
            <w:r>
              <w:rPr>
                <w:rFonts w:hint="eastAsia"/>
                <w:sz w:val="21"/>
                <w:szCs w:val="21"/>
                <w:lang w:eastAsia="zh-CN"/>
              </w:rPr>
              <w:t>采购人</w:t>
            </w:r>
            <w:r>
              <w:rPr>
                <w:rFonts w:hint="eastAsia"/>
                <w:sz w:val="21"/>
                <w:szCs w:val="21"/>
              </w:rPr>
              <w:t>诉求。负责项目所有设施设备系统的日常使用管理和维保维护、节能减排、安全生产的组织。负责项目安全防范管理及安全工作相关事项。应保持电话24小时畅通，并合理安排各区域各岗位人员值班留守以确保各项服务正常运转。</w:t>
            </w:r>
          </w:p>
        </w:tc>
      </w:tr>
      <w:tr w14:paraId="4B36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7691DF7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2</w:t>
            </w:r>
          </w:p>
        </w:tc>
        <w:tc>
          <w:tcPr>
            <w:tcW w:w="557" w:type="pct"/>
            <w:shd w:val="clear" w:color="auto" w:fill="auto"/>
            <w:vAlign w:val="center"/>
          </w:tcPr>
          <w:p w14:paraId="225E6FB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行政人员、会务专员</w:t>
            </w:r>
          </w:p>
        </w:tc>
        <w:tc>
          <w:tcPr>
            <w:tcW w:w="557" w:type="pct"/>
            <w:shd w:val="clear" w:color="auto" w:fill="auto"/>
            <w:vAlign w:val="center"/>
          </w:tcPr>
          <w:p w14:paraId="3240B41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8</w:t>
            </w:r>
          </w:p>
        </w:tc>
        <w:tc>
          <w:tcPr>
            <w:tcW w:w="1198" w:type="pct"/>
            <w:shd w:val="clear" w:color="auto" w:fill="auto"/>
            <w:vAlign w:val="center"/>
          </w:tcPr>
          <w:p w14:paraId="2F029832">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共8人，其中综合主管1人，前台客服3人，会务专员1人，会务客服2人，信件收发1人。要求五官端正，须具备同岗位工作经验。熟悉机关工作情况，有一定的安全常识，具备应急医疗救护常识，有较强的理解能力和沟通能力，具有服务意识和亲和力。综合主管年龄要求不超过45周岁，其余行政会务人员，年龄在20（含）-40（含）周岁。</w:t>
            </w:r>
          </w:p>
        </w:tc>
        <w:tc>
          <w:tcPr>
            <w:tcW w:w="2216" w:type="pct"/>
            <w:shd w:val="clear" w:color="auto" w:fill="auto"/>
            <w:vAlign w:val="center"/>
          </w:tcPr>
          <w:p w14:paraId="7899969B">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主要负责本项目大堂值班、各楼层会议以及接待保障，完善汇总项目物业内页表单，完成采购人交办事项。</w:t>
            </w:r>
          </w:p>
          <w:p w14:paraId="67AC155D">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会务人员要求：</w:t>
            </w:r>
          </w:p>
          <w:p w14:paraId="3CABC8E5">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需根据会议准备过程中的实际需求，做好会议前的各项准备工作，配合会场管理人员完成会场桌椅摆放、会场布置、茶水准备，保证会议进行中设备正常使用，做好会议期间的茶水服务，根据会议安排，摆放茶水、矿泉水、咖啡、桌签、座位签、纸巾等。会务服务人员需要掌握基础的办公软件的使用。</w:t>
            </w:r>
          </w:p>
          <w:p w14:paraId="3E5AF55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根据会议主办处室要求，会前全面清洁会场设施设备、提前开窗通风换气、调试适当的室温，配合会务组按时完成会议设施设备搬运摆放、及时完成会议用品的领用事宜（包括茶叶、矿泉水、文具、会议材料、面巾纸、桌签、座位签等）。</w:t>
            </w:r>
          </w:p>
          <w:p w14:paraId="6F73DB4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3）会议结束后，应立即对会议茶具进行卫生清洁、收整消毒（清洗并进行高温杀菌消毒，及时将消毒后的茶具放入柜中密封保存、备用）。全面保洁会场（达到桌面干净无茶渍、桌椅排放整齐、地面清洁无卫生死角，桌签无破损丢失的标准）。关好门窗、关闭空调等设施设备电源，切实做好防火、防盗及其他安全工作。</w:t>
            </w:r>
          </w:p>
          <w:p w14:paraId="2649526A">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（4）服务人员要求统一着装、服装整洁、五官端正、形象良好、热情礼貌，不得披头散发，不得染彩发、不得留长指甲、涂指甲油、不得佩戴夸张饰物。</w:t>
            </w:r>
          </w:p>
          <w:p w14:paraId="3D89A34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（5）保密管理：涉密会议的会议室服务人员服务过程中各项言行均须符合保密安全要求，遵守机关保密规定，不得泄露涉密内容及相关信息，不得发生失泄密事件。</w:t>
            </w:r>
          </w:p>
          <w:p w14:paraId="65D02B7A">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（6）服务区域包括：指定会议室服务岗、大堂接待岗、职工之家接待岗、会议服务室。</w:t>
            </w:r>
          </w:p>
          <w:p w14:paraId="01717349">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（7）对正常上班时间之外的加班会务保障，中标人需无条件服从采购人的安排。</w:t>
            </w:r>
          </w:p>
        </w:tc>
      </w:tr>
      <w:tr w14:paraId="0FE6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37FC6CA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3</w:t>
            </w:r>
          </w:p>
        </w:tc>
        <w:tc>
          <w:tcPr>
            <w:tcW w:w="557" w:type="pct"/>
            <w:shd w:val="clear" w:color="auto" w:fill="auto"/>
            <w:vAlign w:val="center"/>
          </w:tcPr>
          <w:p w14:paraId="606630BC">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工程主管</w:t>
            </w:r>
          </w:p>
        </w:tc>
        <w:tc>
          <w:tcPr>
            <w:tcW w:w="557" w:type="pct"/>
            <w:shd w:val="clear" w:color="auto" w:fill="auto"/>
            <w:vAlign w:val="center"/>
          </w:tcPr>
          <w:p w14:paraId="13B4796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1198" w:type="pct"/>
            <w:shd w:val="clear" w:color="auto" w:fill="auto"/>
            <w:vAlign w:val="center"/>
          </w:tcPr>
          <w:p w14:paraId="286E173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持有高压电工证，了解各设备基本性能，设备设施操作、维修、保养经验丰富，责任心强，能吃苦耐劳。年龄不超过55周岁。负责全面统筹管理工程维修事项和工程技术人员。工程管理团队（工程主管、工程技术人员）中应至少有1人持有特种设备安全管理和作业人员证（项目代号A或T）。</w:t>
            </w:r>
          </w:p>
        </w:tc>
        <w:tc>
          <w:tcPr>
            <w:tcW w:w="2216" w:type="pct"/>
            <w:vMerge w:val="restart"/>
            <w:shd w:val="clear" w:color="auto" w:fill="auto"/>
            <w:vAlign w:val="center"/>
          </w:tcPr>
          <w:p w14:paraId="129097BB">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按行业规定落实值班、操作要求。具体内容包含：</w:t>
            </w:r>
          </w:p>
          <w:p w14:paraId="325B4BA3">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（1）房屋建筑日常一般性的维护和管理。</w:t>
            </w:r>
          </w:p>
          <w:p w14:paraId="43C5506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设施设备的日常维护、维修、运行和管理，包括电梯、空调、消防设施,供水、供配电、照明、智能、供燃气系统、充电桩等的日常维护、维修、运行和管理。其中：电梯、空调、燃气、消防系统部分，由采购人委托相关专业公司负责维修，中标人应做好安全检查和相关登记工作。其中，中标人对电梯安全检查应保证24小时有电梯安全管理员(由工程管理团队人员兼任）在岗，全面负责电梯的日常安全管理及制度的具体实施工作。经常进行安全检查，及时纠正和制止违章使用电梯行为，及时消除事故隐患，负责电梯的档案管理工作，并负责联系并督促保修人履行保修协议及跟踪专业保养单位保养工作质量。</w:t>
            </w:r>
          </w:p>
          <w:p w14:paraId="1F6DDA91">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（3）各楼层办公室门锁更换、办公桌、厨、柜门锁一般性维修、更换。</w:t>
            </w:r>
          </w:p>
          <w:p w14:paraId="1AF15FEF">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（4）维修材料费用由采购人支付。</w:t>
            </w:r>
          </w:p>
          <w:p w14:paraId="71A4D645">
            <w:pPr>
              <w:pStyle w:val="10"/>
              <w:pageBreakBefore w:val="0"/>
              <w:shd w:val="clear"/>
              <w:kinsoku/>
              <w:topLinePunct w:val="0"/>
              <w:bidi w:val="0"/>
              <w:spacing w:line="560" w:lineRule="exact"/>
              <w:outlineLvl w:val="9"/>
            </w:pPr>
            <w:r>
              <w:rPr>
                <w:rFonts w:hint="eastAsia" w:ascii="宋体" w:hAnsi="宋体" w:eastAsia="宋体"/>
                <w:sz w:val="21"/>
                <w:szCs w:val="21"/>
              </w:rPr>
              <w:t>（5）工程管理团队人员需负责所有会议的桌椅调整，及楼内调整搬运。根据实际需求安排落实岗位分配，共同完成服务。</w:t>
            </w:r>
          </w:p>
        </w:tc>
      </w:tr>
      <w:tr w14:paraId="476D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06B58260">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4</w:t>
            </w:r>
          </w:p>
        </w:tc>
        <w:tc>
          <w:tcPr>
            <w:tcW w:w="557" w:type="pct"/>
            <w:shd w:val="clear" w:color="auto" w:fill="auto"/>
            <w:vAlign w:val="center"/>
          </w:tcPr>
          <w:p w14:paraId="066CDA56">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bookmarkStart w:id="57" w:name="OLE_LINK2"/>
            <w:r>
              <w:rPr>
                <w:rFonts w:hint="eastAsia"/>
                <w:sz w:val="21"/>
                <w:szCs w:val="21"/>
              </w:rPr>
              <w:t>工程技术人员</w:t>
            </w:r>
            <w:bookmarkEnd w:id="57"/>
            <w:r>
              <w:rPr>
                <w:rFonts w:hint="eastAsia"/>
                <w:sz w:val="21"/>
                <w:szCs w:val="21"/>
              </w:rPr>
              <w:t>（水电工）</w:t>
            </w:r>
          </w:p>
        </w:tc>
        <w:tc>
          <w:tcPr>
            <w:tcW w:w="557" w:type="pct"/>
            <w:vAlign w:val="center"/>
          </w:tcPr>
          <w:p w14:paraId="3E96124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4</w:t>
            </w:r>
          </w:p>
        </w:tc>
        <w:tc>
          <w:tcPr>
            <w:tcW w:w="1198" w:type="pct"/>
            <w:shd w:val="clear" w:color="auto" w:fill="auto"/>
            <w:vAlign w:val="center"/>
          </w:tcPr>
          <w:p w14:paraId="161C056B">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持有低压电工证，了解各设备基本性能，设备设施操作、维修、保养经验丰富，责任心强，能吃苦耐劳，持证上岗。年龄不超过55周岁。工程管理团队中（工程主管、工程技术人员）应至少有1人持有特种设备安全管理和作业人员证（项目代号A或T）。</w:t>
            </w:r>
          </w:p>
        </w:tc>
        <w:tc>
          <w:tcPr>
            <w:tcW w:w="2216" w:type="pct"/>
            <w:vMerge w:val="continue"/>
          </w:tcPr>
          <w:p w14:paraId="024C771D">
            <w:pPr>
              <w:pStyle w:val="19"/>
              <w:pageBreakBefore w:val="0"/>
              <w:shd w:val="clear"/>
              <w:kinsoku/>
              <w:topLinePunct w:val="0"/>
              <w:bidi w:val="0"/>
              <w:spacing w:line="560" w:lineRule="exact"/>
              <w:ind w:right="281"/>
              <w:outlineLvl w:val="9"/>
              <w:rPr>
                <w:rFonts w:hint="eastAsia" w:eastAsia="宋体" w:cs="宋体"/>
                <w:b/>
                <w:bCs/>
                <w:sz w:val="21"/>
                <w:szCs w:val="21"/>
              </w:rPr>
            </w:pPr>
          </w:p>
        </w:tc>
      </w:tr>
      <w:tr w14:paraId="1F5C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0126AF9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5</w:t>
            </w:r>
          </w:p>
        </w:tc>
        <w:tc>
          <w:tcPr>
            <w:tcW w:w="557" w:type="pct"/>
            <w:shd w:val="clear" w:color="auto" w:fill="auto"/>
            <w:vAlign w:val="center"/>
          </w:tcPr>
          <w:p w14:paraId="1259C0A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安防队长</w:t>
            </w:r>
          </w:p>
        </w:tc>
        <w:tc>
          <w:tcPr>
            <w:tcW w:w="557" w:type="pct"/>
            <w:shd w:val="clear" w:color="auto" w:fill="auto"/>
            <w:vAlign w:val="center"/>
          </w:tcPr>
          <w:p w14:paraId="13C2D877">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w:t>
            </w:r>
          </w:p>
        </w:tc>
        <w:tc>
          <w:tcPr>
            <w:tcW w:w="1198" w:type="pct"/>
            <w:shd w:val="clear" w:color="auto" w:fill="auto"/>
            <w:vAlign w:val="center"/>
          </w:tcPr>
          <w:p w14:paraId="2DF56839">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具有管理能力，持有保安员上岗证，政治面貌清白，无纹身，无劣迹、无犯罪前科，熟悉相关设备的操作使用并掌握相关应急方案。年龄不超过55周岁。</w:t>
            </w:r>
          </w:p>
        </w:tc>
        <w:tc>
          <w:tcPr>
            <w:tcW w:w="2216" w:type="pct"/>
            <w:shd w:val="clear" w:color="auto" w:fill="auto"/>
            <w:vAlign w:val="center"/>
          </w:tcPr>
          <w:p w14:paraId="54A6FFCF">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（1）全面负责机关安全保卫服务及保安队伍日常管理工作，配合采购人开展相关安全保卫工作。</w:t>
            </w:r>
          </w:p>
          <w:p w14:paraId="49A1497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（2）督促检查各项规章制度的落实，组织队员学习业务知识和形体仪表训练，定期组织保安队员的业务训练，提高全体队员的整体素质。</w:t>
            </w:r>
          </w:p>
          <w:p w14:paraId="17872D2D">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（3）遵守保安仪容仪表要求和用语规范，树立良好形象，精神风貌，带领并督促全体保安队员按照规范要求做好保安服务工作。</w:t>
            </w:r>
          </w:p>
          <w:p w14:paraId="0B45B905">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4）每天上班时间检查保安队员的工作情况，重点检查各岗位的执勤工作情况及办公区内外安全保卫情况，做好监督、检查和出勤管理工作，做好当班值班记录并检查各个岗位值班记录情况，落实岗位责任制和奖惩条例。</w:t>
            </w:r>
          </w:p>
        </w:tc>
      </w:tr>
      <w:tr w14:paraId="193E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7F5138B2">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6</w:t>
            </w:r>
          </w:p>
        </w:tc>
        <w:tc>
          <w:tcPr>
            <w:tcW w:w="557" w:type="pct"/>
            <w:shd w:val="clear" w:color="auto" w:fill="auto"/>
            <w:vAlign w:val="center"/>
          </w:tcPr>
          <w:p w14:paraId="0E731034">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安保人员</w:t>
            </w:r>
          </w:p>
        </w:tc>
        <w:tc>
          <w:tcPr>
            <w:tcW w:w="557" w:type="pct"/>
            <w:shd w:val="clear" w:color="auto" w:fill="auto"/>
            <w:vAlign w:val="center"/>
          </w:tcPr>
          <w:p w14:paraId="1E9F2F8A">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11</w:t>
            </w:r>
          </w:p>
        </w:tc>
        <w:tc>
          <w:tcPr>
            <w:tcW w:w="1198" w:type="pct"/>
            <w:shd w:val="clear" w:color="auto" w:fill="auto"/>
            <w:vAlign w:val="center"/>
          </w:tcPr>
          <w:p w14:paraId="7F67CC2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精神饱满，持有保安员上岗证，政治面貌清白，无纹身，无犯罪前科。年龄不超过55周岁。</w:t>
            </w:r>
          </w:p>
          <w:p w14:paraId="0E62CF9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消控岗人员必须持有消防设施操作员证或建（构）筑物消防员证。</w:t>
            </w:r>
          </w:p>
        </w:tc>
        <w:tc>
          <w:tcPr>
            <w:tcW w:w="2216" w:type="pct"/>
          </w:tcPr>
          <w:p w14:paraId="59538F8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1.消防监控、门岗、巡防人员须保持24小时在岗。</w:t>
            </w:r>
          </w:p>
          <w:p w14:paraId="3594863D">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2.由采购人根据现场具体要求进行岗位分配。</w:t>
            </w:r>
          </w:p>
          <w:p w14:paraId="45C1481C">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岗位职责：</w:t>
            </w:r>
          </w:p>
          <w:p w14:paraId="21A56F3F">
            <w:pPr>
              <w:pStyle w:val="9"/>
              <w:pageBreakBefore w:val="0"/>
              <w:shd w:val="clear"/>
              <w:kinsoku/>
              <w:topLinePunct w:val="0"/>
              <w:bidi w:val="0"/>
              <w:snapToGrid w:val="0"/>
              <w:spacing w:beforeAutospacing="0" w:afterAutospacing="0" w:line="560" w:lineRule="exact"/>
              <w:outlineLvl w:val="9"/>
              <w:rPr>
                <w:rFonts w:hint="eastAsia"/>
                <w:b/>
                <w:bCs/>
                <w:sz w:val="21"/>
                <w:szCs w:val="21"/>
              </w:rPr>
            </w:pPr>
            <w:r>
              <w:rPr>
                <w:rFonts w:hint="eastAsia"/>
                <w:b/>
                <w:bCs/>
                <w:sz w:val="21"/>
                <w:szCs w:val="21"/>
              </w:rPr>
              <w:t>门岗：</w:t>
            </w:r>
          </w:p>
          <w:p w14:paraId="36E072A4">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（1）做好外来人员的询问、登记、引导、测温（根据采购人需要）工作。</w:t>
            </w:r>
          </w:p>
          <w:p w14:paraId="5BFA769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（2）做好夜间或节假日因公加班者登记工作。</w:t>
            </w:r>
          </w:p>
          <w:p w14:paraId="5F8DF1E4">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（3）维护好门卫区正常秩序，保持与其他执勤点的联系。</w:t>
            </w:r>
          </w:p>
          <w:p w14:paraId="645FFEEA">
            <w:pPr>
              <w:pStyle w:val="9"/>
              <w:pageBreakBefore w:val="0"/>
              <w:shd w:val="clear"/>
              <w:kinsoku/>
              <w:topLinePunct w:val="0"/>
              <w:bidi w:val="0"/>
              <w:snapToGrid w:val="0"/>
              <w:spacing w:beforeAutospacing="0" w:afterAutospacing="0" w:line="560" w:lineRule="exact"/>
              <w:outlineLvl w:val="9"/>
              <w:rPr>
                <w:rFonts w:hint="eastAsia"/>
                <w:b/>
                <w:bCs/>
                <w:sz w:val="21"/>
                <w:szCs w:val="21"/>
              </w:rPr>
            </w:pPr>
            <w:r>
              <w:rPr>
                <w:rFonts w:hint="eastAsia"/>
                <w:b/>
                <w:bCs/>
                <w:sz w:val="21"/>
                <w:szCs w:val="21"/>
              </w:rPr>
              <w:t>巡逻岗：</w:t>
            </w:r>
          </w:p>
          <w:p w14:paraId="28B77E12">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（1）检查大楼治安、防火、防盗、漏水等情况，做到勤巡逻、勤检查，发现问题及时处理，马上报告队长或采购人管理人员。</w:t>
            </w:r>
          </w:p>
          <w:p w14:paraId="1C7CBFDB">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（2）检查大楼公共区域灯光、空调、水源是否关闭，有暴雨或台风等恶劣天气时检查窗户是否关紧。</w:t>
            </w:r>
          </w:p>
          <w:p w14:paraId="5C8EF0F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（3）发现可疑人员应进行盘问并检查证件及所带的物品，登记有关资料后方可放行。</w:t>
            </w:r>
          </w:p>
          <w:p w14:paraId="669FAA0D">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4）制定巡逻方案，按方案执行巡逻任务，确保巡遍公共区域不留死角。在非采购人工作时间巡查时，检查关闭公共卫生间的照明及排气扇电源，观察卫生间冲水阀门是否存在漏滴水现象。巡查走道时必须开启走道灯保证监控探头可视亮度，发现走道灯泡亮度不够或损坏影响监控效果立即向电房报告。</w:t>
            </w:r>
          </w:p>
          <w:p w14:paraId="4B0F806A">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（5）巡逻需保持必要警觉性，注意多看、多查、多嗅，注意楼梯走廊及其它隐蔽区域，以确保无可疑人物匿藏大楼。巡逻中发现可疑情况，应通知所有当班保安并立即报告，封锁大门及通道。</w:t>
            </w:r>
          </w:p>
          <w:p w14:paraId="13CACD31">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（6）和监控值勤人员保持联系，及时发现可疑人、事、物，并采取相应措施。</w:t>
            </w:r>
          </w:p>
          <w:p w14:paraId="6058E5B2">
            <w:pPr>
              <w:pStyle w:val="9"/>
              <w:pageBreakBefore w:val="0"/>
              <w:shd w:val="clear"/>
              <w:kinsoku/>
              <w:topLinePunct w:val="0"/>
              <w:bidi w:val="0"/>
              <w:snapToGrid w:val="0"/>
              <w:spacing w:beforeAutospacing="0" w:afterAutospacing="0" w:line="560" w:lineRule="exact"/>
              <w:outlineLvl w:val="9"/>
              <w:rPr>
                <w:rFonts w:hint="eastAsia"/>
                <w:b/>
                <w:bCs/>
                <w:sz w:val="21"/>
                <w:szCs w:val="21"/>
              </w:rPr>
            </w:pPr>
            <w:r>
              <w:rPr>
                <w:rFonts w:hint="eastAsia"/>
                <w:b/>
                <w:bCs/>
                <w:sz w:val="21"/>
                <w:szCs w:val="21"/>
              </w:rPr>
              <w:t>消控岗：</w:t>
            </w:r>
          </w:p>
          <w:p w14:paraId="0A607791">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消控室设备实行24小时值班制度，确保及时发现并准确处理各类突发事件和故障报警。认真学习并贯彻执行国家制定的消防法规，熟悉《消防控制室值班人员岗位职责》、《消防控制室值班管理规定》、《消防设施维护管理制度》、《消防报警处置程序》等消防安全管理制度规章制度。工作内容及要求包括但不限于：</w:t>
            </w:r>
          </w:p>
          <w:p w14:paraId="322F7A8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（1）值班员必须坚守岗位，恪尽职守，认真做好值班记录。</w:t>
            </w:r>
          </w:p>
          <w:p w14:paraId="3C748A2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（2）严格执行交接班制度。交接班时，接班人必须检验消控系统工作状况，重大故障情况应及时向值班领导报告，每班交接时认真做好接班记录，并报主管阅示，签字予以确认。</w:t>
            </w:r>
          </w:p>
          <w:p w14:paraId="52D9A2E0">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（3）出现报警信号时，必须立即派人赶赴报警地点查验信号情况。</w:t>
            </w:r>
          </w:p>
          <w:p w14:paraId="5FBDA493">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（4）爱护设备设施，在上岗前对室内各电器、灭火器材、仪器仪表、照明、插头严格检查，保安员（兼）配合消控室值班人员及维修人员对设备（设施）进行巡查、保养、维修与管理，不得擅自拆卸修理。</w:t>
            </w:r>
          </w:p>
          <w:p w14:paraId="6A82EBE7">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5）消控室内严禁烟火，禁止存放易燃易爆等危险品，严禁闲杂无关人员进入消控室，外来参观和检查人员进入消控室必须由主管部门领导陪同，方可进入，同时做好登记记录。除消防安全工作需要外，禁止使用报警联系电话，以免影响消防联络。妥善保管各种资料、记录、灭火器材，保持室内肃静整洁。</w:t>
            </w:r>
          </w:p>
          <w:p w14:paraId="20E0C895">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6）熟练掌握设备、设施的操作，保证其正常使用。熟悉和掌握管区内情况，熟悉监控情况、防范重点，与管理部门保持密切联系。熟悉各设备设施性能、安装位置，能正确处理突发事件，并立即报告值班领导。</w:t>
            </w:r>
          </w:p>
          <w:p w14:paraId="6E705B04">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其他：</w:t>
            </w:r>
          </w:p>
          <w:p w14:paraId="5C9DCDDF">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安保人员需负责所有会议的桌椅调整，及楼内调整搬运。根据实际需求安排落实岗位分配，共同完成服务。</w:t>
            </w:r>
          </w:p>
        </w:tc>
      </w:tr>
      <w:tr w14:paraId="7B40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5373C3D3">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7</w:t>
            </w:r>
          </w:p>
        </w:tc>
        <w:tc>
          <w:tcPr>
            <w:tcW w:w="557" w:type="pct"/>
            <w:shd w:val="clear" w:color="auto" w:fill="auto"/>
            <w:vAlign w:val="center"/>
          </w:tcPr>
          <w:p w14:paraId="0AAB7521">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大楼内外保洁员</w:t>
            </w:r>
          </w:p>
        </w:tc>
        <w:tc>
          <w:tcPr>
            <w:tcW w:w="557" w:type="pct"/>
            <w:shd w:val="clear" w:color="auto" w:fill="auto"/>
            <w:vAlign w:val="center"/>
          </w:tcPr>
          <w:p w14:paraId="147FB2B9">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13</w:t>
            </w:r>
          </w:p>
        </w:tc>
        <w:tc>
          <w:tcPr>
            <w:tcW w:w="1198" w:type="pct"/>
            <w:shd w:val="clear" w:color="auto" w:fill="auto"/>
            <w:vAlign w:val="center"/>
          </w:tcPr>
          <w:p w14:paraId="40DCB298">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能吃苦耐劳，具有服务意识和亲和力。年龄不超过55周岁。</w:t>
            </w:r>
          </w:p>
        </w:tc>
        <w:tc>
          <w:tcPr>
            <w:tcW w:w="2216" w:type="pct"/>
            <w:shd w:val="clear" w:color="auto" w:fill="auto"/>
            <w:vAlign w:val="center"/>
          </w:tcPr>
          <w:p w14:paraId="0E414A06">
            <w:pPr>
              <w:pStyle w:val="9"/>
              <w:pageBreakBefore w:val="0"/>
              <w:shd w:val="clear"/>
              <w:kinsoku/>
              <w:topLinePunct w:val="0"/>
              <w:bidi w:val="0"/>
              <w:snapToGrid w:val="0"/>
              <w:spacing w:beforeAutospacing="0" w:afterAutospacing="0" w:line="560" w:lineRule="exact"/>
              <w:outlineLvl w:val="9"/>
              <w:rPr>
                <w:rFonts w:hint="eastAsia"/>
                <w:sz w:val="21"/>
                <w:szCs w:val="21"/>
              </w:rPr>
            </w:pPr>
            <w:r>
              <w:rPr>
                <w:rFonts w:hint="eastAsia"/>
                <w:sz w:val="21"/>
                <w:szCs w:val="21"/>
              </w:rPr>
              <w:t>负责办公楼卫生及大楼周边卫生工作、指定楼层室内卫生。</w:t>
            </w:r>
          </w:p>
        </w:tc>
      </w:tr>
      <w:tr w14:paraId="3F62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shd w:val="clear" w:color="auto" w:fill="auto"/>
            <w:vAlign w:val="center"/>
          </w:tcPr>
          <w:p w14:paraId="09E3A3FD">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合计</w:t>
            </w:r>
          </w:p>
        </w:tc>
        <w:tc>
          <w:tcPr>
            <w:tcW w:w="557" w:type="pct"/>
            <w:shd w:val="clear" w:color="auto" w:fill="auto"/>
            <w:vAlign w:val="center"/>
          </w:tcPr>
          <w:p w14:paraId="200DFD42">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c>
          <w:tcPr>
            <w:tcW w:w="557" w:type="pct"/>
            <w:shd w:val="clear" w:color="auto" w:fill="auto"/>
            <w:vAlign w:val="center"/>
          </w:tcPr>
          <w:p w14:paraId="5FAE6AED">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r>
              <w:rPr>
                <w:rFonts w:hint="eastAsia"/>
                <w:sz w:val="21"/>
                <w:szCs w:val="21"/>
              </w:rPr>
              <w:t>39</w:t>
            </w:r>
          </w:p>
        </w:tc>
        <w:tc>
          <w:tcPr>
            <w:tcW w:w="1198" w:type="pct"/>
            <w:shd w:val="clear" w:color="auto" w:fill="auto"/>
            <w:vAlign w:val="center"/>
          </w:tcPr>
          <w:p w14:paraId="3A9FDF57">
            <w:pPr>
              <w:pStyle w:val="9"/>
              <w:pageBreakBefore w:val="0"/>
              <w:shd w:val="clear"/>
              <w:kinsoku/>
              <w:topLinePunct w:val="0"/>
              <w:bidi w:val="0"/>
              <w:snapToGrid w:val="0"/>
              <w:spacing w:beforeAutospacing="0" w:afterAutospacing="0" w:line="560" w:lineRule="exact"/>
              <w:outlineLvl w:val="9"/>
              <w:rPr>
                <w:rFonts w:hint="eastAsia"/>
                <w:sz w:val="21"/>
                <w:szCs w:val="21"/>
              </w:rPr>
            </w:pPr>
          </w:p>
        </w:tc>
        <w:tc>
          <w:tcPr>
            <w:tcW w:w="2216" w:type="pct"/>
            <w:shd w:val="clear" w:color="auto" w:fill="auto"/>
            <w:vAlign w:val="center"/>
          </w:tcPr>
          <w:p w14:paraId="173435C5">
            <w:pPr>
              <w:pStyle w:val="9"/>
              <w:pageBreakBefore w:val="0"/>
              <w:shd w:val="clear"/>
              <w:kinsoku/>
              <w:topLinePunct w:val="0"/>
              <w:bidi w:val="0"/>
              <w:snapToGrid w:val="0"/>
              <w:spacing w:beforeAutospacing="0" w:afterAutospacing="0" w:line="560" w:lineRule="exact"/>
              <w:jc w:val="center"/>
              <w:outlineLvl w:val="9"/>
              <w:rPr>
                <w:rFonts w:hint="eastAsia"/>
                <w:sz w:val="21"/>
                <w:szCs w:val="21"/>
              </w:rPr>
            </w:pPr>
          </w:p>
        </w:tc>
      </w:tr>
    </w:tbl>
    <w:p w14:paraId="27B97719">
      <w:pPr>
        <w:pStyle w:val="21"/>
        <w:pageBreakBefore w:val="0"/>
        <w:shd w:val="clear"/>
        <w:kinsoku/>
        <w:topLinePunct w:val="0"/>
        <w:bidi w:val="0"/>
        <w:snapToGrid w:val="0"/>
        <w:spacing w:line="560" w:lineRule="exact"/>
        <w:ind w:firstLine="315" w:firstLineChars="150"/>
        <w:outlineLvl w:val="9"/>
        <w:rPr>
          <w:rFonts w:hint="eastAsia" w:hAnsi="宋体" w:cs="宋体"/>
          <w:b/>
          <w:bCs/>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注：投标人应在投入本项目人员不少于39人的基础上，遵照国家有关部门和行业相关规定，本着完全履行项目管理服务职责的原则，根据本企业的管理能力、管理经验和管理水平，以本表关键必备的职位和职数设置为基础，科学有效地对项目所需的职位和职数做整体的合理设置。</w:t>
      </w:r>
      <w:r>
        <w:rPr>
          <w:rFonts w:hint="eastAsia" w:hAnsi="宋体" w:cs="宋体"/>
          <w:b/>
          <w:bCs/>
          <w:color w:val="000000" w:themeColor="text1"/>
          <w14:textFill>
            <w14:solidFill>
              <w14:schemeClr w14:val="tx1"/>
            </w14:solidFill>
          </w14:textFill>
        </w:rPr>
        <w:t>投标人</w:t>
      </w:r>
      <w:r>
        <w:rPr>
          <w:rFonts w:hint="eastAsia" w:hAnsi="宋体" w:cs="宋体"/>
          <w:b/>
          <w:bCs/>
          <w:color w:val="000000" w:themeColor="text1"/>
          <w:lang w:val="en"/>
          <w14:textFill>
            <w14:solidFill>
              <w14:schemeClr w14:val="tx1"/>
            </w14:solidFill>
          </w14:textFill>
        </w:rPr>
        <w:t>拟投入的人员配备不得低于上表要求。</w:t>
      </w:r>
    </w:p>
    <w:p w14:paraId="289D2C91">
      <w:pPr>
        <w:pageBreakBefore w:val="0"/>
        <w:shd w:val="clear"/>
        <w:kinsoku/>
        <w:topLinePunct w:val="0"/>
        <w:bidi w:val="0"/>
        <w:spacing w:line="440" w:lineRule="exact"/>
        <w:ind w:firstLine="422" w:firstLineChars="200"/>
        <w:outlineLvl w:val="9"/>
        <w:rPr>
          <w:rFonts w:hint="eastAsia" w:ascii="宋体" w:hAnsi="宋体" w:eastAsia="宋体" w:cs="宋体"/>
          <w:b/>
          <w:bCs/>
          <w:szCs w:val="21"/>
        </w:rPr>
      </w:pPr>
      <w:r>
        <w:rPr>
          <w:rFonts w:hint="eastAsia" w:ascii="宋体" w:hAnsi="宋体" w:eastAsia="宋体" w:cs="宋体"/>
          <w:b/>
          <w:bCs/>
          <w:szCs w:val="21"/>
        </w:rPr>
        <w:t>三、商务要求</w:t>
      </w:r>
      <w:bookmarkEnd w:id="56"/>
    </w:p>
    <w:p w14:paraId="1C25A7A9">
      <w:pPr>
        <w:pageBreakBefore w:val="0"/>
        <w:shd w:val="clear"/>
        <w:kinsoku/>
        <w:topLinePunct w:val="0"/>
        <w:bidi w:val="0"/>
        <w:spacing w:line="560" w:lineRule="exact"/>
        <w:ind w:firstLine="422" w:firstLineChars="200"/>
        <w:jc w:val="left"/>
        <w:outlineLvl w:val="9"/>
        <w:rPr>
          <w:rFonts w:hint="eastAsia" w:ascii="宋体" w:hAnsi="宋体" w:eastAsia="宋体" w:cs="宋体"/>
          <w:color w:val="000000" w:themeColor="text1"/>
          <w:szCs w:val="21"/>
          <w14:textFill>
            <w14:solidFill>
              <w14:schemeClr w14:val="tx1"/>
            </w14:solidFill>
          </w14:textFill>
        </w:rPr>
      </w:pPr>
      <w:bookmarkStart w:id="58" w:name="_Toc129529572"/>
      <w:r>
        <w:rPr>
          <w:rFonts w:hint="eastAsia" w:ascii="宋体" w:hAnsi="宋体" w:eastAsia="宋体" w:cs="宋体"/>
          <w:b/>
          <w:bCs/>
          <w:color w:val="000000" w:themeColor="text1"/>
          <w:szCs w:val="21"/>
          <w14:textFill>
            <w14:solidFill>
              <w14:schemeClr w14:val="tx1"/>
            </w14:solidFill>
          </w14:textFill>
        </w:rPr>
        <w:t>1.服务时间：</w:t>
      </w:r>
      <w:r>
        <w:rPr>
          <w:rFonts w:hint="eastAsia" w:ascii="宋体" w:hAnsi="宋体" w:eastAsia="宋体" w:cs="宋体"/>
          <w:color w:val="000000" w:themeColor="text1"/>
          <w:szCs w:val="21"/>
          <w14:textFill>
            <w14:solidFill>
              <w14:schemeClr w14:val="tx1"/>
            </w14:solidFill>
          </w14:textFill>
        </w:rPr>
        <w:t>服务期三年，从双方签订合同的生效之日起计算，合同一年一签，采购人有权根据中标人上一年考核结果决定是否续签次年合同。</w:t>
      </w:r>
    </w:p>
    <w:p w14:paraId="036AA558">
      <w:pPr>
        <w:pageBreakBefore w:val="0"/>
        <w:shd w:val="clear"/>
        <w:kinsoku/>
        <w:topLinePunct w:val="0"/>
        <w:bidi w:val="0"/>
        <w:spacing w:line="560" w:lineRule="exact"/>
        <w:ind w:firstLine="422" w:firstLineChars="200"/>
        <w:jc w:val="left"/>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2.服务地点：</w:t>
      </w:r>
      <w:r>
        <w:rPr>
          <w:rFonts w:hint="eastAsia" w:ascii="宋体" w:hAnsi="宋体" w:eastAsia="宋体" w:cs="宋体"/>
          <w:color w:val="000000" w:themeColor="text1"/>
          <w:szCs w:val="21"/>
          <w14:textFill>
            <w14:solidFill>
              <w14:schemeClr w14:val="tx1"/>
            </w14:solidFill>
          </w14:textFill>
        </w:rPr>
        <w:t>福建省福州市鼓楼区八一七中路49号。</w:t>
      </w:r>
    </w:p>
    <w:p w14:paraId="0D12ACBF">
      <w:pPr>
        <w:pageBreakBefore w:val="0"/>
        <w:shd w:val="clear"/>
        <w:kinsoku/>
        <w:topLinePunct w:val="0"/>
        <w:bidi w:val="0"/>
        <w:spacing w:line="560" w:lineRule="exact"/>
        <w:ind w:firstLine="422" w:firstLineChars="200"/>
        <w:jc w:val="left"/>
        <w:outlineLvl w:val="9"/>
        <w:rPr>
          <w:rFonts w:hint="eastAsia" w:ascii="宋体" w:hAnsi="宋体" w:eastAsia="宋体" w:cs="宋体"/>
          <w:szCs w:val="21"/>
        </w:rPr>
      </w:pPr>
      <w:r>
        <w:rPr>
          <w:rFonts w:hint="eastAsia" w:ascii="宋体" w:hAnsi="宋体" w:eastAsia="宋体" w:cs="宋体"/>
          <w:b/>
          <w:bCs/>
          <w:szCs w:val="21"/>
        </w:rPr>
        <w:t>3.付款方式：</w:t>
      </w:r>
      <w:r>
        <w:rPr>
          <w:rFonts w:hint="eastAsia" w:ascii="宋体" w:hAnsi="宋体" w:eastAsia="宋体" w:cs="宋体"/>
          <w:color w:val="000000" w:themeColor="text1"/>
          <w:szCs w:val="21"/>
          <w14:textFill>
            <w14:solidFill>
              <w14:schemeClr w14:val="tx1"/>
            </w14:solidFill>
          </w14:textFill>
        </w:rPr>
        <w:t>服务费按月支付。中标人每完成一个月服务管理工作后，根据项目验收考评结果，办理相关手续并提供</w:t>
      </w:r>
      <w:r>
        <w:rPr>
          <w:rFonts w:hint="eastAsia" w:ascii="宋体" w:hAnsi="宋体" w:eastAsia="宋体" w:cs="宋体"/>
          <w:color w:val="000000" w:themeColor="text1"/>
          <w:szCs w:val="21"/>
          <w:lang w:val="en"/>
          <w14:textFill>
            <w14:solidFill>
              <w14:schemeClr w14:val="tx1"/>
            </w14:solidFill>
          </w14:textFill>
        </w:rPr>
        <w:t>正式发票，采购人经核对无误并办妥支付手续后于10个工作日内付款。</w:t>
      </w:r>
    </w:p>
    <w:p w14:paraId="324273EB">
      <w:pPr>
        <w:pageBreakBefore w:val="0"/>
        <w:shd w:val="clear"/>
        <w:kinsoku/>
        <w:topLinePunct w:val="0"/>
        <w:bidi w:val="0"/>
        <w:spacing w:line="440" w:lineRule="exact"/>
        <w:ind w:firstLine="422" w:firstLineChars="200"/>
        <w:outlineLvl w:val="9"/>
        <w:rPr>
          <w:rFonts w:hint="eastAsia" w:ascii="宋体" w:hAnsi="宋体" w:eastAsia="宋体" w:cs="宋体"/>
          <w:b/>
          <w:bCs/>
          <w:szCs w:val="21"/>
        </w:rPr>
      </w:pPr>
      <w:r>
        <w:rPr>
          <w:rFonts w:hint="eastAsia" w:ascii="宋体" w:hAnsi="宋体" w:eastAsia="宋体" w:cs="宋体"/>
          <w:b/>
          <w:bCs/>
          <w:szCs w:val="21"/>
        </w:rPr>
        <w:t>4.违约责任：</w:t>
      </w:r>
    </w:p>
    <w:p w14:paraId="2D10A120">
      <w:pPr>
        <w:pageBreakBefore w:val="0"/>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1</w:t>
      </w:r>
      <w:r>
        <w:rPr>
          <w:rFonts w:hint="eastAsia" w:ascii="宋体" w:hAnsi="宋体" w:eastAsia="宋体" w:cs="宋体"/>
          <w:color w:val="000000"/>
          <w:szCs w:val="21"/>
          <w:lang w:val="en"/>
        </w:rPr>
        <w:t>）本项目不允许投标人以任何名义和理由进行转包和分包，如有发现，视为投标人违约，采购人有权单方解除合同，投标人需另行向采购人支付相当于3个月物业服务费金额的违约金。</w:t>
      </w:r>
    </w:p>
    <w:p w14:paraId="06D2643C">
      <w:pPr>
        <w:pageBreakBefore w:val="0"/>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2</w:t>
      </w:r>
      <w:r>
        <w:rPr>
          <w:rFonts w:hint="eastAsia" w:ascii="宋体" w:hAnsi="宋体" w:eastAsia="宋体" w:cs="宋体"/>
          <w:color w:val="000000"/>
          <w:szCs w:val="21"/>
          <w:lang w:val="en"/>
        </w:rPr>
        <w:t>）</w:t>
      </w:r>
      <w:r>
        <w:rPr>
          <w:rFonts w:hint="eastAsia" w:ascii="宋体" w:hAnsi="宋体" w:eastAsia="宋体" w:cs="宋体"/>
          <w:color w:val="000000"/>
          <w:szCs w:val="21"/>
        </w:rPr>
        <w:t>中标</w:t>
      </w:r>
      <w:r>
        <w:rPr>
          <w:rFonts w:hint="eastAsia" w:ascii="宋体" w:hAnsi="宋体" w:eastAsia="宋体" w:cs="宋体"/>
          <w:color w:val="000000"/>
          <w:szCs w:val="21"/>
          <w:lang w:val="en"/>
        </w:rPr>
        <w:t>人服务质量无法达到采购人要求，限期整改后仍无法达到要求的，采购人有权单方解除合同，视为</w:t>
      </w:r>
      <w:r>
        <w:rPr>
          <w:rFonts w:hint="eastAsia" w:ascii="宋体" w:hAnsi="宋体" w:eastAsia="宋体" w:cs="宋体"/>
          <w:color w:val="000000"/>
          <w:szCs w:val="21"/>
        </w:rPr>
        <w:t>中标</w:t>
      </w:r>
      <w:r>
        <w:rPr>
          <w:rFonts w:hint="eastAsia" w:ascii="宋体" w:hAnsi="宋体" w:eastAsia="宋体" w:cs="宋体"/>
          <w:color w:val="000000"/>
          <w:szCs w:val="21"/>
          <w:lang w:val="en"/>
        </w:rPr>
        <w:t>人违约，</w:t>
      </w:r>
      <w:r>
        <w:rPr>
          <w:rFonts w:hint="eastAsia" w:ascii="宋体" w:hAnsi="宋体" w:eastAsia="宋体" w:cs="宋体"/>
          <w:color w:val="000000"/>
          <w:szCs w:val="21"/>
        </w:rPr>
        <w:t>中标</w:t>
      </w:r>
      <w:r>
        <w:rPr>
          <w:rFonts w:hint="eastAsia" w:ascii="宋体" w:hAnsi="宋体" w:eastAsia="宋体" w:cs="宋体"/>
          <w:color w:val="000000"/>
          <w:szCs w:val="21"/>
          <w:lang w:val="en"/>
        </w:rPr>
        <w:t>人需向采购人支付相当于2个月物业服务费金额的违约金。</w:t>
      </w:r>
    </w:p>
    <w:p w14:paraId="19CBDCCE">
      <w:pPr>
        <w:pageBreakBefore w:val="0"/>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3</w:t>
      </w:r>
      <w:r>
        <w:rPr>
          <w:rFonts w:hint="eastAsia" w:ascii="宋体" w:hAnsi="宋体" w:eastAsia="宋体" w:cs="宋体"/>
          <w:color w:val="000000"/>
          <w:szCs w:val="21"/>
          <w:lang w:val="en"/>
        </w:rPr>
        <w:t>）负面清单</w:t>
      </w:r>
    </w:p>
    <w:p w14:paraId="7598A339">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物业管理负面清单本着物业管理与服务有过失的原则执行，</w:t>
      </w:r>
      <w:r>
        <w:rPr>
          <w:rFonts w:hint="eastAsia" w:ascii="宋体" w:hAnsi="宋体" w:eastAsia="宋体" w:cs="宋体"/>
          <w:color w:val="000000"/>
          <w:szCs w:val="21"/>
        </w:rPr>
        <w:t>中标</w:t>
      </w:r>
      <w:r>
        <w:rPr>
          <w:rFonts w:hint="eastAsia" w:ascii="宋体" w:hAnsi="宋体" w:eastAsia="宋体" w:cs="宋体"/>
          <w:color w:val="000000"/>
          <w:szCs w:val="21"/>
          <w:lang w:val="en"/>
        </w:rPr>
        <w:t>人在管理过程中如发生以下负面事项，采购人将执行相应</w:t>
      </w:r>
      <w:r>
        <w:rPr>
          <w:rFonts w:hint="eastAsia" w:ascii="宋体" w:hAnsi="宋体" w:eastAsia="宋体" w:cs="宋体"/>
          <w:color w:val="000000"/>
          <w:szCs w:val="21"/>
        </w:rPr>
        <w:t>违约</w:t>
      </w:r>
      <w:r>
        <w:rPr>
          <w:rFonts w:hint="eastAsia" w:ascii="宋体" w:hAnsi="宋体" w:eastAsia="宋体" w:cs="宋体"/>
          <w:color w:val="000000"/>
          <w:szCs w:val="21"/>
          <w:lang w:val="en"/>
        </w:rPr>
        <w:t>条款，</w:t>
      </w:r>
      <w:r>
        <w:rPr>
          <w:rFonts w:hint="eastAsia" w:ascii="宋体" w:hAnsi="宋体" w:eastAsia="宋体" w:cs="宋体"/>
          <w:color w:val="000000"/>
          <w:szCs w:val="21"/>
        </w:rPr>
        <w:t>违约金</w:t>
      </w:r>
      <w:r>
        <w:rPr>
          <w:rFonts w:hint="eastAsia" w:ascii="宋体" w:hAnsi="宋体" w:eastAsia="宋体" w:cs="宋体"/>
          <w:color w:val="000000"/>
          <w:szCs w:val="21"/>
          <w:lang w:val="en"/>
        </w:rPr>
        <w:t>直接从当月的物业服务费中扣除，负面事项同时记入当月考核。出现负面事项后投标人应立即整改，同一问题多次出现，</w:t>
      </w:r>
      <w:r>
        <w:rPr>
          <w:rFonts w:hint="eastAsia" w:ascii="宋体" w:hAnsi="宋体" w:eastAsia="宋体" w:cs="宋体"/>
          <w:color w:val="000000"/>
          <w:szCs w:val="21"/>
        </w:rPr>
        <w:t>需重复支付违约金</w:t>
      </w:r>
      <w:r>
        <w:rPr>
          <w:rFonts w:hint="eastAsia" w:ascii="宋体" w:hAnsi="宋体" w:eastAsia="宋体" w:cs="宋体"/>
          <w:color w:val="000000"/>
          <w:szCs w:val="21"/>
          <w:lang w:val="en"/>
        </w:rPr>
        <w:t>。</w:t>
      </w:r>
    </w:p>
    <w:p w14:paraId="2296DAFB">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1）未按计划执行消防设施安全巡查，</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25</w:t>
      </w:r>
      <w:r>
        <w:rPr>
          <w:rFonts w:hint="eastAsia" w:ascii="宋体" w:hAnsi="宋体" w:eastAsia="宋体" w:cs="宋体"/>
          <w:color w:val="000000"/>
          <w:szCs w:val="21"/>
          <w:lang w:val="en"/>
        </w:rPr>
        <w:t>00元</w:t>
      </w:r>
      <w:r>
        <w:rPr>
          <w:rFonts w:hint="eastAsia" w:ascii="宋体" w:hAnsi="宋体" w:eastAsia="宋体" w:cs="宋体"/>
          <w:color w:val="000000"/>
          <w:szCs w:val="21"/>
        </w:rPr>
        <w:t>/</w:t>
      </w:r>
      <w:r>
        <w:rPr>
          <w:rFonts w:hint="eastAsia" w:ascii="宋体" w:hAnsi="宋体" w:eastAsia="宋体" w:cs="宋体"/>
          <w:color w:val="000000"/>
          <w:szCs w:val="21"/>
          <w:lang w:val="en"/>
        </w:rPr>
        <w:t>每例；未及时报告处理消防设施设备丢失、损坏、过期问题，每例扣减服务费</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25</w:t>
      </w:r>
      <w:r>
        <w:rPr>
          <w:rFonts w:hint="eastAsia" w:ascii="宋体" w:hAnsi="宋体" w:eastAsia="宋体" w:cs="宋体"/>
          <w:color w:val="000000"/>
          <w:szCs w:val="21"/>
          <w:lang w:val="en"/>
        </w:rPr>
        <w:t>00元</w:t>
      </w:r>
      <w:r>
        <w:rPr>
          <w:rFonts w:hint="eastAsia" w:ascii="宋体" w:hAnsi="宋体" w:eastAsia="宋体" w:cs="宋体"/>
          <w:color w:val="000000"/>
          <w:szCs w:val="21"/>
        </w:rPr>
        <w:t>/</w:t>
      </w:r>
      <w:r>
        <w:rPr>
          <w:rFonts w:hint="eastAsia" w:ascii="宋体" w:hAnsi="宋体" w:eastAsia="宋体" w:cs="宋体"/>
          <w:color w:val="000000"/>
          <w:szCs w:val="21"/>
          <w:lang w:val="en"/>
        </w:rPr>
        <w:t>每例。因此造成事故损失的，通过协商或根据第三方机构认定损失金额按责任比例赔偿，并负相应责任。</w:t>
      </w:r>
    </w:p>
    <w:p w14:paraId="0FC2FC60">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2）未按计划执行水电房安全巡查，</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25</w:t>
      </w:r>
      <w:r>
        <w:rPr>
          <w:rFonts w:hint="eastAsia" w:ascii="宋体" w:hAnsi="宋体" w:eastAsia="宋体" w:cs="宋体"/>
          <w:color w:val="000000"/>
          <w:szCs w:val="21"/>
          <w:lang w:val="en"/>
        </w:rPr>
        <w:t>00元</w:t>
      </w:r>
      <w:r>
        <w:rPr>
          <w:rFonts w:hint="eastAsia" w:ascii="宋体" w:hAnsi="宋体" w:eastAsia="宋体" w:cs="宋体"/>
          <w:color w:val="000000"/>
          <w:szCs w:val="21"/>
        </w:rPr>
        <w:t>/</w:t>
      </w:r>
      <w:r>
        <w:rPr>
          <w:rFonts w:hint="eastAsia" w:ascii="宋体" w:hAnsi="宋体" w:eastAsia="宋体" w:cs="宋体"/>
          <w:color w:val="000000"/>
          <w:szCs w:val="21"/>
          <w:lang w:val="en"/>
        </w:rPr>
        <w:t>每例；未按计划对二次供水蓄水池设施设备进行清洁消毒和水样送检，</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szCs w:val="21"/>
          <w:lang w:val="en"/>
        </w:rPr>
        <w:t>000元</w:t>
      </w:r>
      <w:r>
        <w:rPr>
          <w:rFonts w:hint="eastAsia" w:ascii="宋体" w:hAnsi="宋体" w:eastAsia="宋体" w:cs="宋体"/>
          <w:color w:val="000000"/>
          <w:szCs w:val="21"/>
        </w:rPr>
        <w:t>/</w:t>
      </w:r>
      <w:r>
        <w:rPr>
          <w:rFonts w:hint="eastAsia" w:ascii="宋体" w:hAnsi="宋体" w:eastAsia="宋体" w:cs="宋体"/>
          <w:color w:val="000000"/>
          <w:szCs w:val="21"/>
          <w:lang w:val="en"/>
        </w:rPr>
        <w:t>每例；未按计划执行电梯安全巡查，</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25</w:t>
      </w:r>
      <w:r>
        <w:rPr>
          <w:rFonts w:hint="eastAsia" w:ascii="宋体" w:hAnsi="宋体" w:eastAsia="宋体" w:cs="宋体"/>
          <w:color w:val="000000"/>
          <w:szCs w:val="21"/>
          <w:lang w:val="en"/>
        </w:rPr>
        <w:t>00元</w:t>
      </w:r>
      <w:r>
        <w:rPr>
          <w:rFonts w:hint="eastAsia" w:ascii="宋体" w:hAnsi="宋体" w:eastAsia="宋体" w:cs="宋体"/>
          <w:color w:val="000000"/>
          <w:szCs w:val="21"/>
        </w:rPr>
        <w:t>/</w:t>
      </w:r>
      <w:r>
        <w:rPr>
          <w:rFonts w:hint="eastAsia" w:ascii="宋体" w:hAnsi="宋体" w:eastAsia="宋体" w:cs="宋体"/>
          <w:color w:val="000000"/>
          <w:szCs w:val="21"/>
          <w:lang w:val="en"/>
        </w:rPr>
        <w:t>每例。因此造成事故损失的，通过协商或根据第三方机构认定损失金额按责任比例赔偿，并负相应责任。</w:t>
      </w:r>
    </w:p>
    <w:p w14:paraId="1142853F">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3）未按投标文件承诺配足水电运行、电梯运行等专业人员或人员不具备专业资质，</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每例。因此造成事故损失的，通过协商或根据第三方机构认定损失金额按责任比例赔偿，并负相应责任。</w:t>
      </w:r>
    </w:p>
    <w:p w14:paraId="1E555D54">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4）未严格管理出现电动车辆进楼内充电，</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2000元</w:t>
      </w:r>
      <w:r>
        <w:rPr>
          <w:rFonts w:hint="eastAsia" w:ascii="宋体" w:hAnsi="宋体" w:eastAsia="宋体" w:cs="宋体"/>
          <w:color w:val="000000"/>
          <w:szCs w:val="21"/>
        </w:rPr>
        <w:t>/</w:t>
      </w:r>
      <w:r>
        <w:rPr>
          <w:rFonts w:hint="eastAsia" w:ascii="宋体" w:hAnsi="宋体" w:eastAsia="宋体" w:cs="宋体"/>
          <w:color w:val="000000"/>
          <w:szCs w:val="21"/>
          <w:lang w:val="en"/>
        </w:rPr>
        <w:t>每例。因此造成事故损失的，通过协商或根据第三方机构认定损失金额按责任比例赔偿，并负相应责任。</w:t>
      </w:r>
    </w:p>
    <w:p w14:paraId="426E7ACD">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5）采购人检查发现消防安全通道、电控房、配电房、水泵房等堆放杂物的，</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1000元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55E5A26A">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6）因拖欠工资、管理不善等原因引起员工群体性事件或影响采购人工作正常运转的，</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szCs w:val="21"/>
          <w:lang w:val="en"/>
        </w:rPr>
        <w:t>万元</w:t>
      </w:r>
      <w:r>
        <w:rPr>
          <w:rFonts w:hint="eastAsia" w:ascii="宋体" w:hAnsi="宋体" w:eastAsia="宋体" w:cs="宋体"/>
          <w:color w:val="000000"/>
          <w:szCs w:val="21"/>
        </w:rPr>
        <w:t>/</w:t>
      </w:r>
      <w:r>
        <w:rPr>
          <w:rFonts w:hint="eastAsia" w:ascii="宋体" w:hAnsi="宋体" w:eastAsia="宋体" w:cs="宋体"/>
          <w:color w:val="000000"/>
          <w:szCs w:val="21"/>
          <w:lang w:val="en"/>
        </w:rPr>
        <w:t>每例，对采购人造成损失的还需另行承担赔偿责任；造成严重后果和恶劣影响的，采购人有权提前终止合同。</w:t>
      </w:r>
    </w:p>
    <w:p w14:paraId="2041527D">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7）经查证属实且属于投标人管理责任的各类投诉，视情节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1000-</w:t>
      </w:r>
      <w:r>
        <w:rPr>
          <w:rFonts w:hint="eastAsia" w:ascii="宋体" w:hAnsi="宋体" w:eastAsia="宋体" w:cs="宋体"/>
          <w:color w:val="000000" w:themeColor="text1"/>
          <w:szCs w:val="21"/>
          <w14:textFill>
            <w14:solidFill>
              <w14:schemeClr w14:val="tx1"/>
            </w14:solidFill>
          </w14:textFill>
        </w:rPr>
        <w:t>2500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528E593C">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8）物业服务人员当班期间未按要求统一着装或佩戴标识，每例扣减服务费2000元；辱骂服务对象或与服务对象吵架斗殴，</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3000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6246248B">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9）物业服务人员在巡查、保洁、维修过程中盗窃他人物品，</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每例，造成损失的照价赔偿，涉事员工立即开除。</w:t>
      </w:r>
    </w:p>
    <w:p w14:paraId="143242AD">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10）物业管理范围内出现内容违反意识形态要求的条幅或海报张贴物未及时报告并清理，</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2000元</w:t>
      </w:r>
      <w:r>
        <w:rPr>
          <w:rFonts w:hint="eastAsia" w:ascii="宋体" w:hAnsi="宋体" w:eastAsia="宋体" w:cs="宋体"/>
          <w:color w:val="000000"/>
          <w:szCs w:val="21"/>
        </w:rPr>
        <w:t>/</w:t>
      </w:r>
      <w:r>
        <w:rPr>
          <w:rFonts w:hint="eastAsia" w:ascii="宋体" w:hAnsi="宋体" w:eastAsia="宋体" w:cs="宋体"/>
          <w:color w:val="000000"/>
          <w:szCs w:val="21"/>
          <w:lang w:val="en"/>
        </w:rPr>
        <w:t>每例。物业服务人员张贴的，</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3000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每例，涉事员工立即开除。</w:t>
      </w:r>
    </w:p>
    <w:p w14:paraId="4FF69F90">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11）投标人拒绝采购人提出的整改要求或屡次整改不到位的，采购人管理部门有权直接委托其他公司开展相关工作，具体费用由投标人负责，并视情节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2000-</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4F0DC63D">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12）未按规定建立物业管理服务工作相关的档案、台账，或档案、台账记录不实、不规范、保存不善、丢失，视情节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1000-</w:t>
      </w:r>
      <w:r>
        <w:rPr>
          <w:rFonts w:hint="eastAsia" w:ascii="宋体" w:hAnsi="宋体" w:eastAsia="宋体" w:cs="宋体"/>
          <w:color w:val="000000" w:themeColor="text1"/>
          <w:szCs w:val="21"/>
          <w14:textFill>
            <w14:solidFill>
              <w14:schemeClr w14:val="tx1"/>
            </w14:solidFill>
          </w14:textFill>
        </w:rPr>
        <w:t>2500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7625FFD7">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13）未按采购人规定时间上报所需的统计数据、文字材料等，或数据、材料内容与事实不符，弄虚作假，视情节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2000-</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33F98C26">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14）发生突发事件，未按应急预案处理、报告，或是处置不当，给采购人造成负面影响，视情节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2000-</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48AFAF72">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15）在物业服务合同终止时，投标人应当按合同规定向采购人管理部门移交原委托管理的全部物业及其各类管理档案等资料；采购人如选聘了新的物业服务企业，物业服务企业之间应做好相关交接工作；若投标人未按约定完成移交事宜，</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1EBD081F">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16）项目经理在项目合同开始履行前必须到位，且一年内不能更换。未经采购人允许，每提前一天更换，</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2500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5B082BFC">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17）楼宇门厅、走廊、架空层、公共卫生间等部位公共照明未及时关闭，</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1000元</w:t>
      </w:r>
      <w:r>
        <w:rPr>
          <w:rFonts w:hint="eastAsia" w:ascii="宋体" w:hAnsi="宋体" w:eastAsia="宋体" w:cs="宋体"/>
          <w:color w:val="000000"/>
          <w:szCs w:val="21"/>
        </w:rPr>
        <w:t>/</w:t>
      </w:r>
      <w:r>
        <w:rPr>
          <w:rFonts w:hint="eastAsia" w:ascii="宋体" w:hAnsi="宋体" w:eastAsia="宋体" w:cs="宋体"/>
          <w:color w:val="000000"/>
          <w:szCs w:val="21"/>
          <w:lang w:val="en"/>
        </w:rPr>
        <w:t>每例；客观原因需要打开或自动控制系统故障的除外。</w:t>
      </w:r>
    </w:p>
    <w:p w14:paraId="334BAF05">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18）未按采购人规定的时间节点、卫生保洁服务标准做到卫生保洁效果的，包括清洁责任范围、清洁责任签到、清洁用水用电、清洁工具存放、现场清洁效果等，视情节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1000-3000元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5E69A4E2">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19）因无人清理导致楼宇屋顶排水口和楼周排水沟堵塞，</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2500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2EE35869">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20）长期死角垃圾不处理</w:t>
      </w:r>
      <w:r>
        <w:rPr>
          <w:rFonts w:hint="eastAsia" w:ascii="宋体" w:hAnsi="宋体" w:eastAsia="宋体" w:cs="宋体"/>
          <w:color w:val="000000"/>
          <w:szCs w:val="21"/>
        </w:rPr>
        <w:t>中标人应支付违约金</w:t>
      </w:r>
      <w:r>
        <w:rPr>
          <w:rFonts w:hint="eastAsia" w:ascii="宋体" w:hAnsi="宋体" w:eastAsia="宋体" w:cs="宋体"/>
          <w:color w:val="000000" w:themeColor="text1"/>
          <w:szCs w:val="21"/>
          <w14:textFill>
            <w14:solidFill>
              <w14:schemeClr w14:val="tx1"/>
            </w14:solidFill>
          </w14:textFill>
        </w:rPr>
        <w:t>2000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4C7CAAC8">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21）应急保洁，如重大活动、重要检查等，保洁效果应达到采购人提出的有关标准及要求，若未达要求，采购人有权直接委托其他公司开展相关工作，具体费用由投标人承担，并视情节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2000-</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46B3C2C2">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22）维修过程因偷工减料、操作不当而带来更大问题的，由投标人负责，因此造成事故损失的，通过协商或根据第三方机构认定损失金额按责任比例赔偿，投标人负相应责任，并视情节</w:t>
      </w:r>
      <w:r>
        <w:rPr>
          <w:rFonts w:hint="eastAsia" w:ascii="宋体" w:hAnsi="宋体" w:eastAsia="宋体" w:cs="宋体"/>
          <w:color w:val="000000"/>
          <w:szCs w:val="21"/>
        </w:rPr>
        <w:t>要求中标人支付违约金</w:t>
      </w:r>
      <w:r>
        <w:rPr>
          <w:rFonts w:hint="eastAsia" w:ascii="宋体" w:hAnsi="宋体" w:eastAsia="宋体" w:cs="宋体"/>
          <w:color w:val="000000"/>
          <w:szCs w:val="21"/>
          <w:lang w:val="en"/>
        </w:rPr>
        <w:t>2000-</w:t>
      </w:r>
      <w:r>
        <w:rPr>
          <w:rFonts w:hint="eastAsia" w:ascii="宋体" w:hAnsi="宋体" w:eastAsia="宋体" w:cs="宋体"/>
          <w:color w:val="000000" w:themeColor="text1"/>
          <w:szCs w:val="21"/>
          <w14:textFill>
            <w14:solidFill>
              <w14:schemeClr w14:val="tx1"/>
            </w14:solidFill>
          </w14:textFill>
        </w:rPr>
        <w:t>5000</w:t>
      </w:r>
      <w:r>
        <w:rPr>
          <w:rFonts w:hint="eastAsia" w:ascii="宋体" w:hAnsi="宋体" w:eastAsia="宋体" w:cs="宋体"/>
          <w:color w:val="000000"/>
          <w:szCs w:val="21"/>
          <w:lang w:val="en"/>
        </w:rPr>
        <w:t>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052926AA">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23）楼内外公共基础设施损坏未及时发现并维修，</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3000元</w:t>
      </w:r>
      <w:r>
        <w:rPr>
          <w:rFonts w:hint="eastAsia" w:ascii="宋体" w:hAnsi="宋体" w:eastAsia="宋体" w:cs="宋体"/>
          <w:color w:val="000000"/>
          <w:szCs w:val="21"/>
        </w:rPr>
        <w:t>/</w:t>
      </w:r>
      <w:r>
        <w:rPr>
          <w:rFonts w:hint="eastAsia" w:ascii="宋体" w:hAnsi="宋体" w:eastAsia="宋体" w:cs="宋体"/>
          <w:color w:val="000000"/>
          <w:szCs w:val="21"/>
          <w:lang w:val="en"/>
        </w:rPr>
        <w:t>每例，属第三方维保单位维修的公共设施设备损坏未及时报修，</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2000元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4C291C2A">
      <w:pPr>
        <w:pageBreakBefore w:val="0"/>
        <w:widowControl/>
        <w:shd w:val="clear"/>
        <w:kinsoku/>
        <w:topLinePunct w:val="0"/>
        <w:bidi w:val="0"/>
        <w:snapToGrid w:val="0"/>
        <w:spacing w:line="560" w:lineRule="exact"/>
        <w:ind w:firstLine="420" w:firstLineChars="200"/>
        <w:jc w:val="left"/>
        <w:outlineLvl w:val="9"/>
        <w:rPr>
          <w:rFonts w:ascii="仿宋_GB2312" w:hAnsi="Times New Roman" w:eastAsia="仿宋_GB2312" w:cs="Times New Roman"/>
          <w:color w:val="000000"/>
          <w:sz w:val="28"/>
          <w:szCs w:val="28"/>
          <w:lang w:val="en"/>
        </w:rPr>
      </w:pPr>
      <w:r>
        <w:rPr>
          <w:rFonts w:hint="eastAsia" w:ascii="宋体" w:hAnsi="宋体" w:eastAsia="宋体" w:cs="宋体"/>
          <w:color w:val="000000"/>
          <w:szCs w:val="21"/>
          <w:lang w:val="en"/>
        </w:rPr>
        <w:t>24）维修垃圾未及时清理，</w:t>
      </w:r>
      <w:r>
        <w:rPr>
          <w:rFonts w:hint="eastAsia" w:ascii="宋体" w:hAnsi="宋体" w:eastAsia="宋体" w:cs="宋体"/>
          <w:color w:val="000000"/>
          <w:szCs w:val="21"/>
        </w:rPr>
        <w:t>中标人应支付违约金</w:t>
      </w:r>
      <w:r>
        <w:rPr>
          <w:rFonts w:hint="eastAsia" w:ascii="宋体" w:hAnsi="宋体" w:eastAsia="宋体" w:cs="宋体"/>
          <w:color w:val="000000"/>
          <w:szCs w:val="21"/>
          <w:lang w:val="en"/>
        </w:rPr>
        <w:t>1000元</w:t>
      </w:r>
      <w:r>
        <w:rPr>
          <w:rFonts w:hint="eastAsia" w:ascii="宋体" w:hAnsi="宋体" w:eastAsia="宋体" w:cs="宋体"/>
          <w:color w:val="000000"/>
          <w:szCs w:val="21"/>
        </w:rPr>
        <w:t>/</w:t>
      </w:r>
      <w:r>
        <w:rPr>
          <w:rFonts w:hint="eastAsia" w:ascii="宋体" w:hAnsi="宋体" w:eastAsia="宋体" w:cs="宋体"/>
          <w:color w:val="000000"/>
          <w:szCs w:val="21"/>
          <w:lang w:val="en"/>
        </w:rPr>
        <w:t>每例。</w:t>
      </w:r>
    </w:p>
    <w:p w14:paraId="0FFBD0F7">
      <w:pPr>
        <w:pageBreakBefore w:val="0"/>
        <w:numPr>
          <w:ilvl w:val="255"/>
          <w:numId w:val="0"/>
        </w:numPr>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rPr>
      </w:pPr>
      <w:bookmarkStart w:id="59" w:name="_Toc94028320"/>
      <w:bookmarkStart w:id="60" w:name="_Toc536724902"/>
      <w:r>
        <w:rPr>
          <w:rFonts w:hint="eastAsia" w:ascii="宋体" w:hAnsi="宋体" w:eastAsia="宋体" w:cs="宋体"/>
          <w:color w:val="000000" w:themeColor="text1"/>
          <w:szCs w:val="21"/>
          <w14:textFill>
            <w14:solidFill>
              <w14:schemeClr w14:val="tx1"/>
            </w14:solidFill>
          </w14:textFill>
        </w:rPr>
        <w:t>5.服务考核方法及违约</w:t>
      </w:r>
      <w:bookmarkEnd w:id="59"/>
      <w:bookmarkEnd w:id="60"/>
    </w:p>
    <w:p w14:paraId="1F56C9A3">
      <w:pPr>
        <w:pStyle w:val="21"/>
        <w:pageBreakBefore w:val="0"/>
        <w:shd w:val="clear"/>
        <w:kinsoku/>
        <w:topLinePunct w:val="0"/>
        <w:bidi w:val="0"/>
        <w:snapToGrid w:val="0"/>
        <w:spacing w:line="560" w:lineRule="exact"/>
        <w:ind w:firstLine="315" w:firstLineChars="150"/>
        <w:outlineLvl w:val="9"/>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（1）服务考核方法</w:t>
      </w:r>
    </w:p>
    <w:p w14:paraId="6F1FA3ED">
      <w:pPr>
        <w:pStyle w:val="21"/>
        <w:pageBreakBefore w:val="0"/>
        <w:shd w:val="clear"/>
        <w:kinsoku/>
        <w:topLinePunct w:val="0"/>
        <w:bidi w:val="0"/>
        <w:snapToGrid w:val="0"/>
        <w:spacing w:line="560" w:lineRule="exact"/>
        <w:ind w:firstLine="315" w:firstLineChars="15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在合同执行期间，采购人将会同有关部门，按月对</w:t>
      </w:r>
      <w:r>
        <w:rPr>
          <w:rFonts w:hint="eastAsia" w:hAnsi="宋体" w:cs="宋体"/>
          <w:color w:val="000000" w:themeColor="text1"/>
          <w14:textFill>
            <w14:solidFill>
              <w14:schemeClr w14:val="tx1"/>
            </w14:solidFill>
          </w14:textFill>
        </w:rPr>
        <w:t>中标</w:t>
      </w:r>
      <w:r>
        <w:rPr>
          <w:rFonts w:hint="eastAsia" w:hAnsi="宋体" w:cs="宋体"/>
          <w:color w:val="000000" w:themeColor="text1"/>
          <w:lang w:val="en"/>
          <w14:textFill>
            <w14:solidFill>
              <w14:schemeClr w14:val="tx1"/>
            </w14:solidFill>
          </w14:textFill>
        </w:rPr>
        <w:t>人的履约情况进行检查考评。《考核评分细则》如下：</w:t>
      </w:r>
    </w:p>
    <w:tbl>
      <w:tblPr>
        <w:tblStyle w:val="32"/>
        <w:tblW w:w="9108" w:type="dxa"/>
        <w:tblInd w:w="0" w:type="dxa"/>
        <w:tblLayout w:type="fixed"/>
        <w:tblCellMar>
          <w:top w:w="0" w:type="dxa"/>
          <w:left w:w="0" w:type="dxa"/>
          <w:bottom w:w="0" w:type="dxa"/>
          <w:right w:w="0" w:type="dxa"/>
        </w:tblCellMar>
      </w:tblPr>
      <w:tblGrid>
        <w:gridCol w:w="693"/>
        <w:gridCol w:w="600"/>
        <w:gridCol w:w="6600"/>
        <w:gridCol w:w="615"/>
        <w:gridCol w:w="600"/>
      </w:tblGrid>
      <w:tr w14:paraId="48DCF691">
        <w:tblPrEx>
          <w:tblCellMar>
            <w:top w:w="0" w:type="dxa"/>
            <w:left w:w="0" w:type="dxa"/>
            <w:bottom w:w="0" w:type="dxa"/>
            <w:right w:w="0" w:type="dxa"/>
          </w:tblCellMar>
        </w:tblPrEx>
        <w:trPr>
          <w:trHeight w:val="624" w:hRule="atLeast"/>
        </w:trPr>
        <w:tc>
          <w:tcPr>
            <w:tcW w:w="69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A3F8194">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考核项目</w:t>
            </w:r>
          </w:p>
        </w:tc>
        <w:tc>
          <w:tcPr>
            <w:tcW w:w="600" w:type="dxa"/>
            <w:tcBorders>
              <w:top w:val="single" w:color="auto" w:sz="4" w:space="0"/>
              <w:left w:val="nil"/>
              <w:bottom w:val="single" w:color="auto" w:sz="4" w:space="0"/>
              <w:right w:val="single" w:color="auto" w:sz="4" w:space="0"/>
            </w:tcBorders>
            <w:noWrap/>
            <w:tcMar>
              <w:top w:w="12" w:type="dxa"/>
              <w:left w:w="12" w:type="dxa"/>
              <w:right w:w="12" w:type="dxa"/>
            </w:tcMar>
            <w:vAlign w:val="center"/>
          </w:tcPr>
          <w:p w14:paraId="1A301982">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考核权重</w:t>
            </w:r>
          </w:p>
        </w:tc>
        <w:tc>
          <w:tcPr>
            <w:tcW w:w="6600" w:type="dxa"/>
            <w:tcBorders>
              <w:top w:val="single" w:color="auto" w:sz="4" w:space="0"/>
              <w:left w:val="nil"/>
              <w:bottom w:val="single" w:color="auto" w:sz="4" w:space="0"/>
              <w:right w:val="single" w:color="auto" w:sz="4" w:space="0"/>
            </w:tcBorders>
            <w:noWrap/>
            <w:tcMar>
              <w:top w:w="12" w:type="dxa"/>
              <w:left w:w="12" w:type="dxa"/>
              <w:right w:w="12" w:type="dxa"/>
            </w:tcMar>
            <w:vAlign w:val="center"/>
          </w:tcPr>
          <w:p w14:paraId="1FD431C0">
            <w:pPr>
              <w:pStyle w:val="21"/>
              <w:pageBreakBefore w:val="0"/>
              <w:shd w:val="clear"/>
              <w:kinsoku/>
              <w:topLinePunct w:val="0"/>
              <w:bidi w:val="0"/>
              <w:snapToGrid w:val="0"/>
              <w:spacing w:line="560" w:lineRule="exact"/>
              <w:ind w:firstLine="420" w:firstLineChars="200"/>
              <w:jc w:val="center"/>
              <w:outlineLvl w:val="9"/>
              <w:rPr>
                <w:rFonts w:hint="eastAsia" w:hAnsi="宋体" w:cs="宋体"/>
              </w:rPr>
            </w:pPr>
            <w:r>
              <w:rPr>
                <w:rFonts w:hint="eastAsia" w:hAnsi="宋体" w:cs="宋体"/>
              </w:rPr>
              <w:t>考核标准</w:t>
            </w:r>
          </w:p>
        </w:tc>
        <w:tc>
          <w:tcPr>
            <w:tcW w:w="615" w:type="dxa"/>
            <w:tcBorders>
              <w:top w:val="single" w:color="auto" w:sz="4" w:space="0"/>
              <w:left w:val="nil"/>
              <w:bottom w:val="single" w:color="auto" w:sz="4" w:space="0"/>
              <w:right w:val="single" w:color="auto" w:sz="4" w:space="0"/>
            </w:tcBorders>
            <w:noWrap/>
            <w:tcMar>
              <w:top w:w="12" w:type="dxa"/>
              <w:left w:w="12" w:type="dxa"/>
              <w:right w:w="12" w:type="dxa"/>
            </w:tcMar>
            <w:vAlign w:val="center"/>
          </w:tcPr>
          <w:p w14:paraId="25CE2E4F">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得分</w:t>
            </w:r>
          </w:p>
        </w:tc>
        <w:tc>
          <w:tcPr>
            <w:tcW w:w="600" w:type="dxa"/>
            <w:tcBorders>
              <w:top w:val="single" w:color="auto" w:sz="4" w:space="0"/>
              <w:left w:val="nil"/>
              <w:bottom w:val="single" w:color="auto" w:sz="4" w:space="0"/>
              <w:right w:val="single" w:color="auto" w:sz="4" w:space="0"/>
            </w:tcBorders>
            <w:noWrap/>
            <w:tcMar>
              <w:top w:w="12" w:type="dxa"/>
              <w:left w:w="12" w:type="dxa"/>
              <w:right w:w="12" w:type="dxa"/>
            </w:tcMar>
            <w:vAlign w:val="center"/>
          </w:tcPr>
          <w:p w14:paraId="76B6DAB9">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备注</w:t>
            </w:r>
          </w:p>
        </w:tc>
      </w:tr>
      <w:tr w14:paraId="0844E691">
        <w:tblPrEx>
          <w:tblCellMar>
            <w:top w:w="0" w:type="dxa"/>
            <w:left w:w="0" w:type="dxa"/>
            <w:bottom w:w="0" w:type="dxa"/>
            <w:right w:w="0" w:type="dxa"/>
          </w:tblCellMar>
        </w:tblPrEx>
        <w:trPr>
          <w:trHeight w:val="302"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6E43DF0C">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人员考核</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5B70AFCA">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15</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535C09D6">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1.每缺编1人扣3分。</w:t>
            </w:r>
          </w:p>
          <w:p w14:paraId="5A6296E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2.人员年龄不符合要求的，每人扣2分。</w:t>
            </w:r>
          </w:p>
          <w:p w14:paraId="00AF1F7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3.人员未持有相关证书上岗的，每项扣2分。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69024524">
            <w:pPr>
              <w:pStyle w:val="21"/>
              <w:pageBreakBefore w:val="0"/>
              <w:shd w:val="clear"/>
              <w:kinsoku/>
              <w:topLinePunct w:val="0"/>
              <w:bidi w:val="0"/>
              <w:snapToGrid w:val="0"/>
              <w:spacing w:line="560" w:lineRule="exac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1B03D326">
            <w:pPr>
              <w:pStyle w:val="21"/>
              <w:pageBreakBefore w:val="0"/>
              <w:shd w:val="clear"/>
              <w:kinsoku/>
              <w:topLinePunct w:val="0"/>
              <w:bidi w:val="0"/>
              <w:snapToGrid w:val="0"/>
              <w:spacing w:line="560" w:lineRule="exact"/>
              <w:outlineLvl w:val="9"/>
              <w:rPr>
                <w:rFonts w:hint="eastAsia" w:hAnsi="宋体" w:cs="宋体"/>
              </w:rPr>
            </w:pPr>
          </w:p>
        </w:tc>
      </w:tr>
      <w:tr w14:paraId="7CF6F3A7">
        <w:tblPrEx>
          <w:tblCellMar>
            <w:top w:w="0" w:type="dxa"/>
            <w:left w:w="0" w:type="dxa"/>
            <w:bottom w:w="0" w:type="dxa"/>
            <w:right w:w="0" w:type="dxa"/>
          </w:tblCellMar>
        </w:tblPrEx>
        <w:trPr>
          <w:trHeight w:val="338"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0133BAA4">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基础管理</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66D41D94">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20</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52215F96">
            <w:pPr>
              <w:pStyle w:val="21"/>
              <w:pageBreakBefore w:val="0"/>
              <w:numPr>
                <w:ilvl w:val="0"/>
                <w:numId w:val="3"/>
              </w:numPr>
              <w:shd w:val="clear"/>
              <w:kinsoku/>
              <w:topLinePunct w:val="0"/>
              <w:bidi w:val="0"/>
              <w:snapToGrid w:val="0"/>
              <w:spacing w:line="560" w:lineRule="exact"/>
              <w:jc w:val="left"/>
              <w:outlineLvl w:val="9"/>
              <w:rPr>
                <w:rFonts w:hint="eastAsia" w:hAnsi="宋体" w:cs="宋体"/>
              </w:rPr>
            </w:pPr>
            <w:r>
              <w:rPr>
                <w:rFonts w:hint="eastAsia" w:hAnsi="宋体" w:cs="宋体"/>
              </w:rPr>
              <w:t>管理制度建立全面，未出具或抽查不符合，每一项扣0.5分。</w:t>
            </w:r>
          </w:p>
          <w:p w14:paraId="4ED8F817">
            <w:pPr>
              <w:pStyle w:val="21"/>
              <w:pageBreakBefore w:val="0"/>
              <w:numPr>
                <w:ilvl w:val="0"/>
                <w:numId w:val="3"/>
              </w:numPr>
              <w:shd w:val="clear"/>
              <w:kinsoku/>
              <w:topLinePunct w:val="0"/>
              <w:bidi w:val="0"/>
              <w:snapToGrid w:val="0"/>
              <w:spacing w:line="560" w:lineRule="exact"/>
              <w:jc w:val="left"/>
              <w:outlineLvl w:val="9"/>
              <w:rPr>
                <w:rFonts w:hint="eastAsia" w:hAnsi="宋体" w:cs="宋体"/>
              </w:rPr>
            </w:pPr>
            <w:r>
              <w:rPr>
                <w:rFonts w:hint="eastAsia" w:hAnsi="宋体" w:cs="宋体"/>
              </w:rPr>
              <w:t>服务方案、工作计划制定齐全有效，与实际情况相符。未出具或抽查不符合，每一项扣0.5分。</w:t>
            </w:r>
          </w:p>
          <w:p w14:paraId="76A40828">
            <w:pPr>
              <w:pStyle w:val="21"/>
              <w:pageBreakBefore w:val="0"/>
              <w:numPr>
                <w:ilvl w:val="0"/>
                <w:numId w:val="3"/>
              </w:numPr>
              <w:shd w:val="clear"/>
              <w:kinsoku/>
              <w:topLinePunct w:val="0"/>
              <w:bidi w:val="0"/>
              <w:snapToGrid w:val="0"/>
              <w:spacing w:line="560" w:lineRule="exact"/>
              <w:jc w:val="left"/>
              <w:outlineLvl w:val="9"/>
              <w:rPr>
                <w:rFonts w:hint="eastAsia" w:hAnsi="宋体" w:cs="宋体"/>
              </w:rPr>
            </w:pPr>
            <w:r>
              <w:rPr>
                <w:rFonts w:hint="eastAsia" w:hAnsi="宋体" w:cs="宋体"/>
              </w:rPr>
              <w:t>建有记录清单，并留存记录的样表，未出具清单，扣0.5分。</w:t>
            </w:r>
          </w:p>
          <w:p w14:paraId="57C0E74C">
            <w:pPr>
              <w:pStyle w:val="21"/>
              <w:pageBreakBefore w:val="0"/>
              <w:numPr>
                <w:ilvl w:val="0"/>
                <w:numId w:val="3"/>
              </w:numPr>
              <w:shd w:val="clear"/>
              <w:kinsoku/>
              <w:topLinePunct w:val="0"/>
              <w:bidi w:val="0"/>
              <w:snapToGrid w:val="0"/>
              <w:spacing w:line="560" w:lineRule="exact"/>
              <w:jc w:val="left"/>
              <w:outlineLvl w:val="9"/>
              <w:rPr>
                <w:rFonts w:hint="eastAsia" w:hAnsi="宋体" w:cs="宋体"/>
              </w:rPr>
            </w:pPr>
            <w:r>
              <w:rPr>
                <w:rFonts w:hint="eastAsia" w:hAnsi="宋体" w:cs="宋体"/>
              </w:rPr>
              <w:t>针对项目的危险点和重点部位，应急预案制定全面有效，符合实际情况。缺失或抽查不符合，每一项扣1分。</w:t>
            </w:r>
          </w:p>
          <w:p w14:paraId="2DDF316A">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5.未对技术、管理和各专业运行管理操作记录等资料详尽收集、及时归档、安全管理的，每一项扣1分。</w:t>
            </w:r>
          </w:p>
          <w:p w14:paraId="394F1FDA">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6. 未及时履行承诺事项的，每项/次扣2分，因未及时履行承诺事项影响采购人工作的，每项/次扣5分。</w:t>
            </w:r>
          </w:p>
          <w:p w14:paraId="74E1EA01">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 xml:space="preserve">7.对采购人提出的细化改进服务措施、合理的工作建议等未及时回应的，每项/次扣1分。 </w:t>
            </w:r>
          </w:p>
          <w:p w14:paraId="288D63E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8.采购人对中标人承诺的服务质量管理目标进行评估，评估认为未实现的，每项/次扣1分。</w:t>
            </w:r>
          </w:p>
          <w:p w14:paraId="4F831A5D">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9.在工作中出现严重违反管理制度和工作纪律，导致被上级和地方政府部门通报的、出现严重影响采购人形象的舆情事件被通报的、出现重大安全事件，造成严重后果的，采购人视造成损失的严重程度要求进行赔偿、终止合同并追究法律责任。</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751C2E30">
            <w:pPr>
              <w:pStyle w:val="21"/>
              <w:pageBreakBefore w:val="0"/>
              <w:shd w:val="clear"/>
              <w:kinsoku/>
              <w:topLinePunct w:val="0"/>
              <w:bidi w:val="0"/>
              <w:snapToGrid w:val="0"/>
              <w:spacing w:line="560" w:lineRule="exac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6F693398">
            <w:pPr>
              <w:pStyle w:val="21"/>
              <w:pageBreakBefore w:val="0"/>
              <w:shd w:val="clear"/>
              <w:kinsoku/>
              <w:topLinePunct w:val="0"/>
              <w:bidi w:val="0"/>
              <w:snapToGrid w:val="0"/>
              <w:spacing w:line="560" w:lineRule="exact"/>
              <w:outlineLvl w:val="9"/>
              <w:rPr>
                <w:rFonts w:hint="eastAsia" w:hAnsi="宋体" w:cs="宋体"/>
              </w:rPr>
            </w:pPr>
          </w:p>
        </w:tc>
      </w:tr>
      <w:tr w14:paraId="13541797">
        <w:tblPrEx>
          <w:tblCellMar>
            <w:top w:w="0" w:type="dxa"/>
            <w:left w:w="0" w:type="dxa"/>
            <w:bottom w:w="0" w:type="dxa"/>
            <w:right w:w="0" w:type="dxa"/>
          </w:tblCellMar>
        </w:tblPrEx>
        <w:trPr>
          <w:trHeight w:val="936"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2C037CEE">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房屋及其配套设施的管理和养护</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4BBD152D">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8</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35D50E89">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1.未按规定的维修时限执行的，每次扣1分。</w:t>
            </w:r>
          </w:p>
          <w:p w14:paraId="5B4FDAD0">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2.经检查房屋、设施的完好率未达到100%的，每处扣1分。</w:t>
            </w:r>
          </w:p>
          <w:p w14:paraId="0397482E">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3.未按规定定期巡查的，每项扣1分。</w:t>
            </w:r>
          </w:p>
          <w:p w14:paraId="63A870DA">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4.未按规定开放文体活动场所的，每次扣1分。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526B5A60">
            <w:pPr>
              <w:pStyle w:val="21"/>
              <w:pageBreakBefore w:val="0"/>
              <w:shd w:val="clear"/>
              <w:kinsoku/>
              <w:topLinePunct w:val="0"/>
              <w:bidi w:val="0"/>
              <w:snapToGrid w:val="0"/>
              <w:spacing w:line="560" w:lineRule="exac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604F7271">
            <w:pPr>
              <w:pStyle w:val="21"/>
              <w:pageBreakBefore w:val="0"/>
              <w:shd w:val="clear"/>
              <w:kinsoku/>
              <w:topLinePunct w:val="0"/>
              <w:bidi w:val="0"/>
              <w:snapToGrid w:val="0"/>
              <w:spacing w:line="560" w:lineRule="exact"/>
              <w:outlineLvl w:val="9"/>
              <w:rPr>
                <w:rFonts w:hint="eastAsia" w:hAnsi="宋体" w:cs="宋体"/>
              </w:rPr>
            </w:pPr>
          </w:p>
        </w:tc>
      </w:tr>
      <w:tr w14:paraId="367D089F">
        <w:tblPrEx>
          <w:tblCellMar>
            <w:top w:w="0" w:type="dxa"/>
            <w:left w:w="0" w:type="dxa"/>
            <w:bottom w:w="0" w:type="dxa"/>
            <w:right w:w="0" w:type="dxa"/>
          </w:tblCellMar>
        </w:tblPrEx>
        <w:trPr>
          <w:trHeight w:val="918"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70759EE1">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公用设施设备的维修、养护、运行与管理</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55377103">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8</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698BEC10">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1.未按规定的维修时限处理故障的，每次扣1分。</w:t>
            </w:r>
          </w:p>
          <w:p w14:paraId="0A8D413C">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2.经检查设施设备的完好率未达到100%的，每处扣1分。</w:t>
            </w:r>
          </w:p>
          <w:p w14:paraId="58653DE7">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3.未按规定定期巡查设施设备的，每项扣1分。</w:t>
            </w:r>
          </w:p>
          <w:p w14:paraId="6075CD9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4.未按规定督促维保单位做好维保工作的，每项扣1分。</w:t>
            </w:r>
          </w:p>
          <w:p w14:paraId="64E2BDE1">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5.未按空调运行管理制度执行的，每项扣1分。</w:t>
            </w:r>
          </w:p>
          <w:p w14:paraId="1DBC2FB6">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6.未按规定对空调过滤网进行清洗被发现或有效投诉的，每项扣1分。</w:t>
            </w:r>
          </w:p>
          <w:p w14:paraId="2988EEF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7.数据机房等核心部位断电超过15分钟的，每次扣2分；造成重大影响的，每次扣5分。</w:t>
            </w:r>
          </w:p>
          <w:p w14:paraId="040A5F34">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8.未按规定清洗给水设备、清掏排水设施的，每项扣1分。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0C1094A5">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364A0B4A">
            <w:pPr>
              <w:pStyle w:val="21"/>
              <w:pageBreakBefore w:val="0"/>
              <w:shd w:val="clear"/>
              <w:kinsoku/>
              <w:topLinePunct w:val="0"/>
              <w:bidi w:val="0"/>
              <w:snapToGrid w:val="0"/>
              <w:spacing w:line="560" w:lineRule="exact"/>
              <w:jc w:val="left"/>
              <w:outlineLvl w:val="9"/>
              <w:rPr>
                <w:rFonts w:hint="eastAsia" w:hAnsi="宋体" w:cs="宋体"/>
              </w:rPr>
            </w:pPr>
          </w:p>
        </w:tc>
      </w:tr>
      <w:tr w14:paraId="706830F6">
        <w:tblPrEx>
          <w:tblCellMar>
            <w:top w:w="0" w:type="dxa"/>
            <w:left w:w="0" w:type="dxa"/>
            <w:bottom w:w="0" w:type="dxa"/>
            <w:right w:w="0" w:type="dxa"/>
          </w:tblCellMar>
        </w:tblPrEx>
        <w:trPr>
          <w:trHeight w:val="414"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11A5A7D3">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公共秩序维护</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6409F8D5">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8</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56AA4559">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1.未按规定对访客进行登记的，每次扣1分；造成不良影响的，每次扣2分。</w:t>
            </w:r>
          </w:p>
          <w:p w14:paraId="2B06D82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2.值班睡岗的，每次扣1分。</w:t>
            </w:r>
          </w:p>
          <w:p w14:paraId="1C30D4C1">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3.车辆未按规定停放的，每次扣1分。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64B24383">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74821204">
            <w:pPr>
              <w:pStyle w:val="21"/>
              <w:pageBreakBefore w:val="0"/>
              <w:shd w:val="clear"/>
              <w:kinsoku/>
              <w:topLinePunct w:val="0"/>
              <w:bidi w:val="0"/>
              <w:snapToGrid w:val="0"/>
              <w:spacing w:line="560" w:lineRule="exact"/>
              <w:jc w:val="left"/>
              <w:outlineLvl w:val="9"/>
              <w:rPr>
                <w:rFonts w:hint="eastAsia" w:hAnsi="宋体" w:cs="宋体"/>
              </w:rPr>
            </w:pPr>
          </w:p>
        </w:tc>
      </w:tr>
      <w:tr w14:paraId="684D0C29">
        <w:tblPrEx>
          <w:tblCellMar>
            <w:top w:w="0" w:type="dxa"/>
            <w:left w:w="0" w:type="dxa"/>
            <w:bottom w:w="0" w:type="dxa"/>
            <w:right w:w="0" w:type="dxa"/>
          </w:tblCellMar>
        </w:tblPrEx>
        <w:trPr>
          <w:trHeight w:val="624"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0607E75E">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水电及节能管理</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43A19376">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8</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1CF2DEAA">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未按招标文件规定的标准执行的，每项扣1分。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0489B9DF">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07CC1855">
            <w:pPr>
              <w:pStyle w:val="21"/>
              <w:pageBreakBefore w:val="0"/>
              <w:shd w:val="clear"/>
              <w:kinsoku/>
              <w:topLinePunct w:val="0"/>
              <w:bidi w:val="0"/>
              <w:snapToGrid w:val="0"/>
              <w:spacing w:line="560" w:lineRule="exact"/>
              <w:jc w:val="left"/>
              <w:outlineLvl w:val="9"/>
              <w:rPr>
                <w:rFonts w:hint="eastAsia" w:hAnsi="宋体" w:cs="宋体"/>
              </w:rPr>
            </w:pPr>
          </w:p>
        </w:tc>
      </w:tr>
      <w:tr w14:paraId="2BB160CD">
        <w:tblPrEx>
          <w:tblCellMar>
            <w:top w:w="0" w:type="dxa"/>
            <w:left w:w="0" w:type="dxa"/>
            <w:bottom w:w="0" w:type="dxa"/>
            <w:right w:w="0" w:type="dxa"/>
          </w:tblCellMar>
        </w:tblPrEx>
        <w:trPr>
          <w:trHeight w:val="312"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47666347">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会务服务</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1A3CECCF">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8</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630E6152">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被有效投诉的，每次扣2分。未按规定的标准执行的，每项扣1分。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432C9AF6">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0A56C987">
            <w:pPr>
              <w:pStyle w:val="21"/>
              <w:pageBreakBefore w:val="0"/>
              <w:shd w:val="clear"/>
              <w:kinsoku/>
              <w:topLinePunct w:val="0"/>
              <w:bidi w:val="0"/>
              <w:snapToGrid w:val="0"/>
              <w:spacing w:line="560" w:lineRule="exact"/>
              <w:jc w:val="left"/>
              <w:outlineLvl w:val="9"/>
              <w:rPr>
                <w:rFonts w:hint="eastAsia" w:hAnsi="宋体" w:cs="宋体"/>
              </w:rPr>
            </w:pPr>
          </w:p>
        </w:tc>
      </w:tr>
      <w:tr w14:paraId="5B690824">
        <w:tblPrEx>
          <w:tblCellMar>
            <w:top w:w="0" w:type="dxa"/>
            <w:left w:w="0" w:type="dxa"/>
            <w:bottom w:w="0" w:type="dxa"/>
            <w:right w:w="0" w:type="dxa"/>
          </w:tblCellMar>
        </w:tblPrEx>
        <w:trPr>
          <w:trHeight w:val="312"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37CBB719">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保洁服务</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07ABB43C">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10</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1D735ED0">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被有效投诉的，每次扣2分。未按规定的标准执行的，每项扣1分。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6DAEB7BE">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631AA938">
            <w:pPr>
              <w:pStyle w:val="21"/>
              <w:pageBreakBefore w:val="0"/>
              <w:shd w:val="clear"/>
              <w:kinsoku/>
              <w:topLinePunct w:val="0"/>
              <w:bidi w:val="0"/>
              <w:snapToGrid w:val="0"/>
              <w:spacing w:line="560" w:lineRule="exact"/>
              <w:jc w:val="left"/>
              <w:outlineLvl w:val="9"/>
              <w:rPr>
                <w:rFonts w:hint="eastAsia" w:hAnsi="宋体" w:cs="宋体"/>
              </w:rPr>
            </w:pPr>
          </w:p>
        </w:tc>
      </w:tr>
      <w:tr w14:paraId="6478C6FB">
        <w:tblPrEx>
          <w:tblCellMar>
            <w:top w:w="0" w:type="dxa"/>
            <w:left w:w="0" w:type="dxa"/>
            <w:bottom w:w="0" w:type="dxa"/>
            <w:right w:w="0" w:type="dxa"/>
          </w:tblCellMar>
        </w:tblPrEx>
        <w:trPr>
          <w:trHeight w:val="312"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3BF26AEC">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绿化服务</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0E07F643">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5</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02FD89ED">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被有效投诉的，每次扣2分。未按规定的标准执行的，每项扣1分。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67B05790">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7CC157CF">
            <w:pPr>
              <w:pStyle w:val="21"/>
              <w:pageBreakBefore w:val="0"/>
              <w:shd w:val="clear"/>
              <w:kinsoku/>
              <w:topLinePunct w:val="0"/>
              <w:bidi w:val="0"/>
              <w:snapToGrid w:val="0"/>
              <w:spacing w:line="560" w:lineRule="exact"/>
              <w:jc w:val="left"/>
              <w:outlineLvl w:val="9"/>
              <w:rPr>
                <w:rFonts w:hint="eastAsia" w:hAnsi="宋体" w:cs="宋体"/>
              </w:rPr>
            </w:pPr>
          </w:p>
        </w:tc>
      </w:tr>
      <w:tr w14:paraId="2B3B7E8B">
        <w:tblPrEx>
          <w:tblCellMar>
            <w:top w:w="0" w:type="dxa"/>
            <w:left w:w="0" w:type="dxa"/>
            <w:bottom w:w="0" w:type="dxa"/>
            <w:right w:w="0" w:type="dxa"/>
          </w:tblCellMar>
        </w:tblPrEx>
        <w:trPr>
          <w:trHeight w:val="312" w:hRule="atLeast"/>
        </w:trPr>
        <w:tc>
          <w:tcPr>
            <w:tcW w:w="693" w:type="dxa"/>
            <w:tcBorders>
              <w:top w:val="nil"/>
              <w:left w:val="single" w:color="auto" w:sz="4" w:space="0"/>
              <w:bottom w:val="single" w:color="auto" w:sz="4" w:space="0"/>
              <w:right w:val="single" w:color="auto" w:sz="4" w:space="0"/>
            </w:tcBorders>
            <w:noWrap/>
            <w:tcMar>
              <w:top w:w="12" w:type="dxa"/>
              <w:left w:w="12" w:type="dxa"/>
              <w:right w:w="12" w:type="dxa"/>
            </w:tcMar>
            <w:vAlign w:val="center"/>
          </w:tcPr>
          <w:p w14:paraId="30C6C583">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其他服务</w:t>
            </w: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1EAA60CD">
            <w:pPr>
              <w:pStyle w:val="21"/>
              <w:pageBreakBefore w:val="0"/>
              <w:shd w:val="clear"/>
              <w:kinsoku/>
              <w:topLinePunct w:val="0"/>
              <w:bidi w:val="0"/>
              <w:snapToGrid w:val="0"/>
              <w:spacing w:line="560" w:lineRule="exact"/>
              <w:jc w:val="center"/>
              <w:outlineLvl w:val="9"/>
              <w:rPr>
                <w:rFonts w:hint="eastAsia" w:hAnsi="宋体" w:cs="宋体"/>
              </w:rPr>
            </w:pPr>
            <w:r>
              <w:rPr>
                <w:rFonts w:hint="eastAsia" w:hAnsi="宋体" w:cs="宋体"/>
              </w:rPr>
              <w:t>10</w:t>
            </w:r>
          </w:p>
        </w:tc>
        <w:tc>
          <w:tcPr>
            <w:tcW w:w="6600" w:type="dxa"/>
            <w:tcBorders>
              <w:top w:val="nil"/>
              <w:left w:val="nil"/>
              <w:bottom w:val="single" w:color="auto" w:sz="4" w:space="0"/>
              <w:right w:val="single" w:color="auto" w:sz="4" w:space="0"/>
            </w:tcBorders>
            <w:noWrap/>
            <w:tcMar>
              <w:top w:w="12" w:type="dxa"/>
              <w:left w:w="12" w:type="dxa"/>
              <w:right w:w="12" w:type="dxa"/>
            </w:tcMar>
            <w:vAlign w:val="center"/>
          </w:tcPr>
          <w:p w14:paraId="4206D579">
            <w:pPr>
              <w:pStyle w:val="21"/>
              <w:pageBreakBefore w:val="0"/>
              <w:shd w:val="clear"/>
              <w:kinsoku/>
              <w:topLinePunct w:val="0"/>
              <w:bidi w:val="0"/>
              <w:snapToGrid w:val="0"/>
              <w:spacing w:line="560" w:lineRule="exact"/>
              <w:jc w:val="left"/>
              <w:outlineLvl w:val="9"/>
              <w:rPr>
                <w:rFonts w:hint="eastAsia" w:hAnsi="宋体" w:cs="宋体"/>
              </w:rPr>
            </w:pPr>
            <w:r>
              <w:rPr>
                <w:rFonts w:hint="eastAsia" w:hAnsi="宋体" w:cs="宋体"/>
              </w:rPr>
              <w:t>未按约定的时间响应或到场维修，或被有效投诉的，每次扣2分。未按规定的标准执行的，每项扣1分。</w:t>
            </w:r>
          </w:p>
        </w:tc>
        <w:tc>
          <w:tcPr>
            <w:tcW w:w="615" w:type="dxa"/>
            <w:tcBorders>
              <w:top w:val="nil"/>
              <w:left w:val="nil"/>
              <w:bottom w:val="single" w:color="auto" w:sz="4" w:space="0"/>
              <w:right w:val="single" w:color="auto" w:sz="4" w:space="0"/>
            </w:tcBorders>
            <w:noWrap/>
            <w:tcMar>
              <w:top w:w="12" w:type="dxa"/>
              <w:left w:w="12" w:type="dxa"/>
              <w:right w:w="12" w:type="dxa"/>
            </w:tcMar>
            <w:vAlign w:val="center"/>
          </w:tcPr>
          <w:p w14:paraId="73FDEAD1">
            <w:pPr>
              <w:pStyle w:val="21"/>
              <w:pageBreakBefore w:val="0"/>
              <w:shd w:val="clear"/>
              <w:kinsoku/>
              <w:topLinePunct w:val="0"/>
              <w:bidi w:val="0"/>
              <w:snapToGrid w:val="0"/>
              <w:spacing w:line="560" w:lineRule="exact"/>
              <w:jc w:val="left"/>
              <w:outlineLvl w:val="9"/>
              <w:rPr>
                <w:rFonts w:hint="eastAsia" w:hAnsi="宋体" w:cs="宋体"/>
              </w:rPr>
            </w:pPr>
          </w:p>
        </w:tc>
        <w:tc>
          <w:tcPr>
            <w:tcW w:w="600" w:type="dxa"/>
            <w:tcBorders>
              <w:top w:val="nil"/>
              <w:left w:val="nil"/>
              <w:bottom w:val="single" w:color="auto" w:sz="4" w:space="0"/>
              <w:right w:val="single" w:color="auto" w:sz="4" w:space="0"/>
            </w:tcBorders>
            <w:noWrap/>
            <w:tcMar>
              <w:top w:w="12" w:type="dxa"/>
              <w:left w:w="12" w:type="dxa"/>
              <w:right w:w="12" w:type="dxa"/>
            </w:tcMar>
            <w:vAlign w:val="center"/>
          </w:tcPr>
          <w:p w14:paraId="5BE6F6D8">
            <w:pPr>
              <w:pStyle w:val="21"/>
              <w:pageBreakBefore w:val="0"/>
              <w:shd w:val="clear"/>
              <w:kinsoku/>
              <w:topLinePunct w:val="0"/>
              <w:bidi w:val="0"/>
              <w:snapToGrid w:val="0"/>
              <w:spacing w:line="560" w:lineRule="exact"/>
              <w:jc w:val="left"/>
              <w:outlineLvl w:val="9"/>
              <w:rPr>
                <w:rFonts w:hint="eastAsia" w:hAnsi="宋体" w:cs="宋体"/>
              </w:rPr>
            </w:pPr>
          </w:p>
        </w:tc>
      </w:tr>
    </w:tbl>
    <w:p w14:paraId="3BD82983">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上述考核评分细则采购人有权在实际服务过程中按本项目特点及时进行修订，采购人将按考核评分细则对</w:t>
      </w:r>
      <w:r>
        <w:rPr>
          <w:rFonts w:hint="eastAsia" w:ascii="宋体" w:hAnsi="宋体" w:eastAsia="宋体" w:cs="宋体"/>
          <w:color w:val="000000" w:themeColor="text1"/>
          <w:szCs w:val="21"/>
          <w14:textFill>
            <w14:solidFill>
              <w14:schemeClr w14:val="tx1"/>
            </w14:solidFill>
          </w14:textFill>
        </w:rPr>
        <w:t>中标</w:t>
      </w:r>
      <w:r>
        <w:rPr>
          <w:rFonts w:hint="eastAsia" w:ascii="宋体" w:hAnsi="宋体" w:eastAsia="宋体" w:cs="宋体"/>
          <w:color w:val="000000" w:themeColor="text1"/>
          <w:szCs w:val="21"/>
          <w:lang w:val="en"/>
          <w14:textFill>
            <w14:solidFill>
              <w14:schemeClr w14:val="tx1"/>
            </w14:solidFill>
          </w14:textFill>
        </w:rPr>
        <w:t>人每月进行一次考核，</w:t>
      </w:r>
      <w:r>
        <w:rPr>
          <w:rFonts w:hint="eastAsia" w:ascii="宋体" w:hAnsi="宋体" w:eastAsia="宋体" w:cs="宋体"/>
          <w:color w:val="000000" w:themeColor="text1"/>
          <w:szCs w:val="21"/>
          <w14:textFill>
            <w14:solidFill>
              <w14:schemeClr w14:val="tx1"/>
            </w14:solidFill>
          </w14:textFill>
        </w:rPr>
        <w:t>考核中的当月服务费指扣除当月负面事项具体支付违约金后的月服务费</w:t>
      </w:r>
      <w:r>
        <w:rPr>
          <w:rFonts w:hint="eastAsia" w:ascii="宋体" w:hAnsi="宋体" w:eastAsia="宋体" w:cs="宋体"/>
          <w:color w:val="000000" w:themeColor="text1"/>
          <w:szCs w:val="21"/>
          <w:lang w:val="en"/>
          <w14:textFill>
            <w14:solidFill>
              <w14:schemeClr w14:val="tx1"/>
            </w14:solidFill>
          </w14:textFill>
        </w:rPr>
        <w:t>：</w:t>
      </w:r>
    </w:p>
    <w:p w14:paraId="3735CC1F">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①当月考核分数在90分及以上的，视为良好，采购人全额支付当月服务费；</w:t>
      </w:r>
    </w:p>
    <w:p w14:paraId="1D76C0E3">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②当月考核分数在80分(含)至90分(不含)的，视为合格，采购人支付当月服务费的95%；</w:t>
      </w:r>
    </w:p>
    <w:p w14:paraId="63A565AE">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③当月考核分数在80分(不含)以下的，视为不合格，采购人支付当月服务费的90%，并下发整改通知书，限制</w:t>
      </w:r>
      <w:r>
        <w:rPr>
          <w:rFonts w:hint="eastAsia" w:ascii="宋体" w:hAnsi="宋体" w:eastAsia="宋体" w:cs="宋体"/>
          <w:color w:val="000000" w:themeColor="text1"/>
          <w:szCs w:val="21"/>
          <w14:textFill>
            <w14:solidFill>
              <w14:schemeClr w14:val="tx1"/>
            </w14:solidFill>
          </w14:textFill>
        </w:rPr>
        <w:t>中标</w:t>
      </w:r>
      <w:r>
        <w:rPr>
          <w:rFonts w:hint="eastAsia" w:ascii="宋体" w:hAnsi="宋体" w:eastAsia="宋体" w:cs="宋体"/>
          <w:color w:val="000000" w:themeColor="text1"/>
          <w:szCs w:val="21"/>
          <w:lang w:val="en"/>
          <w14:textFill>
            <w14:solidFill>
              <w14:schemeClr w14:val="tx1"/>
            </w14:solidFill>
          </w14:textFill>
        </w:rPr>
        <w:t>人在规定期限内对不符合标准的进行整改，若限期内仍未完成整改完善的，采购人有权单方解除合同，并按违约责任约定要求投标人支付违约金。</w:t>
      </w:r>
    </w:p>
    <w:p w14:paraId="36D1758E">
      <w:pPr>
        <w:pageBreakBefore w:val="0"/>
        <w:shd w:val="clear"/>
        <w:kinsoku/>
        <w:topLinePunct w:val="0"/>
        <w:bidi w:val="0"/>
        <w:snapToGrid w:val="0"/>
        <w:spacing w:line="560" w:lineRule="exact"/>
        <w:ind w:firstLine="420" w:firstLineChars="200"/>
        <w:outlineLvl w:val="9"/>
        <w:rPr>
          <w:rFonts w:ascii="仿宋_GB2312" w:hAnsi="Times New Roman" w:eastAsia="仿宋_GB2312" w:cs="Times New Roman"/>
          <w:color w:val="000000" w:themeColor="text1"/>
          <w:sz w:val="28"/>
          <w:szCs w:val="28"/>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④若单个合同年度内累计出现2次(含)以上考核分数在80分(不含)以下的，采购人有权单方解除合同，</w:t>
      </w:r>
      <w:r>
        <w:rPr>
          <w:rFonts w:hint="eastAsia" w:ascii="宋体" w:hAnsi="宋体" w:eastAsia="宋体" w:cs="宋体"/>
          <w:color w:val="000000" w:themeColor="text1"/>
          <w:szCs w:val="21"/>
          <w14:textFill>
            <w14:solidFill>
              <w14:schemeClr w14:val="tx1"/>
            </w14:solidFill>
          </w14:textFill>
        </w:rPr>
        <w:t>中标</w:t>
      </w:r>
      <w:r>
        <w:rPr>
          <w:rFonts w:hint="eastAsia" w:ascii="宋体" w:hAnsi="宋体" w:eastAsia="宋体" w:cs="宋体"/>
          <w:color w:val="000000" w:themeColor="text1"/>
          <w:szCs w:val="21"/>
          <w:lang w:val="en"/>
          <w14:textFill>
            <w14:solidFill>
              <w14:schemeClr w14:val="tx1"/>
            </w14:solidFill>
          </w14:textFill>
        </w:rPr>
        <w:t>人应无条件接受</w:t>
      </w:r>
      <w:r>
        <w:rPr>
          <w:rFonts w:hint="eastAsia" w:ascii="宋体" w:hAnsi="宋体" w:eastAsia="宋体" w:cs="宋体"/>
          <w:color w:val="000000"/>
          <w:szCs w:val="21"/>
          <w:lang w:val="en"/>
        </w:rPr>
        <w:t>，</w:t>
      </w:r>
      <w:r>
        <w:rPr>
          <w:rFonts w:hint="eastAsia" w:ascii="宋体" w:hAnsi="宋体" w:eastAsia="宋体" w:cs="宋体"/>
          <w:color w:val="000000" w:themeColor="text1"/>
          <w:szCs w:val="21"/>
          <w14:textFill>
            <w14:solidFill>
              <w14:schemeClr w14:val="tx1"/>
            </w14:solidFill>
          </w14:textFill>
        </w:rPr>
        <w:t>中标</w:t>
      </w:r>
      <w:r>
        <w:rPr>
          <w:rFonts w:hint="eastAsia" w:ascii="宋体" w:hAnsi="宋体" w:eastAsia="宋体" w:cs="宋体"/>
          <w:color w:val="000000" w:themeColor="text1"/>
          <w:szCs w:val="21"/>
          <w:lang w:val="en"/>
          <w14:textFill>
            <w14:solidFill>
              <w14:schemeClr w14:val="tx1"/>
            </w14:solidFill>
          </w14:textFill>
        </w:rPr>
        <w:t>人</w:t>
      </w:r>
      <w:r>
        <w:rPr>
          <w:rFonts w:hint="eastAsia" w:ascii="宋体" w:hAnsi="宋体" w:eastAsia="宋体" w:cs="宋体"/>
          <w:color w:val="000000"/>
          <w:szCs w:val="21"/>
          <w:lang w:val="en"/>
        </w:rPr>
        <w:t>需另行向采购人支付相当于3个月物业服务费金额的违约金</w:t>
      </w:r>
      <w:r>
        <w:rPr>
          <w:rFonts w:hint="eastAsia" w:ascii="宋体" w:hAnsi="宋体" w:eastAsia="宋体" w:cs="宋体"/>
          <w:color w:val="000000" w:themeColor="text1"/>
          <w:szCs w:val="21"/>
          <w:lang w:val="en"/>
          <w14:textFill>
            <w14:solidFill>
              <w14:schemeClr w14:val="tx1"/>
            </w14:solidFill>
          </w14:textFill>
        </w:rPr>
        <w:t>。</w:t>
      </w:r>
    </w:p>
    <w:p w14:paraId="6A92B6CC">
      <w:pPr>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⑤对于服务考核不合格的，</w:t>
      </w:r>
      <w:r>
        <w:rPr>
          <w:rFonts w:hint="eastAsia" w:ascii="宋体" w:hAnsi="宋体" w:eastAsia="宋体" w:cs="宋体"/>
          <w:color w:val="000000" w:themeColor="text1"/>
          <w:szCs w:val="21"/>
          <w14:textFill>
            <w14:solidFill>
              <w14:schemeClr w14:val="tx1"/>
            </w14:solidFill>
          </w14:textFill>
        </w:rPr>
        <w:t>中标人</w:t>
      </w:r>
      <w:r>
        <w:rPr>
          <w:rFonts w:hint="eastAsia" w:ascii="宋体" w:hAnsi="宋体" w:eastAsia="宋体" w:cs="宋体"/>
          <w:color w:val="000000" w:themeColor="text1"/>
          <w:szCs w:val="21"/>
          <w:lang w:val="en"/>
          <w14:textFill>
            <w14:solidFill>
              <w14:schemeClr w14:val="tx1"/>
            </w14:solidFill>
          </w14:textFill>
        </w:rPr>
        <w:t>需及时对考核减分项进行认真分析，并向采购人提交书面的分析及整改报告。</w:t>
      </w:r>
    </w:p>
    <w:p w14:paraId="3CA70001">
      <w:pPr>
        <w:pageBreakBefore w:val="0"/>
        <w:shd w:val="clear"/>
        <w:kinsoku/>
        <w:topLinePunct w:val="0"/>
        <w:bidi w:val="0"/>
        <w:snapToGrid w:val="0"/>
        <w:spacing w:line="560" w:lineRule="exact"/>
        <w:ind w:firstLine="420" w:firstLineChars="200"/>
        <w:jc w:val="left"/>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6.物业服务费用说明：</w:t>
      </w:r>
    </w:p>
    <w:p w14:paraId="7CCE0DA2">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themeColor="text1"/>
          <w:szCs w:val="21"/>
          <w:lang w:val="en"/>
          <w14:textFill>
            <w14:solidFill>
              <w14:schemeClr w14:val="tx1"/>
            </w14:solidFill>
          </w14:textFill>
        </w:rPr>
      </w:pPr>
      <w:r>
        <w:rPr>
          <w:rFonts w:hint="eastAsia" w:ascii="宋体" w:hAnsi="宋体" w:eastAsia="宋体" w:cs="宋体"/>
          <w:color w:val="000000" w:themeColor="text1"/>
          <w:szCs w:val="21"/>
          <w:lang w:val="en"/>
          <w14:textFill>
            <w14:solidFill>
              <w14:schemeClr w14:val="tx1"/>
            </w14:solidFill>
          </w14:textFill>
        </w:rPr>
        <w:t>物业服务费包括物业服务所需的人员工资、五险一金（含全员养老保险、医疗保险、失业保险、工伤保险、生育保险、住房公积金）的缴交基数和比例（</w:t>
      </w:r>
      <w:r>
        <w:rPr>
          <w:rFonts w:hint="eastAsia" w:ascii="宋体" w:hAnsi="宋体" w:eastAsia="宋体" w:cs="宋体"/>
          <w:b/>
          <w:bCs/>
          <w:color w:val="000000" w:themeColor="text1"/>
          <w:szCs w:val="21"/>
          <w14:textFill>
            <w14:solidFill>
              <w14:schemeClr w14:val="tx1"/>
            </w14:solidFill>
          </w14:textFill>
        </w:rPr>
        <w:t>注：</w:t>
      </w:r>
      <w:r>
        <w:rPr>
          <w:rFonts w:hint="eastAsia" w:ascii="宋体" w:hAnsi="宋体" w:eastAsia="宋体" w:cs="宋体"/>
          <w:b/>
          <w:bCs/>
          <w:color w:val="000000" w:themeColor="text1"/>
          <w:szCs w:val="21"/>
          <w:lang w:val="en"/>
          <w14:textFill>
            <w14:solidFill>
              <w14:schemeClr w14:val="tx1"/>
            </w14:solidFill>
          </w14:textFill>
        </w:rPr>
        <w:t>物业服务</w:t>
      </w:r>
      <w:r>
        <w:rPr>
          <w:rFonts w:hint="eastAsia" w:ascii="宋体" w:hAnsi="宋体" w:eastAsia="宋体" w:cs="宋体"/>
          <w:b/>
          <w:bCs/>
          <w:color w:val="000000" w:themeColor="text1"/>
          <w:szCs w:val="21"/>
          <w14:textFill>
            <w14:solidFill>
              <w14:schemeClr w14:val="tx1"/>
            </w14:solidFill>
          </w14:textFill>
        </w:rPr>
        <w:t>人员</w:t>
      </w:r>
      <w:r>
        <w:rPr>
          <w:rFonts w:hint="eastAsia" w:ascii="宋体" w:hAnsi="宋体" w:eastAsia="宋体" w:cs="宋体"/>
          <w:b/>
          <w:bCs/>
          <w:color w:val="000000" w:themeColor="text1"/>
          <w:szCs w:val="21"/>
          <w:lang w:val="en"/>
          <w14:textFill>
            <w14:solidFill>
              <w14:schemeClr w14:val="tx1"/>
            </w14:solidFill>
          </w14:textFill>
        </w:rPr>
        <w:t>最低工资不得低于《福建省人力资源和社会保障厅关于公布我省最低工资标准的通知》闽人社文〔202</w:t>
      </w:r>
      <w:r>
        <w:rPr>
          <w:rFonts w:hint="eastAsia" w:ascii="宋体" w:hAnsi="宋体" w:eastAsia="宋体" w:cs="宋体"/>
          <w:b/>
          <w:bCs/>
          <w:color w:val="000000" w:themeColor="text1"/>
          <w:szCs w:val="21"/>
          <w14:textFill>
            <w14:solidFill>
              <w14:schemeClr w14:val="tx1"/>
            </w14:solidFill>
          </w14:textFill>
        </w:rPr>
        <w:t>5</w:t>
      </w:r>
      <w:r>
        <w:rPr>
          <w:rFonts w:hint="eastAsia" w:ascii="宋体" w:hAnsi="宋体" w:eastAsia="宋体" w:cs="宋体"/>
          <w:b/>
          <w:bCs/>
          <w:color w:val="000000" w:themeColor="text1"/>
          <w:szCs w:val="21"/>
          <w:lang w:val="en"/>
          <w14:textFill>
            <w14:solidFill>
              <w14:schemeClr w14:val="tx1"/>
            </w14:solidFill>
          </w14:textFill>
        </w:rPr>
        <w:t>〕14号规定的最低工资标准。五险一金</w:t>
      </w:r>
      <w:r>
        <w:rPr>
          <w:rFonts w:hint="eastAsia" w:ascii="宋体" w:hAnsi="宋体" w:eastAsia="宋体" w:cs="宋体"/>
          <w:b/>
          <w:bCs/>
          <w:color w:val="000000" w:themeColor="text1"/>
          <w:szCs w:val="21"/>
          <w14:textFill>
            <w14:solidFill>
              <w14:schemeClr w14:val="tx1"/>
            </w14:solidFill>
          </w14:textFill>
        </w:rPr>
        <w:t>的</w:t>
      </w:r>
      <w:r>
        <w:rPr>
          <w:rFonts w:hint="eastAsia" w:ascii="宋体" w:hAnsi="宋体" w:eastAsia="宋体" w:cs="宋体"/>
          <w:b/>
          <w:bCs/>
          <w:color w:val="000000" w:themeColor="text1"/>
          <w:szCs w:val="21"/>
          <w:lang w:val="en"/>
          <w14:textFill>
            <w14:solidFill>
              <w14:schemeClr w14:val="tx1"/>
            </w14:solidFill>
          </w14:textFill>
        </w:rPr>
        <w:t>缴交基数和比例不能低于项目所在地规定缴纳的标准，</w:t>
      </w:r>
      <w:r>
        <w:rPr>
          <w:rFonts w:hint="eastAsia" w:ascii="宋体" w:hAnsi="宋体" w:eastAsia="宋体" w:cs="宋体"/>
          <w:b/>
          <w:bCs/>
          <w:color w:val="000000" w:themeColor="text1"/>
          <w:szCs w:val="21"/>
          <w14:textFill>
            <w14:solidFill>
              <w14:schemeClr w14:val="tx1"/>
            </w14:solidFill>
          </w14:textFill>
        </w:rPr>
        <w:t>否则按投标无效处理</w:t>
      </w:r>
      <w:r>
        <w:rPr>
          <w:rFonts w:hint="eastAsia" w:ascii="宋体" w:hAnsi="宋体" w:eastAsia="宋体" w:cs="宋体"/>
          <w:b/>
          <w:bCs/>
          <w:color w:val="000000" w:themeColor="text1"/>
          <w:szCs w:val="21"/>
          <w:lang w:val="en"/>
          <w14:textFill>
            <w14:solidFill>
              <w14:schemeClr w14:val="tx1"/>
            </w14:solidFill>
          </w14:textFill>
        </w:rPr>
        <w:t>。本次采购活动已经开展但尚未进入评审环节的，法律、法规对我省最低工资标准、缴纳五险另有规定的，从其规定</w:t>
      </w:r>
      <w:r>
        <w:rPr>
          <w:rFonts w:hint="eastAsia" w:ascii="宋体" w:hAnsi="宋体" w:eastAsia="宋体" w:cs="宋体"/>
          <w:color w:val="000000" w:themeColor="text1"/>
          <w:szCs w:val="21"/>
          <w:lang w:val="en"/>
          <w14:textFill>
            <w14:solidFill>
              <w14:schemeClr w14:val="tx1"/>
            </w14:solidFill>
          </w14:textFill>
        </w:rPr>
        <w:t>）、福利劳保费、人身意外保险费、加班费、工会费、培训费用、残疾人保障金费用、各类补贴费用、福利费、服装费、税费、用工风险赔偿金、台风或临时任务卫生保洁等突击费、调整办公室与各个会议室开会期间会议桌椅搬运费、项目管理费、税收等一切费用，各项费用不管是否在投标人报价中单列，均视为报价总价中已包括该费用。</w:t>
      </w:r>
      <w:bookmarkStart w:id="61" w:name="_Toc518919173"/>
      <w:bookmarkStart w:id="62" w:name="_Toc94028321"/>
      <w:bookmarkStart w:id="63" w:name="_Toc536724903"/>
      <w:bookmarkStart w:id="64" w:name="_Toc517821462"/>
    </w:p>
    <w:p w14:paraId="6BE9B7BF">
      <w:pPr>
        <w:pageBreakBefore w:val="0"/>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rPr>
      </w:pPr>
      <w:r>
        <w:rPr>
          <w:rFonts w:hint="eastAsia" w:ascii="宋体" w:hAnsi="宋体" w:eastAsia="宋体" w:cs="宋体"/>
          <w:color w:val="000000"/>
          <w:szCs w:val="21"/>
        </w:rPr>
        <w:t>7.中标人的权利和义务</w:t>
      </w:r>
    </w:p>
    <w:p w14:paraId="1AC88E78">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1</w:t>
      </w:r>
      <w:r>
        <w:rPr>
          <w:rFonts w:hint="eastAsia" w:ascii="宋体" w:hAnsi="宋体" w:eastAsia="宋体" w:cs="宋体"/>
          <w:color w:val="000000"/>
          <w:szCs w:val="21"/>
          <w:lang w:val="en"/>
        </w:rPr>
        <w:t>）根据采购人的授权和有关法律、法规及本合同的约定，在本物业区域内实施物业服务与管理；</w:t>
      </w:r>
    </w:p>
    <w:p w14:paraId="38313DD3">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2</w:t>
      </w:r>
      <w:r>
        <w:rPr>
          <w:rFonts w:hint="eastAsia" w:ascii="宋体" w:hAnsi="宋体" w:eastAsia="宋体" w:cs="宋体"/>
          <w:color w:val="000000"/>
          <w:szCs w:val="21"/>
          <w:lang w:val="en"/>
        </w:rPr>
        <w:t>）未经采购人书面同意，</w:t>
      </w:r>
      <w:r>
        <w:rPr>
          <w:rFonts w:hint="eastAsia" w:ascii="宋体" w:hAnsi="宋体" w:eastAsia="宋体" w:cs="宋体"/>
          <w:color w:val="000000"/>
          <w:szCs w:val="21"/>
        </w:rPr>
        <w:t>中标</w:t>
      </w:r>
      <w:r>
        <w:rPr>
          <w:rFonts w:hint="eastAsia" w:ascii="宋体" w:hAnsi="宋体" w:eastAsia="宋体" w:cs="宋体"/>
          <w:color w:val="000000"/>
          <w:szCs w:val="21"/>
          <w:lang w:val="en"/>
        </w:rPr>
        <w:t>人不得将本物业的管理责任转让给第三方，不允许</w:t>
      </w:r>
      <w:r>
        <w:rPr>
          <w:rFonts w:hint="eastAsia" w:ascii="宋体" w:hAnsi="宋体" w:eastAsia="宋体" w:cs="宋体"/>
          <w:color w:val="000000"/>
          <w:szCs w:val="21"/>
        </w:rPr>
        <w:t>中标</w:t>
      </w:r>
      <w:r>
        <w:rPr>
          <w:rFonts w:hint="eastAsia" w:ascii="宋体" w:hAnsi="宋体" w:eastAsia="宋体" w:cs="宋体"/>
          <w:color w:val="000000"/>
          <w:szCs w:val="21"/>
          <w:lang w:val="en"/>
        </w:rPr>
        <w:t>人分包或转包采购人委托的管理事宜；</w:t>
      </w:r>
    </w:p>
    <w:p w14:paraId="7314C0BC">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3</w:t>
      </w:r>
      <w:r>
        <w:rPr>
          <w:rFonts w:hint="eastAsia" w:ascii="宋体" w:hAnsi="宋体" w:eastAsia="宋体" w:cs="宋体"/>
          <w:color w:val="000000"/>
          <w:szCs w:val="21"/>
          <w:lang w:val="en"/>
        </w:rPr>
        <w:t>）对所聘用人员严格审核，要求聘用人员提供无犯罪记录证明并进行严格检查，有上岗资格证，重要的岗位人员有变更的，需经采购人同意并备案；</w:t>
      </w:r>
    </w:p>
    <w:p w14:paraId="22F74FB9">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4</w:t>
      </w:r>
      <w:r>
        <w:rPr>
          <w:rFonts w:hint="eastAsia" w:ascii="宋体" w:hAnsi="宋体" w:eastAsia="宋体" w:cs="宋体"/>
          <w:color w:val="000000"/>
          <w:szCs w:val="21"/>
          <w:lang w:val="en"/>
        </w:rPr>
        <w:t>）保证各类管理人员按岗位统一着装，佩带工作牌号，言行规范，文明礼貌，有良好的仪容仪表和公众形象；</w:t>
      </w:r>
    </w:p>
    <w:p w14:paraId="7521D407">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5</w:t>
      </w:r>
      <w:r>
        <w:rPr>
          <w:rFonts w:hint="eastAsia" w:ascii="宋体" w:hAnsi="宋体" w:eastAsia="宋体" w:cs="宋体"/>
          <w:color w:val="000000"/>
          <w:szCs w:val="21"/>
          <w:lang w:val="en"/>
        </w:rPr>
        <w:t>）建立物业服务资料的收集、分类整理、归档管理制度。在日常管理中要建立交接班、项目故障与维修、保养等登记制度；</w:t>
      </w:r>
    </w:p>
    <w:p w14:paraId="2C36A383">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6</w:t>
      </w:r>
      <w:r>
        <w:rPr>
          <w:rFonts w:hint="eastAsia" w:ascii="宋体" w:hAnsi="宋体" w:eastAsia="宋体" w:cs="宋体"/>
          <w:color w:val="000000"/>
          <w:szCs w:val="21"/>
          <w:lang w:val="en"/>
        </w:rPr>
        <w:t>）应负责除属于专业公司承包维修和养护范围（若有）之外的设施、设备的日常运行、维护和保养工作。</w:t>
      </w:r>
      <w:r>
        <w:rPr>
          <w:rFonts w:hint="eastAsia" w:ascii="宋体" w:hAnsi="宋体" w:eastAsia="宋体" w:cs="宋体"/>
          <w:color w:val="000000"/>
          <w:szCs w:val="21"/>
        </w:rPr>
        <w:t>中标</w:t>
      </w:r>
      <w:r>
        <w:rPr>
          <w:rFonts w:hint="eastAsia" w:ascii="宋体" w:hAnsi="宋体" w:eastAsia="宋体" w:cs="宋体"/>
          <w:color w:val="000000"/>
          <w:szCs w:val="21"/>
          <w:lang w:val="en"/>
        </w:rPr>
        <w:t>人要按照采购人与专业公司签订的质保协议和有关要求，制定日常使用运行和维修保养制度，配备熟练、专职、有上岗证及资格证的专业工程技术人员，负责日常运行、维护、管理，定人、定时开、关设备，及时发现设备使用过程中的隐患并通知和监督专业公司进行维修、保养工作；</w:t>
      </w:r>
    </w:p>
    <w:p w14:paraId="5E0A4403">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7</w:t>
      </w:r>
      <w:r>
        <w:rPr>
          <w:rFonts w:hint="eastAsia" w:ascii="宋体" w:hAnsi="宋体" w:eastAsia="宋体" w:cs="宋体"/>
          <w:color w:val="000000"/>
          <w:szCs w:val="21"/>
          <w:lang w:val="en"/>
        </w:rPr>
        <w:t>）</w:t>
      </w:r>
      <w:r>
        <w:rPr>
          <w:rFonts w:hint="eastAsia" w:ascii="宋体" w:hAnsi="宋体" w:eastAsia="宋体" w:cs="宋体"/>
          <w:color w:val="000000"/>
          <w:szCs w:val="21"/>
        </w:rPr>
        <w:t>中标</w:t>
      </w:r>
      <w:r>
        <w:rPr>
          <w:rFonts w:hint="eastAsia" w:ascii="宋体" w:hAnsi="宋体" w:eastAsia="宋体" w:cs="宋体"/>
          <w:color w:val="000000"/>
          <w:szCs w:val="21"/>
          <w:lang w:val="en"/>
        </w:rPr>
        <w:t>人应采取合理的节能减排措施，降低能耗。</w:t>
      </w:r>
    </w:p>
    <w:p w14:paraId="072A4EFF">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rPr>
        <w:t>1）</w:t>
      </w:r>
      <w:r>
        <w:rPr>
          <w:rFonts w:hint="eastAsia" w:ascii="宋体" w:hAnsi="宋体" w:eastAsia="宋体" w:cs="宋体"/>
          <w:color w:val="000000"/>
          <w:szCs w:val="21"/>
          <w:lang w:val="en"/>
        </w:rPr>
        <w:t>将现有的照明灯具分组，根据有无自然采光，确定各区域照明灯具开启组数和开启时间，非办公时间只开应急照明，节约照明用电。</w:t>
      </w:r>
    </w:p>
    <w:p w14:paraId="53B9C1FA">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rPr>
        <w:t>2）</w:t>
      </w:r>
      <w:r>
        <w:rPr>
          <w:rFonts w:hint="eastAsia" w:ascii="宋体" w:hAnsi="宋体" w:eastAsia="宋体" w:cs="宋体"/>
          <w:color w:val="000000"/>
          <w:szCs w:val="21"/>
          <w:lang w:val="en"/>
        </w:rPr>
        <w:t>根据季度规定室外照明开启时间，每天根据天气情况进行合理调整，节约照明。</w:t>
      </w:r>
    </w:p>
    <w:p w14:paraId="7F9DC480">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rPr>
        <w:t>3）</w:t>
      </w:r>
      <w:r>
        <w:rPr>
          <w:rFonts w:hint="eastAsia" w:ascii="宋体" w:hAnsi="宋体" w:eastAsia="宋体" w:cs="宋体"/>
          <w:color w:val="000000"/>
          <w:szCs w:val="21"/>
          <w:lang w:val="en"/>
        </w:rPr>
        <w:t>制定绿化用水标准，节约用水。</w:t>
      </w:r>
    </w:p>
    <w:p w14:paraId="536E2745">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rPr>
        <w:t>4）</w:t>
      </w:r>
      <w:r>
        <w:rPr>
          <w:rFonts w:hint="eastAsia" w:ascii="宋体" w:hAnsi="宋体" w:eastAsia="宋体" w:cs="宋体"/>
          <w:color w:val="000000"/>
          <w:szCs w:val="21"/>
          <w:lang w:val="en"/>
        </w:rPr>
        <w:t>制定停车场清洁的标准，尽可能节约停车场清洗用水。</w:t>
      </w:r>
    </w:p>
    <w:p w14:paraId="2276206F">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rPr>
        <w:t>5）</w:t>
      </w:r>
      <w:r>
        <w:rPr>
          <w:rFonts w:hint="eastAsia" w:ascii="宋体" w:hAnsi="宋体" w:eastAsia="宋体" w:cs="宋体"/>
          <w:color w:val="000000"/>
          <w:szCs w:val="21"/>
          <w:lang w:val="en"/>
        </w:rPr>
        <w:t>经采购人批准，合理制定电梯的运行时间、非办公时间的电梯运行台数。</w:t>
      </w:r>
    </w:p>
    <w:p w14:paraId="4BC1C804">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rPr>
        <w:t>6）</w:t>
      </w:r>
      <w:r>
        <w:rPr>
          <w:rFonts w:hint="eastAsia" w:ascii="宋体" w:hAnsi="宋体" w:eastAsia="宋体" w:cs="宋体"/>
          <w:color w:val="000000"/>
          <w:szCs w:val="21"/>
          <w:lang w:val="en"/>
        </w:rPr>
        <w:t>制定各类风机的开、停时间，多安排人员在尽可能的时间内完成开、停设备的工作，节约用电。</w:t>
      </w:r>
    </w:p>
    <w:p w14:paraId="2762441B">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8</w:t>
      </w:r>
      <w:r>
        <w:rPr>
          <w:rFonts w:hint="eastAsia" w:ascii="宋体" w:hAnsi="宋体" w:eastAsia="宋体" w:cs="宋体"/>
          <w:color w:val="000000"/>
          <w:szCs w:val="21"/>
          <w:lang w:val="en"/>
        </w:rPr>
        <w:t>）对公用设施不得擅自占用和改变使用功能，如需要内改、扩建或完善配套项目，须与采购人协商，经采购人同意后报有关部门批准方可实施；</w:t>
      </w:r>
    </w:p>
    <w:p w14:paraId="1128E09C">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9</w:t>
      </w:r>
      <w:r>
        <w:rPr>
          <w:rFonts w:hint="eastAsia" w:ascii="宋体" w:hAnsi="宋体" w:eastAsia="宋体" w:cs="宋体"/>
          <w:color w:val="000000"/>
          <w:szCs w:val="21"/>
          <w:lang w:val="en"/>
        </w:rPr>
        <w:t>）经采购人确认，</w:t>
      </w:r>
      <w:r>
        <w:rPr>
          <w:rFonts w:hint="eastAsia" w:ascii="宋体" w:hAnsi="宋体" w:eastAsia="宋体" w:cs="宋体"/>
          <w:color w:val="000000"/>
          <w:szCs w:val="21"/>
        </w:rPr>
        <w:t>中标</w:t>
      </w:r>
      <w:r>
        <w:rPr>
          <w:rFonts w:hint="eastAsia" w:ascii="宋体" w:hAnsi="宋体" w:eastAsia="宋体" w:cs="宋体"/>
          <w:color w:val="000000"/>
          <w:szCs w:val="21"/>
          <w:lang w:val="en"/>
        </w:rPr>
        <w:t>人的管理和服务工作应达到管理目标及服务承诺；</w:t>
      </w:r>
    </w:p>
    <w:p w14:paraId="548EA320">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10</w:t>
      </w:r>
      <w:r>
        <w:rPr>
          <w:rFonts w:hint="eastAsia" w:ascii="宋体" w:hAnsi="宋体" w:eastAsia="宋体" w:cs="宋体"/>
          <w:color w:val="000000"/>
          <w:szCs w:val="21"/>
          <w:lang w:val="en"/>
        </w:rPr>
        <w:t>）</w:t>
      </w:r>
      <w:r>
        <w:rPr>
          <w:rFonts w:hint="eastAsia" w:ascii="宋体" w:hAnsi="宋体" w:eastAsia="宋体" w:cs="宋体"/>
          <w:color w:val="000000"/>
          <w:szCs w:val="21"/>
        </w:rPr>
        <w:t>中标</w:t>
      </w:r>
      <w:r>
        <w:rPr>
          <w:rFonts w:hint="eastAsia" w:ascii="宋体" w:hAnsi="宋体" w:eastAsia="宋体" w:cs="宋体"/>
          <w:color w:val="000000"/>
          <w:szCs w:val="21"/>
          <w:lang w:val="en"/>
        </w:rPr>
        <w:t>人定期对所属员工进行安全保密教育，强化安全保密意识，制定安全保密措施，落实安全保密制度，切实做到保守国家和采购人单位机密；</w:t>
      </w:r>
    </w:p>
    <w:p w14:paraId="37D34901">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11</w:t>
      </w:r>
      <w:r>
        <w:rPr>
          <w:rFonts w:hint="eastAsia" w:ascii="宋体" w:hAnsi="宋体" w:eastAsia="宋体" w:cs="宋体"/>
          <w:color w:val="000000"/>
          <w:szCs w:val="21"/>
          <w:lang w:val="en"/>
        </w:rPr>
        <w:t>）本合同终止时，</w:t>
      </w:r>
      <w:r>
        <w:rPr>
          <w:rFonts w:hint="eastAsia" w:ascii="宋体" w:hAnsi="宋体" w:eastAsia="宋体" w:cs="宋体"/>
          <w:color w:val="000000"/>
          <w:szCs w:val="21"/>
        </w:rPr>
        <w:t>中标</w:t>
      </w:r>
      <w:r>
        <w:rPr>
          <w:rFonts w:hint="eastAsia" w:ascii="宋体" w:hAnsi="宋体" w:eastAsia="宋体" w:cs="宋体"/>
          <w:color w:val="000000"/>
          <w:szCs w:val="21"/>
          <w:lang w:val="en"/>
        </w:rPr>
        <w:t>人必须在15日内向采购人移交全部管理用房及物业管理的全部档案资料图纸。</w:t>
      </w:r>
    </w:p>
    <w:p w14:paraId="4FA9132F">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w:t>
      </w:r>
      <w:r>
        <w:rPr>
          <w:rFonts w:hint="eastAsia" w:ascii="宋体" w:hAnsi="宋体" w:eastAsia="宋体" w:cs="宋体"/>
          <w:color w:val="000000"/>
          <w:szCs w:val="21"/>
        </w:rPr>
        <w:t>12</w:t>
      </w:r>
      <w:r>
        <w:rPr>
          <w:rFonts w:hint="eastAsia" w:ascii="宋体" w:hAnsi="宋体" w:eastAsia="宋体" w:cs="宋体"/>
          <w:color w:val="000000"/>
          <w:szCs w:val="21"/>
          <w:lang w:val="en"/>
        </w:rPr>
        <w:t>）因</w:t>
      </w:r>
      <w:r>
        <w:rPr>
          <w:rFonts w:hint="eastAsia" w:ascii="宋体" w:hAnsi="宋体" w:eastAsia="宋体" w:cs="宋体"/>
          <w:color w:val="000000"/>
          <w:szCs w:val="21"/>
        </w:rPr>
        <w:t>中标</w:t>
      </w:r>
      <w:r>
        <w:rPr>
          <w:rFonts w:hint="eastAsia" w:ascii="宋体" w:hAnsi="宋体" w:eastAsia="宋体" w:cs="宋体"/>
          <w:color w:val="000000"/>
          <w:szCs w:val="21"/>
          <w:lang w:val="en"/>
        </w:rPr>
        <w:t>人原因，致使发生安全责任事故，或者造成</w:t>
      </w:r>
      <w:r>
        <w:rPr>
          <w:rFonts w:hint="eastAsia" w:ascii="宋体" w:hAnsi="宋体" w:eastAsia="宋体" w:cs="宋体"/>
          <w:color w:val="000000"/>
          <w:szCs w:val="21"/>
        </w:rPr>
        <w:t>中标</w:t>
      </w:r>
      <w:r>
        <w:rPr>
          <w:rFonts w:hint="eastAsia" w:ascii="宋体" w:hAnsi="宋体" w:eastAsia="宋体" w:cs="宋体"/>
          <w:color w:val="000000"/>
          <w:szCs w:val="21"/>
          <w:lang w:val="en"/>
        </w:rPr>
        <w:t>人员工或其他第三方利益受损的，由</w:t>
      </w:r>
      <w:r>
        <w:rPr>
          <w:rFonts w:hint="eastAsia" w:ascii="宋体" w:hAnsi="宋体" w:eastAsia="宋体" w:cs="宋体"/>
          <w:color w:val="000000"/>
          <w:szCs w:val="21"/>
        </w:rPr>
        <w:t>中标</w:t>
      </w:r>
      <w:r>
        <w:rPr>
          <w:rFonts w:hint="eastAsia" w:ascii="宋体" w:hAnsi="宋体" w:eastAsia="宋体" w:cs="宋体"/>
          <w:color w:val="000000"/>
          <w:szCs w:val="21"/>
          <w:lang w:val="en"/>
        </w:rPr>
        <w:t>人承担相应的赔偿责任，除非采购人对事故的发生或扩大存在过错，采购人不承担任何责任。</w:t>
      </w:r>
    </w:p>
    <w:p w14:paraId="4A8B112F">
      <w:pPr>
        <w:pageBreakBefore w:val="0"/>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rPr>
      </w:pPr>
      <w:r>
        <w:rPr>
          <w:rFonts w:hint="eastAsia" w:ascii="宋体" w:hAnsi="宋体" w:eastAsia="宋体" w:cs="宋体"/>
          <w:color w:val="000000"/>
          <w:szCs w:val="21"/>
        </w:rPr>
        <w:t>8.其他要求</w:t>
      </w:r>
    </w:p>
    <w:bookmarkEnd w:id="61"/>
    <w:bookmarkEnd w:id="62"/>
    <w:bookmarkEnd w:id="63"/>
    <w:bookmarkEnd w:id="64"/>
    <w:p w14:paraId="67EA501E">
      <w:pPr>
        <w:pStyle w:val="63"/>
        <w:pageBreakBefore w:val="0"/>
        <w:shd w:val="clear"/>
        <w:kinsoku/>
        <w:wordWrap w:val="0"/>
        <w:topLinePunct w:val="0"/>
        <w:bidi w:val="0"/>
        <w:spacing w:line="560" w:lineRule="exact"/>
        <w:outlineLvl w:val="9"/>
        <w:rPr>
          <w:rFonts w:hint="eastAsia" w:ascii="宋体" w:hAnsi="宋体" w:cs="宋体"/>
          <w:color w:val="000000"/>
          <w:kern w:val="0"/>
          <w:szCs w:val="21"/>
        </w:rPr>
      </w:pPr>
      <w:r>
        <w:rPr>
          <w:rFonts w:hint="eastAsia" w:ascii="宋体" w:hAnsi="宋体" w:cs="宋体"/>
          <w:color w:val="000000"/>
          <w:kern w:val="0"/>
          <w:szCs w:val="21"/>
        </w:rPr>
        <w:t>（1）物业管理其他问题的说明：</w:t>
      </w:r>
    </w:p>
    <w:p w14:paraId="5C08ABF7">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1）因</w:t>
      </w:r>
      <w:r>
        <w:rPr>
          <w:rFonts w:hint="eastAsia" w:ascii="宋体" w:hAnsi="宋体" w:eastAsia="宋体" w:cs="宋体"/>
          <w:color w:val="000000"/>
          <w:szCs w:val="21"/>
        </w:rPr>
        <w:t>中标</w:t>
      </w:r>
      <w:r>
        <w:rPr>
          <w:rFonts w:hint="eastAsia" w:ascii="宋体" w:hAnsi="宋体" w:eastAsia="宋体" w:cs="宋体"/>
          <w:color w:val="000000"/>
          <w:szCs w:val="21"/>
          <w:lang w:val="en"/>
        </w:rPr>
        <w:t>人原因造成服务合同无法按时签订，</w:t>
      </w:r>
      <w:r>
        <w:rPr>
          <w:rFonts w:hint="eastAsia" w:ascii="宋体" w:hAnsi="宋体" w:eastAsia="宋体" w:cs="宋体"/>
          <w:color w:val="000000"/>
          <w:szCs w:val="21"/>
        </w:rPr>
        <w:t>中标</w:t>
      </w:r>
      <w:r>
        <w:rPr>
          <w:rFonts w:hint="eastAsia" w:ascii="宋体" w:hAnsi="宋体" w:eastAsia="宋体" w:cs="宋体"/>
          <w:color w:val="000000"/>
          <w:szCs w:val="21"/>
          <w:lang w:val="en"/>
        </w:rPr>
        <w:t>人需支付2个月物业服务费作为违约金。</w:t>
      </w:r>
    </w:p>
    <w:p w14:paraId="3DA71120">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2）合同签订后，中标人拒不履行合同的，采购人可以要求中标人限期整改，拒不整改，采购人可以解除合同，并要求中标人支付2个月物业费的违约金。。</w:t>
      </w:r>
    </w:p>
    <w:p w14:paraId="5FD68768">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3）因中标人原因发生重大质量事故，除依约承担赔偿责任外，还将按有关质量管理办法规定执行，并另行支付给采购方2个月物业服务费的违约金。同时，采购人报相关行政主管部门处罚。</w:t>
      </w:r>
    </w:p>
    <w:p w14:paraId="6E76D726">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中标人需向采购人支付2个月物业服务费作为违约金，给采购人造成损失的，还应承担赔偿责任。</w:t>
      </w:r>
    </w:p>
    <w:p w14:paraId="0C5B8C07">
      <w:pPr>
        <w:pageBreakBefore w:val="0"/>
        <w:widowControl/>
        <w:shd w:val="clear"/>
        <w:kinsoku/>
        <w:topLinePunct w:val="0"/>
        <w:bidi w:val="0"/>
        <w:snapToGrid w:val="0"/>
        <w:spacing w:line="560" w:lineRule="exact"/>
        <w:ind w:firstLine="420" w:firstLineChars="200"/>
        <w:jc w:val="left"/>
        <w:outlineLvl w:val="9"/>
        <w:rPr>
          <w:rFonts w:hint="eastAsia" w:ascii="宋体" w:hAnsi="宋体" w:eastAsia="宋体" w:cs="宋体"/>
          <w:color w:val="000000"/>
          <w:szCs w:val="21"/>
          <w:lang w:val="en"/>
        </w:rPr>
      </w:pPr>
      <w:r>
        <w:rPr>
          <w:rFonts w:hint="eastAsia" w:ascii="宋体" w:hAnsi="宋体" w:eastAsia="宋体" w:cs="宋体"/>
          <w:color w:val="000000"/>
          <w:szCs w:val="21"/>
          <w:lang w:val="en"/>
        </w:rPr>
        <w:t>5）在采购人明确违约责任后，中标人应在接到书面通知书起七天内支付违约金、赔偿金等。</w:t>
      </w:r>
    </w:p>
    <w:p w14:paraId="00F55F41">
      <w:pPr>
        <w:pStyle w:val="41"/>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kern w:val="0"/>
          <w:szCs w:val="21"/>
        </w:rPr>
        <w:t>（2）项目保密要求</w:t>
      </w:r>
    </w:p>
    <w:p w14:paraId="67C0B9E8">
      <w:pPr>
        <w:pStyle w:val="41"/>
        <w:pageBreakBefore w:val="0"/>
        <w:shd w:val="clear"/>
        <w:kinsoku/>
        <w:topLinePunct w:val="0"/>
        <w:bidi w:val="0"/>
        <w:spacing w:line="560" w:lineRule="exact"/>
        <w:ind w:firstLine="420" w:firstLineChars="200"/>
        <w:outlineLvl w:val="9"/>
        <w:rPr>
          <w:rFonts w:hint="eastAsia" w:ascii="宋体" w:hAnsi="宋体" w:eastAsia="宋体" w:cs="宋体"/>
          <w:color w:val="000000" w:themeColor="text1"/>
          <w:kern w:val="2"/>
          <w:szCs w:val="21"/>
          <w:lang w:val="en"/>
          <w14:textFill>
            <w14:solidFill>
              <w14:schemeClr w14:val="tx1"/>
            </w14:solidFill>
          </w14:textFill>
        </w:rPr>
      </w:pPr>
      <w:r>
        <w:rPr>
          <w:rFonts w:hint="eastAsia" w:ascii="宋体" w:hAnsi="宋体" w:eastAsia="宋体" w:cs="宋体"/>
          <w:color w:val="000000"/>
          <w:kern w:val="2"/>
          <w:szCs w:val="21"/>
        </w:rPr>
        <w:t>中标</w:t>
      </w:r>
      <w:r>
        <w:rPr>
          <w:rFonts w:hint="eastAsia" w:ascii="宋体" w:hAnsi="宋体" w:eastAsia="宋体" w:cs="宋体"/>
          <w:color w:val="000000" w:themeColor="text1"/>
          <w:kern w:val="2"/>
          <w:szCs w:val="21"/>
          <w:lang w:val="en"/>
          <w14:textFill>
            <w14:solidFill>
              <w14:schemeClr w14:val="tx1"/>
            </w14:solidFill>
          </w14:textFill>
        </w:rPr>
        <w:t>人应对在本项目签订或履行过程中所接触的对方信息，包括但不限于知识产权、技术资料、技术诀窍、内部管理及其他相关信息，负有保密义务。</w:t>
      </w:r>
    </w:p>
    <w:p w14:paraId="223E8BDB">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1）</w:t>
      </w:r>
      <w:r>
        <w:rPr>
          <w:rFonts w:hint="eastAsia" w:hAnsi="宋体" w:cs="宋体"/>
          <w:color w:val="000000"/>
        </w:rPr>
        <w:t>中标</w:t>
      </w:r>
      <w:r>
        <w:rPr>
          <w:rFonts w:hint="eastAsia" w:hAnsi="宋体" w:cs="宋体"/>
          <w:color w:val="000000" w:themeColor="text1"/>
          <w:lang w:val="en"/>
          <w14:textFill>
            <w14:solidFill>
              <w14:schemeClr w14:val="tx1"/>
            </w14:solidFill>
          </w14:textFill>
        </w:rPr>
        <w:t>人在使用采购人为</w:t>
      </w:r>
      <w:r>
        <w:rPr>
          <w:rFonts w:hint="eastAsia" w:hAnsi="宋体" w:cs="宋体"/>
          <w:color w:val="000000"/>
        </w:rPr>
        <w:t>中标</w:t>
      </w:r>
      <w:r>
        <w:rPr>
          <w:rFonts w:hint="eastAsia" w:hAnsi="宋体" w:cs="宋体"/>
          <w:color w:val="000000" w:themeColor="text1"/>
          <w:lang w:val="en"/>
          <w14:textFill>
            <w14:solidFill>
              <w14:schemeClr w14:val="tx1"/>
            </w14:solidFill>
          </w14:textFill>
        </w:rPr>
        <w:t>人及其工作人员提供的数据、程序、用户名、口令、资料及采购人相关的业务和技术文档，包括税收政策、方案设计细节、程序文件、数据结构，以及相关业务系统的硬软件、文档、测试和测试产生的数据时，应遵循以下规定：</w:t>
      </w:r>
    </w:p>
    <w:p w14:paraId="484D3330">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2）应以审慎态度避免泄露、公开或传播</w:t>
      </w:r>
      <w:bookmarkStart w:id="65" w:name="OLE_LINK1"/>
      <w:r>
        <w:rPr>
          <w:rFonts w:hint="eastAsia" w:hAnsi="宋体" w:cs="宋体"/>
          <w:color w:val="000000" w:themeColor="text1"/>
          <w:lang w:val="en"/>
          <w14:textFill>
            <w14:solidFill>
              <w14:schemeClr w14:val="tx1"/>
            </w14:solidFill>
          </w14:textFill>
        </w:rPr>
        <w:t>采购人</w:t>
      </w:r>
      <w:bookmarkEnd w:id="65"/>
      <w:r>
        <w:rPr>
          <w:rFonts w:hint="eastAsia" w:hAnsi="宋体" w:cs="宋体"/>
          <w:color w:val="000000" w:themeColor="text1"/>
          <w:lang w:val="en"/>
          <w14:textFill>
            <w14:solidFill>
              <w14:schemeClr w14:val="tx1"/>
            </w14:solidFill>
          </w14:textFill>
        </w:rPr>
        <w:t>的信息；</w:t>
      </w:r>
    </w:p>
    <w:p w14:paraId="4AD94F36">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3）未经采购人书面许可，不得对有关信息进行修改、补充、复制；</w:t>
      </w:r>
    </w:p>
    <w:p w14:paraId="21F68E3D">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4）未经采购人书面许可，不得将信息以任何方式(如E－mail)携带出采购人场所；</w:t>
      </w:r>
    </w:p>
    <w:p w14:paraId="284CEABB">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5）未经采购人书面许可，不得将信息透露给任何其他人；</w:t>
      </w:r>
    </w:p>
    <w:p w14:paraId="19909AFB">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6）采购人以书面形式提出的其他保密措施。</w:t>
      </w:r>
    </w:p>
    <w:p w14:paraId="6CE87037">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7）保密期限不受合同有效期的限制，在合同有效期结束后，信息接受方仍应承担保密义务，直至该等信息成为公开信息。</w:t>
      </w:r>
    </w:p>
    <w:p w14:paraId="1F90E52B">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8）</w:t>
      </w:r>
      <w:r>
        <w:rPr>
          <w:rFonts w:hint="eastAsia" w:hAnsi="宋体" w:cs="宋体"/>
          <w:color w:val="000000"/>
        </w:rPr>
        <w:t>中标</w:t>
      </w:r>
      <w:r>
        <w:rPr>
          <w:rFonts w:hint="eastAsia" w:hAnsi="宋体" w:cs="宋体"/>
          <w:color w:val="000000" w:themeColor="text1"/>
          <w:lang w:val="en"/>
          <w14:textFill>
            <w14:solidFill>
              <w14:schemeClr w14:val="tx1"/>
            </w14:solidFill>
          </w14:textFill>
        </w:rPr>
        <w:t>人如出现泄密行为，泄密方应承担相关的法律责任，包括但是不限于对由此给对方造成的经济损失进行赔偿。</w:t>
      </w:r>
    </w:p>
    <w:p w14:paraId="2A7E9CDA">
      <w:pPr>
        <w:pStyle w:val="41"/>
        <w:pageBreakBefore w:val="0"/>
        <w:shd w:val="clear"/>
        <w:kinsoku/>
        <w:topLinePunct w:val="0"/>
        <w:bidi w:val="0"/>
        <w:snapToGrid w:val="0"/>
        <w:spacing w:line="560" w:lineRule="exact"/>
        <w:ind w:firstLine="420" w:firstLineChars="200"/>
        <w:outlineLvl w:val="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（3）合同纠纷的解决方式</w:t>
      </w:r>
    </w:p>
    <w:p w14:paraId="7276BD5B">
      <w:pPr>
        <w:pStyle w:val="21"/>
        <w:pageBreakBefore w:val="0"/>
        <w:shd w:val="clear"/>
        <w:kinsoku/>
        <w:topLinePunct w:val="0"/>
        <w:bidi w:val="0"/>
        <w:snapToGrid w:val="0"/>
        <w:spacing w:line="560" w:lineRule="exact"/>
        <w:ind w:firstLine="420" w:firstLineChars="200"/>
        <w:outlineLvl w:val="9"/>
        <w:rPr>
          <w:rFonts w:hint="eastAsia" w:hAnsi="宋体" w:cs="宋体"/>
          <w:color w:val="000000" w:themeColor="text1"/>
          <w:lang w:val="en"/>
          <w14:textFill>
            <w14:solidFill>
              <w14:schemeClr w14:val="tx1"/>
            </w14:solidFill>
          </w14:textFill>
        </w:rPr>
      </w:pPr>
      <w:r>
        <w:rPr>
          <w:rFonts w:hint="eastAsia" w:hAnsi="宋体" w:cs="宋体"/>
          <w:color w:val="000000" w:themeColor="text1"/>
          <w:lang w:val="en"/>
          <w14:textFill>
            <w14:solidFill>
              <w14:schemeClr w14:val="tx1"/>
            </w14:solidFill>
          </w14:textFill>
        </w:rPr>
        <w:t>采购人与</w:t>
      </w:r>
      <w:r>
        <w:rPr>
          <w:rFonts w:hint="eastAsia" w:hAnsi="宋体" w:cs="宋体"/>
          <w:color w:val="000000"/>
        </w:rPr>
        <w:t>中标</w:t>
      </w:r>
      <w:r>
        <w:rPr>
          <w:rFonts w:hint="eastAsia" w:hAnsi="宋体" w:cs="宋体"/>
          <w:color w:val="000000" w:themeColor="text1"/>
          <w:lang w:val="en"/>
          <w14:textFill>
            <w14:solidFill>
              <w14:schemeClr w14:val="tx1"/>
            </w14:solidFill>
          </w14:textFill>
        </w:rPr>
        <w:t>人在履行合同过程中若产生纠纷，可先通过友好协商解决，若协商解决不成，通过向项目所在地人民法院提起诉讼解决纠纷。</w:t>
      </w:r>
    </w:p>
    <w:p w14:paraId="4750DE7B">
      <w:pPr>
        <w:pageBreakBefore w:val="0"/>
        <w:numPr>
          <w:ilvl w:val="4"/>
          <w:numId w:val="0"/>
        </w:numPr>
        <w:shd w:val="clear"/>
        <w:tabs>
          <w:tab w:val="left" w:pos="780"/>
        </w:tabs>
        <w:kinsoku/>
        <w:topLinePunct w:val="0"/>
        <w:bidi w:val="0"/>
        <w:snapToGrid w:val="0"/>
        <w:spacing w:before="0" w:after="0" w:line="560" w:lineRule="exact"/>
        <w:ind w:firstLine="420" w:firstLineChars="200"/>
        <w:outlineLvl w:val="9"/>
        <w:rPr>
          <w:rFonts w:hint="eastAsia" w:ascii="宋体" w:hAnsi="宋体" w:eastAsia="宋体" w:cs="宋体"/>
          <w:bCs w:val="0"/>
          <w:color w:val="000000" w:themeColor="text1"/>
          <w:szCs w:val="21"/>
          <w14:textFill>
            <w14:solidFill>
              <w14:schemeClr w14:val="tx1"/>
            </w14:solidFill>
          </w14:textFill>
        </w:rPr>
      </w:pPr>
      <w:r>
        <w:rPr>
          <w:rFonts w:hint="eastAsia" w:ascii="宋体" w:hAnsi="宋体" w:eastAsia="宋体" w:cs="宋体"/>
          <w:bCs w:val="0"/>
          <w:color w:val="000000" w:themeColor="text1"/>
          <w:szCs w:val="21"/>
          <w14:textFill>
            <w14:solidFill>
              <w14:schemeClr w14:val="tx1"/>
            </w14:solidFill>
          </w14:textFill>
        </w:rPr>
        <w:t>（4）投标人</w:t>
      </w:r>
      <w:r>
        <w:rPr>
          <w:rFonts w:hint="eastAsia" w:ascii="宋体" w:hAnsi="宋体" w:eastAsia="宋体" w:cs="宋体"/>
          <w:color w:val="000000" w:themeColor="text1"/>
          <w:szCs w:val="21"/>
          <w14:textFill>
            <w14:solidFill>
              <w14:schemeClr w14:val="tx1"/>
            </w14:solidFill>
          </w14:textFill>
        </w:rPr>
        <w:t>应依法与</w:t>
      </w:r>
      <w:r>
        <w:rPr>
          <w:rFonts w:hint="eastAsia" w:ascii="宋体" w:hAnsi="宋体" w:eastAsia="宋体" w:cs="宋体"/>
          <w:bCs w:val="0"/>
          <w:color w:val="000000" w:themeColor="text1"/>
          <w:szCs w:val="21"/>
          <w14:textFill>
            <w14:solidFill>
              <w14:schemeClr w14:val="tx1"/>
            </w14:solidFill>
          </w14:textFill>
        </w:rPr>
        <w:t>投入本项目的所有</w:t>
      </w:r>
      <w:r>
        <w:rPr>
          <w:rFonts w:hint="eastAsia" w:ascii="宋体" w:hAnsi="宋体" w:eastAsia="宋体" w:cs="宋体"/>
          <w:color w:val="000000" w:themeColor="text1"/>
          <w:szCs w:val="21"/>
          <w14:textFill>
            <w14:solidFill>
              <w14:schemeClr w14:val="tx1"/>
            </w14:solidFill>
          </w14:textFill>
        </w:rPr>
        <w:t>服务人员建立劳动/劳务关系，依法缴纳社保，并保证所有为采购人提供服务的人员</w:t>
      </w:r>
      <w:r>
        <w:rPr>
          <w:rFonts w:hint="eastAsia" w:ascii="宋体" w:hAnsi="宋体" w:eastAsia="宋体" w:cs="宋体"/>
          <w:bCs w:val="0"/>
          <w:color w:val="000000" w:themeColor="text1"/>
          <w:szCs w:val="21"/>
          <w14:textFill>
            <w14:solidFill>
              <w14:schemeClr w14:val="tx1"/>
            </w14:solidFill>
          </w14:textFill>
        </w:rPr>
        <w:t>必须为</w:t>
      </w:r>
      <w:r>
        <w:rPr>
          <w:rFonts w:hint="eastAsia" w:ascii="宋体" w:hAnsi="宋体" w:eastAsia="宋体" w:cs="宋体"/>
          <w:color w:val="000000" w:themeColor="text1"/>
          <w:szCs w:val="21"/>
          <w14:textFill>
            <w14:solidFill>
              <w14:schemeClr w14:val="tx1"/>
            </w14:solidFill>
          </w14:textFill>
        </w:rPr>
        <w:t>其</w:t>
      </w:r>
      <w:r>
        <w:rPr>
          <w:rFonts w:hint="eastAsia" w:ascii="宋体" w:hAnsi="宋体" w:eastAsia="宋体" w:cs="宋体"/>
          <w:bCs w:val="0"/>
          <w:color w:val="000000" w:themeColor="text1"/>
          <w:szCs w:val="21"/>
          <w14:textFill>
            <w14:solidFill>
              <w14:schemeClr w14:val="tx1"/>
            </w14:solidFill>
          </w14:textFill>
        </w:rPr>
        <w:t>全职员工，若发现有兼职情况，采购人有权直接解除本项目合同，当月服务费不予支付</w:t>
      </w:r>
      <w:r>
        <w:rPr>
          <w:rFonts w:hint="eastAsia" w:ascii="宋体" w:hAnsi="宋体" w:eastAsia="宋体" w:cs="宋体"/>
          <w:color w:val="000000" w:themeColor="text1"/>
          <w:szCs w:val="21"/>
          <w14:textFill>
            <w14:solidFill>
              <w14:schemeClr w14:val="tx1"/>
            </w14:solidFill>
          </w14:textFill>
        </w:rPr>
        <w:t>或扣回</w:t>
      </w:r>
      <w:r>
        <w:rPr>
          <w:rFonts w:hint="eastAsia" w:ascii="宋体" w:hAnsi="宋体" w:eastAsia="宋体" w:cs="宋体"/>
          <w:bCs w:val="0"/>
          <w:color w:val="000000" w:themeColor="text1"/>
          <w:szCs w:val="21"/>
          <w14:textFill>
            <w14:solidFill>
              <w14:schemeClr w14:val="tx1"/>
            </w14:solidFill>
          </w14:textFill>
        </w:rPr>
        <w:t>。</w:t>
      </w:r>
    </w:p>
    <w:p w14:paraId="1DDCD2C2">
      <w:pPr>
        <w:pageBreakBefore w:val="0"/>
        <w:shd w:val="clear"/>
        <w:kinsoku/>
        <w:topLinePunct w:val="0"/>
        <w:bidi w:val="0"/>
        <w:spacing w:line="560" w:lineRule="exact"/>
        <w:ind w:firstLine="422" w:firstLineChars="200"/>
        <w:outlineLvl w:val="9"/>
        <w:rPr>
          <w:rFonts w:hint="eastAsia" w:ascii="宋体" w:hAnsi="宋体" w:eastAsia="宋体" w:cs="宋体"/>
          <w:b/>
          <w:bCs/>
          <w:szCs w:val="21"/>
        </w:rPr>
      </w:pPr>
      <w:r>
        <w:rPr>
          <w:rFonts w:hint="eastAsia" w:ascii="宋体" w:hAnsi="宋体" w:eastAsia="宋体" w:cs="宋体"/>
          <w:b/>
          <w:bCs/>
          <w:szCs w:val="21"/>
        </w:rPr>
        <w:t>四、其他事项</w:t>
      </w:r>
      <w:bookmarkEnd w:id="58"/>
    </w:p>
    <w:p w14:paraId="7FDFD99D">
      <w:pPr>
        <w:pageBreakBefore w:val="0"/>
        <w:shd w:val="clear"/>
        <w:kinsoku/>
        <w:topLinePunct w:val="0"/>
        <w:bidi w:val="0"/>
        <w:spacing w:line="560" w:lineRule="exact"/>
        <w:ind w:firstLine="420" w:firstLineChars="200"/>
        <w:outlineLvl w:val="9"/>
        <w:rPr>
          <w:rFonts w:hint="eastAsia" w:ascii="宋体" w:hAnsi="宋体" w:eastAsia="宋体" w:cs="宋体"/>
          <w:szCs w:val="21"/>
        </w:rPr>
      </w:pPr>
      <w:r>
        <w:rPr>
          <w:rFonts w:hint="eastAsia" w:ascii="宋体" w:hAnsi="宋体" w:eastAsia="宋体" w:cs="宋体"/>
          <w:szCs w:val="21"/>
        </w:rPr>
        <w:t>1.除招标文件另有规定外，若出现有关法律、法规和规章有强制性规定但招标文件未列明的情形，则投标人应按照有关法律、法规和规章强制性规定执行。</w:t>
      </w:r>
    </w:p>
    <w:p w14:paraId="710F03FF">
      <w:pPr>
        <w:pageBreakBefore w:val="0"/>
        <w:shd w:val="clear"/>
        <w:kinsoku/>
        <w:topLinePunct w:val="0"/>
        <w:bidi w:val="0"/>
        <w:spacing w:line="560" w:lineRule="exact"/>
        <w:ind w:firstLine="420" w:firstLineChars="200"/>
        <w:jc w:val="left"/>
        <w:outlineLvl w:val="9"/>
        <w:rPr>
          <w:rFonts w:hint="eastAsia" w:ascii="宋体" w:hAnsi="宋体" w:eastAsia="宋体" w:cs="宋体"/>
          <w:szCs w:val="21"/>
          <w:lang w:val="en" w:eastAsia="de-DE"/>
        </w:rPr>
      </w:pPr>
      <w:r>
        <w:rPr>
          <w:rFonts w:hint="eastAsia" w:ascii="宋体" w:hAnsi="宋体" w:eastAsia="宋体" w:cs="宋体"/>
          <w:szCs w:val="21"/>
        </w:rPr>
        <w:t>2.</w:t>
      </w:r>
      <w:r>
        <w:rPr>
          <w:rFonts w:hint="eastAsia" w:ascii="宋体" w:hAnsi="宋体" w:eastAsia="宋体" w:cs="宋体"/>
          <w:szCs w:val="21"/>
          <w:lang w:val="en" w:eastAsia="de-DE"/>
        </w:rPr>
        <w:t>投标人须按合同包投标，不得仅对合同包中的部分内容进行投标，否则其投标将被拒绝。评标与授标以合同包为单位。</w:t>
      </w:r>
    </w:p>
    <w:p w14:paraId="139B1B41">
      <w:pPr>
        <w:pageBreakBefore w:val="0"/>
        <w:shd w:val="clear"/>
        <w:kinsoku/>
        <w:topLinePunct w:val="0"/>
        <w:bidi w:val="0"/>
        <w:spacing w:line="440" w:lineRule="exact"/>
        <w:ind w:firstLine="420" w:firstLineChars="200"/>
        <w:jc w:val="left"/>
        <w:outlineLvl w:val="9"/>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 w:eastAsia="de-DE"/>
        </w:rPr>
        <w:t>.招标文件未明确的其它约定事项或条款，待采购人与中标人签订合同时，由双方协商订立。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2029">
    <w:pPr>
      <w:jc w:val="center"/>
      <w:rPr>
        <w:rFonts w:hint="eastAsia"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01342">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4bE8gBAACZ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JeGxPIAQAAmQMAAA4AAAAAAAAAAQAgAAAAHgEAAGRycy9lMm9Eb2Mu&#10;eG1sUEsFBgAAAAAGAAYAWQEAAFgFAAAAAA==&#10;">
              <v:fill on="f" focussize="0,0"/>
              <v:stroke on="f"/>
              <v:imagedata o:title=""/>
              <o:lock v:ext="edit" aspectratio="f"/>
              <v:textbox inset="0mm,0mm,0mm,0mm" style="mso-fit-shape-to-text:t;">
                <w:txbxContent>
                  <w:p w14:paraId="53501342">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E2A7">
    <w:pPr>
      <w:jc w:val="center"/>
      <w:rPr>
        <w:rFonts w:hint="eastAsia"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3A69F">
                          <w:pPr>
                            <w:jc w:val="center"/>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vQMoBAACaAwAADgAAAAAAAAABACAAAAAeAQAAZHJzL2Uyb0Rv&#10;Yy54bWxQSwUGAAAAAAYABgBZAQAAWgUAAAAA&#10;">
              <v:fill on="f" focussize="0,0"/>
              <v:stroke on="f"/>
              <v:imagedata o:title=""/>
              <o:lock v:ext="edit" aspectratio="f"/>
              <v:textbox inset="0mm,0mm,0mm,0mm" style="mso-fit-shape-to-text:t;">
                <w:txbxContent>
                  <w:p w14:paraId="6D93A69F">
                    <w:pPr>
                      <w:jc w:val="center"/>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33F7">
    <w:pPr>
      <w:pStyle w:val="22"/>
      <w:framePr w:wrap="around" w:vAnchor="text" w:hAnchor="margin" w:xAlign="center" w:y="1"/>
      <w:rPr>
        <w:rStyle w:val="36"/>
      </w:rPr>
    </w:pPr>
    <w:r>
      <w:fldChar w:fldCharType="begin"/>
    </w:r>
    <w:r>
      <w:rPr>
        <w:rStyle w:val="36"/>
      </w:rPr>
      <w:instrText xml:space="preserve">PAGE  </w:instrText>
    </w:r>
    <w:r>
      <w:fldChar w:fldCharType="end"/>
    </w:r>
  </w:p>
  <w:p w14:paraId="3B17AB13">
    <w:pPr>
      <w:pStyle w:val="22"/>
    </w:pPr>
  </w:p>
  <w:p w14:paraId="160439F5"/>
  <w:p w14:paraId="41D02368"/>
  <w:p w14:paraId="1293C908"/>
  <w:p w14:paraId="458C3F25"/>
  <w:p w14:paraId="06E78769"/>
  <w:p w14:paraId="08D510FF"/>
  <w:p w14:paraId="5D23260C"/>
  <w:p w14:paraId="1A8DB798"/>
  <w:p w14:paraId="10B365BE"/>
  <w:p w14:paraId="3674F4EF"/>
  <w:p w14:paraId="3A02E4E2"/>
  <w:p w14:paraId="3A5AFBD0"/>
  <w:p w14:paraId="49881F6E"/>
  <w:p w14:paraId="0F5A3E00"/>
  <w:p w14:paraId="104F9A2D"/>
  <w:p w14:paraId="55708FB6"/>
  <w:p w14:paraId="792C1A28"/>
  <w:p w14:paraId="7F43E283"/>
  <w:p w14:paraId="1FC30B7C"/>
  <w:p w14:paraId="0CD74A8C"/>
  <w:p w14:paraId="32DD2E6D"/>
  <w:p w14:paraId="0F96752F"/>
  <w:p w14:paraId="51D17CCE"/>
  <w:p w14:paraId="1295CFB6"/>
  <w:p w14:paraId="57410345"/>
  <w:p w14:paraId="3202E22C"/>
  <w:p w14:paraId="587C1BC5"/>
  <w:p w14:paraId="056219FC"/>
  <w:p w14:paraId="3A09011B"/>
  <w:p w14:paraId="49E01E76"/>
  <w:p w14:paraId="5A6ECC5A"/>
  <w:p w14:paraId="0D3F583D"/>
  <w:p w14:paraId="5E0ACC2B"/>
  <w:p w14:paraId="2A993D79"/>
  <w:p w14:paraId="0AC52F98"/>
  <w:p w14:paraId="35D6D302"/>
  <w:p w14:paraId="6123CB10"/>
  <w:p w14:paraId="5850479B"/>
  <w:p w14:paraId="75F169DA"/>
  <w:p w14:paraId="6F566596"/>
  <w:p w14:paraId="47B71494"/>
  <w:p w14:paraId="1C5700AF"/>
  <w:p w14:paraId="38E8FC22"/>
  <w:p w14:paraId="661968EB"/>
  <w:p w14:paraId="69B1B58B"/>
  <w:p w14:paraId="776DA720"/>
  <w:p w14:paraId="4A0AC399"/>
  <w:p w14:paraId="26AEA129"/>
  <w:p w14:paraId="3FD8DB4A"/>
  <w:p w14:paraId="70F89538"/>
  <w:p w14:paraId="2E05ED47"/>
  <w:p w14:paraId="5DF45777"/>
  <w:p w14:paraId="1CE508D6"/>
  <w:p w14:paraId="39ECD6F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B17B">
    <w:pPr>
      <w:jc w:val="center"/>
      <w:rPr>
        <w:rFonts w:hint="eastAsia"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69FE0F">
                          <w:pPr>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2A69FE0F">
                    <w:pPr>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0E35"/>
  <w:p w14:paraId="7148E017"/>
  <w:p w14:paraId="4C4E0B68"/>
  <w:p w14:paraId="3E5749B7"/>
  <w:p w14:paraId="0AEA45B1"/>
  <w:p w14:paraId="2B0ED602"/>
  <w:p w14:paraId="1D2FA91B"/>
  <w:p w14:paraId="78E65833"/>
  <w:p w14:paraId="1C7B1060"/>
  <w:p w14:paraId="5CAA6DF9"/>
  <w:p w14:paraId="757705BF"/>
  <w:p w14:paraId="54B811E3"/>
  <w:p w14:paraId="6AEC6FE9"/>
  <w:p w14:paraId="78207663"/>
  <w:p w14:paraId="4CC4122B"/>
  <w:p w14:paraId="3C3E5352"/>
  <w:p w14:paraId="47FE6752"/>
  <w:p w14:paraId="37B10691"/>
  <w:p w14:paraId="39CEC23B"/>
  <w:p w14:paraId="39073565"/>
  <w:p w14:paraId="0D11C3DF"/>
  <w:p w14:paraId="28EBB559"/>
  <w:p w14:paraId="623A387B"/>
  <w:p w14:paraId="32DDCD36"/>
  <w:p w14:paraId="3CA1D0B5"/>
  <w:p w14:paraId="7A1E405F"/>
  <w:p w14:paraId="4EB4C9CB"/>
  <w:p w14:paraId="38A904EC"/>
  <w:p w14:paraId="74050C70"/>
  <w:p w14:paraId="5FC432E6"/>
  <w:p w14:paraId="30113687"/>
  <w:p w14:paraId="5F5318E7"/>
  <w:p w14:paraId="41BFA0ED"/>
  <w:p w14:paraId="1DFE5FFD"/>
  <w:p w14:paraId="32CEC8D8"/>
  <w:p w14:paraId="5709F000"/>
  <w:p w14:paraId="78AA9746"/>
  <w:p w14:paraId="08920A7A"/>
  <w:p w14:paraId="5D63A160"/>
  <w:p w14:paraId="20A84C3E"/>
  <w:p w14:paraId="3B994643"/>
  <w:p w14:paraId="7CF3C33C"/>
  <w:p w14:paraId="7A48ABBF"/>
  <w:p w14:paraId="55762C05"/>
  <w:p w14:paraId="4B23662A"/>
  <w:p w14:paraId="66CA8370"/>
  <w:p w14:paraId="6051E9AD"/>
  <w:p w14:paraId="397AD9AB"/>
  <w:p w14:paraId="5188767A"/>
  <w:p w14:paraId="00CD93C3"/>
  <w:p w14:paraId="17C79644"/>
  <w:p w14:paraId="1C2A7B99"/>
  <w:p w14:paraId="525F4D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832DC"/>
    <w:multiLevelType w:val="singleLevel"/>
    <w:tmpl w:val="B07832DC"/>
    <w:lvl w:ilvl="0" w:tentative="0">
      <w:start w:val="9"/>
      <w:numFmt w:val="decimal"/>
      <w:suff w:val="space"/>
      <w:lvlText w:val="%1."/>
      <w:lvlJc w:val="left"/>
    </w:lvl>
  </w:abstractNum>
  <w:abstractNum w:abstractNumId="1">
    <w:nsid w:val="CDCA569A"/>
    <w:multiLevelType w:val="singleLevel"/>
    <w:tmpl w:val="CDCA569A"/>
    <w:lvl w:ilvl="0" w:tentative="0">
      <w:start w:val="1"/>
      <w:numFmt w:val="decimal"/>
      <w:pStyle w:val="8"/>
      <w:lvlText w:val="%1."/>
      <w:lvlJc w:val="left"/>
      <w:pPr>
        <w:tabs>
          <w:tab w:val="left" w:pos="780"/>
        </w:tabs>
        <w:ind w:left="780" w:hanging="360"/>
      </w:pPr>
    </w:lvl>
  </w:abstractNum>
  <w:abstractNum w:abstractNumId="2">
    <w:nsid w:val="288BF528"/>
    <w:multiLevelType w:val="singleLevel"/>
    <w:tmpl w:val="288BF52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 w:name="KSO_WPS_MARK_KEY" w:val="709cdc5d-0540-476b-9a04-ce6690f85ef1"/>
  </w:docVars>
  <w:rsids>
    <w:rsidRoot w:val="00B81D48"/>
    <w:rsid w:val="00002F99"/>
    <w:rsid w:val="0004440D"/>
    <w:rsid w:val="000839BA"/>
    <w:rsid w:val="00087B52"/>
    <w:rsid w:val="00197C29"/>
    <w:rsid w:val="001A50FE"/>
    <w:rsid w:val="001B349B"/>
    <w:rsid w:val="001C0867"/>
    <w:rsid w:val="001C13BC"/>
    <w:rsid w:val="00231FFE"/>
    <w:rsid w:val="00265291"/>
    <w:rsid w:val="002814E9"/>
    <w:rsid w:val="002946E6"/>
    <w:rsid w:val="00350F4F"/>
    <w:rsid w:val="00432608"/>
    <w:rsid w:val="004638A5"/>
    <w:rsid w:val="00493C42"/>
    <w:rsid w:val="004B4846"/>
    <w:rsid w:val="004B7F46"/>
    <w:rsid w:val="00503C85"/>
    <w:rsid w:val="00524325"/>
    <w:rsid w:val="00590623"/>
    <w:rsid w:val="00602FBD"/>
    <w:rsid w:val="00653DEC"/>
    <w:rsid w:val="006573F3"/>
    <w:rsid w:val="0069501A"/>
    <w:rsid w:val="006E2675"/>
    <w:rsid w:val="006F13A5"/>
    <w:rsid w:val="00704C9C"/>
    <w:rsid w:val="007631A8"/>
    <w:rsid w:val="007D6DBE"/>
    <w:rsid w:val="00821DE5"/>
    <w:rsid w:val="008B60FE"/>
    <w:rsid w:val="008F1A9C"/>
    <w:rsid w:val="009177AE"/>
    <w:rsid w:val="00956249"/>
    <w:rsid w:val="00A020F0"/>
    <w:rsid w:val="00A47E6C"/>
    <w:rsid w:val="00A56A14"/>
    <w:rsid w:val="00A758DC"/>
    <w:rsid w:val="00A904E8"/>
    <w:rsid w:val="00AD3599"/>
    <w:rsid w:val="00AE4D14"/>
    <w:rsid w:val="00B1630D"/>
    <w:rsid w:val="00B47FC3"/>
    <w:rsid w:val="00B670C2"/>
    <w:rsid w:val="00B81D48"/>
    <w:rsid w:val="00C226A3"/>
    <w:rsid w:val="00C63554"/>
    <w:rsid w:val="00CE145F"/>
    <w:rsid w:val="00D060E3"/>
    <w:rsid w:val="00D10F55"/>
    <w:rsid w:val="00D657E2"/>
    <w:rsid w:val="00D75D84"/>
    <w:rsid w:val="00DA54C6"/>
    <w:rsid w:val="00E25ADA"/>
    <w:rsid w:val="00E7529E"/>
    <w:rsid w:val="00EE731F"/>
    <w:rsid w:val="00F055F2"/>
    <w:rsid w:val="00F278D3"/>
    <w:rsid w:val="00F80A7B"/>
    <w:rsid w:val="00F9134F"/>
    <w:rsid w:val="00FF1142"/>
    <w:rsid w:val="00FF4AB2"/>
    <w:rsid w:val="01B2763E"/>
    <w:rsid w:val="01B77754"/>
    <w:rsid w:val="01EF731B"/>
    <w:rsid w:val="02272D09"/>
    <w:rsid w:val="029E40AD"/>
    <w:rsid w:val="02F827B5"/>
    <w:rsid w:val="03224E63"/>
    <w:rsid w:val="03A76C6E"/>
    <w:rsid w:val="03D472D2"/>
    <w:rsid w:val="04710095"/>
    <w:rsid w:val="047E7BC6"/>
    <w:rsid w:val="04EB16EA"/>
    <w:rsid w:val="05240A42"/>
    <w:rsid w:val="066F1BE9"/>
    <w:rsid w:val="07683FB9"/>
    <w:rsid w:val="07BF3891"/>
    <w:rsid w:val="0838035C"/>
    <w:rsid w:val="0873317A"/>
    <w:rsid w:val="088C687B"/>
    <w:rsid w:val="08973524"/>
    <w:rsid w:val="08B37FAC"/>
    <w:rsid w:val="09505633"/>
    <w:rsid w:val="0A367D33"/>
    <w:rsid w:val="0ABE2232"/>
    <w:rsid w:val="0AF569CA"/>
    <w:rsid w:val="0B183F48"/>
    <w:rsid w:val="0B657E3F"/>
    <w:rsid w:val="0B723A39"/>
    <w:rsid w:val="0BAC3020"/>
    <w:rsid w:val="0C840297"/>
    <w:rsid w:val="0C840D85"/>
    <w:rsid w:val="0C884A97"/>
    <w:rsid w:val="0CE96AA1"/>
    <w:rsid w:val="0CF0482A"/>
    <w:rsid w:val="0D1F511A"/>
    <w:rsid w:val="0D75742F"/>
    <w:rsid w:val="0E44675E"/>
    <w:rsid w:val="0EB255AE"/>
    <w:rsid w:val="1002083E"/>
    <w:rsid w:val="10A92A26"/>
    <w:rsid w:val="110A0E7A"/>
    <w:rsid w:val="113765E4"/>
    <w:rsid w:val="114D16E3"/>
    <w:rsid w:val="11943167"/>
    <w:rsid w:val="11E5558D"/>
    <w:rsid w:val="122F1873"/>
    <w:rsid w:val="12502790"/>
    <w:rsid w:val="12621390"/>
    <w:rsid w:val="14270E0B"/>
    <w:rsid w:val="143E44B2"/>
    <w:rsid w:val="146F1229"/>
    <w:rsid w:val="149C7115"/>
    <w:rsid w:val="15041055"/>
    <w:rsid w:val="15547FDE"/>
    <w:rsid w:val="16490E25"/>
    <w:rsid w:val="166A11B2"/>
    <w:rsid w:val="16CB00C0"/>
    <w:rsid w:val="16CE298A"/>
    <w:rsid w:val="16D6325C"/>
    <w:rsid w:val="16D77490"/>
    <w:rsid w:val="17343E96"/>
    <w:rsid w:val="1756362C"/>
    <w:rsid w:val="17C66E57"/>
    <w:rsid w:val="18A01469"/>
    <w:rsid w:val="18D86A52"/>
    <w:rsid w:val="19534D0F"/>
    <w:rsid w:val="19BB266E"/>
    <w:rsid w:val="19D264E0"/>
    <w:rsid w:val="1B215579"/>
    <w:rsid w:val="1B64607E"/>
    <w:rsid w:val="1BD143CB"/>
    <w:rsid w:val="1C055E22"/>
    <w:rsid w:val="1C7D1E5D"/>
    <w:rsid w:val="1CDB6D44"/>
    <w:rsid w:val="1D735B66"/>
    <w:rsid w:val="1E9F50E5"/>
    <w:rsid w:val="1EEB314A"/>
    <w:rsid w:val="1F246444"/>
    <w:rsid w:val="202A22FB"/>
    <w:rsid w:val="20F04B19"/>
    <w:rsid w:val="211865F8"/>
    <w:rsid w:val="2182189F"/>
    <w:rsid w:val="22487C32"/>
    <w:rsid w:val="226E2973"/>
    <w:rsid w:val="228C0F03"/>
    <w:rsid w:val="22FE0FF6"/>
    <w:rsid w:val="23012011"/>
    <w:rsid w:val="233A4A47"/>
    <w:rsid w:val="243F6E7C"/>
    <w:rsid w:val="24BC20C9"/>
    <w:rsid w:val="24DF63D3"/>
    <w:rsid w:val="24FF2EEA"/>
    <w:rsid w:val="26395046"/>
    <w:rsid w:val="26D70C92"/>
    <w:rsid w:val="26DE44C3"/>
    <w:rsid w:val="2702368A"/>
    <w:rsid w:val="287007DF"/>
    <w:rsid w:val="28B26AEC"/>
    <w:rsid w:val="28BD35F9"/>
    <w:rsid w:val="299F1664"/>
    <w:rsid w:val="2A785DF8"/>
    <w:rsid w:val="2A93219D"/>
    <w:rsid w:val="2B597F39"/>
    <w:rsid w:val="2BE31BFB"/>
    <w:rsid w:val="2D412A32"/>
    <w:rsid w:val="2DD702D0"/>
    <w:rsid w:val="2DD73EA7"/>
    <w:rsid w:val="2ED554DF"/>
    <w:rsid w:val="2F10378D"/>
    <w:rsid w:val="2FAC3CE9"/>
    <w:rsid w:val="31313E9B"/>
    <w:rsid w:val="31794E91"/>
    <w:rsid w:val="31AC0DC2"/>
    <w:rsid w:val="31E241FE"/>
    <w:rsid w:val="329D695D"/>
    <w:rsid w:val="33943D8C"/>
    <w:rsid w:val="34137D7F"/>
    <w:rsid w:val="343D57C2"/>
    <w:rsid w:val="343E12AD"/>
    <w:rsid w:val="354362C5"/>
    <w:rsid w:val="35A04974"/>
    <w:rsid w:val="35BF6BEA"/>
    <w:rsid w:val="35D602A2"/>
    <w:rsid w:val="35FB19D7"/>
    <w:rsid w:val="37A2389E"/>
    <w:rsid w:val="380924A0"/>
    <w:rsid w:val="38307E03"/>
    <w:rsid w:val="38804307"/>
    <w:rsid w:val="38A21098"/>
    <w:rsid w:val="392204A6"/>
    <w:rsid w:val="399860D0"/>
    <w:rsid w:val="3A00614F"/>
    <w:rsid w:val="3ACB6460"/>
    <w:rsid w:val="3AEF7FF2"/>
    <w:rsid w:val="3B407636"/>
    <w:rsid w:val="3BC62A80"/>
    <w:rsid w:val="3C5D70FC"/>
    <w:rsid w:val="3D05582A"/>
    <w:rsid w:val="3E182D3C"/>
    <w:rsid w:val="3E436DFA"/>
    <w:rsid w:val="3E640EE7"/>
    <w:rsid w:val="3EAD4B84"/>
    <w:rsid w:val="3EE37D67"/>
    <w:rsid w:val="3F054F0F"/>
    <w:rsid w:val="3F2C6ECC"/>
    <w:rsid w:val="3FA75717"/>
    <w:rsid w:val="408B4299"/>
    <w:rsid w:val="408E147E"/>
    <w:rsid w:val="41F54959"/>
    <w:rsid w:val="42913B91"/>
    <w:rsid w:val="43670794"/>
    <w:rsid w:val="438A534E"/>
    <w:rsid w:val="447A4D50"/>
    <w:rsid w:val="44B172A1"/>
    <w:rsid w:val="45395352"/>
    <w:rsid w:val="45493506"/>
    <w:rsid w:val="45EA7CB3"/>
    <w:rsid w:val="46290E12"/>
    <w:rsid w:val="46515AE2"/>
    <w:rsid w:val="469631B0"/>
    <w:rsid w:val="46CD0A85"/>
    <w:rsid w:val="47DC8921"/>
    <w:rsid w:val="496500C2"/>
    <w:rsid w:val="497B34BB"/>
    <w:rsid w:val="49D11A1A"/>
    <w:rsid w:val="4A284C78"/>
    <w:rsid w:val="4A4C3C75"/>
    <w:rsid w:val="4AF93C9D"/>
    <w:rsid w:val="4B104D1C"/>
    <w:rsid w:val="4B28401D"/>
    <w:rsid w:val="4C1F782A"/>
    <w:rsid w:val="4C9419F1"/>
    <w:rsid w:val="4D491763"/>
    <w:rsid w:val="4D8C33FE"/>
    <w:rsid w:val="4D90613A"/>
    <w:rsid w:val="4F063409"/>
    <w:rsid w:val="4F76737C"/>
    <w:rsid w:val="4F882B10"/>
    <w:rsid w:val="4F8F19E5"/>
    <w:rsid w:val="50543881"/>
    <w:rsid w:val="51980357"/>
    <w:rsid w:val="523B2FB1"/>
    <w:rsid w:val="524378C6"/>
    <w:rsid w:val="53481A33"/>
    <w:rsid w:val="54274D4F"/>
    <w:rsid w:val="548C2E85"/>
    <w:rsid w:val="54B37E71"/>
    <w:rsid w:val="54EC75A4"/>
    <w:rsid w:val="5635156F"/>
    <w:rsid w:val="57145C59"/>
    <w:rsid w:val="5715738D"/>
    <w:rsid w:val="57F347A6"/>
    <w:rsid w:val="585B0D05"/>
    <w:rsid w:val="59483EFF"/>
    <w:rsid w:val="5A0922DC"/>
    <w:rsid w:val="5B4D7AF8"/>
    <w:rsid w:val="5B6A399B"/>
    <w:rsid w:val="5BB02FCA"/>
    <w:rsid w:val="5BF57A15"/>
    <w:rsid w:val="5C9E26A8"/>
    <w:rsid w:val="5D490A91"/>
    <w:rsid w:val="5DCF3D1D"/>
    <w:rsid w:val="5DD21301"/>
    <w:rsid w:val="5EB56C59"/>
    <w:rsid w:val="5EDD0C3E"/>
    <w:rsid w:val="5F482B61"/>
    <w:rsid w:val="6082345D"/>
    <w:rsid w:val="608B15A8"/>
    <w:rsid w:val="61836929"/>
    <w:rsid w:val="61CA1D28"/>
    <w:rsid w:val="62B10442"/>
    <w:rsid w:val="62F75170"/>
    <w:rsid w:val="649177EE"/>
    <w:rsid w:val="64C05D69"/>
    <w:rsid w:val="652F768E"/>
    <w:rsid w:val="66A76DC0"/>
    <w:rsid w:val="66A82BFF"/>
    <w:rsid w:val="66B46207"/>
    <w:rsid w:val="66BB3FDF"/>
    <w:rsid w:val="66BB411C"/>
    <w:rsid w:val="66D442C8"/>
    <w:rsid w:val="67192C65"/>
    <w:rsid w:val="68E92020"/>
    <w:rsid w:val="69006D22"/>
    <w:rsid w:val="69271FE1"/>
    <w:rsid w:val="69690D6B"/>
    <w:rsid w:val="6A050D74"/>
    <w:rsid w:val="6A0E3619"/>
    <w:rsid w:val="6B1002F5"/>
    <w:rsid w:val="6BBA17FD"/>
    <w:rsid w:val="6C2F6EDE"/>
    <w:rsid w:val="6D266665"/>
    <w:rsid w:val="6D3A09A3"/>
    <w:rsid w:val="6D7901D4"/>
    <w:rsid w:val="6D955BA2"/>
    <w:rsid w:val="6E4771A1"/>
    <w:rsid w:val="6F135EC3"/>
    <w:rsid w:val="6F3B1249"/>
    <w:rsid w:val="707919D2"/>
    <w:rsid w:val="71637B14"/>
    <w:rsid w:val="722503D0"/>
    <w:rsid w:val="72966949"/>
    <w:rsid w:val="73E26222"/>
    <w:rsid w:val="749278AD"/>
    <w:rsid w:val="74B11E78"/>
    <w:rsid w:val="74C96AEF"/>
    <w:rsid w:val="757B75F5"/>
    <w:rsid w:val="75AF5D58"/>
    <w:rsid w:val="75C41943"/>
    <w:rsid w:val="75CD4079"/>
    <w:rsid w:val="762A53DF"/>
    <w:rsid w:val="764C5E0A"/>
    <w:rsid w:val="768A40CF"/>
    <w:rsid w:val="76C33B6A"/>
    <w:rsid w:val="77272A31"/>
    <w:rsid w:val="77A22BCB"/>
    <w:rsid w:val="77E43BC0"/>
    <w:rsid w:val="77FB55A5"/>
    <w:rsid w:val="781F62F3"/>
    <w:rsid w:val="782939AD"/>
    <w:rsid w:val="78414C61"/>
    <w:rsid w:val="784C18A9"/>
    <w:rsid w:val="78D83818"/>
    <w:rsid w:val="798E3D23"/>
    <w:rsid w:val="79C758F6"/>
    <w:rsid w:val="7A3879D6"/>
    <w:rsid w:val="7A56118E"/>
    <w:rsid w:val="7A8F3DE8"/>
    <w:rsid w:val="7AE16C4A"/>
    <w:rsid w:val="7AE5221C"/>
    <w:rsid w:val="7BEA55EF"/>
    <w:rsid w:val="7BFB0C03"/>
    <w:rsid w:val="7C3F3BAE"/>
    <w:rsid w:val="7CC13008"/>
    <w:rsid w:val="7E435F80"/>
    <w:rsid w:val="7F01271C"/>
    <w:rsid w:val="7F7C1752"/>
    <w:rsid w:val="FFFE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360" w:lineRule="auto"/>
      <w:jc w:val="left"/>
      <w:outlineLvl w:val="0"/>
    </w:pPr>
    <w:rPr>
      <w:rFonts w:ascii="Calibri" w:hAnsi="Calibri" w:eastAsia="黑体" w:cs="Times New Roman"/>
      <w:bCs/>
      <w:kern w:val="44"/>
      <w:sz w:val="44"/>
      <w:szCs w:val="44"/>
    </w:rPr>
  </w:style>
  <w:style w:type="paragraph" w:styleId="4">
    <w:name w:val="heading 2"/>
    <w:basedOn w:val="1"/>
    <w:next w:val="1"/>
    <w:link w:val="44"/>
    <w:qFormat/>
    <w:uiPriority w:val="9"/>
    <w:pPr>
      <w:keepNext/>
      <w:keepLines/>
      <w:spacing w:before="260" w:after="260" w:line="360" w:lineRule="auto"/>
      <w:jc w:val="left"/>
      <w:outlineLvl w:val="1"/>
    </w:pPr>
    <w:rPr>
      <w:rFonts w:ascii="Cambria" w:hAnsi="Cambria" w:eastAsia="方正大标宋简体" w:cs="Times New Roman"/>
      <w:bCs/>
      <w:sz w:val="36"/>
      <w:szCs w:val="32"/>
    </w:rPr>
  </w:style>
  <w:style w:type="paragraph" w:styleId="5">
    <w:name w:val="heading 3"/>
    <w:basedOn w:val="1"/>
    <w:next w:val="1"/>
    <w:link w:val="52"/>
    <w:qFormat/>
    <w:uiPriority w:val="9"/>
    <w:pPr>
      <w:keepNext/>
      <w:keepLines/>
      <w:adjustRightInd w:val="0"/>
      <w:spacing w:before="260" w:after="260" w:line="360" w:lineRule="auto"/>
      <w:jc w:val="left"/>
      <w:outlineLvl w:val="2"/>
    </w:pPr>
    <w:rPr>
      <w:rFonts w:ascii="Calibri" w:hAnsi="Calibri" w:eastAsia="黑体" w:cs="Times New Roman"/>
      <w:bCs/>
      <w:sz w:val="32"/>
      <w:szCs w:val="32"/>
    </w:rPr>
  </w:style>
  <w:style w:type="paragraph" w:styleId="6">
    <w:name w:val="heading 4"/>
    <w:basedOn w:val="1"/>
    <w:next w:val="1"/>
    <w:link w:val="46"/>
    <w:qFormat/>
    <w:uiPriority w:val="9"/>
    <w:pPr>
      <w:keepNext/>
      <w:keepLines/>
      <w:spacing w:before="280" w:after="290" w:line="377" w:lineRule="auto"/>
      <w:ind w:firstLine="10" w:firstLineChars="10"/>
      <w:jc w:val="left"/>
      <w:outlineLvl w:val="3"/>
    </w:pPr>
    <w:rPr>
      <w:rFonts w:ascii="Cambria" w:hAnsi="Cambria" w:eastAsia="黑体" w:cs="Times New Roman"/>
      <w:bCs/>
      <w:sz w:val="24"/>
      <w:szCs w:val="28"/>
    </w:rPr>
  </w:style>
  <w:style w:type="paragraph" w:styleId="7">
    <w:name w:val="heading 5"/>
    <w:basedOn w:val="8"/>
    <w:next w:val="9"/>
    <w:link w:val="47"/>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paragraph" w:styleId="11">
    <w:name w:val="heading 6"/>
    <w:basedOn w:val="1"/>
    <w:next w:val="1"/>
    <w:link w:val="48"/>
    <w:qFormat/>
    <w:uiPriority w:val="9"/>
    <w:pPr>
      <w:keepNext/>
      <w:keepLines/>
      <w:spacing w:before="240" w:after="64" w:line="319" w:lineRule="auto"/>
      <w:ind w:firstLine="200" w:firstLineChars="200"/>
      <w:jc w:val="center"/>
      <w:outlineLvl w:val="5"/>
    </w:pPr>
    <w:rPr>
      <w:rFonts w:ascii="Cambria" w:hAnsi="Cambria" w:eastAsia="宋体" w:cs="Times New Roman"/>
      <w:b/>
      <w:bCs/>
      <w:sz w:val="24"/>
      <w:szCs w:val="24"/>
    </w:rPr>
  </w:style>
  <w:style w:type="paragraph" w:styleId="12">
    <w:name w:val="heading 7"/>
    <w:basedOn w:val="1"/>
    <w:next w:val="1"/>
    <w:link w:val="49"/>
    <w:qFormat/>
    <w:uiPriority w:val="9"/>
    <w:pPr>
      <w:keepNext/>
      <w:keepLines/>
      <w:spacing w:before="240" w:after="64" w:line="319" w:lineRule="auto"/>
      <w:ind w:firstLine="200" w:firstLineChars="200"/>
      <w:jc w:val="center"/>
      <w:outlineLvl w:val="6"/>
    </w:pPr>
    <w:rPr>
      <w:rFonts w:ascii="Calibri" w:hAnsi="Calibri" w:eastAsia="宋体" w:cs="Times New Roman"/>
      <w:b/>
      <w:bCs/>
      <w:sz w:val="24"/>
      <w:szCs w:val="24"/>
    </w:rPr>
  </w:style>
  <w:style w:type="paragraph" w:styleId="13">
    <w:name w:val="heading 8"/>
    <w:basedOn w:val="1"/>
    <w:next w:val="1"/>
    <w:link w:val="50"/>
    <w:qFormat/>
    <w:uiPriority w:val="9"/>
    <w:pPr>
      <w:keepNext/>
      <w:keepLines/>
      <w:spacing w:before="240" w:after="64" w:line="319" w:lineRule="auto"/>
      <w:ind w:firstLine="200" w:firstLineChars="200"/>
      <w:jc w:val="left"/>
      <w:outlineLvl w:val="7"/>
    </w:pPr>
    <w:rPr>
      <w:rFonts w:ascii="Cambria" w:hAnsi="Cambria" w:eastAsia="宋体" w:cs="Times New Roman"/>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7"/>
    <w:unhideWhenUsed/>
    <w:qFormat/>
    <w:uiPriority w:val="99"/>
    <w:rPr>
      <w:rFonts w:ascii="Calibri" w:hAnsi="Calibri" w:eastAsia="宋体" w:cs="Times New Roman"/>
      <w:sz w:val="18"/>
      <w:szCs w:val="18"/>
    </w:rPr>
  </w:style>
  <w:style w:type="paragraph" w:styleId="8">
    <w:name w:val="List Number 2"/>
    <w:basedOn w:val="1"/>
    <w:unhideWhenUsed/>
    <w:qFormat/>
    <w:uiPriority w:val="99"/>
    <w:pPr>
      <w:numPr>
        <w:ilvl w:val="0"/>
        <w:numId w:val="1"/>
      </w:numPr>
    </w:pPr>
    <w:rPr>
      <w:rFonts w:ascii="Calibri" w:hAnsi="Calibri" w:eastAsia="宋体" w:cs="Times New Roman"/>
    </w:r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cs="宋体"/>
      <w:sz w:val="24"/>
      <w:szCs w:val="20"/>
    </w:rPr>
  </w:style>
  <w:style w:type="paragraph" w:styleId="14">
    <w:name w:val="Normal Indent"/>
    <w:basedOn w:val="1"/>
    <w:qFormat/>
    <w:uiPriority w:val="0"/>
    <w:pPr>
      <w:ind w:firstLine="420"/>
    </w:pPr>
    <w:rPr>
      <w:rFonts w:ascii="Times New Roman" w:hAnsi="Times New Roman" w:cs="Times New Roman"/>
      <w:szCs w:val="20"/>
    </w:rPr>
  </w:style>
  <w:style w:type="paragraph" w:styleId="15">
    <w:name w:val="Document Map"/>
    <w:basedOn w:val="1"/>
    <w:link w:val="53"/>
    <w:unhideWhenUsed/>
    <w:qFormat/>
    <w:uiPriority w:val="99"/>
    <w:rPr>
      <w:rFonts w:ascii="宋体" w:hAnsi="Calibri" w:eastAsia="宋体" w:cs="Times New Roman"/>
      <w:sz w:val="18"/>
      <w:szCs w:val="18"/>
    </w:rPr>
  </w:style>
  <w:style w:type="paragraph" w:styleId="16">
    <w:name w:val="annotation text"/>
    <w:basedOn w:val="1"/>
    <w:link w:val="54"/>
    <w:unhideWhenUsed/>
    <w:qFormat/>
    <w:uiPriority w:val="0"/>
    <w:pPr>
      <w:jc w:val="left"/>
    </w:pPr>
    <w:rPr>
      <w:rFonts w:ascii="Calibri" w:hAnsi="Calibri" w:eastAsia="宋体" w:cs="Times New Roman"/>
    </w:rPr>
  </w:style>
  <w:style w:type="paragraph" w:styleId="17">
    <w:name w:val="Body Text"/>
    <w:basedOn w:val="1"/>
    <w:next w:val="1"/>
    <w:link w:val="55"/>
    <w:qFormat/>
    <w:uiPriority w:val="1"/>
    <w:rPr>
      <w:rFonts w:ascii="Calibri" w:hAnsi="Calibri" w:eastAsia="宋体" w:cs="Times New Roman"/>
      <w:b/>
      <w:szCs w:val="24"/>
    </w:rPr>
  </w:style>
  <w:style w:type="paragraph" w:styleId="18">
    <w:name w:val="Body Text Indent"/>
    <w:basedOn w:val="1"/>
    <w:next w:val="1"/>
    <w:qFormat/>
    <w:uiPriority w:val="99"/>
    <w:pPr>
      <w:spacing w:line="360" w:lineRule="auto"/>
      <w:ind w:firstLine="420" w:firstLineChars="200"/>
      <w:outlineLvl w:val="0"/>
    </w:pPr>
    <w:rPr>
      <w:color w:val="000000"/>
    </w:rPr>
  </w:style>
  <w:style w:type="paragraph" w:styleId="19">
    <w:name w:val="Block Text"/>
    <w:basedOn w:val="1"/>
    <w:qFormat/>
    <w:uiPriority w:val="99"/>
    <w:pPr>
      <w:spacing w:line="400" w:lineRule="atLeast"/>
      <w:ind w:left="280" w:right="134" w:rightChars="134" w:firstLine="497"/>
    </w:pPr>
    <w:rPr>
      <w:rFonts w:ascii="宋体" w:hAnsi="宋体" w:eastAsia="楷体_GB2312"/>
      <w:sz w:val="24"/>
      <w:szCs w:val="20"/>
    </w:rPr>
  </w:style>
  <w:style w:type="paragraph" w:styleId="20">
    <w:name w:val="toc 3"/>
    <w:basedOn w:val="1"/>
    <w:next w:val="1"/>
    <w:unhideWhenUsed/>
    <w:qFormat/>
    <w:uiPriority w:val="39"/>
    <w:pPr>
      <w:ind w:left="840" w:leftChars="400"/>
    </w:pPr>
    <w:rPr>
      <w:rFonts w:ascii="Calibri" w:hAnsi="Calibri" w:eastAsia="宋体" w:cs="Times New Roman"/>
    </w:rPr>
  </w:style>
  <w:style w:type="paragraph" w:styleId="21">
    <w:name w:val="Plain Text"/>
    <w:basedOn w:val="1"/>
    <w:link w:val="56"/>
    <w:unhideWhenUsed/>
    <w:qFormat/>
    <w:uiPriority w:val="99"/>
    <w:rPr>
      <w:rFonts w:ascii="宋体" w:hAnsi="Courier New" w:eastAsia="宋体" w:cs="Courier New"/>
      <w:szCs w:val="21"/>
    </w:rPr>
  </w:style>
  <w:style w:type="paragraph" w:styleId="22">
    <w:name w:val="footer"/>
    <w:basedOn w:val="1"/>
    <w:link w:val="43"/>
    <w:unhideWhenUsed/>
    <w:qFormat/>
    <w:uiPriority w:val="99"/>
    <w:pPr>
      <w:tabs>
        <w:tab w:val="center" w:pos="4153"/>
        <w:tab w:val="right" w:pos="8306"/>
      </w:tabs>
      <w:snapToGrid w:val="0"/>
      <w:jc w:val="left"/>
    </w:pPr>
    <w:rPr>
      <w:sz w:val="18"/>
      <w:szCs w:val="18"/>
    </w:rPr>
  </w:style>
  <w:style w:type="paragraph" w:styleId="2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rPr>
      <w:rFonts w:ascii="Calibri" w:hAnsi="Calibri" w:eastAsia="宋体" w:cs="Times New Roman"/>
    </w:rPr>
  </w:style>
  <w:style w:type="paragraph" w:styleId="25">
    <w:name w:val="footnote text"/>
    <w:basedOn w:val="1"/>
    <w:link w:val="58"/>
    <w:unhideWhenUsed/>
    <w:qFormat/>
    <w:uiPriority w:val="99"/>
    <w:pPr>
      <w:snapToGrid w:val="0"/>
      <w:jc w:val="left"/>
    </w:pPr>
    <w:rPr>
      <w:rFonts w:ascii="Calibri" w:hAnsi="Calibri" w:eastAsia="宋体" w:cs="Times New Roman"/>
      <w:sz w:val="18"/>
      <w:szCs w:val="18"/>
    </w:rPr>
  </w:style>
  <w:style w:type="paragraph" w:styleId="26">
    <w:name w:val="toc 2"/>
    <w:basedOn w:val="1"/>
    <w:next w:val="1"/>
    <w:unhideWhenUsed/>
    <w:qFormat/>
    <w:uiPriority w:val="39"/>
    <w:pPr>
      <w:ind w:left="420" w:leftChars="200"/>
    </w:pPr>
    <w:rPr>
      <w:rFonts w:ascii="Calibri" w:hAnsi="Calibri" w:eastAsia="宋体" w:cs="Times New Roman"/>
    </w:rPr>
  </w:style>
  <w:style w:type="paragraph" w:styleId="27">
    <w:name w:val="List 4"/>
    <w:basedOn w:val="1"/>
    <w:unhideWhenUsed/>
    <w:qFormat/>
    <w:uiPriority w:val="99"/>
    <w:pPr>
      <w:ind w:left="100" w:leftChars="600" w:hanging="200" w:hangingChars="200"/>
      <w:contextualSpacing/>
    </w:pPr>
    <w:rPr>
      <w:rFonts w:ascii="Calibri" w:hAnsi="Calibri" w:eastAsia="宋体" w:cs="Times New Roman"/>
    </w:rPr>
  </w:style>
  <w:style w:type="paragraph" w:styleId="28">
    <w:name w:val="HTML Preformatted"/>
    <w:basedOn w:val="1"/>
    <w:link w:val="5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Title"/>
    <w:basedOn w:val="1"/>
    <w:next w:val="1"/>
    <w:link w:val="60"/>
    <w:qFormat/>
    <w:uiPriority w:val="1"/>
    <w:pPr>
      <w:spacing w:before="207"/>
      <w:ind w:left="1174" w:right="576"/>
      <w:jc w:val="center"/>
    </w:pPr>
    <w:rPr>
      <w:rFonts w:ascii="Arial Unicode MS" w:hAnsi="Arial Unicode MS" w:eastAsia="Arial Unicode MS" w:cs="Arial Unicode MS"/>
      <w:sz w:val="44"/>
      <w:szCs w:val="44"/>
    </w:rPr>
  </w:style>
  <w:style w:type="paragraph" w:styleId="30">
    <w:name w:val="annotation subject"/>
    <w:basedOn w:val="16"/>
    <w:next w:val="16"/>
    <w:link w:val="61"/>
    <w:unhideWhenUsed/>
    <w:qFormat/>
    <w:uiPriority w:val="99"/>
    <w:rPr>
      <w:b/>
      <w:bCs/>
    </w:rPr>
  </w:style>
  <w:style w:type="paragraph" w:styleId="31">
    <w:name w:val="Body Text First Indent 2"/>
    <w:basedOn w:val="18"/>
    <w:unhideWhenUsed/>
    <w:qFormat/>
    <w:uiPriority w:val="99"/>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99"/>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styleId="39">
    <w:name w:val="footnote reference"/>
    <w:unhideWhenUsed/>
    <w:qFormat/>
    <w:uiPriority w:val="99"/>
    <w:rPr>
      <w:vertAlign w:val="superscript"/>
    </w:rPr>
  </w:style>
  <w:style w:type="character" w:customStyle="1" w:styleId="40">
    <w:name w:val="标题 1 Char"/>
    <w:basedOn w:val="34"/>
    <w:qFormat/>
    <w:uiPriority w:val="9"/>
    <w:rPr>
      <w:b/>
      <w:bCs/>
      <w:kern w:val="44"/>
      <w:sz w:val="44"/>
      <w:szCs w:val="44"/>
    </w:rPr>
  </w:style>
  <w:style w:type="paragraph" w:customStyle="1" w:styleId="41">
    <w:name w:val="Fließtext"/>
    <w:basedOn w:val="1"/>
    <w:qFormat/>
    <w:uiPriority w:val="99"/>
    <w:pPr>
      <w:overflowPunct w:val="0"/>
      <w:autoSpaceDE w:val="0"/>
      <w:autoSpaceDN w:val="0"/>
      <w:adjustRightInd w:val="0"/>
      <w:textAlignment w:val="baseline"/>
    </w:pPr>
    <w:rPr>
      <w:kern w:val="28"/>
      <w:szCs w:val="20"/>
    </w:rPr>
  </w:style>
  <w:style w:type="character" w:customStyle="1" w:styleId="42">
    <w:name w:val="页眉 字符"/>
    <w:basedOn w:val="34"/>
    <w:link w:val="23"/>
    <w:qFormat/>
    <w:uiPriority w:val="99"/>
    <w:rPr>
      <w:sz w:val="18"/>
      <w:szCs w:val="18"/>
    </w:rPr>
  </w:style>
  <w:style w:type="character" w:customStyle="1" w:styleId="43">
    <w:name w:val="页脚 字符"/>
    <w:basedOn w:val="34"/>
    <w:link w:val="22"/>
    <w:qFormat/>
    <w:uiPriority w:val="99"/>
    <w:rPr>
      <w:sz w:val="18"/>
      <w:szCs w:val="18"/>
    </w:rPr>
  </w:style>
  <w:style w:type="character" w:customStyle="1" w:styleId="44">
    <w:name w:val="标题 2 字符"/>
    <w:basedOn w:val="34"/>
    <w:link w:val="4"/>
    <w:qFormat/>
    <w:uiPriority w:val="9"/>
    <w:rPr>
      <w:rFonts w:ascii="Cambria" w:hAnsi="Cambria" w:eastAsia="方正大标宋简体" w:cs="Times New Roman"/>
      <w:bCs/>
      <w:sz w:val="36"/>
      <w:szCs w:val="32"/>
    </w:rPr>
  </w:style>
  <w:style w:type="character" w:customStyle="1" w:styleId="45">
    <w:name w:val="标题 3 Char"/>
    <w:basedOn w:val="34"/>
    <w:qFormat/>
    <w:uiPriority w:val="0"/>
    <w:rPr>
      <w:b/>
      <w:bCs/>
      <w:sz w:val="32"/>
      <w:szCs w:val="32"/>
    </w:rPr>
  </w:style>
  <w:style w:type="character" w:customStyle="1" w:styleId="46">
    <w:name w:val="标题 4 字符"/>
    <w:basedOn w:val="34"/>
    <w:link w:val="6"/>
    <w:qFormat/>
    <w:uiPriority w:val="9"/>
    <w:rPr>
      <w:rFonts w:ascii="Cambria" w:hAnsi="Cambria" w:eastAsia="黑体" w:cs="Times New Roman"/>
      <w:bCs/>
      <w:sz w:val="24"/>
      <w:szCs w:val="28"/>
    </w:rPr>
  </w:style>
  <w:style w:type="character" w:customStyle="1" w:styleId="47">
    <w:name w:val="标题 5 字符"/>
    <w:basedOn w:val="34"/>
    <w:link w:val="7"/>
    <w:qFormat/>
    <w:uiPriority w:val="9"/>
    <w:rPr>
      <w:rFonts w:ascii="Times New Roman" w:hAnsi="Times New Roman" w:eastAsia="仿宋_GB2312" w:cs="Times New Roman"/>
      <w:bCs/>
      <w:szCs w:val="28"/>
    </w:rPr>
  </w:style>
  <w:style w:type="character" w:customStyle="1" w:styleId="48">
    <w:name w:val="标题 6 字符"/>
    <w:basedOn w:val="34"/>
    <w:link w:val="11"/>
    <w:qFormat/>
    <w:uiPriority w:val="9"/>
    <w:rPr>
      <w:rFonts w:ascii="Cambria" w:hAnsi="Cambria" w:eastAsia="宋体" w:cs="Times New Roman"/>
      <w:b/>
      <w:bCs/>
      <w:sz w:val="24"/>
      <w:szCs w:val="24"/>
    </w:rPr>
  </w:style>
  <w:style w:type="character" w:customStyle="1" w:styleId="49">
    <w:name w:val="标题 7 字符"/>
    <w:basedOn w:val="34"/>
    <w:link w:val="12"/>
    <w:qFormat/>
    <w:uiPriority w:val="9"/>
    <w:rPr>
      <w:rFonts w:ascii="Calibri" w:hAnsi="Calibri" w:eastAsia="宋体" w:cs="Times New Roman"/>
      <w:b/>
      <w:bCs/>
      <w:sz w:val="24"/>
      <w:szCs w:val="24"/>
    </w:rPr>
  </w:style>
  <w:style w:type="character" w:customStyle="1" w:styleId="50">
    <w:name w:val="标题 8 字符"/>
    <w:basedOn w:val="34"/>
    <w:link w:val="13"/>
    <w:qFormat/>
    <w:uiPriority w:val="9"/>
    <w:rPr>
      <w:rFonts w:ascii="Cambria" w:hAnsi="Cambria" w:eastAsia="宋体" w:cs="Times New Roman"/>
      <w:sz w:val="24"/>
      <w:szCs w:val="24"/>
    </w:rPr>
  </w:style>
  <w:style w:type="character" w:customStyle="1" w:styleId="51">
    <w:name w:val="标题 1 字符"/>
    <w:link w:val="3"/>
    <w:qFormat/>
    <w:uiPriority w:val="9"/>
    <w:rPr>
      <w:rFonts w:ascii="Calibri" w:hAnsi="Calibri" w:eastAsia="黑体" w:cs="Times New Roman"/>
      <w:bCs/>
      <w:kern w:val="44"/>
      <w:sz w:val="44"/>
      <w:szCs w:val="44"/>
    </w:rPr>
  </w:style>
  <w:style w:type="character" w:customStyle="1" w:styleId="52">
    <w:name w:val="标题 3 字符"/>
    <w:link w:val="5"/>
    <w:qFormat/>
    <w:uiPriority w:val="9"/>
    <w:rPr>
      <w:rFonts w:ascii="Calibri" w:hAnsi="Calibri" w:eastAsia="黑体" w:cs="Times New Roman"/>
      <w:bCs/>
      <w:sz w:val="32"/>
      <w:szCs w:val="32"/>
    </w:rPr>
  </w:style>
  <w:style w:type="character" w:customStyle="1" w:styleId="53">
    <w:name w:val="文档结构图 字符"/>
    <w:basedOn w:val="34"/>
    <w:link w:val="15"/>
    <w:qFormat/>
    <w:uiPriority w:val="99"/>
    <w:rPr>
      <w:rFonts w:ascii="宋体" w:hAnsi="Calibri" w:eastAsia="宋体" w:cs="Times New Roman"/>
      <w:sz w:val="18"/>
      <w:szCs w:val="18"/>
    </w:rPr>
  </w:style>
  <w:style w:type="character" w:customStyle="1" w:styleId="54">
    <w:name w:val="批注文字 字符"/>
    <w:basedOn w:val="34"/>
    <w:link w:val="16"/>
    <w:qFormat/>
    <w:uiPriority w:val="0"/>
    <w:rPr>
      <w:rFonts w:ascii="Calibri" w:hAnsi="Calibri" w:eastAsia="宋体" w:cs="Times New Roman"/>
    </w:rPr>
  </w:style>
  <w:style w:type="character" w:customStyle="1" w:styleId="55">
    <w:name w:val="正文文本 字符"/>
    <w:basedOn w:val="34"/>
    <w:link w:val="17"/>
    <w:qFormat/>
    <w:uiPriority w:val="1"/>
    <w:rPr>
      <w:rFonts w:ascii="Calibri" w:hAnsi="Calibri" w:eastAsia="宋体" w:cs="Times New Roman"/>
      <w:b/>
      <w:szCs w:val="24"/>
    </w:rPr>
  </w:style>
  <w:style w:type="character" w:customStyle="1" w:styleId="56">
    <w:name w:val="纯文本 字符"/>
    <w:basedOn w:val="34"/>
    <w:link w:val="21"/>
    <w:qFormat/>
    <w:uiPriority w:val="99"/>
    <w:rPr>
      <w:rFonts w:ascii="宋体" w:hAnsi="Courier New" w:eastAsia="宋体" w:cs="Courier New"/>
      <w:szCs w:val="21"/>
    </w:rPr>
  </w:style>
  <w:style w:type="character" w:customStyle="1" w:styleId="57">
    <w:name w:val="批注框文本 字符"/>
    <w:basedOn w:val="34"/>
    <w:link w:val="2"/>
    <w:qFormat/>
    <w:uiPriority w:val="99"/>
    <w:rPr>
      <w:rFonts w:ascii="Calibri" w:hAnsi="Calibri" w:eastAsia="宋体" w:cs="Times New Roman"/>
      <w:sz w:val="18"/>
      <w:szCs w:val="18"/>
    </w:rPr>
  </w:style>
  <w:style w:type="character" w:customStyle="1" w:styleId="58">
    <w:name w:val="脚注文本 字符"/>
    <w:basedOn w:val="34"/>
    <w:link w:val="25"/>
    <w:qFormat/>
    <w:uiPriority w:val="99"/>
    <w:rPr>
      <w:rFonts w:ascii="Calibri" w:hAnsi="Calibri" w:eastAsia="宋体" w:cs="Times New Roman"/>
      <w:sz w:val="18"/>
      <w:szCs w:val="18"/>
    </w:rPr>
  </w:style>
  <w:style w:type="character" w:customStyle="1" w:styleId="59">
    <w:name w:val="HTML 预设格式 字符"/>
    <w:basedOn w:val="34"/>
    <w:link w:val="28"/>
    <w:qFormat/>
    <w:uiPriority w:val="99"/>
    <w:rPr>
      <w:rFonts w:ascii="宋体" w:hAnsi="宋体" w:eastAsia="宋体" w:cs="Times New Roman"/>
      <w:kern w:val="0"/>
      <w:sz w:val="24"/>
      <w:szCs w:val="24"/>
    </w:rPr>
  </w:style>
  <w:style w:type="character" w:customStyle="1" w:styleId="60">
    <w:name w:val="标题 字符"/>
    <w:basedOn w:val="34"/>
    <w:link w:val="29"/>
    <w:qFormat/>
    <w:uiPriority w:val="1"/>
    <w:rPr>
      <w:rFonts w:ascii="Arial Unicode MS" w:hAnsi="Arial Unicode MS" w:eastAsia="Arial Unicode MS" w:cs="Arial Unicode MS"/>
      <w:sz w:val="44"/>
      <w:szCs w:val="44"/>
    </w:rPr>
  </w:style>
  <w:style w:type="character" w:customStyle="1" w:styleId="61">
    <w:name w:val="批注主题 字符"/>
    <w:basedOn w:val="54"/>
    <w:link w:val="30"/>
    <w:qFormat/>
    <w:uiPriority w:val="99"/>
    <w:rPr>
      <w:rFonts w:ascii="Calibri" w:hAnsi="Calibri" w:eastAsia="宋体" w:cs="Times New Roman"/>
      <w:b/>
      <w:bCs/>
    </w:rPr>
  </w:style>
  <w:style w:type="paragraph" w:customStyle="1" w:styleId="62">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63">
    <w:name w:val="List Paragraph"/>
    <w:basedOn w:val="1"/>
    <w:qFormat/>
    <w:uiPriority w:val="34"/>
    <w:pPr>
      <w:ind w:firstLine="420" w:firstLineChars="200"/>
    </w:pPr>
    <w:rPr>
      <w:rFonts w:ascii="Calibri" w:hAnsi="Calibri" w:eastAsia="宋体" w:cs="Times New Roman"/>
    </w:rPr>
  </w:style>
  <w:style w:type="character" w:styleId="64">
    <w:name w:val="Placeholder Text"/>
    <w:unhideWhenUsed/>
    <w:qFormat/>
    <w:uiPriority w:val="99"/>
    <w:rPr>
      <w:color w:val="808080"/>
    </w:rPr>
  </w:style>
  <w:style w:type="character" w:customStyle="1" w:styleId="65">
    <w:name w:val="bjh-p"/>
    <w:qFormat/>
    <w:uiPriority w:val="0"/>
  </w:style>
  <w:style w:type="character" w:customStyle="1" w:styleId="66">
    <w:name w:val="bjh-strong"/>
    <w:qFormat/>
    <w:uiPriority w:val="0"/>
  </w:style>
  <w:style w:type="paragraph" w:customStyle="1" w:styleId="67">
    <w:name w:val="表格文字 居中加粗"/>
    <w:basedOn w:val="1"/>
    <w:qFormat/>
    <w:uiPriority w:val="99"/>
    <w:pPr>
      <w:widowControl/>
      <w:overflowPunct w:val="0"/>
      <w:autoSpaceDE w:val="0"/>
      <w:autoSpaceDN w:val="0"/>
      <w:adjustRightInd w:val="0"/>
      <w:jc w:val="center"/>
      <w:textAlignment w:val="baseline"/>
    </w:pPr>
    <w:rPr>
      <w:rFonts w:ascii="Times New Roman" w:hAnsi="Times New Roman" w:eastAsia="宋体" w:cs="宋体"/>
      <w:b/>
      <w:bCs/>
      <w:kern w:val="0"/>
      <w:szCs w:val="20"/>
    </w:rPr>
  </w:style>
  <w:style w:type="paragraph" w:customStyle="1" w:styleId="68">
    <w:name w:val="表格文字 居中"/>
    <w:basedOn w:val="1"/>
    <w:qFormat/>
    <w:uiPriority w:val="99"/>
    <w:pPr>
      <w:widowControl/>
      <w:overflowPunct w:val="0"/>
      <w:autoSpaceDE w:val="0"/>
      <w:autoSpaceDN w:val="0"/>
      <w:adjustRightInd w:val="0"/>
      <w:jc w:val="center"/>
      <w:textAlignment w:val="baseline"/>
    </w:pPr>
    <w:rPr>
      <w:rFonts w:ascii="Times New Roman" w:hAnsi="Times New Roman" w:eastAsia="宋体" w:cs="Times New Roman"/>
      <w:kern w:val="0"/>
      <w:szCs w:val="20"/>
    </w:rPr>
  </w:style>
  <w:style w:type="paragraph" w:customStyle="1" w:styleId="69">
    <w:name w:val="表格文字 左对齐"/>
    <w:basedOn w:val="68"/>
    <w:qFormat/>
    <w:uiPriority w:val="99"/>
    <w:pPr>
      <w:jc w:val="both"/>
    </w:pPr>
  </w:style>
  <w:style w:type="paragraph" w:customStyle="1" w:styleId="70">
    <w:name w:val="修订1"/>
    <w:unhideWhenUsed/>
    <w:qFormat/>
    <w:uiPriority w:val="99"/>
    <w:rPr>
      <w:rFonts w:ascii="Calibri" w:hAnsi="Calibri" w:eastAsia="宋体" w:cs="Times New Roman"/>
      <w:kern w:val="2"/>
      <w:sz w:val="21"/>
      <w:szCs w:val="22"/>
      <w:lang w:val="en-US" w:eastAsia="zh-CN" w:bidi="ar-SA"/>
    </w:rPr>
  </w:style>
  <w:style w:type="paragraph" w:customStyle="1" w:styleId="71">
    <w:name w:val="WPSOffice手动目录 1"/>
    <w:qFormat/>
    <w:uiPriority w:val="0"/>
    <w:rPr>
      <w:rFonts w:ascii="Calibri" w:hAnsi="Calibri" w:eastAsia="宋体" w:cs="Times New Roman"/>
      <w:sz w:val="24"/>
      <w:lang w:val="en-US" w:eastAsia="zh-CN" w:bidi="ar-SA"/>
    </w:rPr>
  </w:style>
  <w:style w:type="paragraph" w:customStyle="1" w:styleId="72">
    <w:name w:val="WPSOffice手动目录 2"/>
    <w:qFormat/>
    <w:uiPriority w:val="0"/>
    <w:pPr>
      <w:ind w:left="200" w:leftChars="200"/>
    </w:pPr>
    <w:rPr>
      <w:rFonts w:ascii="Calibri" w:hAnsi="Calibri" w:eastAsia="宋体" w:cs="Times New Roman"/>
      <w:sz w:val="24"/>
      <w:lang w:val="en-US" w:eastAsia="zh-CN" w:bidi="ar-SA"/>
    </w:rPr>
  </w:style>
  <w:style w:type="paragraph" w:customStyle="1" w:styleId="73">
    <w:name w:val="WPSOffice手动目录 3"/>
    <w:qFormat/>
    <w:uiPriority w:val="0"/>
    <w:pPr>
      <w:ind w:left="400" w:leftChars="400"/>
    </w:pPr>
    <w:rPr>
      <w:rFonts w:ascii="Calibri" w:hAnsi="Calibri" w:eastAsia="宋体" w:cs="Times New Roman"/>
      <w:sz w:val="24"/>
      <w:lang w:val="en-US" w:eastAsia="zh-CN" w:bidi="ar-SA"/>
    </w:rPr>
  </w:style>
  <w:style w:type="paragraph" w:customStyle="1" w:styleId="74">
    <w:name w:val="样式1"/>
    <w:basedOn w:val="1"/>
    <w:qFormat/>
    <w:uiPriority w:val="0"/>
    <w:pPr>
      <w:jc w:val="center"/>
    </w:pPr>
    <w:rPr>
      <w:rFonts w:ascii="Calibri" w:hAnsi="Calibri" w:eastAsia="方正大标宋简体" w:cs="Times New Roman"/>
      <w:sz w:val="52"/>
    </w:rPr>
  </w:style>
  <w:style w:type="paragraph" w:customStyle="1" w:styleId="75">
    <w:name w:val="Table Paragraph"/>
    <w:basedOn w:val="1"/>
    <w:qFormat/>
    <w:uiPriority w:val="1"/>
    <w:pPr>
      <w:jc w:val="left"/>
    </w:pPr>
    <w:rPr>
      <w:rFonts w:ascii="Calibri" w:hAnsi="Calibri" w:eastAsia="Calibri" w:cs="黑体"/>
      <w:kern w:val="0"/>
      <w:sz w:val="22"/>
      <w:lang w:eastAsia="en-US"/>
    </w:rPr>
  </w:style>
  <w:style w:type="paragraph" w:customStyle="1" w:styleId="76">
    <w:name w:val="null3"/>
    <w:qFormat/>
    <w:uiPriority w:val="0"/>
    <w:rPr>
      <w:rFonts w:hint="eastAsia" w:ascii="Calibri" w:hAnsi="Calibri" w:eastAsia="宋体" w:cs="Times New Roman"/>
      <w:lang w:val="en-US" w:eastAsia="zh-CN" w:bidi="ar-SA"/>
    </w:rPr>
  </w:style>
  <w:style w:type="paragraph" w:customStyle="1" w:styleId="77">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7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79">
    <w:name w:val="Table Text"/>
    <w:basedOn w:val="1"/>
    <w:semiHidden/>
    <w:qFormat/>
    <w:uiPriority w:val="0"/>
    <w:pPr>
      <w:widowControl/>
      <w:overflowPunct w:val="0"/>
      <w:autoSpaceDE w:val="0"/>
      <w:autoSpaceDN w:val="0"/>
      <w:adjustRightInd w:val="0"/>
      <w:textAlignment w:val="baseline"/>
    </w:pPr>
    <w:rPr>
      <w:rFonts w:ascii="宋体" w:hAnsi="宋体" w:cs="宋体"/>
      <w:sz w:val="20"/>
      <w:szCs w:val="20"/>
      <w:lang w:eastAsia="en-US"/>
    </w:rPr>
  </w:style>
  <w:style w:type="paragraph" w:customStyle="1" w:styleId="8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1">
    <w:name w:val="MsoNormal"/>
    <w:basedOn w:val="1"/>
    <w:qFormat/>
    <w:uiPriority w:val="0"/>
  </w:style>
  <w:style w:type="paragraph" w:customStyle="1" w:styleId="82">
    <w:name w:val="15"/>
    <w:basedOn w:val="1"/>
    <w:qFormat/>
    <w:uiPriority w:val="0"/>
  </w:style>
  <w:style w:type="paragraph" w:customStyle="1" w:styleId="8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4">
    <w:name w:val="列出段落2"/>
    <w:basedOn w:val="1"/>
    <w:qFormat/>
    <w:uiPriority w:val="99"/>
    <w:pPr>
      <w:ind w:firstLine="420" w:firstLineChars="200"/>
    </w:pPr>
    <w:rPr>
      <w:lang w:val="zh-CN"/>
    </w:rPr>
  </w:style>
  <w:style w:type="paragraph" w:customStyle="1" w:styleId="85">
    <w:name w:val="列出段落1"/>
    <w:basedOn w:val="1"/>
    <w:next w:val="17"/>
    <w:qFormat/>
    <w:uiPriority w:val="34"/>
    <w:pPr>
      <w:ind w:firstLine="420"/>
    </w:pPr>
  </w:style>
  <w:style w:type="paragraph" w:customStyle="1" w:styleId="8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105</Pages>
  <Words>19577</Words>
  <Characters>20850</Characters>
  <Lines>2170</Lines>
  <Paragraphs>1923</Paragraphs>
  <TotalTime>6</TotalTime>
  <ScaleCrop>false</ScaleCrop>
  <LinksUpToDate>false</LinksUpToDate>
  <CharactersWithSpaces>21472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2024-12-30T16:42:00Z</dcterms:created>
  <dc:creator>30</dc:creator>
  <cp:lastModifiedBy>LENOVO</cp:lastModifiedBy>
  <cp:lastPrinted>2025-06-04T02:32:00Z</cp:lastPrinted>
  <dcterms:modified xsi:type="dcterms:W3CDTF">2025-06-04T11:38:49Z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eyJoZGlkIjoiODlkODQyZWE2Y2VlYzlhMzhkM2Q0OWY3YjM1ZWNlYjkiLCJ1c2VySWQiOiI1NzIzNTAifQ==</vt:lpwstr>
  </property>
  <property fmtid="{D5CDD505-2E9C-101B-9397-08002B2CF9AE}" pid="3" name="KSOProductBuildVer">
    <vt:lpwstr>2052-12.1.0.21171</vt:lpwstr>
  </property>
  <property fmtid="{D5CDD505-2E9C-101B-9397-08002B2CF9AE}" pid="4" name="ICV">
    <vt:lpwstr>74A9FFEAEAAB473EBDE5BCB7AE9ADDE6_13</vt:lpwstr>
  </property>
</Properties>
</file>