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eastAsia="宋体"/>
          <w:sz w:val="44"/>
          <w:szCs w:val="44"/>
          <w:lang w:eastAsia="zh-CN"/>
        </w:rPr>
      </w:pPr>
      <w:bookmarkStart w:id="0" w:name="swjgmc"/>
      <w:bookmarkEnd w:id="0"/>
      <w:r>
        <w:rPr>
          <w:rFonts w:hint="eastAsia"/>
          <w:sz w:val="44"/>
          <w:szCs w:val="44"/>
          <w:lang w:eastAsia="zh-CN"/>
        </w:rPr>
        <w:t>国家税务总局东侨经济技术开发区税务局第二税务分局</w:t>
      </w:r>
    </w:p>
    <w:p>
      <w:pPr>
        <w:pStyle w:val="5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税务事项通知书</w:t>
      </w:r>
    </w:p>
    <w:p>
      <w:pPr>
        <w:pStyle w:val="5"/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</w:pPr>
      <w:bookmarkStart w:id="1" w:name="djh"/>
      <w:bookmarkEnd w:id="1"/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侨税二 通 〔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</w:p>
    <w:p>
      <w:pPr>
        <w:pStyle w:val="5"/>
        <w:rPr>
          <w:rFonts w:hint="eastAsia" w:ascii="仿宋" w:hAnsi="仿宋" w:eastAsia="仿宋"/>
          <w:b w:val="0"/>
          <w:color w:val="000000"/>
          <w:kern w:val="2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</w:pPr>
      <w:bookmarkStart w:id="2" w:name="nsrmc"/>
      <w:bookmarkEnd w:id="2"/>
      <w:r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  <w:lang w:eastAsia="zh-CN"/>
        </w:rPr>
        <w:t>宁德晟闽房地产开发有限公司</w:t>
      </w:r>
      <w:bookmarkStart w:id="8" w:name="_GoBack"/>
      <w:bookmarkEnd w:id="8"/>
      <w:r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  <w:t>（纳税人识别号：</w:t>
      </w:r>
      <w:bookmarkStart w:id="3" w:name="nsrsbh"/>
      <w:bookmarkEnd w:id="3"/>
      <w:r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</w:rPr>
        <w:t>91350901MA31FCMAXP</w:t>
      </w:r>
      <w:r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  <w:t>）：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事由：</w:t>
      </w:r>
      <w:bookmarkStart w:id="4" w:name="sy"/>
      <w:bookmarkEnd w:id="4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涉税资料提供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依据：</w:t>
      </w:r>
      <w:bookmarkStart w:id="5" w:name="yj"/>
      <w:bookmarkEnd w:id="5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《中华人民共和国税收征收管理法》第五十四条、五十六条规定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请你公司于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前提供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2018-2025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所属期间的下列有关涉税资料，送到国家税务总东侨经济技术开发区税务局第二税务分局（宁德市蕉城区蕉城南路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90号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）备查： 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1.营业执照复印件；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2.税务登记证复印件；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3.银行开户许可证复印件（所有账号）；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4.法定代表人及财务负责人身份证复印件；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5.财务负责人任职文件或证明；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6.公司章程、决议复印件或项目部章程；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7.所属年度财务会计报表；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8.增值税申报表、企业所得税年度纳税申报及调整明细表（若有鉴证，请提供《鉴证报告》）；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9. 账薄、记账凭证；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10. 一般纳税人资格认定表复印件；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11.所签订相关业务合同复印1份；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12.其它要求或主动提供的材料。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附注事项： 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1.以上资料若为原件须加盖公司公章；若为复印件则须注明“与原件核对无误，原件存于我处”，并由资料提供人签字、注明提供时间，并加盖公章。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2.在提供以上资料的同时，提供一份《提交材料情况说明》，并注明提交材料日期、由相关负责人签字确认并加盖公章。在《提交材料情况说明》中须列明： ⑴已提供材料列表； ⑵无法提供材料的列表，并逐项注明无法提供的原因。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bookmarkStart w:id="6" w:name="blsx"/>
      <w:bookmarkEnd w:id="6"/>
    </w:p>
    <w:p>
      <w:pPr>
        <w:jc w:val="right"/>
        <w:rPr>
          <w:rFonts w:hint="eastAsia" w:ascii="仿宋" w:hAnsi="仿宋" w:eastAsia="仿宋"/>
          <w:color w:val="000000"/>
          <w:sz w:val="24"/>
        </w:rPr>
      </w:pPr>
    </w:p>
    <w:p>
      <w:pPr>
        <w:jc w:val="right"/>
        <w:rPr>
          <w:rFonts w:hint="eastAsia" w:ascii="仿宋" w:hAnsi="仿宋" w:eastAsia="仿宋"/>
          <w:color w:val="000000"/>
          <w:sz w:val="24"/>
        </w:rPr>
      </w:pPr>
    </w:p>
    <w:p>
      <w:pPr>
        <w:jc w:val="right"/>
        <w:rPr>
          <w:rFonts w:hint="eastAsia"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 xml:space="preserve">                        </w:t>
      </w:r>
    </w:p>
    <w:p>
      <w:pPr>
        <w:wordWrap/>
        <w:jc w:val="righ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国家税务总东侨经济技术开发区税务局第二税务分局</w:t>
      </w:r>
    </w:p>
    <w:p>
      <w:pPr>
        <w:wordWrap/>
        <w:ind w:right="55"/>
        <w:jc w:val="right"/>
        <w:rPr>
          <w:rFonts w:hint="eastAsia" w:ascii="仿宋" w:hAnsi="仿宋" w:eastAsia="仿宋"/>
          <w:color w:val="000000"/>
          <w:sz w:val="32"/>
          <w:szCs w:val="32"/>
        </w:rPr>
      </w:pPr>
      <w:bookmarkStart w:id="7" w:name="qsrq"/>
      <w:bookmarkEnd w:id="7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</w:t>
      </w:r>
    </w:p>
    <w:p/>
    <w:sectPr>
      <w:footerReference r:id="rId3" w:type="default"/>
      <w:footerReference r:id="rId4" w:type="even"/>
      <w:pgSz w:w="11906" w:h="16838"/>
      <w:pgMar w:top="1814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仿宋" w:hAnsi="仿宋" w:eastAsia="仿宋"/>
        <w:sz w:val="32"/>
        <w:szCs w:val="32"/>
        <w:lang w:eastAsia="zh-CN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 PAGE  \* ArabicDash  \* MERGEFORMAT 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</w:rPr>
      <w:t>- 1 -</w:t>
    </w:r>
    <w:r>
      <w:rPr>
        <w:rFonts w:ascii="仿宋" w:hAnsi="仿宋" w:eastAsia="仿宋"/>
        <w:sz w:val="32"/>
        <w:szCs w:val="32"/>
      </w:rPr>
      <w:fldChar w:fldCharType="end"/>
    </w:r>
    <w:r>
      <w:rPr>
        <w:rFonts w:hint="eastAsia" w:ascii="仿宋" w:hAnsi="仿宋" w:eastAsia="仿宋"/>
        <w:sz w:val="32"/>
        <w:szCs w:val="32"/>
        <w:lang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0" w:firstLineChars="50"/>
      <w:rPr>
        <w:rFonts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 PAGE  \* ArabicDash  \* MERGEFORMAT 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</w:rPr>
      <w:t>- 2 -</w:t>
    </w:r>
    <w:r>
      <w:rPr>
        <w:rFonts w:ascii="仿宋" w:hAnsi="仿宋" w:eastAsia="仿宋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1435AF3"/>
    <w:rsid w:val="4A1947CF"/>
    <w:rsid w:val="4BFBE6C5"/>
    <w:rsid w:val="B9FAE2F7"/>
    <w:rsid w:val="BF7FCEF2"/>
    <w:rsid w:val="DF97F190"/>
    <w:rsid w:val="F36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余巧婷</cp:lastModifiedBy>
  <cp:lastPrinted>2026-04-10T07:17:43Z</cp:lastPrinted>
  <dcterms:modified xsi:type="dcterms:W3CDTF">2026-04-10T07:32:43Z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