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jc w:val="center"/>
        <w:rPr>
          <w:rFonts w:ascii="黑体" w:eastAsia="黑体"/>
          <w:b/>
          <w:color w:val="auto"/>
          <w:sz w:val="52"/>
          <w:highlight w:val="none"/>
        </w:rPr>
      </w:pPr>
    </w:p>
    <w:p>
      <w:pPr>
        <w:pStyle w:val="2"/>
        <w:rPr>
          <w:color w:val="auto"/>
          <w:highlight w:val="none"/>
        </w:rPr>
      </w:pPr>
    </w:p>
    <w:p>
      <w:pPr>
        <w:topLinePunct/>
        <w:autoSpaceDE w:val="0"/>
        <w:autoSpaceDN w:val="0"/>
        <w:jc w:val="center"/>
        <w:outlineLvl w:val="0"/>
        <w:rPr>
          <w:rFonts w:hint="eastAsia" w:ascii="华文中宋" w:hAnsi="华文中宋" w:eastAsia="华文中宋" w:cs="华文中宋"/>
          <w:b w:val="0"/>
          <w:bCs/>
          <w:color w:val="auto"/>
          <w:sz w:val="72"/>
          <w:szCs w:val="72"/>
          <w:highlight w:val="none"/>
        </w:rPr>
      </w:pPr>
      <w:r>
        <w:rPr>
          <w:rFonts w:hint="eastAsia" w:ascii="华文中宋" w:hAnsi="华文中宋" w:eastAsia="华文中宋" w:cs="华文中宋"/>
          <w:b w:val="0"/>
          <w:bCs/>
          <w:color w:val="auto"/>
          <w:sz w:val="72"/>
          <w:szCs w:val="72"/>
          <w:highlight w:val="none"/>
          <w:lang w:eastAsia="zh-CN"/>
        </w:rPr>
        <w:t>竞争磋商</w:t>
      </w:r>
      <w:r>
        <w:rPr>
          <w:rFonts w:hint="eastAsia" w:ascii="华文中宋" w:hAnsi="华文中宋" w:eastAsia="华文中宋" w:cs="华文中宋"/>
          <w:b w:val="0"/>
          <w:bCs/>
          <w:color w:val="auto"/>
          <w:sz w:val="72"/>
          <w:szCs w:val="72"/>
          <w:highlight w:val="none"/>
        </w:rPr>
        <w:t>文件</w:t>
      </w:r>
    </w:p>
    <w:p>
      <w:pPr>
        <w:topLinePunct/>
        <w:autoSpaceDE w:val="0"/>
        <w:autoSpaceDN w:val="0"/>
        <w:spacing w:line="60" w:lineRule="exact"/>
        <w:jc w:val="center"/>
        <w:rPr>
          <w:rFonts w:hint="eastAsia" w:ascii="华文中宋" w:hAnsi="华文中宋" w:eastAsia="华文中宋" w:cs="华文中宋"/>
          <w:b w:val="0"/>
          <w:bCs/>
          <w:color w:val="auto"/>
          <w:sz w:val="32"/>
          <w:szCs w:val="32"/>
          <w:highlight w:val="none"/>
        </w:rPr>
      </w:pPr>
    </w:p>
    <w:p>
      <w:pPr>
        <w:topLinePunct/>
        <w:autoSpaceDE w:val="0"/>
        <w:autoSpaceDN w:val="0"/>
        <w:snapToGrid w:val="0"/>
        <w:jc w:val="center"/>
        <w:rPr>
          <w:rFonts w:hint="eastAsia" w:ascii="华文中宋" w:hAnsi="华文中宋" w:eastAsia="华文中宋" w:cs="华文中宋"/>
          <w:b w:val="0"/>
          <w:bCs/>
          <w:color w:val="auto"/>
          <w:sz w:val="40"/>
          <w:szCs w:val="40"/>
          <w:highlight w:val="none"/>
        </w:rPr>
      </w:pPr>
      <w:r>
        <w:rPr>
          <w:rFonts w:hint="eastAsia" w:ascii="华文中宋" w:hAnsi="华文中宋" w:eastAsia="华文中宋" w:cs="华文中宋"/>
          <w:b w:val="0"/>
          <w:bCs/>
          <w:color w:val="auto"/>
          <w:sz w:val="40"/>
          <w:szCs w:val="40"/>
          <w:highlight w:val="none"/>
        </w:rPr>
        <w:t>（商务部分）</w:t>
      </w:r>
    </w:p>
    <w:p>
      <w:pPr>
        <w:bidi w:val="0"/>
        <w:rPr>
          <w:color w:val="auto"/>
          <w:highlight w:val="none"/>
        </w:rPr>
      </w:pPr>
    </w:p>
    <w:p>
      <w:pPr>
        <w:bidi w:val="0"/>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numPr>
          <w:ilvl w:val="0"/>
          <w:numId w:val="0"/>
        </w:numPr>
        <w:outlineLvl w:val="9"/>
      </w:pPr>
    </w:p>
    <w:p>
      <w:pPr>
        <w:pStyle w:val="7"/>
        <w:rPr>
          <w:color w:val="auto"/>
          <w:highlight w:val="none"/>
        </w:rPr>
      </w:pPr>
    </w:p>
    <w:p>
      <w:pPr>
        <w:pStyle w:val="7"/>
        <w:rPr>
          <w:color w:val="auto"/>
          <w:highlight w:val="none"/>
        </w:rPr>
      </w:pPr>
    </w:p>
    <w:p>
      <w:pPr>
        <w:pStyle w:val="7"/>
        <w:rPr>
          <w:color w:val="auto"/>
          <w:highlight w:val="none"/>
        </w:rPr>
      </w:pPr>
    </w:p>
    <w:p>
      <w:pPr>
        <w:pStyle w:val="2"/>
        <w:rPr>
          <w:color w:val="auto"/>
          <w:highlight w:val="none"/>
        </w:rPr>
      </w:pPr>
    </w:p>
    <w:p>
      <w:pPr>
        <w:bidi w:val="0"/>
        <w:rPr>
          <w:color w:val="auto"/>
          <w:highlight w:val="none"/>
        </w:rPr>
      </w:pPr>
    </w:p>
    <w:p>
      <w:pPr>
        <w:jc w:val="center"/>
        <w:rPr>
          <w:rFonts w:hint="eastAsia" w:ascii="方正小标宋简体" w:hAnsi="方正小标宋简体" w:eastAsia="方正小标宋简体" w:cs="方正小标宋简体"/>
          <w:color w:val="auto"/>
          <w:sz w:val="32"/>
          <w:szCs w:val="32"/>
          <w:highlight w:val="none"/>
          <w:u w:val="single"/>
          <w:lang w:eastAsia="zh-CN"/>
        </w:rPr>
      </w:pPr>
      <w:r>
        <w:rPr>
          <w:rFonts w:hint="eastAsia" w:ascii="方正小标宋简体" w:hAnsi="方正小标宋简体" w:eastAsia="方正小标宋简体" w:cs="方正小标宋简体"/>
          <w:color w:val="auto"/>
          <w:sz w:val="32"/>
          <w:szCs w:val="32"/>
          <w:highlight w:val="none"/>
        </w:rPr>
        <w:t>项目名称：</w:t>
      </w:r>
      <w:r>
        <w:rPr>
          <w:rFonts w:hint="eastAsia" w:ascii="方正小标宋简体" w:hAnsi="方正小标宋简体" w:eastAsia="方正小标宋简体" w:cs="方正小标宋简体"/>
          <w:color w:val="auto"/>
          <w:sz w:val="32"/>
          <w:szCs w:val="32"/>
          <w:highlight w:val="none"/>
          <w:u w:val="single"/>
          <w:lang w:eastAsia="zh-CN"/>
        </w:rPr>
        <w:t>国家税务总局宁德市税务局12366服务外包项目</w:t>
      </w:r>
    </w:p>
    <w:p>
      <w:pPr>
        <w:ind w:firstLine="1600" w:firstLineChars="500"/>
        <w:jc w:val="both"/>
        <w:rPr>
          <w:rFonts w:hint="default" w:ascii="方正小标宋简体" w:hAnsi="方正小标宋简体" w:eastAsia="方正小标宋简体" w:cs="方正小标宋简体"/>
          <w:color w:val="auto"/>
          <w:sz w:val="32"/>
          <w:szCs w:val="32"/>
          <w:highlight w:val="none"/>
          <w:u w:val="single"/>
          <w:lang w:val="en-US" w:eastAsia="zh-CN"/>
        </w:rPr>
      </w:pPr>
      <w:r>
        <w:rPr>
          <w:rFonts w:hint="eastAsia" w:ascii="方正小标宋简体" w:hAnsi="方正小标宋简体" w:eastAsia="方正小标宋简体" w:cs="方正小标宋简体"/>
          <w:color w:val="auto"/>
          <w:sz w:val="32"/>
          <w:szCs w:val="32"/>
          <w:highlight w:val="none"/>
        </w:rPr>
        <w:t>项目编号：</w:t>
      </w:r>
      <w:r>
        <w:rPr>
          <w:rFonts w:hint="eastAsia" w:ascii="方正小标宋简体" w:hAnsi="方正小标宋简体" w:eastAsia="方正小标宋简体" w:cs="方正小标宋简体"/>
          <w:color w:val="auto"/>
          <w:sz w:val="32"/>
          <w:szCs w:val="32"/>
          <w:highlight w:val="none"/>
          <w:u w:val="single"/>
          <w:lang w:val="en-US" w:eastAsia="zh-CN"/>
        </w:rPr>
        <w:t xml:space="preserve">  0622-0524003   </w:t>
      </w:r>
    </w:p>
    <w:p>
      <w:pPr>
        <w:jc w:val="center"/>
        <w:outlineLvl w:val="0"/>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采 购 人：</w:t>
      </w:r>
      <w:r>
        <w:rPr>
          <w:rFonts w:hint="eastAsia" w:ascii="方正小标宋简体" w:hAnsi="方正小标宋简体" w:eastAsia="方正小标宋简体" w:cs="方正小标宋简体"/>
          <w:color w:val="auto"/>
          <w:sz w:val="32"/>
          <w:szCs w:val="32"/>
          <w:highlight w:val="none"/>
          <w:u w:val="single"/>
        </w:rPr>
        <w:t>国家税务总局宁德市税务局</w:t>
      </w:r>
    </w:p>
    <w:p>
      <w:pPr>
        <w:jc w:val="center"/>
        <w:rPr>
          <w:rFonts w:hint="default" w:ascii="方正小标宋简体" w:hAnsi="方正小标宋简体" w:eastAsia="方正小标宋简体" w:cs="方正小标宋简体"/>
          <w:color w:val="auto"/>
          <w:sz w:val="32"/>
          <w:szCs w:val="32"/>
          <w:highlight w:val="none"/>
          <w:u w:val="none"/>
          <w:lang w:val="en-US" w:eastAsia="zh-CN"/>
        </w:rPr>
      </w:pPr>
      <w:r>
        <w:rPr>
          <w:rFonts w:hint="eastAsia" w:ascii="方正小标宋简体" w:hAnsi="方正小标宋简体" w:eastAsia="方正小标宋简体" w:cs="方正小标宋简体"/>
          <w:color w:val="auto"/>
          <w:sz w:val="32"/>
          <w:szCs w:val="32"/>
          <w:highlight w:val="none"/>
        </w:rPr>
        <w:t>采购代理机构：</w:t>
      </w:r>
      <w:r>
        <w:rPr>
          <w:rFonts w:hint="eastAsia" w:ascii="方正小标宋简体" w:hAnsi="方正小标宋简体" w:eastAsia="方正小标宋简体" w:cs="方正小标宋简体"/>
          <w:color w:val="auto"/>
          <w:sz w:val="32"/>
          <w:szCs w:val="32"/>
          <w:highlight w:val="none"/>
          <w:u w:val="single"/>
          <w:lang w:val="en-US" w:eastAsia="zh-CN"/>
        </w:rPr>
        <w:t>福建天合招标有限公司</w:t>
      </w:r>
    </w:p>
    <w:p>
      <w:pPr>
        <w:topLinePunct/>
        <w:autoSpaceDE w:val="0"/>
        <w:autoSpaceDN w:val="0"/>
        <w:spacing w:line="460" w:lineRule="exact"/>
        <w:rPr>
          <w:rFonts w:hint="eastAsia" w:ascii="方正小标宋简体" w:hAnsi="方正小标宋简体" w:eastAsia="方正小标宋简体" w:cs="方正小标宋简体"/>
          <w:b/>
          <w:color w:val="auto"/>
          <w:sz w:val="32"/>
          <w:szCs w:val="32"/>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color w:val="auto"/>
          <w:sz w:val="32"/>
          <w:szCs w:val="32"/>
          <w:highlight w:val="none"/>
        </w:rPr>
      </w:pPr>
    </w:p>
    <w:p>
      <w:pPr>
        <w:topLinePunct/>
        <w:autoSpaceDE w:val="0"/>
        <w:autoSpaceDN w:val="0"/>
        <w:spacing w:line="460" w:lineRule="exact"/>
        <w:jc w:val="center"/>
        <w:outlineLvl w:val="0"/>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国家税务总局宁德市税务局</w:t>
      </w:r>
    </w:p>
    <w:p>
      <w:pPr>
        <w:topLinePunct/>
        <w:autoSpaceDE w:val="0"/>
        <w:autoSpaceDN w:val="0"/>
        <w:spacing w:line="160" w:lineRule="exact"/>
        <w:jc w:val="center"/>
        <w:rPr>
          <w:rFonts w:hint="eastAsia" w:ascii="方正小标宋简体" w:hAnsi="方正小标宋简体" w:eastAsia="方正小标宋简体" w:cs="方正小标宋简体"/>
          <w:color w:val="auto"/>
          <w:sz w:val="32"/>
          <w:szCs w:val="32"/>
          <w:highlight w:val="none"/>
        </w:rPr>
      </w:pPr>
    </w:p>
    <w:p>
      <w:pPr>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u w:val="single"/>
          <w:lang w:val="en-US" w:eastAsia="zh-CN"/>
        </w:rPr>
        <w:t>2024</w:t>
      </w:r>
      <w:r>
        <w:rPr>
          <w:rFonts w:hint="eastAsia" w:ascii="方正小标宋简体" w:hAnsi="方正小标宋简体" w:eastAsia="方正小标宋简体" w:cs="方正小标宋简体"/>
          <w:color w:val="auto"/>
          <w:sz w:val="32"/>
          <w:szCs w:val="32"/>
          <w:highlight w:val="none"/>
        </w:rPr>
        <w:t>年</w:t>
      </w:r>
      <w:r>
        <w:rPr>
          <w:rFonts w:hint="eastAsia" w:ascii="方正小标宋简体" w:hAnsi="方正小标宋简体" w:eastAsia="方正小标宋简体" w:cs="方正小标宋简体"/>
          <w:color w:val="auto"/>
          <w:sz w:val="32"/>
          <w:szCs w:val="32"/>
          <w:highlight w:val="none"/>
          <w:u w:val="single"/>
          <w:lang w:val="en-US" w:eastAsia="zh-CN"/>
        </w:rPr>
        <w:t>02</w:t>
      </w:r>
      <w:r>
        <w:rPr>
          <w:rFonts w:hint="eastAsia" w:ascii="方正小标宋简体" w:hAnsi="方正小标宋简体" w:eastAsia="方正小标宋简体" w:cs="方正小标宋简体"/>
          <w:color w:val="auto"/>
          <w:sz w:val="32"/>
          <w:szCs w:val="32"/>
          <w:highlight w:val="none"/>
        </w:rPr>
        <w:t>月</w:t>
      </w:r>
      <w:r>
        <w:rPr>
          <w:rFonts w:hint="eastAsia" w:ascii="方正小标宋简体" w:hAnsi="方正小标宋简体" w:eastAsia="方正小标宋简体" w:cs="方正小标宋简体"/>
          <w:color w:val="auto"/>
          <w:sz w:val="32"/>
          <w:szCs w:val="32"/>
          <w:highlight w:val="none"/>
          <w:u w:val="single"/>
          <w:lang w:val="en-US" w:eastAsia="zh-CN"/>
        </w:rPr>
        <w:t xml:space="preserve"> 23</w:t>
      </w:r>
      <w:r>
        <w:rPr>
          <w:rFonts w:hint="eastAsia" w:ascii="方正小标宋简体" w:hAnsi="方正小标宋简体" w:eastAsia="方正小标宋简体" w:cs="方正小标宋简体"/>
          <w:color w:val="auto"/>
          <w:sz w:val="32"/>
          <w:szCs w:val="32"/>
          <w:highlight w:val="none"/>
        </w:rPr>
        <w:t>日</w:t>
      </w:r>
    </w:p>
    <w:p>
      <w:pPr>
        <w:rPr>
          <w:color w:val="auto"/>
          <w:highlight w:val="none"/>
        </w:rPr>
      </w:pPr>
    </w:p>
    <w:p>
      <w:pPr>
        <w:rPr>
          <w:color w:val="auto"/>
          <w:highlight w:val="none"/>
        </w:rPr>
      </w:pPr>
    </w:p>
    <w:p>
      <w:pPr>
        <w:rPr>
          <w:color w:val="auto"/>
          <w:highlight w:val="none"/>
        </w:rPr>
        <w:sectPr>
          <w:footerReference r:id="rId3" w:type="default"/>
          <w:pgSz w:w="11906" w:h="16838"/>
          <w:pgMar w:top="1440" w:right="1418" w:bottom="1440" w:left="1752"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lang w:val="zh-CN"/>
        </w:rPr>
        <w:t>目  录</w:t>
      </w:r>
    </w:p>
    <w:p>
      <w:pPr>
        <w:pStyle w:val="10"/>
        <w:tabs>
          <w:tab w:val="right" w:leader="dot" w:pos="9060"/>
        </w:tabs>
        <w:rPr>
          <w:rFonts w:hint="eastAsia" w:ascii="Calibri" w:hAnsi="Calibri" w:eastAsia="宋体" w:cs="Times New Roman"/>
          <w:b w:val="0"/>
          <w:bCs w:val="0"/>
          <w:caps w:val="0"/>
          <w:color w:val="auto"/>
          <w:sz w:val="21"/>
          <w:szCs w:val="21"/>
          <w:highlight w:val="none"/>
          <w:lang w:val="en-US" w:eastAsia="zh-CN"/>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sz w:val="21"/>
          <w:szCs w:val="21"/>
          <w:highlight w:val="none"/>
        </w:rPr>
        <w:fldChar w:fldCharType="begin"/>
      </w:r>
      <w:r>
        <w:rPr>
          <w:color w:val="auto"/>
          <w:sz w:val="21"/>
          <w:szCs w:val="21"/>
          <w:highlight w:val="none"/>
        </w:rPr>
        <w:instrText xml:space="preserve"> HYPERLINK \l "_Toc132880655" </w:instrText>
      </w:r>
      <w:r>
        <w:rPr>
          <w:color w:val="auto"/>
          <w:sz w:val="21"/>
          <w:szCs w:val="21"/>
          <w:highlight w:val="none"/>
        </w:rPr>
        <w:fldChar w:fldCharType="separate"/>
      </w:r>
      <w:r>
        <w:rPr>
          <w:rStyle w:val="16"/>
          <w:rFonts w:hint="eastAsia"/>
          <w:color w:val="auto"/>
          <w:sz w:val="21"/>
          <w:szCs w:val="21"/>
          <w:highlight w:val="none"/>
        </w:rPr>
        <w:t>第一章</w:t>
      </w:r>
      <w:r>
        <w:rPr>
          <w:rStyle w:val="16"/>
          <w:color w:val="auto"/>
          <w:sz w:val="21"/>
          <w:szCs w:val="21"/>
          <w:highlight w:val="none"/>
        </w:rPr>
        <w:t xml:space="preserve">  </w:t>
      </w:r>
      <w:r>
        <w:rPr>
          <w:rStyle w:val="16"/>
          <w:rFonts w:hint="eastAsia"/>
          <w:color w:val="auto"/>
          <w:sz w:val="21"/>
          <w:szCs w:val="21"/>
          <w:highlight w:val="none"/>
        </w:rPr>
        <w:t>磋商邀请</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3</w:t>
      </w:r>
    </w:p>
    <w:p>
      <w:pPr>
        <w:pStyle w:val="10"/>
        <w:tabs>
          <w:tab w:val="right" w:leader="dot" w:pos="9060"/>
        </w:tabs>
        <w:rPr>
          <w:rFonts w:hint="eastAsia" w:ascii="Calibri" w:hAnsi="Calibri" w:eastAsia="宋体" w:cs="Times New Roman"/>
          <w:b w:val="0"/>
          <w:bCs w:val="0"/>
          <w:caps w:val="0"/>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"_Toc132880656" </w:instrText>
      </w:r>
      <w:r>
        <w:rPr>
          <w:color w:val="auto"/>
          <w:sz w:val="21"/>
          <w:szCs w:val="21"/>
          <w:highlight w:val="none"/>
        </w:rPr>
        <w:fldChar w:fldCharType="separate"/>
      </w:r>
      <w:r>
        <w:rPr>
          <w:rStyle w:val="16"/>
          <w:rFonts w:hint="eastAsia"/>
          <w:color w:val="auto"/>
          <w:sz w:val="21"/>
          <w:szCs w:val="21"/>
          <w:highlight w:val="none"/>
        </w:rPr>
        <w:t>第二章　供应商须知</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6</w:t>
      </w:r>
    </w:p>
    <w:p>
      <w:pPr>
        <w:pStyle w:val="11"/>
        <w:tabs>
          <w:tab w:val="right" w:leader="dot" w:pos="9060"/>
        </w:tabs>
        <w:rPr>
          <w:rFonts w:hint="eastAsia"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"_Toc132880657" </w:instrText>
      </w:r>
      <w:r>
        <w:rPr>
          <w:color w:val="auto"/>
          <w:sz w:val="21"/>
          <w:szCs w:val="21"/>
          <w:highlight w:val="none"/>
        </w:rPr>
        <w:fldChar w:fldCharType="separate"/>
      </w:r>
      <w:r>
        <w:rPr>
          <w:rStyle w:val="16"/>
          <w:rFonts w:hint="eastAsia"/>
          <w:color w:val="auto"/>
          <w:sz w:val="21"/>
          <w:szCs w:val="21"/>
          <w:highlight w:val="none"/>
        </w:rPr>
        <w:t>供应商须知前附表</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6</w:t>
      </w:r>
    </w:p>
    <w:p>
      <w:pPr>
        <w:pStyle w:val="11"/>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"_Toc132880658" </w:instrText>
      </w:r>
      <w:r>
        <w:rPr>
          <w:color w:val="auto"/>
          <w:sz w:val="21"/>
          <w:szCs w:val="21"/>
          <w:highlight w:val="none"/>
        </w:rPr>
        <w:fldChar w:fldCharType="separate"/>
      </w:r>
      <w:r>
        <w:rPr>
          <w:rStyle w:val="16"/>
          <w:rFonts w:hint="eastAsia"/>
          <w:color w:val="auto"/>
          <w:sz w:val="21"/>
          <w:szCs w:val="21"/>
          <w:highlight w:val="none"/>
        </w:rPr>
        <w:t>一、总则</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14</w:t>
      </w:r>
    </w:p>
    <w:p>
      <w:pPr>
        <w:pStyle w:val="11"/>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"_Toc132880659" </w:instrText>
      </w:r>
      <w:r>
        <w:rPr>
          <w:color w:val="auto"/>
          <w:sz w:val="21"/>
          <w:szCs w:val="21"/>
          <w:highlight w:val="none"/>
        </w:rPr>
        <w:fldChar w:fldCharType="separate"/>
      </w:r>
      <w:r>
        <w:rPr>
          <w:rStyle w:val="16"/>
          <w:rFonts w:hint="eastAsia"/>
          <w:color w:val="auto"/>
          <w:sz w:val="21"/>
          <w:szCs w:val="21"/>
          <w:highlight w:val="none"/>
        </w:rPr>
        <w:t>二、采购文件</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15</w:t>
      </w:r>
    </w:p>
    <w:p>
      <w:pPr>
        <w:pStyle w:val="11"/>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"_Toc132880660" </w:instrText>
      </w:r>
      <w:r>
        <w:rPr>
          <w:color w:val="auto"/>
          <w:sz w:val="21"/>
          <w:szCs w:val="21"/>
          <w:highlight w:val="none"/>
        </w:rPr>
        <w:fldChar w:fldCharType="separate"/>
      </w:r>
      <w:r>
        <w:rPr>
          <w:rStyle w:val="16"/>
          <w:rFonts w:hint="eastAsia"/>
          <w:color w:val="auto"/>
          <w:sz w:val="21"/>
          <w:szCs w:val="21"/>
          <w:highlight w:val="none"/>
        </w:rPr>
        <w:t>三、响应文件</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16</w:t>
      </w:r>
    </w:p>
    <w:p>
      <w:pPr>
        <w:pStyle w:val="11"/>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"_Toc132880661" </w:instrText>
      </w:r>
      <w:r>
        <w:rPr>
          <w:color w:val="auto"/>
          <w:sz w:val="21"/>
          <w:szCs w:val="21"/>
          <w:highlight w:val="none"/>
        </w:rPr>
        <w:fldChar w:fldCharType="separate"/>
      </w:r>
      <w:r>
        <w:rPr>
          <w:rStyle w:val="16"/>
          <w:rFonts w:hint="eastAsia"/>
          <w:color w:val="auto"/>
          <w:sz w:val="21"/>
          <w:szCs w:val="21"/>
          <w:highlight w:val="none"/>
        </w:rPr>
        <w:t>四、响应文件递交</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18</w:t>
      </w:r>
    </w:p>
    <w:p>
      <w:pPr>
        <w:pStyle w:val="11"/>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"_Toc132880662" </w:instrText>
      </w:r>
      <w:r>
        <w:rPr>
          <w:color w:val="auto"/>
          <w:sz w:val="21"/>
          <w:szCs w:val="21"/>
          <w:highlight w:val="none"/>
        </w:rPr>
        <w:fldChar w:fldCharType="separate"/>
      </w:r>
      <w:r>
        <w:rPr>
          <w:rStyle w:val="16"/>
          <w:rFonts w:hint="eastAsia"/>
          <w:color w:val="auto"/>
          <w:sz w:val="21"/>
          <w:szCs w:val="21"/>
          <w:highlight w:val="none"/>
        </w:rPr>
        <w:t>五、磋商与评审</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18</w:t>
      </w:r>
    </w:p>
    <w:p>
      <w:pPr>
        <w:pStyle w:val="11"/>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"_Toc132880663" </w:instrText>
      </w:r>
      <w:r>
        <w:rPr>
          <w:color w:val="auto"/>
          <w:sz w:val="21"/>
          <w:szCs w:val="21"/>
          <w:highlight w:val="none"/>
        </w:rPr>
        <w:fldChar w:fldCharType="separate"/>
      </w:r>
      <w:r>
        <w:rPr>
          <w:rStyle w:val="16"/>
          <w:rFonts w:hint="eastAsia"/>
          <w:color w:val="auto"/>
          <w:sz w:val="21"/>
          <w:szCs w:val="21"/>
          <w:highlight w:val="none"/>
        </w:rPr>
        <w:t>六、成交和合同</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22</w:t>
      </w:r>
    </w:p>
    <w:p>
      <w:pPr>
        <w:pStyle w:val="11"/>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"_Toc132880664" </w:instrText>
      </w:r>
      <w:r>
        <w:rPr>
          <w:color w:val="auto"/>
          <w:sz w:val="21"/>
          <w:szCs w:val="21"/>
          <w:highlight w:val="none"/>
        </w:rPr>
        <w:fldChar w:fldCharType="separate"/>
      </w:r>
      <w:r>
        <w:rPr>
          <w:rStyle w:val="16"/>
          <w:rFonts w:hint="eastAsia"/>
          <w:color w:val="auto"/>
          <w:sz w:val="21"/>
          <w:szCs w:val="21"/>
          <w:highlight w:val="none"/>
        </w:rPr>
        <w:t>七、询问和质疑</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22</w:t>
      </w:r>
    </w:p>
    <w:p>
      <w:pPr>
        <w:pStyle w:val="11"/>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"_Toc132880665" </w:instrText>
      </w:r>
      <w:r>
        <w:rPr>
          <w:color w:val="auto"/>
          <w:sz w:val="21"/>
          <w:szCs w:val="21"/>
          <w:highlight w:val="none"/>
        </w:rPr>
        <w:fldChar w:fldCharType="separate"/>
      </w:r>
      <w:r>
        <w:rPr>
          <w:rStyle w:val="16"/>
          <w:rFonts w:hint="eastAsia"/>
          <w:color w:val="auto"/>
          <w:sz w:val="21"/>
          <w:szCs w:val="21"/>
          <w:highlight w:val="none"/>
        </w:rPr>
        <w:t>八、其他</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23</w:t>
      </w:r>
    </w:p>
    <w:p>
      <w:pPr>
        <w:pStyle w:val="10"/>
        <w:tabs>
          <w:tab w:val="right" w:leader="dot" w:pos="9060"/>
        </w:tabs>
        <w:rPr>
          <w:rFonts w:hint="default" w:ascii="Calibri" w:hAnsi="Calibri" w:eastAsia="宋体" w:cs="Times New Roman"/>
          <w:b w:val="0"/>
          <w:bCs w:val="0"/>
          <w:caps w:val="0"/>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"_Toc132880666" </w:instrText>
      </w:r>
      <w:r>
        <w:rPr>
          <w:color w:val="auto"/>
          <w:sz w:val="21"/>
          <w:szCs w:val="21"/>
          <w:highlight w:val="none"/>
        </w:rPr>
        <w:fldChar w:fldCharType="separate"/>
      </w:r>
      <w:r>
        <w:rPr>
          <w:rStyle w:val="16"/>
          <w:rFonts w:hint="eastAsia"/>
          <w:color w:val="auto"/>
          <w:sz w:val="21"/>
          <w:szCs w:val="21"/>
          <w:highlight w:val="none"/>
        </w:rPr>
        <w:t>第三章</w:t>
      </w:r>
      <w:r>
        <w:rPr>
          <w:rStyle w:val="16"/>
          <w:color w:val="auto"/>
          <w:sz w:val="21"/>
          <w:szCs w:val="21"/>
          <w:highlight w:val="none"/>
        </w:rPr>
        <w:t xml:space="preserve">  </w:t>
      </w:r>
      <w:r>
        <w:rPr>
          <w:rStyle w:val="16"/>
          <w:rFonts w:hint="eastAsia"/>
          <w:color w:val="auto"/>
          <w:sz w:val="21"/>
          <w:szCs w:val="21"/>
          <w:highlight w:val="none"/>
        </w:rPr>
        <w:t>评审方法及标准</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25</w:t>
      </w:r>
    </w:p>
    <w:p>
      <w:pPr>
        <w:pStyle w:val="10"/>
        <w:tabs>
          <w:tab w:val="right" w:leader="dot" w:pos="9060"/>
        </w:tabs>
        <w:rPr>
          <w:rFonts w:hint="default" w:ascii="Calibri" w:hAnsi="Calibri" w:eastAsia="宋体" w:cs="Times New Roman"/>
          <w:b w:val="0"/>
          <w:bCs w:val="0"/>
          <w:caps w:val="0"/>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"_Toc132880667" </w:instrText>
      </w:r>
      <w:r>
        <w:rPr>
          <w:color w:val="auto"/>
          <w:sz w:val="21"/>
          <w:szCs w:val="21"/>
          <w:highlight w:val="none"/>
        </w:rPr>
        <w:fldChar w:fldCharType="separate"/>
      </w:r>
      <w:r>
        <w:rPr>
          <w:rStyle w:val="16"/>
          <w:rFonts w:hint="eastAsia"/>
          <w:color w:val="auto"/>
          <w:sz w:val="21"/>
          <w:szCs w:val="21"/>
          <w:highlight w:val="none"/>
        </w:rPr>
        <w:t>第四章</w:t>
      </w:r>
      <w:r>
        <w:rPr>
          <w:rStyle w:val="16"/>
          <w:color w:val="auto"/>
          <w:sz w:val="21"/>
          <w:szCs w:val="21"/>
          <w:highlight w:val="none"/>
        </w:rPr>
        <w:t xml:space="preserve">  </w:t>
      </w:r>
      <w:r>
        <w:rPr>
          <w:rStyle w:val="16"/>
          <w:rFonts w:hint="eastAsia"/>
          <w:color w:val="auto"/>
          <w:sz w:val="21"/>
          <w:szCs w:val="21"/>
          <w:highlight w:val="none"/>
        </w:rPr>
        <w:t>政府采购合同文本</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31</w:t>
      </w:r>
    </w:p>
    <w:p>
      <w:pPr>
        <w:pStyle w:val="10"/>
        <w:tabs>
          <w:tab w:val="right" w:leader="dot" w:pos="9060"/>
        </w:tabs>
        <w:rPr>
          <w:rFonts w:hint="default" w:ascii="Calibri" w:hAnsi="Calibri" w:eastAsia="宋体" w:cs="Times New Roman"/>
          <w:b w:val="0"/>
          <w:bCs w:val="0"/>
          <w:caps w:val="0"/>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"_Toc132880668" </w:instrText>
      </w:r>
      <w:r>
        <w:rPr>
          <w:color w:val="auto"/>
          <w:sz w:val="21"/>
          <w:szCs w:val="21"/>
          <w:highlight w:val="none"/>
        </w:rPr>
        <w:fldChar w:fldCharType="separate"/>
      </w:r>
      <w:r>
        <w:rPr>
          <w:rStyle w:val="16"/>
          <w:rFonts w:hint="eastAsia"/>
          <w:color w:val="auto"/>
          <w:sz w:val="21"/>
          <w:szCs w:val="21"/>
          <w:highlight w:val="none"/>
        </w:rPr>
        <w:t>第五章　响应文件格式</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43</w:t>
      </w:r>
    </w:p>
    <w:p>
      <w:pPr>
        <w:pStyle w:val="10"/>
        <w:tabs>
          <w:tab w:val="right" w:leader="dot" w:pos="9060"/>
        </w:tabs>
        <w:rPr>
          <w:rFonts w:hint="default" w:ascii="Calibri" w:hAnsi="Calibri" w:eastAsia="宋体" w:cs="Times New Roman"/>
          <w:b w:val="0"/>
          <w:bCs w:val="0"/>
          <w:caps w:val="0"/>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"_Toc132880669" </w:instrText>
      </w:r>
      <w:r>
        <w:rPr>
          <w:color w:val="auto"/>
          <w:sz w:val="21"/>
          <w:szCs w:val="21"/>
          <w:highlight w:val="none"/>
        </w:rPr>
        <w:fldChar w:fldCharType="separate"/>
      </w:r>
      <w:r>
        <w:rPr>
          <w:rStyle w:val="16"/>
          <w:rFonts w:hint="eastAsia"/>
          <w:color w:val="auto"/>
          <w:sz w:val="21"/>
          <w:szCs w:val="21"/>
          <w:highlight w:val="none"/>
        </w:rPr>
        <w:t>第六章</w:t>
      </w:r>
      <w:r>
        <w:rPr>
          <w:rStyle w:val="16"/>
          <w:color w:val="auto"/>
          <w:sz w:val="21"/>
          <w:szCs w:val="21"/>
          <w:highlight w:val="none"/>
        </w:rPr>
        <w:t xml:space="preserve">  </w:t>
      </w:r>
      <w:r>
        <w:rPr>
          <w:rStyle w:val="16"/>
          <w:rFonts w:hint="eastAsia"/>
          <w:color w:val="auto"/>
          <w:sz w:val="21"/>
          <w:szCs w:val="21"/>
          <w:highlight w:val="none"/>
        </w:rPr>
        <w:t>项目采购需求</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75</w:t>
      </w:r>
    </w:p>
    <w:p>
      <w:pPr>
        <w:pStyle w:val="11"/>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"_Toc132880670" </w:instrText>
      </w:r>
      <w:r>
        <w:rPr>
          <w:color w:val="auto"/>
          <w:sz w:val="21"/>
          <w:szCs w:val="21"/>
          <w:highlight w:val="none"/>
        </w:rPr>
        <w:fldChar w:fldCharType="separate"/>
      </w:r>
      <w:r>
        <w:rPr>
          <w:rStyle w:val="16"/>
          <w:rFonts w:hint="eastAsia"/>
          <w:color w:val="auto"/>
          <w:sz w:val="21"/>
          <w:szCs w:val="21"/>
          <w:highlight w:val="none"/>
        </w:rPr>
        <w:t>一、项目概况</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75</w:t>
      </w:r>
    </w:p>
    <w:p>
      <w:pPr>
        <w:pStyle w:val="11"/>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"_Toc132880671" </w:instrText>
      </w:r>
      <w:r>
        <w:rPr>
          <w:color w:val="auto"/>
          <w:sz w:val="21"/>
          <w:szCs w:val="21"/>
          <w:highlight w:val="none"/>
        </w:rPr>
        <w:fldChar w:fldCharType="separate"/>
      </w:r>
      <w:r>
        <w:rPr>
          <w:rStyle w:val="16"/>
          <w:rFonts w:hint="eastAsia"/>
          <w:color w:val="auto"/>
          <w:sz w:val="21"/>
          <w:szCs w:val="21"/>
          <w:highlight w:val="none"/>
        </w:rPr>
        <w:t>二、技术要求</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75</w:t>
      </w:r>
    </w:p>
    <w:p>
      <w:pPr>
        <w:pStyle w:val="11"/>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"_Toc132880672" </w:instrText>
      </w:r>
      <w:r>
        <w:rPr>
          <w:color w:val="auto"/>
          <w:sz w:val="21"/>
          <w:szCs w:val="21"/>
          <w:highlight w:val="none"/>
        </w:rPr>
        <w:fldChar w:fldCharType="separate"/>
      </w:r>
      <w:r>
        <w:rPr>
          <w:rStyle w:val="16"/>
          <w:rFonts w:hint="eastAsia"/>
          <w:color w:val="auto"/>
          <w:sz w:val="21"/>
          <w:szCs w:val="21"/>
          <w:highlight w:val="none"/>
        </w:rPr>
        <w:t>三、商务要求</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79</w:t>
      </w:r>
    </w:p>
    <w:p>
      <w:pPr>
        <w:pStyle w:val="11"/>
        <w:tabs>
          <w:tab w:val="right" w:leader="dot" w:pos="9060"/>
        </w:tabs>
        <w:rPr>
          <w:rFonts w:hint="default" w:ascii="Calibri" w:hAnsi="Calibri" w:eastAsia="宋体" w:cs="Times New Roman"/>
          <w:color w:val="auto"/>
          <w:szCs w:val="22"/>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"_Toc132880673" </w:instrText>
      </w:r>
      <w:r>
        <w:rPr>
          <w:color w:val="auto"/>
          <w:sz w:val="21"/>
          <w:szCs w:val="21"/>
          <w:highlight w:val="none"/>
        </w:rPr>
        <w:fldChar w:fldCharType="separate"/>
      </w:r>
      <w:r>
        <w:rPr>
          <w:rStyle w:val="16"/>
          <w:rFonts w:hint="eastAsia"/>
          <w:color w:val="auto"/>
          <w:sz w:val="21"/>
          <w:szCs w:val="21"/>
          <w:highlight w:val="none"/>
        </w:rPr>
        <w:t>四、其他事项</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81</w:t>
      </w:r>
    </w:p>
    <w:p>
      <w:pPr>
        <w:rPr>
          <w:color w:val="auto"/>
          <w:highlight w:val="none"/>
        </w:rPr>
      </w:pPr>
      <w:r>
        <w:rPr>
          <w:color w:val="auto"/>
          <w:highlight w:val="none"/>
        </w:rPr>
        <w:fldChar w:fldCharType="end"/>
      </w:r>
    </w:p>
    <w:p>
      <w:pPr>
        <w:rPr>
          <w:b/>
          <w:color w:val="auto"/>
          <w:sz w:val="44"/>
          <w:szCs w:val="44"/>
          <w:highlight w:val="none"/>
        </w:rPr>
      </w:pPr>
    </w:p>
    <w:p>
      <w:pPr>
        <w:rPr>
          <w:color w:val="auto"/>
          <w:highlight w:val="none"/>
        </w:rPr>
      </w:pPr>
    </w:p>
    <w:p>
      <w:pPr>
        <w:rPr>
          <w:color w:val="auto"/>
          <w:highlight w:val="none"/>
        </w:rPr>
        <w:sectPr>
          <w:footerReference r:id="rId7" w:type="first"/>
          <w:footerReference r:id="rId5" w:type="default"/>
          <w:headerReference r:id="rId4" w:type="even"/>
          <w:footerReference r:id="rId6" w:type="even"/>
          <w:pgSz w:w="11906" w:h="16838"/>
          <w:pgMar w:top="1440" w:right="1752" w:bottom="1440" w:left="1752"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华文中宋"/>
          <w:b/>
          <w:bCs/>
          <w:color w:val="auto"/>
          <w:sz w:val="28"/>
          <w:szCs w:val="28"/>
          <w:highlight w:val="none"/>
        </w:rPr>
      </w:pPr>
      <w:bookmarkStart w:id="0" w:name="_Toc132880655"/>
      <w:r>
        <w:rPr>
          <w:rFonts w:hint="eastAsia" w:ascii="华文中宋" w:hAnsi="华文中宋" w:eastAsia="华文中宋" w:cs="华文中宋"/>
          <w:b/>
          <w:bCs/>
          <w:color w:val="auto"/>
          <w:sz w:val="28"/>
          <w:szCs w:val="28"/>
          <w:highlight w:val="none"/>
        </w:rPr>
        <w:t>第一章  磋商邀请</w:t>
      </w:r>
      <w:bookmarkEnd w:id="0"/>
    </w:p>
    <w:p>
      <w:pPr>
        <w:pBdr>
          <w:top w:val="single" w:color="auto" w:sz="4" w:space="1"/>
          <w:left w:val="single" w:color="auto" w:sz="4" w:space="4"/>
          <w:bottom w:val="single" w:color="auto" w:sz="4" w:space="1"/>
          <w:right w:val="single" w:color="auto" w:sz="4" w:space="4"/>
        </w:pBd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eastAsia="zh-CN"/>
        </w:rPr>
        <w:t>国家税务总局宁德市税务局12366服务外包项目</w:t>
      </w:r>
      <w:r>
        <w:rPr>
          <w:rFonts w:hint="eastAsia" w:ascii="宋体" w:hAnsi="宋体" w:eastAsia="宋体"/>
          <w:color w:val="auto"/>
          <w:sz w:val="21"/>
          <w:szCs w:val="21"/>
          <w:highlight w:val="none"/>
        </w:rPr>
        <w:t xml:space="preserve"> 采购项目的潜在供应商应在</w:t>
      </w:r>
      <w:r>
        <w:rPr>
          <w:rFonts w:hint="eastAsia" w:ascii="宋体" w:hAnsi="宋体" w:eastAsia="宋体"/>
          <w:color w:val="auto"/>
          <w:sz w:val="21"/>
          <w:szCs w:val="21"/>
          <w:highlight w:val="none"/>
          <w:u w:val="single"/>
        </w:rPr>
        <w:t>福建省宁德市东侨开发区北湖滨路9号东湖曙光城21幢二单元905室</w:t>
      </w:r>
      <w:r>
        <w:rPr>
          <w:rFonts w:hint="eastAsia" w:ascii="宋体" w:hAnsi="宋体" w:eastAsia="宋体"/>
          <w:color w:val="auto"/>
          <w:sz w:val="21"/>
          <w:szCs w:val="21"/>
          <w:highlight w:val="none"/>
        </w:rPr>
        <w:t>获取采购文件，并于</w:t>
      </w:r>
      <w:r>
        <w:rPr>
          <w:rFonts w:hint="eastAsia" w:ascii="宋体" w:hAnsi="宋体" w:eastAsia="宋体"/>
          <w:color w:val="auto"/>
          <w:sz w:val="21"/>
          <w:szCs w:val="21"/>
          <w:highlight w:val="none"/>
          <w:u w:val="single"/>
          <w:lang w:val="en-US" w:eastAsia="zh-CN"/>
        </w:rPr>
        <w:t xml:space="preserve"> </w:t>
      </w:r>
      <w:r>
        <w:rPr>
          <w:rFonts w:hint="eastAsia" w:ascii="宋体" w:hAnsi="宋体"/>
          <w:color w:val="auto"/>
          <w:sz w:val="21"/>
          <w:szCs w:val="21"/>
          <w:highlight w:val="none"/>
          <w:u w:val="single"/>
          <w:lang w:val="en-US" w:eastAsia="zh-CN"/>
        </w:rPr>
        <w:t>2024</w:t>
      </w:r>
      <w:r>
        <w:rPr>
          <w:rFonts w:hint="eastAsia" w:ascii="宋体" w:hAnsi="宋体" w:eastAsia="宋体"/>
          <w:bCs/>
          <w:color w:val="auto"/>
          <w:sz w:val="21"/>
          <w:szCs w:val="21"/>
          <w:highlight w:val="none"/>
          <w:u w:val="single"/>
        </w:rPr>
        <w:t>年</w:t>
      </w:r>
      <w:r>
        <w:rPr>
          <w:rFonts w:hint="eastAsia" w:ascii="宋体" w:hAnsi="宋体"/>
          <w:bCs/>
          <w:color w:val="auto"/>
          <w:sz w:val="21"/>
          <w:szCs w:val="21"/>
          <w:highlight w:val="none"/>
          <w:u w:val="single"/>
          <w:lang w:val="en-US" w:eastAsia="zh-CN"/>
        </w:rPr>
        <w:t>03</w:t>
      </w:r>
      <w:r>
        <w:rPr>
          <w:rFonts w:hint="eastAsia" w:ascii="宋体" w:hAnsi="宋体" w:eastAsia="宋体"/>
          <w:bCs/>
          <w:color w:val="auto"/>
          <w:sz w:val="21"/>
          <w:szCs w:val="21"/>
          <w:highlight w:val="none"/>
          <w:u w:val="single"/>
        </w:rPr>
        <w:t>月</w:t>
      </w:r>
      <w:r>
        <w:rPr>
          <w:rFonts w:hint="eastAsia" w:ascii="宋体" w:hAnsi="宋体"/>
          <w:bCs/>
          <w:color w:val="auto"/>
          <w:sz w:val="21"/>
          <w:szCs w:val="21"/>
          <w:highlight w:val="none"/>
          <w:u w:val="single"/>
          <w:lang w:val="en-US" w:eastAsia="zh-CN"/>
        </w:rPr>
        <w:t>05</w:t>
      </w:r>
      <w:r>
        <w:rPr>
          <w:rFonts w:hint="eastAsia" w:ascii="宋体" w:hAnsi="宋体" w:eastAsia="宋体"/>
          <w:bCs/>
          <w:color w:val="auto"/>
          <w:sz w:val="21"/>
          <w:szCs w:val="21"/>
          <w:highlight w:val="none"/>
          <w:u w:val="single"/>
        </w:rPr>
        <w:t>日</w:t>
      </w:r>
      <w:r>
        <w:rPr>
          <w:rFonts w:hint="eastAsia" w:ascii="宋体" w:hAnsi="宋体"/>
          <w:bCs/>
          <w:color w:val="auto"/>
          <w:sz w:val="21"/>
          <w:szCs w:val="21"/>
          <w:highlight w:val="none"/>
          <w:u w:val="single"/>
          <w:lang w:val="en-US" w:eastAsia="zh-CN"/>
        </w:rPr>
        <w:t>14</w:t>
      </w:r>
      <w:r>
        <w:rPr>
          <w:rFonts w:hint="eastAsia" w:ascii="宋体" w:hAnsi="宋体" w:eastAsia="宋体"/>
          <w:bCs/>
          <w:color w:val="auto"/>
          <w:sz w:val="21"/>
          <w:szCs w:val="21"/>
          <w:highlight w:val="none"/>
          <w:u w:val="single"/>
        </w:rPr>
        <w:t xml:space="preserve"> 点</w:t>
      </w:r>
      <w:r>
        <w:rPr>
          <w:rFonts w:hint="eastAsia" w:ascii="宋体" w:hAnsi="宋体"/>
          <w:bCs/>
          <w:color w:val="auto"/>
          <w:sz w:val="21"/>
          <w:szCs w:val="21"/>
          <w:highlight w:val="none"/>
          <w:u w:val="single"/>
          <w:lang w:val="en-US" w:eastAsia="zh-CN"/>
        </w:rPr>
        <w:t>30</w:t>
      </w:r>
      <w:r>
        <w:rPr>
          <w:rFonts w:hint="eastAsia" w:ascii="宋体" w:hAnsi="宋体" w:eastAsia="宋体"/>
          <w:bCs/>
          <w:color w:val="auto"/>
          <w:sz w:val="21"/>
          <w:szCs w:val="21"/>
          <w:highlight w:val="none"/>
          <w:u w:val="single"/>
        </w:rPr>
        <w:t>分</w:t>
      </w:r>
      <w:r>
        <w:rPr>
          <w:rFonts w:hint="eastAsia" w:ascii="宋体" w:hAnsi="宋体" w:eastAsia="宋体"/>
          <w:bCs/>
          <w:color w:val="auto"/>
          <w:sz w:val="21"/>
          <w:szCs w:val="21"/>
          <w:highlight w:val="none"/>
        </w:rPr>
        <w:t>（北京时间）前提交响应</w:t>
      </w:r>
      <w:r>
        <w:rPr>
          <w:rFonts w:ascii="宋体" w:hAnsi="宋体" w:eastAsia="宋体"/>
          <w:bCs/>
          <w:color w:val="auto"/>
          <w:sz w:val="21"/>
          <w:szCs w:val="21"/>
          <w:highlight w:val="none"/>
        </w:rPr>
        <w:t>文件</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黑体" w:hAnsi="黑体" w:eastAsia="黑体"/>
          <w:color w:val="auto"/>
          <w:sz w:val="21"/>
          <w:szCs w:val="21"/>
          <w:highlight w:val="none"/>
        </w:rPr>
      </w:pPr>
      <w:r>
        <w:rPr>
          <w:rFonts w:hint="eastAsia" w:ascii="黑体" w:hAnsi="黑体" w:eastAsia="黑体"/>
          <w:color w:val="auto"/>
          <w:sz w:val="21"/>
          <w:szCs w:val="21"/>
          <w:highlight w:val="none"/>
        </w:rPr>
        <w:t>一、项目基本情况</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项目编号：0622-0524003</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eastAsia="zh-CN"/>
        </w:rPr>
        <w:t>国家税务总局宁德市税务局12366服务外包项目</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采购方式：</w:t>
      </w:r>
      <w:r>
        <w:rPr>
          <w:rFonts w:hint="eastAsia" w:ascii="宋体" w:hAnsi="宋体"/>
          <w:color w:val="auto"/>
          <w:sz w:val="21"/>
          <w:szCs w:val="21"/>
          <w:highlight w:val="none"/>
          <w:lang w:eastAsia="zh-CN"/>
        </w:rPr>
        <w:t>竞争磋商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预算金额：</w:t>
      </w:r>
      <w:r>
        <w:rPr>
          <w:rFonts w:hint="eastAsia" w:ascii="宋体" w:hAnsi="宋体"/>
          <w:color w:val="auto"/>
          <w:sz w:val="21"/>
          <w:szCs w:val="21"/>
          <w:highlight w:val="none"/>
          <w:lang w:val="en-US" w:eastAsia="zh-CN"/>
        </w:rPr>
        <w:t>98.5万元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最高限价（如有）：</w:t>
      </w:r>
      <w:r>
        <w:rPr>
          <w:rFonts w:hint="eastAsia" w:ascii="宋体" w:hAnsi="宋体"/>
          <w:color w:val="auto"/>
          <w:sz w:val="21"/>
          <w:szCs w:val="21"/>
          <w:highlight w:val="none"/>
          <w:lang w:val="en-US" w:eastAsia="zh-CN"/>
        </w:rPr>
        <w:t>98.5万元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采购需求：</w:t>
      </w:r>
    </w:p>
    <w:tbl>
      <w:tblPr>
        <w:tblStyle w:val="1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4"/>
        <w:gridCol w:w="3269"/>
        <w:gridCol w:w="932"/>
        <w:gridCol w:w="1194"/>
        <w:gridCol w:w="1227"/>
        <w:gridCol w:w="11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1897"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标的名称</w:t>
            </w:r>
          </w:p>
        </w:tc>
        <w:tc>
          <w:tcPr>
            <w:tcW w:w="541"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数量</w:t>
            </w:r>
          </w:p>
        </w:tc>
        <w:tc>
          <w:tcPr>
            <w:tcW w:w="693"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计量单位</w:t>
            </w:r>
          </w:p>
        </w:tc>
        <w:tc>
          <w:tcPr>
            <w:tcW w:w="712"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所属行业</w:t>
            </w:r>
          </w:p>
        </w:tc>
        <w:tc>
          <w:tcPr>
            <w:tcW w:w="665"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1</w:t>
            </w:r>
          </w:p>
        </w:tc>
        <w:tc>
          <w:tcPr>
            <w:tcW w:w="1897"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国家税务总局宁德市税务局12366服务外包项目</w:t>
            </w:r>
          </w:p>
        </w:tc>
        <w:tc>
          <w:tcPr>
            <w:tcW w:w="541"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w:t>
            </w:r>
          </w:p>
        </w:tc>
        <w:tc>
          <w:tcPr>
            <w:tcW w:w="693"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项</w:t>
            </w:r>
          </w:p>
        </w:tc>
        <w:tc>
          <w:tcPr>
            <w:tcW w:w="712"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其他未列明行业</w:t>
            </w:r>
          </w:p>
        </w:tc>
        <w:tc>
          <w:tcPr>
            <w:tcW w:w="665"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否</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color w:val="auto"/>
          <w:sz w:val="21"/>
          <w:szCs w:val="21"/>
          <w:highlight w:val="none"/>
          <w:u w:val="single"/>
        </w:rPr>
      </w:pPr>
      <w:r>
        <w:rPr>
          <w:rFonts w:hint="eastAsia" w:ascii="宋体" w:hAnsi="宋体"/>
          <w:color w:val="auto"/>
          <w:sz w:val="21"/>
          <w:szCs w:val="21"/>
          <w:highlight w:val="none"/>
        </w:rPr>
        <w:t>合同履行期限：合同期限为一年</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本项目</w:t>
      </w:r>
      <w:r>
        <w:rPr>
          <w:rFonts w:hint="eastAsia" w:ascii="宋体" w:hAnsi="宋体"/>
          <w:color w:val="auto"/>
          <w:sz w:val="21"/>
          <w:szCs w:val="21"/>
          <w:highlight w:val="none"/>
          <w:lang w:val="en-US" w:eastAsia="zh-CN"/>
        </w:rPr>
        <w:t>不</w:t>
      </w:r>
      <w:r>
        <w:rPr>
          <w:rFonts w:hint="eastAsia" w:ascii="宋体" w:hAnsi="宋体"/>
          <w:color w:val="auto"/>
          <w:sz w:val="21"/>
          <w:szCs w:val="21"/>
          <w:highlight w:val="none"/>
        </w:rPr>
        <w:t>接受联合体。</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黑体" w:hAnsi="黑体" w:eastAsia="黑体"/>
          <w:color w:val="auto"/>
          <w:sz w:val="21"/>
          <w:szCs w:val="21"/>
          <w:highlight w:val="none"/>
        </w:rPr>
      </w:pPr>
      <w:r>
        <w:rPr>
          <w:rFonts w:hint="eastAsia" w:ascii="黑体" w:hAnsi="黑体" w:eastAsia="黑体"/>
          <w:color w:val="auto"/>
          <w:sz w:val="21"/>
          <w:szCs w:val="21"/>
          <w:highlight w:val="none"/>
        </w:rPr>
        <w:t>二、申请人的资格要求：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2"/>
        <w:rPr>
          <w:rFonts w:ascii="宋体" w:hAnsi="宋体"/>
          <w:color w:val="auto"/>
          <w:sz w:val="21"/>
          <w:szCs w:val="21"/>
          <w:highlight w:val="none"/>
        </w:rPr>
      </w:pPr>
      <w:r>
        <w:rPr>
          <w:rFonts w:hint="eastAsia" w:ascii="宋体" w:hAnsi="宋体"/>
          <w:color w:val="auto"/>
          <w:sz w:val="21"/>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ascii="宋体" w:hAnsi="宋体"/>
          <w:color w:val="auto"/>
          <w:sz w:val="21"/>
          <w:szCs w:val="21"/>
          <w:highlight w:val="none"/>
        </w:rPr>
        <w:t>2</w:t>
      </w:r>
      <w:r>
        <w:rPr>
          <w:rFonts w:hint="eastAsia" w:ascii="宋体" w:hAnsi="宋体"/>
          <w:color w:val="auto"/>
          <w:sz w:val="21"/>
          <w:szCs w:val="21"/>
          <w:highlight w:val="none"/>
        </w:rPr>
        <w:t>.落实政府采购政策需满足的资格要求：</w:t>
      </w:r>
      <w:r>
        <w:rPr>
          <w:rFonts w:hint="eastAsia"/>
          <w:sz w:val="20"/>
          <w:szCs w:val="20"/>
        </w:rPr>
        <w:t>本采购包属于专门面向中小企业采购</w:t>
      </w:r>
      <w:r>
        <w:rPr>
          <w:rFonts w:hint="eastAsia"/>
          <w:sz w:val="20"/>
          <w:szCs w:val="20"/>
          <w:lang w:eastAsia="zh-CN"/>
        </w:rPr>
        <w:t>：</w:t>
      </w:r>
      <w:r>
        <w:rPr>
          <w:rFonts w:hint="eastAsia"/>
          <w:sz w:val="20"/>
          <w:szCs w:val="20"/>
        </w:rPr>
        <w:t>根据《财政部、工业和信息化部关于印发（政府采购促进中小企业发展管理办法）的通知》（财库〔2020〕46号）文件规定，本项目为专门面向中小微企业采购的项目，为本项目提供服务的响应人必须为中小微企业。响应时必须按照（财库〔2020〕46号）文件规定提供响应人企业的《中小企业声明函》。监狱企业视同小型和微型企业，提供由省级以上监狱管理局、戒毒管理局(含新疆生产建设兵团)出具的属于监狱企业的证明文件。残疾人福利性单位视同小型和微型企业，提供《残疾人福利性单位声明函》。本项目为服务类采购项目，采购标的对应的中小企业划分标准所属行业为</w:t>
      </w:r>
      <w:r>
        <w:rPr>
          <w:rFonts w:hint="eastAsia"/>
          <w:sz w:val="20"/>
          <w:szCs w:val="20"/>
          <w:lang w:eastAsia="zh-CN"/>
        </w:rPr>
        <w:t>“</w:t>
      </w:r>
      <w:r>
        <w:rPr>
          <w:rFonts w:hint="eastAsia"/>
          <w:sz w:val="20"/>
          <w:szCs w:val="20"/>
        </w:rPr>
        <w:t>其他未列明行业</w:t>
      </w:r>
      <w:r>
        <w:rPr>
          <w:rFonts w:hint="eastAsia"/>
          <w:sz w:val="20"/>
          <w:szCs w:val="20"/>
          <w:lang w:eastAsia="zh-CN"/>
        </w:rPr>
        <w:t>”</w:t>
      </w:r>
      <w:r>
        <w:rPr>
          <w:rFonts w:hint="eastAsia"/>
          <w:sz w:val="20"/>
          <w:szCs w:val="20"/>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i/>
          <w:iCs/>
          <w:color w:val="auto"/>
          <w:sz w:val="21"/>
          <w:szCs w:val="21"/>
          <w:highlight w:val="none"/>
          <w:u w:val="single"/>
          <w:lang w:eastAsia="zh-CN"/>
        </w:rPr>
      </w:pPr>
      <w:r>
        <w:rPr>
          <w:rFonts w:hint="eastAsia" w:ascii="宋体" w:hAnsi="宋体"/>
          <w:color w:val="auto"/>
          <w:sz w:val="21"/>
          <w:szCs w:val="21"/>
          <w:highlight w:val="none"/>
        </w:rPr>
        <w:t>3.本项目的特定资格要求：</w:t>
      </w:r>
      <w:r>
        <w:rPr>
          <w:rFonts w:hint="eastAsia" w:ascii="宋体" w:hAnsi="宋体"/>
          <w:color w:val="auto"/>
          <w:sz w:val="21"/>
          <w:szCs w:val="21"/>
          <w:highlight w:val="none"/>
          <w:u w:val="single"/>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ascii="黑体" w:hAnsi="黑体" w:eastAsia="黑体"/>
          <w:color w:val="auto"/>
          <w:sz w:val="21"/>
          <w:szCs w:val="21"/>
          <w:highlight w:val="none"/>
        </w:rPr>
      </w:pPr>
      <w:r>
        <w:rPr>
          <w:rFonts w:hint="eastAsia" w:ascii="黑体" w:hAnsi="黑体" w:eastAsia="黑体"/>
          <w:color w:val="auto"/>
          <w:sz w:val="21"/>
          <w:szCs w:val="21"/>
          <w:highlight w:val="none"/>
        </w:rPr>
        <w:t>三、获取采购文件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cs="宋体"/>
          <w:color w:val="auto"/>
          <w:sz w:val="21"/>
          <w:szCs w:val="21"/>
          <w:highlight w:val="none"/>
        </w:rPr>
      </w:pPr>
      <w:r>
        <w:rPr>
          <w:rFonts w:hint="eastAsia" w:ascii="宋体" w:hAnsi="宋体"/>
          <w:color w:val="auto"/>
          <w:sz w:val="21"/>
          <w:szCs w:val="21"/>
          <w:highlight w:val="none"/>
        </w:rPr>
        <w:t>时间</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lang w:val="en-US" w:eastAsia="zh-CN"/>
        </w:rPr>
        <w:t>2024</w:t>
      </w:r>
      <w:r>
        <w:rPr>
          <w:rFonts w:hint="eastAsia" w:ascii="宋体" w:hAnsi="宋体" w:cs="宋体"/>
          <w:color w:val="auto"/>
          <w:sz w:val="21"/>
          <w:szCs w:val="21"/>
          <w:highlight w:val="none"/>
          <w:u w:val="single"/>
        </w:rPr>
        <w:t xml:space="preserve"> 年</w:t>
      </w:r>
      <w:r>
        <w:rPr>
          <w:rFonts w:hint="eastAsia" w:ascii="宋体" w:hAnsi="宋体" w:cs="宋体"/>
          <w:color w:val="auto"/>
          <w:sz w:val="21"/>
          <w:szCs w:val="21"/>
          <w:highlight w:val="none"/>
          <w:u w:val="single"/>
          <w:lang w:val="en-US" w:eastAsia="zh-CN"/>
        </w:rPr>
        <w:t>02</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val="en-US" w:eastAsia="zh-CN"/>
        </w:rPr>
        <w:t>2024</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03</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01</w:t>
      </w:r>
      <w:r>
        <w:rPr>
          <w:rFonts w:hint="eastAsia" w:ascii="宋体" w:hAnsi="宋体" w:cs="宋体"/>
          <w:color w:val="auto"/>
          <w:sz w:val="21"/>
          <w:szCs w:val="21"/>
          <w:highlight w:val="none"/>
          <w:u w:val="single"/>
        </w:rPr>
        <w:t>日</w:t>
      </w:r>
      <w:r>
        <w:rPr>
          <w:rFonts w:hint="eastAsia" w:ascii="宋体" w:hAnsi="宋体" w:cs="宋体"/>
          <w:iCs/>
          <w:color w:val="auto"/>
          <w:sz w:val="21"/>
          <w:szCs w:val="21"/>
          <w:highlight w:val="none"/>
          <w:u w:val="single"/>
        </w:rPr>
        <w:t>（</w:t>
      </w:r>
      <w:r>
        <w:rPr>
          <w:rFonts w:hint="eastAsia" w:ascii="宋体" w:hAnsi="宋体" w:cs="宋体"/>
          <w:i/>
          <w:color w:val="auto"/>
          <w:sz w:val="21"/>
          <w:szCs w:val="21"/>
          <w:highlight w:val="none"/>
          <w:u w:val="single"/>
        </w:rPr>
        <w:t>磋商文件的发售期限自开始之日起不得少于5个工作日</w:t>
      </w:r>
      <w:r>
        <w:rPr>
          <w:rFonts w:hint="eastAsia" w:ascii="宋体" w:hAnsi="宋体" w:cs="宋体"/>
          <w:iCs/>
          <w:color w:val="auto"/>
          <w:sz w:val="21"/>
          <w:szCs w:val="21"/>
          <w:highlight w:val="none"/>
          <w:u w:val="single"/>
        </w:rPr>
        <w:t>）</w:t>
      </w:r>
      <w:r>
        <w:rPr>
          <w:rFonts w:hint="eastAsia" w:ascii="宋体" w:hAnsi="宋体" w:cs="宋体"/>
          <w:color w:val="auto"/>
          <w:sz w:val="21"/>
          <w:szCs w:val="21"/>
          <w:highlight w:val="none"/>
        </w:rPr>
        <w:t>，每天</w:t>
      </w:r>
      <w:r>
        <w:rPr>
          <w:rFonts w:hint="eastAsia" w:ascii="宋体" w:hAnsi="宋体" w:cs="宋体"/>
          <w:color w:val="auto"/>
          <w:sz w:val="21"/>
          <w:szCs w:val="21"/>
          <w:highlight w:val="none"/>
          <w:u w:val="single"/>
          <w:lang w:val="en-US" w:eastAsia="zh-CN"/>
        </w:rPr>
        <w:t>9：00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val="en-US" w:eastAsia="zh-CN"/>
        </w:rPr>
        <w:t>12：00</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lang w:val="en-US" w:eastAsia="zh-CN"/>
        </w:rPr>
        <w:t>14：30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val="en-US" w:eastAsia="zh-CN"/>
        </w:rPr>
        <w:t>17：30</w:t>
      </w:r>
      <w:r>
        <w:rPr>
          <w:rFonts w:hint="eastAsia" w:ascii="宋体" w:hAnsi="宋体" w:cs="宋体"/>
          <w:color w:val="auto"/>
          <w:sz w:val="21"/>
          <w:szCs w:val="21"/>
          <w:highlight w:val="none"/>
        </w:rPr>
        <w:t>（北京时间，</w:t>
      </w:r>
      <w:r>
        <w:rPr>
          <w:rFonts w:ascii="宋体" w:hAnsi="宋体" w:cs="宋体"/>
          <w:color w:val="auto"/>
          <w:sz w:val="21"/>
          <w:szCs w:val="21"/>
          <w:highlight w:val="none"/>
        </w:rPr>
        <w:t>法定节假日</w:t>
      </w:r>
      <w:r>
        <w:rPr>
          <w:rFonts w:hint="eastAsia" w:ascii="宋体" w:hAnsi="宋体" w:cs="宋体"/>
          <w:color w:val="auto"/>
          <w:sz w:val="21"/>
          <w:szCs w:val="21"/>
          <w:highlight w:val="none"/>
        </w:rPr>
        <w:t>除外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heme="minorBidi"/>
          <w:sz w:val="21"/>
          <w:szCs w:val="28"/>
          <w:lang w:eastAsia="zh-CN"/>
        </w:rPr>
      </w:pPr>
      <w:r>
        <w:rPr>
          <w:rFonts w:hint="eastAsia" w:ascii="宋体" w:hAnsi="宋体"/>
          <w:color w:val="auto"/>
          <w:sz w:val="21"/>
          <w:szCs w:val="21"/>
          <w:highlight w:val="none"/>
        </w:rPr>
        <w:t>地点</w:t>
      </w:r>
      <w:r>
        <w:rPr>
          <w:rFonts w:hint="eastAsia" w:ascii="宋体" w:hAnsi="宋体" w:cs="宋体"/>
          <w:color w:val="auto"/>
          <w:sz w:val="21"/>
          <w:szCs w:val="21"/>
          <w:highlight w:val="none"/>
        </w:rPr>
        <w:t>：</w:t>
      </w:r>
      <w:r>
        <w:rPr>
          <w:rFonts w:hint="eastAsia" w:cstheme="minorBidi"/>
          <w:sz w:val="21"/>
          <w:szCs w:val="28"/>
        </w:rPr>
        <w:t>福建天合招标有限公司</w:t>
      </w:r>
      <w:r>
        <w:rPr>
          <w:rFonts w:hint="eastAsia" w:cstheme="minorBidi"/>
          <w:sz w:val="21"/>
          <w:szCs w:val="28"/>
          <w:lang w:eastAsia="zh-CN"/>
        </w:rPr>
        <w:t>（</w:t>
      </w:r>
      <w:r>
        <w:rPr>
          <w:rFonts w:hint="eastAsia" w:ascii="宋体" w:hAnsi="宋体" w:cs="宋体"/>
          <w:color w:val="auto"/>
          <w:sz w:val="21"/>
          <w:szCs w:val="21"/>
          <w:highlight w:val="none"/>
        </w:rPr>
        <w:t>福建省宁德市东侨开发区北湖滨路9号东湖曙光城21幢二单元905室</w:t>
      </w:r>
      <w:r>
        <w:rPr>
          <w:rFonts w:hint="eastAsia" w:cstheme="minorBidi"/>
          <w:sz w:val="21"/>
          <w:szCs w:val="28"/>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方式:报名期限内，供应商应选择以下任意一种方式进行报名:</w:t>
      </w:r>
      <w:r>
        <w:rPr>
          <w:rFonts w:hint="eastAsia" w:ascii="宋体" w:hAnsi="宋体"/>
          <w:color w:val="auto"/>
          <w:sz w:val="21"/>
          <w:szCs w:val="21"/>
          <w:highlight w:val="none"/>
          <w:lang w:val="en-US" w:eastAsia="zh-CN"/>
        </w:rPr>
        <w:t>①</w:t>
      </w:r>
      <w:r>
        <w:rPr>
          <w:rFonts w:hint="eastAsia" w:ascii="宋体" w:hAnsi="宋体"/>
          <w:color w:val="auto"/>
          <w:sz w:val="21"/>
          <w:szCs w:val="21"/>
          <w:highlight w:val="none"/>
        </w:rPr>
        <w:t>供应商应持授权委托书(法人须持法人身份证明)、本人身份证原件及营业执照复印件加盖公章到福建天合招标有限公司(地址:福建省宁德市东侨开发区北湖滨路9号东湖曙光城21幢二单元905室)对本项目进行报名并填写《供应商报名登记表》且缴纳相应金额后受理;②通过电子邮件报名的：须按公告提供的开户名、开户行、账号，电汇或转账相应的金额到本公司账户（开户行：兴业银行宁德分行，账号：</w:t>
      </w:r>
      <w:r>
        <w:rPr>
          <w:rFonts w:hint="eastAsia" w:ascii="宋体" w:hAnsi="宋体"/>
          <w:color w:val="auto"/>
          <w:sz w:val="21"/>
          <w:szCs w:val="21"/>
          <w:highlight w:val="none"/>
          <w:lang w:val="en-US" w:eastAsia="zh-CN"/>
        </w:rPr>
        <w:t>622908133040385968</w:t>
      </w:r>
      <w:r>
        <w:rPr>
          <w:rFonts w:hint="eastAsia" w:ascii="宋体" w:hAnsi="宋体"/>
          <w:color w:val="auto"/>
          <w:sz w:val="21"/>
          <w:szCs w:val="21"/>
          <w:highlight w:val="none"/>
        </w:rPr>
        <w:t>，户名：</w:t>
      </w:r>
      <w:r>
        <w:rPr>
          <w:rFonts w:hint="eastAsia" w:ascii="宋体" w:hAnsi="宋体"/>
          <w:color w:val="auto"/>
          <w:sz w:val="21"/>
          <w:szCs w:val="21"/>
          <w:highlight w:val="none"/>
          <w:lang w:val="en-US" w:eastAsia="zh-CN"/>
        </w:rPr>
        <w:t>郑岐峰</w:t>
      </w:r>
      <w:r>
        <w:rPr>
          <w:rFonts w:hint="eastAsia" w:ascii="宋体" w:hAnsi="宋体"/>
          <w:color w:val="auto"/>
          <w:sz w:val="21"/>
          <w:szCs w:val="21"/>
          <w:highlight w:val="none"/>
        </w:rPr>
        <w:t>），同时将电汇或转账底单复印件及供应商将授权委托书(或法人身份证明)、本人身份证、营业执照及《供应商报名登记表》的原件扫描件发送至邮箱fjth_zb@163.com，并将上述材料的复印件加盖公章邮寄至本公司，邮费自付，且未在报名截止时间前将材料送达视为报名未成功，未报名将导致投标被拒绝;且报名时的公司名称应与投标时的公司名称一致，未办理报名手续的不予以书面变更通知及不受理其参加本项目的磋商活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cs="宋体"/>
          <w:color w:val="auto"/>
          <w:sz w:val="21"/>
          <w:szCs w:val="21"/>
          <w:highlight w:val="none"/>
        </w:rPr>
      </w:pPr>
      <w:r>
        <w:rPr>
          <w:rFonts w:hint="eastAsia" w:ascii="宋体" w:hAnsi="宋体"/>
          <w:color w:val="auto"/>
          <w:sz w:val="21"/>
          <w:szCs w:val="21"/>
          <w:highlight w:val="none"/>
        </w:rPr>
        <w:t>售价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10</w:t>
      </w:r>
      <w:r>
        <w:rPr>
          <w:rFonts w:hint="eastAsia" w:ascii="宋体" w:hAnsi="宋体" w:cs="宋体"/>
          <w:color w:val="auto"/>
          <w:sz w:val="21"/>
          <w:szCs w:val="21"/>
          <w:highlight w:val="none"/>
        </w:rPr>
        <w:t>0元（纸质版或电子版），如需邮寄另加50元人民币特快专递费，售后不退。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黑体" w:hAnsi="黑体" w:eastAsia="黑体"/>
          <w:color w:val="auto"/>
          <w:sz w:val="21"/>
          <w:szCs w:val="21"/>
          <w:highlight w:val="none"/>
        </w:rPr>
      </w:pPr>
      <w:r>
        <w:rPr>
          <w:rFonts w:hint="eastAsia" w:ascii="黑体" w:hAnsi="黑体" w:eastAsia="黑体"/>
          <w:color w:val="auto"/>
          <w:sz w:val="21"/>
          <w:szCs w:val="21"/>
          <w:highlight w:val="none"/>
        </w:rPr>
        <w:t>四、响应文件提交</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bCs/>
          <w:color w:val="auto"/>
          <w:sz w:val="21"/>
          <w:szCs w:val="21"/>
          <w:highlight w:val="none"/>
          <w:u w:val="single"/>
        </w:rPr>
      </w:pPr>
      <w:r>
        <w:rPr>
          <w:rFonts w:hint="eastAsia" w:ascii="宋体" w:hAnsi="宋体"/>
          <w:color w:val="auto"/>
          <w:sz w:val="21"/>
          <w:szCs w:val="21"/>
          <w:highlight w:val="none"/>
        </w:rPr>
        <w:t>截止时间：</w:t>
      </w:r>
      <w:r>
        <w:rPr>
          <w:rFonts w:hint="eastAsia" w:ascii="宋体" w:hAnsi="宋体"/>
          <w:color w:val="auto"/>
          <w:sz w:val="21"/>
          <w:szCs w:val="21"/>
          <w:highlight w:val="none"/>
          <w:u w:val="single"/>
          <w:lang w:val="en-US" w:eastAsia="zh-CN"/>
        </w:rPr>
        <w:t xml:space="preserve"> 2024</w:t>
      </w:r>
      <w:r>
        <w:rPr>
          <w:rFonts w:hint="eastAsia" w:ascii="宋体" w:hAnsi="宋体"/>
          <w:bCs/>
          <w:color w:val="auto"/>
          <w:sz w:val="21"/>
          <w:szCs w:val="21"/>
          <w:highlight w:val="none"/>
          <w:u w:val="single"/>
        </w:rPr>
        <w:t>年</w:t>
      </w:r>
      <w:r>
        <w:rPr>
          <w:rFonts w:hint="eastAsia" w:ascii="宋体" w:hAnsi="宋体"/>
          <w:bCs/>
          <w:color w:val="auto"/>
          <w:sz w:val="21"/>
          <w:szCs w:val="21"/>
          <w:highlight w:val="none"/>
          <w:u w:val="single"/>
          <w:lang w:val="en-US" w:eastAsia="zh-CN"/>
        </w:rPr>
        <w:t>03</w:t>
      </w:r>
      <w:r>
        <w:rPr>
          <w:rFonts w:hint="eastAsia" w:ascii="宋体" w:hAnsi="宋体"/>
          <w:bCs/>
          <w:color w:val="auto"/>
          <w:sz w:val="21"/>
          <w:szCs w:val="21"/>
          <w:highlight w:val="none"/>
          <w:u w:val="single"/>
        </w:rPr>
        <w:t>月</w:t>
      </w:r>
      <w:r>
        <w:rPr>
          <w:rFonts w:hint="eastAsia" w:ascii="宋体" w:hAnsi="宋体"/>
          <w:bCs/>
          <w:color w:val="auto"/>
          <w:sz w:val="21"/>
          <w:szCs w:val="21"/>
          <w:highlight w:val="none"/>
          <w:u w:val="single"/>
          <w:lang w:val="en-US" w:eastAsia="zh-CN"/>
        </w:rPr>
        <w:t>05</w:t>
      </w:r>
      <w:r>
        <w:rPr>
          <w:rFonts w:hint="eastAsia" w:ascii="宋体" w:hAnsi="宋体"/>
          <w:bCs/>
          <w:color w:val="auto"/>
          <w:sz w:val="21"/>
          <w:szCs w:val="21"/>
          <w:highlight w:val="none"/>
          <w:u w:val="single"/>
        </w:rPr>
        <w:t xml:space="preserve">日 </w:t>
      </w:r>
      <w:r>
        <w:rPr>
          <w:rFonts w:hint="eastAsia" w:ascii="宋体" w:hAnsi="宋体"/>
          <w:bCs/>
          <w:color w:val="auto"/>
          <w:sz w:val="21"/>
          <w:szCs w:val="21"/>
          <w:highlight w:val="none"/>
          <w:u w:val="single"/>
          <w:lang w:val="en-US" w:eastAsia="zh-CN"/>
        </w:rPr>
        <w:t>14</w:t>
      </w:r>
      <w:r>
        <w:rPr>
          <w:rFonts w:hint="eastAsia" w:ascii="宋体" w:hAnsi="宋体"/>
          <w:bCs/>
          <w:color w:val="auto"/>
          <w:sz w:val="21"/>
          <w:szCs w:val="21"/>
          <w:highlight w:val="none"/>
          <w:u w:val="single"/>
        </w:rPr>
        <w:t>点</w:t>
      </w:r>
      <w:r>
        <w:rPr>
          <w:rFonts w:hint="eastAsia" w:ascii="宋体" w:hAnsi="宋体"/>
          <w:bCs/>
          <w:color w:val="auto"/>
          <w:sz w:val="21"/>
          <w:szCs w:val="21"/>
          <w:highlight w:val="none"/>
          <w:u w:val="single"/>
          <w:lang w:val="en-US" w:eastAsia="zh-CN"/>
        </w:rPr>
        <w:t>30</w:t>
      </w:r>
      <w:r>
        <w:rPr>
          <w:rFonts w:hint="eastAsia" w:ascii="宋体" w:hAnsi="宋体"/>
          <w:bCs/>
          <w:color w:val="auto"/>
          <w:sz w:val="21"/>
          <w:szCs w:val="21"/>
          <w:highlight w:val="none"/>
          <w:u w:val="single"/>
        </w:rPr>
        <w:t>分</w:t>
      </w:r>
      <w:r>
        <w:rPr>
          <w:rFonts w:hint="eastAsia" w:ascii="宋体" w:hAnsi="宋体"/>
          <w:bCs/>
          <w:color w:val="auto"/>
          <w:sz w:val="21"/>
          <w:szCs w:val="21"/>
          <w:highlight w:val="none"/>
        </w:rPr>
        <w:t>（北京时间）</w:t>
      </w:r>
      <w:r>
        <w:rPr>
          <w:rFonts w:hint="eastAsia" w:ascii="宋体" w:hAnsi="宋体" w:cs="宋体"/>
          <w:iCs/>
          <w:color w:val="auto"/>
          <w:sz w:val="21"/>
          <w:szCs w:val="21"/>
          <w:highlight w:val="none"/>
          <w:u w:val="single"/>
        </w:rPr>
        <w:t>（</w:t>
      </w:r>
      <w:r>
        <w:rPr>
          <w:rFonts w:hint="eastAsia" w:ascii="宋体" w:hAnsi="宋体" w:cs="宋体"/>
          <w:i/>
          <w:color w:val="auto"/>
          <w:sz w:val="21"/>
          <w:szCs w:val="21"/>
          <w:highlight w:val="none"/>
          <w:u w:val="single"/>
        </w:rPr>
        <w:t>从磋商文件开始发出之日起至供应商提交首次响应文件截止之日止不得少于10日</w:t>
      </w:r>
      <w:r>
        <w:rPr>
          <w:rFonts w:hint="eastAsia" w:ascii="宋体" w:hAnsi="宋体" w:cs="宋体"/>
          <w:iCs/>
          <w:color w:val="auto"/>
          <w:sz w:val="21"/>
          <w:szCs w:val="21"/>
          <w:highlight w:val="none"/>
          <w:u w:val="singl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bCs/>
          <w:color w:val="auto"/>
          <w:sz w:val="21"/>
          <w:szCs w:val="21"/>
          <w:highlight w:val="none"/>
          <w:u w:val="single"/>
        </w:rPr>
      </w:pPr>
      <w:r>
        <w:rPr>
          <w:rFonts w:hint="eastAsia" w:ascii="宋体" w:hAnsi="宋体"/>
          <w:color w:val="auto"/>
          <w:sz w:val="21"/>
          <w:szCs w:val="21"/>
          <w:highlight w:val="none"/>
        </w:rPr>
        <w:t>地点：</w:t>
      </w:r>
      <w:r>
        <w:rPr>
          <w:rFonts w:hint="eastAsia" w:ascii="宋体" w:hAnsi="宋体" w:cs="宋体"/>
          <w:color w:val="auto"/>
          <w:sz w:val="21"/>
          <w:szCs w:val="21"/>
          <w:highlight w:val="none"/>
        </w:rPr>
        <w:t>福建省宁德市东侨开发区北湖滨路9号东湖曙光城21幢二单元905室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黑体" w:hAnsi="黑体" w:eastAsia="黑体" w:cs="宋体"/>
          <w:bCs/>
          <w:color w:val="auto"/>
          <w:sz w:val="21"/>
          <w:szCs w:val="21"/>
          <w:highlight w:val="none"/>
        </w:rPr>
      </w:pPr>
      <w:r>
        <w:rPr>
          <w:rFonts w:hint="eastAsia" w:ascii="黑体" w:hAnsi="黑体" w:eastAsia="黑体"/>
          <w:color w:val="auto"/>
          <w:sz w:val="21"/>
          <w:szCs w:val="21"/>
          <w:highlight w:val="none"/>
        </w:rPr>
        <w:t>五、开启</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bCs/>
          <w:color w:val="auto"/>
          <w:sz w:val="21"/>
          <w:szCs w:val="21"/>
          <w:highlight w:val="none"/>
          <w:u w:val="single"/>
        </w:rPr>
      </w:pPr>
      <w:r>
        <w:rPr>
          <w:rFonts w:hint="eastAsia" w:ascii="宋体" w:hAnsi="宋体"/>
          <w:color w:val="auto"/>
          <w:sz w:val="21"/>
          <w:szCs w:val="21"/>
          <w:highlight w:val="none"/>
        </w:rPr>
        <w:t>时间：</w:t>
      </w:r>
      <w:r>
        <w:rPr>
          <w:rFonts w:hint="eastAsia" w:ascii="宋体" w:hAnsi="宋体"/>
          <w:color w:val="auto"/>
          <w:sz w:val="21"/>
          <w:szCs w:val="21"/>
          <w:highlight w:val="none"/>
          <w:u w:val="single"/>
          <w:lang w:val="en-US" w:eastAsia="zh-CN"/>
        </w:rPr>
        <w:t>2024</w:t>
      </w:r>
      <w:r>
        <w:rPr>
          <w:rFonts w:hint="eastAsia" w:ascii="宋体" w:hAnsi="宋体"/>
          <w:bCs/>
          <w:color w:val="auto"/>
          <w:sz w:val="21"/>
          <w:szCs w:val="21"/>
          <w:highlight w:val="none"/>
          <w:u w:val="single"/>
        </w:rPr>
        <w:t>年</w:t>
      </w:r>
      <w:r>
        <w:rPr>
          <w:rFonts w:hint="eastAsia" w:ascii="宋体" w:hAnsi="宋体"/>
          <w:bCs/>
          <w:color w:val="auto"/>
          <w:sz w:val="21"/>
          <w:szCs w:val="21"/>
          <w:highlight w:val="none"/>
          <w:u w:val="single"/>
          <w:lang w:val="en-US" w:eastAsia="zh-CN"/>
        </w:rPr>
        <w:t>03</w:t>
      </w:r>
      <w:r>
        <w:rPr>
          <w:rFonts w:hint="eastAsia" w:ascii="宋体" w:hAnsi="宋体"/>
          <w:bCs/>
          <w:color w:val="auto"/>
          <w:sz w:val="21"/>
          <w:szCs w:val="21"/>
          <w:highlight w:val="none"/>
          <w:u w:val="single"/>
        </w:rPr>
        <w:t>月</w:t>
      </w:r>
      <w:r>
        <w:rPr>
          <w:rFonts w:hint="eastAsia" w:ascii="宋体" w:hAnsi="宋体"/>
          <w:bCs/>
          <w:color w:val="auto"/>
          <w:sz w:val="21"/>
          <w:szCs w:val="21"/>
          <w:highlight w:val="none"/>
          <w:u w:val="single"/>
          <w:lang w:val="en-US" w:eastAsia="zh-CN"/>
        </w:rPr>
        <w:t>05</w:t>
      </w:r>
      <w:r>
        <w:rPr>
          <w:rFonts w:hint="eastAsia" w:ascii="宋体" w:hAnsi="宋体"/>
          <w:bCs/>
          <w:color w:val="auto"/>
          <w:sz w:val="21"/>
          <w:szCs w:val="21"/>
          <w:highlight w:val="none"/>
          <w:u w:val="single"/>
        </w:rPr>
        <w:t>日</w:t>
      </w:r>
      <w:r>
        <w:rPr>
          <w:rFonts w:hint="eastAsia" w:ascii="宋体" w:hAnsi="宋体"/>
          <w:bCs/>
          <w:color w:val="auto"/>
          <w:sz w:val="21"/>
          <w:szCs w:val="21"/>
          <w:highlight w:val="none"/>
          <w:u w:val="single"/>
          <w:lang w:val="en-US" w:eastAsia="zh-CN"/>
        </w:rPr>
        <w:t>14</w:t>
      </w:r>
      <w:r>
        <w:rPr>
          <w:rFonts w:hint="eastAsia" w:ascii="宋体" w:hAnsi="宋体"/>
          <w:bCs/>
          <w:color w:val="auto"/>
          <w:sz w:val="21"/>
          <w:szCs w:val="21"/>
          <w:highlight w:val="none"/>
          <w:u w:val="single"/>
        </w:rPr>
        <w:t>点</w:t>
      </w:r>
      <w:r>
        <w:rPr>
          <w:rFonts w:hint="eastAsia" w:ascii="宋体" w:hAnsi="宋体"/>
          <w:bCs/>
          <w:color w:val="auto"/>
          <w:sz w:val="21"/>
          <w:szCs w:val="21"/>
          <w:highlight w:val="none"/>
          <w:u w:val="single"/>
          <w:lang w:val="en-US" w:eastAsia="zh-CN"/>
        </w:rPr>
        <w:t>30分</w:t>
      </w:r>
      <w:r>
        <w:rPr>
          <w:rFonts w:hint="eastAsia" w:ascii="宋体" w:hAnsi="宋体"/>
          <w:bCs/>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bCs/>
          <w:color w:val="auto"/>
          <w:sz w:val="21"/>
          <w:szCs w:val="21"/>
          <w:highlight w:val="none"/>
          <w:u w:val="single"/>
        </w:rPr>
      </w:pPr>
      <w:r>
        <w:rPr>
          <w:rFonts w:hint="eastAsia" w:ascii="宋体" w:hAnsi="宋体"/>
          <w:color w:val="auto"/>
          <w:sz w:val="21"/>
          <w:szCs w:val="21"/>
          <w:highlight w:val="none"/>
        </w:rPr>
        <w:t>地点：</w:t>
      </w:r>
      <w:r>
        <w:rPr>
          <w:rFonts w:hint="eastAsia" w:ascii="宋体" w:hAnsi="宋体" w:cs="宋体"/>
          <w:color w:val="auto"/>
          <w:sz w:val="21"/>
          <w:szCs w:val="21"/>
          <w:highlight w:val="none"/>
        </w:rPr>
        <w:t>福建省宁德市东侨开发区北湖滨路9号东湖曙光城21幢二单元905室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黑体" w:hAnsi="黑体" w:eastAsia="黑体"/>
          <w:color w:val="auto"/>
          <w:sz w:val="21"/>
          <w:szCs w:val="21"/>
          <w:highlight w:val="none"/>
        </w:rPr>
      </w:pPr>
      <w:r>
        <w:rPr>
          <w:rFonts w:hint="eastAsia" w:ascii="黑体" w:hAnsi="黑体" w:eastAsia="黑体"/>
          <w:color w:val="auto"/>
          <w:sz w:val="21"/>
          <w:szCs w:val="21"/>
          <w:highlight w:val="none"/>
        </w:rPr>
        <w:t>六、公告期限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olor w:val="auto"/>
          <w:sz w:val="21"/>
          <w:szCs w:val="21"/>
          <w:highlight w:val="none"/>
        </w:rPr>
      </w:pPr>
      <w:r>
        <w:rPr>
          <w:rFonts w:hint="eastAsia" w:ascii="黑体" w:hAnsi="黑体" w:eastAsia="黑体"/>
          <w:color w:val="auto"/>
          <w:sz w:val="21"/>
          <w:szCs w:val="21"/>
          <w:highlight w:val="none"/>
        </w:rPr>
        <w:t>七、其他补充事宜</w:t>
      </w:r>
    </w:p>
    <w:p>
      <w:pPr>
        <w:bidi w:val="0"/>
        <w:rPr>
          <w:rFonts w:hint="eastAsia" w:eastAsia="宋体"/>
          <w:color w:val="auto"/>
          <w:highlight w:val="none"/>
          <w:lang w:val="en-US" w:eastAsia="zh-CN"/>
        </w:rPr>
      </w:pPr>
      <w:r>
        <w:rPr>
          <w:rFonts w:hint="eastAsia"/>
          <w:color w:val="auto"/>
          <w:highlight w:val="none"/>
          <w:lang w:val="en-US" w:eastAsia="zh-CN"/>
        </w:rPr>
        <w:t>无</w:t>
      </w:r>
    </w:p>
    <w:p>
      <w:pPr>
        <w:rPr>
          <w:rFonts w:hint="eastAsia" w:ascii="黑体" w:hAnsi="黑体" w:eastAsia="黑体"/>
          <w:color w:val="auto"/>
          <w:sz w:val="21"/>
          <w:szCs w:val="21"/>
          <w:highlight w:val="none"/>
        </w:rPr>
      </w:pPr>
      <w:r>
        <w:rPr>
          <w:rFonts w:hint="eastAsia" w:ascii="黑体" w:hAnsi="黑体" w:eastAsia="黑体"/>
          <w:color w:val="auto"/>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黑体" w:hAnsi="黑体" w:eastAsia="黑体"/>
          <w:color w:val="auto"/>
          <w:sz w:val="21"/>
          <w:szCs w:val="21"/>
          <w:highlight w:val="none"/>
        </w:rPr>
      </w:pPr>
      <w:r>
        <w:rPr>
          <w:rFonts w:hint="eastAsia" w:ascii="黑体" w:hAnsi="黑体" w:eastAsia="黑体"/>
          <w:color w:val="auto"/>
          <w:sz w:val="21"/>
          <w:szCs w:val="21"/>
          <w:highlight w:val="none"/>
        </w:rPr>
        <w:t>八、凡对本次采购提出询问，请按</w:t>
      </w:r>
      <w:r>
        <w:rPr>
          <w:rFonts w:ascii="黑体" w:hAnsi="黑体" w:eastAsia="黑体"/>
          <w:color w:val="auto"/>
          <w:sz w:val="21"/>
          <w:szCs w:val="21"/>
          <w:highlight w:val="none"/>
        </w:rPr>
        <w:t>以下方式</w:t>
      </w:r>
      <w:r>
        <w:rPr>
          <w:rFonts w:hint="eastAsia" w:ascii="黑体" w:hAnsi="黑体" w:eastAsia="黑体"/>
          <w:color w:val="auto"/>
          <w:sz w:val="21"/>
          <w:szCs w:val="21"/>
          <w:highlight w:val="none"/>
        </w:rPr>
        <w:t>联系。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2"/>
        <w:rPr>
          <w:rFonts w:ascii="宋体" w:hAnsi="宋体" w:cs="宋体"/>
          <w:bCs/>
          <w:color w:val="auto"/>
          <w:sz w:val="21"/>
          <w:szCs w:val="21"/>
          <w:highlight w:val="none"/>
        </w:rPr>
      </w:pPr>
      <w:r>
        <w:rPr>
          <w:rFonts w:hint="eastAsia" w:ascii="宋体" w:hAnsi="宋体" w:cs="宋体"/>
          <w:bCs/>
          <w:color w:val="auto"/>
          <w:sz w:val="21"/>
          <w:szCs w:val="21"/>
          <w:highlight w:val="none"/>
        </w:rPr>
        <w:t>1.</w:t>
      </w:r>
      <w:r>
        <w:rPr>
          <w:rFonts w:hint="eastAsia" w:ascii="宋体" w:hAnsi="宋体"/>
          <w:color w:val="auto"/>
          <w:sz w:val="21"/>
          <w:szCs w:val="21"/>
          <w:highlight w:val="none"/>
        </w:rPr>
        <w:t>采购</w:t>
      </w:r>
      <w:r>
        <w:rPr>
          <w:rFonts w:hint="eastAsia" w:ascii="宋体" w:hAnsi="宋体" w:cs="宋体"/>
          <w:bCs/>
          <w:color w:val="auto"/>
          <w:sz w:val="21"/>
          <w:szCs w:val="21"/>
          <w:highlight w:val="none"/>
        </w:rPr>
        <w:t>人信息</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u w:val="single"/>
        </w:rPr>
      </w:pPr>
      <w:r>
        <w:rPr>
          <w:rFonts w:hint="eastAsia" w:ascii="宋体" w:hAnsi="宋体"/>
          <w:color w:val="auto"/>
          <w:sz w:val="21"/>
          <w:szCs w:val="21"/>
          <w:highlight w:val="none"/>
        </w:rPr>
        <w:t>名    称：</w:t>
      </w:r>
      <w:r>
        <w:rPr>
          <w:rFonts w:hint="eastAsia" w:ascii="宋体" w:hAnsi="宋体"/>
          <w:color w:val="auto"/>
          <w:sz w:val="21"/>
          <w:szCs w:val="21"/>
          <w:highlight w:val="none"/>
          <w:u w:val="single"/>
        </w:rPr>
        <w:t>国家税务总局宁德市税务局</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地    址：</w:t>
      </w:r>
      <w:r>
        <w:rPr>
          <w:rFonts w:hint="eastAsia" w:ascii="宋体" w:hAnsi="宋体"/>
          <w:color w:val="auto"/>
          <w:sz w:val="21"/>
          <w:szCs w:val="21"/>
          <w:highlight w:val="none"/>
          <w:u w:val="single"/>
        </w:rPr>
        <w:t>福建省宁德市闽东中路16号</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color w:val="auto"/>
          <w:sz w:val="21"/>
          <w:szCs w:val="21"/>
          <w:highlight w:val="none"/>
          <w:u w:val="single"/>
        </w:rPr>
      </w:pPr>
      <w:r>
        <w:rPr>
          <w:rFonts w:hint="eastAsia" w:ascii="宋体" w:hAnsi="宋体"/>
          <w:color w:val="auto"/>
          <w:sz w:val="21"/>
          <w:szCs w:val="21"/>
          <w:highlight w:val="none"/>
        </w:rPr>
        <w:t>联系方式：</w:t>
      </w:r>
      <w:r>
        <w:rPr>
          <w:rFonts w:hint="eastAsia" w:ascii="宋体" w:hAnsi="宋体"/>
          <w:color w:val="auto"/>
          <w:sz w:val="21"/>
          <w:szCs w:val="21"/>
          <w:highlight w:val="none"/>
          <w:u w:val="single"/>
        </w:rPr>
        <w:t xml:space="preserve">0593-2926667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2"/>
        <w:rPr>
          <w:rFonts w:ascii="宋体" w:hAnsi="宋体" w:cs="宋体"/>
          <w:bCs/>
          <w:color w:val="auto"/>
          <w:sz w:val="21"/>
          <w:szCs w:val="21"/>
          <w:highlight w:val="none"/>
        </w:rPr>
      </w:pPr>
      <w:r>
        <w:rPr>
          <w:rFonts w:hint="eastAsia" w:ascii="宋体" w:hAnsi="宋体" w:cs="宋体"/>
          <w:bCs/>
          <w:color w:val="auto"/>
          <w:sz w:val="21"/>
          <w:szCs w:val="21"/>
          <w:highlight w:val="none"/>
        </w:rPr>
        <w:t>2.采购代理机构信息（如有）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u w:val="single"/>
        </w:rPr>
      </w:pPr>
      <w:r>
        <w:rPr>
          <w:rFonts w:hint="eastAsia" w:ascii="宋体" w:hAnsi="宋体"/>
          <w:color w:val="auto"/>
          <w:sz w:val="21"/>
          <w:szCs w:val="21"/>
          <w:highlight w:val="none"/>
        </w:rPr>
        <w:t>名    称：</w:t>
      </w:r>
      <w:r>
        <w:rPr>
          <w:rFonts w:hint="eastAsia" w:ascii="宋体" w:hAnsi="宋体"/>
          <w:color w:val="auto"/>
          <w:sz w:val="21"/>
          <w:szCs w:val="21"/>
          <w:highlight w:val="none"/>
          <w:u w:val="single"/>
        </w:rPr>
        <w:t>福建天合招标有限公司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color w:val="auto"/>
          <w:sz w:val="21"/>
          <w:szCs w:val="21"/>
          <w:highlight w:val="none"/>
          <w:u w:val="single"/>
        </w:rPr>
      </w:pPr>
      <w:r>
        <w:rPr>
          <w:rFonts w:hint="eastAsia" w:ascii="宋体" w:hAnsi="宋体"/>
          <w:color w:val="auto"/>
          <w:sz w:val="21"/>
          <w:szCs w:val="21"/>
          <w:highlight w:val="none"/>
        </w:rPr>
        <w:t>地　　址：</w:t>
      </w:r>
      <w:r>
        <w:rPr>
          <w:rFonts w:hint="eastAsia" w:ascii="宋体" w:hAnsi="宋体"/>
          <w:color w:val="auto"/>
          <w:sz w:val="21"/>
          <w:szCs w:val="21"/>
          <w:highlight w:val="none"/>
          <w:u w:val="single"/>
        </w:rPr>
        <w:t>福建省宁德市东侨开发区北湖滨路9号东湖曙光城21幢二单元905室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color w:val="auto"/>
          <w:sz w:val="21"/>
          <w:szCs w:val="21"/>
          <w:highlight w:val="none"/>
          <w:u w:val="single"/>
        </w:rPr>
      </w:pPr>
      <w:r>
        <w:rPr>
          <w:rFonts w:hint="eastAsia" w:ascii="宋体" w:hAnsi="宋体"/>
          <w:color w:val="auto"/>
          <w:sz w:val="21"/>
          <w:szCs w:val="21"/>
          <w:highlight w:val="none"/>
        </w:rPr>
        <w:t>联系方式：</w:t>
      </w:r>
      <w:r>
        <w:rPr>
          <w:rFonts w:hint="eastAsia" w:ascii="宋体" w:hAnsi="宋体"/>
          <w:color w:val="auto"/>
          <w:sz w:val="21"/>
          <w:szCs w:val="21"/>
          <w:highlight w:val="none"/>
          <w:u w:val="single"/>
        </w:rPr>
        <w:t>　</w:t>
      </w:r>
      <w:r>
        <w:rPr>
          <w:rFonts w:hint="eastAsia" w:ascii="宋体" w:hAnsi="宋体"/>
          <w:color w:val="auto"/>
          <w:sz w:val="21"/>
          <w:szCs w:val="21"/>
          <w:highlight w:val="none"/>
          <w:u w:val="single"/>
          <w:lang w:val="en-US" w:eastAsia="zh-CN"/>
        </w:rPr>
        <w:t>0593-2053316</w:t>
      </w:r>
      <w:r>
        <w:rPr>
          <w:rFonts w:hint="eastAsia" w:ascii="宋体" w:hAnsi="宋体"/>
          <w:color w:val="auto"/>
          <w:sz w:val="21"/>
          <w:szCs w:val="21"/>
          <w:highlight w:val="none"/>
          <w:u w:val="single"/>
        </w:rPr>
        <w:t>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2"/>
        <w:rPr>
          <w:rFonts w:ascii="宋体" w:hAnsi="宋体" w:cs="宋体"/>
          <w:bCs/>
          <w:color w:val="auto"/>
          <w:sz w:val="21"/>
          <w:szCs w:val="21"/>
          <w:highlight w:val="none"/>
        </w:rPr>
      </w:pPr>
      <w:r>
        <w:rPr>
          <w:rFonts w:hint="eastAsia" w:ascii="宋体" w:hAnsi="宋体" w:cs="宋体"/>
          <w:bCs/>
          <w:color w:val="auto"/>
          <w:sz w:val="21"/>
          <w:szCs w:val="21"/>
          <w:highlight w:val="none"/>
        </w:rPr>
        <w:t>3.项目联系</w:t>
      </w:r>
      <w:r>
        <w:rPr>
          <w:rFonts w:ascii="宋体" w:hAnsi="宋体" w:cs="宋体"/>
          <w:bCs/>
          <w:color w:val="auto"/>
          <w:sz w:val="21"/>
          <w:szCs w:val="21"/>
          <w:highlight w:val="none"/>
        </w:rPr>
        <w:t>方式</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项目联系人：</w:t>
      </w:r>
      <w:r>
        <w:rPr>
          <w:rFonts w:hint="eastAsia" w:ascii="宋体" w:hAnsi="宋体"/>
          <w:color w:val="auto"/>
          <w:sz w:val="21"/>
          <w:szCs w:val="21"/>
          <w:highlight w:val="none"/>
          <w:u w:val="single"/>
          <w:lang w:val="en-US" w:eastAsia="zh-CN"/>
        </w:rPr>
        <w:t xml:space="preserve">叶隆莹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电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话：</w:t>
      </w:r>
      <w:r>
        <w:rPr>
          <w:rFonts w:hint="eastAsia" w:ascii="宋体" w:hAnsi="宋体"/>
          <w:color w:val="auto"/>
          <w:sz w:val="21"/>
          <w:szCs w:val="21"/>
          <w:highlight w:val="none"/>
          <w:u w:val="single"/>
          <w:lang w:val="en-US" w:eastAsia="zh-CN"/>
        </w:rPr>
        <w:t>0593-2053316</w:t>
      </w: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heme="minorBidi"/>
          <w:sz w:val="21"/>
          <w:szCs w:val="28"/>
        </w:rPr>
        <w:sectPr>
          <w:pgSz w:w="11906" w:h="16838"/>
          <w:pgMar w:top="1440" w:right="1752" w:bottom="1440" w:left="1752"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华文中宋"/>
          <w:b/>
          <w:bCs/>
          <w:color w:val="auto"/>
          <w:sz w:val="28"/>
          <w:szCs w:val="28"/>
          <w:highlight w:val="none"/>
        </w:rPr>
      </w:pPr>
      <w:bookmarkStart w:id="1" w:name="_Toc132880656"/>
      <w:r>
        <w:rPr>
          <w:rFonts w:hint="eastAsia" w:ascii="华文中宋" w:hAnsi="华文中宋" w:eastAsia="华文中宋" w:cs="华文中宋"/>
          <w:b/>
          <w:bCs/>
          <w:color w:val="auto"/>
          <w:sz w:val="28"/>
          <w:szCs w:val="28"/>
          <w:highlight w:val="none"/>
        </w:rPr>
        <w:t>第二章　供应商须知</w:t>
      </w:r>
      <w:bookmarkEnd w:id="1"/>
    </w:p>
    <w:p>
      <w:pPr>
        <w:bidi w:val="0"/>
        <w:jc w:val="center"/>
        <w:rPr>
          <w:rFonts w:hint="eastAsia" w:ascii="方正小标宋简体" w:hAnsi="方正小标宋简体" w:eastAsia="方正小标宋简体" w:cs="方正小标宋简体"/>
          <w:color w:val="auto"/>
          <w:sz w:val="24"/>
          <w:szCs w:val="24"/>
          <w:highlight w:val="none"/>
        </w:rPr>
      </w:pPr>
      <w:bookmarkStart w:id="2" w:name="_Toc132880657"/>
      <w:r>
        <w:rPr>
          <w:rFonts w:hint="eastAsia" w:ascii="方正小标宋简体" w:hAnsi="方正小标宋简体" w:eastAsia="方正小标宋简体" w:cs="方正小标宋简体"/>
          <w:color w:val="auto"/>
          <w:sz w:val="24"/>
          <w:szCs w:val="24"/>
          <w:highlight w:val="none"/>
        </w:rPr>
        <w:t>供应商须知前附表</w:t>
      </w:r>
      <w:bookmarkEnd w:id="2"/>
    </w:p>
    <w:tbl>
      <w:tblPr>
        <w:tblStyle w:val="1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984"/>
        <w:gridCol w:w="851"/>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 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  别</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84"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项目名称、编号、预算及最高限价</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color w:val="auto"/>
                <w:sz w:val="21"/>
                <w:szCs w:val="21"/>
                <w:highlight w:val="none"/>
              </w:rPr>
              <w:t>项目名称：</w:t>
            </w:r>
            <w:r>
              <w:rPr>
                <w:rFonts w:hint="eastAsia" w:ascii="宋体" w:hAnsi="宋体"/>
                <w:color w:val="auto"/>
                <w:sz w:val="21"/>
                <w:szCs w:val="21"/>
                <w:highlight w:val="none"/>
                <w:u w:val="single"/>
                <w:lang w:eastAsia="zh-CN"/>
              </w:rPr>
              <w:t>国家税务总局宁德市税务局12366服务外包项目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984"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项目编号：</w:t>
            </w:r>
            <w:r>
              <w:rPr>
                <w:rFonts w:hint="default" w:ascii="Times New Roman" w:hAnsi="Times New Roman" w:eastAsia="宋体" w:cs="Times New Roman"/>
                <w:color w:val="auto"/>
                <w:sz w:val="21"/>
                <w:szCs w:val="21"/>
                <w:highlight w:val="none"/>
                <w:u w:val="single"/>
              </w:rPr>
              <w:t>0622-0524003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984"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项目预算：</w:t>
            </w:r>
            <w:r>
              <w:rPr>
                <w:rFonts w:hint="eastAsia" w:ascii="Times New Roman" w:hAnsi="Times New Roman" w:cs="Times New Roman"/>
                <w:color w:val="auto"/>
                <w:sz w:val="21"/>
                <w:szCs w:val="21"/>
                <w:highlight w:val="none"/>
                <w:u w:val="single"/>
                <w:lang w:val="en-US" w:eastAsia="zh-CN"/>
              </w:rPr>
              <w:t>98.5万元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采购需求</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详见《采购文件（技术部分）》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项目属性和类别</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项目属性：</w:t>
            </w: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 xml:space="preserve">货物         </w:t>
            </w: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 xml:space="preserve">服务         </w:t>
            </w: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工程</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项目类别：</w:t>
            </w: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 xml:space="preserve">信息化项目   </w:t>
            </w: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非信息化项目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采购人</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名称：</w:t>
            </w:r>
            <w:r>
              <w:rPr>
                <w:rFonts w:hint="default" w:ascii="Times New Roman" w:hAnsi="Times New Roman" w:eastAsia="宋体" w:cs="Times New Roman"/>
                <w:color w:val="auto"/>
                <w:sz w:val="21"/>
                <w:szCs w:val="21"/>
                <w:highlight w:val="none"/>
                <w:u w:val="single"/>
              </w:rPr>
              <w:t>国家税务总局宁德市税务局</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u w:val="single"/>
              </w:rPr>
            </w:pPr>
            <w:r>
              <w:rPr>
                <w:rFonts w:hint="default" w:ascii="Times New Roman" w:hAnsi="Times New Roman" w:eastAsia="宋体" w:cs="Times New Roman"/>
                <w:color w:val="auto"/>
                <w:sz w:val="21"/>
                <w:szCs w:val="21"/>
                <w:highlight w:val="none"/>
              </w:rPr>
              <w:t>地址：</w:t>
            </w:r>
            <w:r>
              <w:rPr>
                <w:rFonts w:hint="default" w:ascii="Times New Roman" w:hAnsi="Times New Roman" w:eastAsia="宋体" w:cs="Times New Roman"/>
                <w:color w:val="auto"/>
                <w:sz w:val="21"/>
                <w:szCs w:val="21"/>
                <w:highlight w:val="none"/>
                <w:u w:val="single"/>
              </w:rPr>
              <w:t>福建省宁德市闽东中路16号</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u w:val="single"/>
              </w:rPr>
            </w:pPr>
            <w:r>
              <w:rPr>
                <w:rFonts w:hint="default" w:ascii="Times New Roman" w:hAnsi="Times New Roman" w:eastAsia="宋体" w:cs="Times New Roman"/>
                <w:color w:val="auto"/>
                <w:sz w:val="21"/>
                <w:szCs w:val="21"/>
                <w:highlight w:val="none"/>
              </w:rPr>
              <w:t>联系</w:t>
            </w:r>
            <w:r>
              <w:rPr>
                <w:rFonts w:hint="default" w:ascii="Times New Roman" w:hAnsi="Times New Roman" w:eastAsia="宋体" w:cs="Times New Roman"/>
                <w:bCs/>
                <w:color w:val="auto"/>
                <w:sz w:val="21"/>
                <w:szCs w:val="21"/>
                <w:highlight w:val="none"/>
              </w:rPr>
              <w:t>电话：</w:t>
            </w:r>
            <w:r>
              <w:rPr>
                <w:rFonts w:hint="eastAsia" w:ascii="宋体" w:hAnsi="宋体"/>
                <w:color w:val="auto"/>
                <w:sz w:val="21"/>
                <w:szCs w:val="21"/>
                <w:highlight w:val="none"/>
                <w:u w:val="single"/>
              </w:rPr>
              <w:t xml:space="preserve">0593-2926667 </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联系</w:t>
            </w:r>
            <w:r>
              <w:rPr>
                <w:rFonts w:hint="eastAsia" w:ascii="Times New Roman" w:hAnsi="Times New Roman"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u w:val="single"/>
              </w:rPr>
              <w:t>陈女士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采购代理机构</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r>
              <w:rPr>
                <w:rFonts w:hint="eastAsia" w:ascii="宋体" w:hAnsi="宋体"/>
                <w:color w:val="auto"/>
                <w:sz w:val="21"/>
                <w:szCs w:val="21"/>
                <w:highlight w:val="none"/>
                <w:u w:val="single"/>
              </w:rPr>
              <w:t>福建天合招标有限公司</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地址：</w:t>
            </w:r>
            <w:r>
              <w:rPr>
                <w:rFonts w:hint="eastAsia" w:ascii="宋体" w:hAnsi="宋体"/>
                <w:color w:val="auto"/>
                <w:sz w:val="21"/>
                <w:szCs w:val="21"/>
                <w:highlight w:val="none"/>
                <w:u w:val="single"/>
              </w:rPr>
              <w:t>福建省宁德市东侨开发区北湖滨路9号东湖曙光城21幢二单元905室</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u w:val="single"/>
              </w:rPr>
            </w:pPr>
            <w:r>
              <w:rPr>
                <w:rFonts w:hint="default" w:ascii="Times New Roman" w:hAnsi="Times New Roman" w:eastAsia="宋体" w:cs="Times New Roman"/>
                <w:color w:val="auto"/>
                <w:sz w:val="21"/>
                <w:szCs w:val="21"/>
                <w:highlight w:val="none"/>
              </w:rPr>
              <w:t>联系</w:t>
            </w:r>
            <w:r>
              <w:rPr>
                <w:rFonts w:hint="default" w:ascii="Times New Roman" w:hAnsi="Times New Roman" w:eastAsia="宋体" w:cs="Times New Roman"/>
                <w:bCs/>
                <w:color w:val="auto"/>
                <w:sz w:val="21"/>
                <w:szCs w:val="21"/>
                <w:highlight w:val="none"/>
              </w:rPr>
              <w:t>电话：</w:t>
            </w:r>
            <w:r>
              <w:rPr>
                <w:rFonts w:hint="eastAsia" w:ascii="宋体" w:hAnsi="宋体"/>
                <w:color w:val="auto"/>
                <w:sz w:val="21"/>
                <w:szCs w:val="21"/>
                <w:highlight w:val="none"/>
                <w:u w:val="single"/>
                <w:lang w:val="en-US" w:eastAsia="zh-CN"/>
              </w:rPr>
              <w:t>0593-2053316</w:t>
            </w:r>
            <w:r>
              <w:rPr>
                <w:rFonts w:hint="default" w:ascii="Times New Roman" w:hAnsi="Times New Roman" w:eastAsia="宋体" w:cs="Times New Roman"/>
                <w:color w:val="auto"/>
                <w:sz w:val="21"/>
                <w:szCs w:val="21"/>
                <w:highlight w:val="none"/>
                <w:u w:val="single"/>
              </w:rPr>
              <w:t xml:space="preserve"> </w:t>
            </w:r>
          </w:p>
          <w:p>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联系</w:t>
            </w:r>
            <w:r>
              <w:rPr>
                <w:rFonts w:hint="eastAsia" w:ascii="Times New Roman" w:hAnsi="Times New Roman"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w:t>
            </w:r>
            <w:r>
              <w:rPr>
                <w:rFonts w:hint="eastAsia" w:ascii="宋体" w:hAnsi="宋体"/>
                <w:color w:val="auto"/>
                <w:sz w:val="21"/>
                <w:szCs w:val="21"/>
                <w:highlight w:val="none"/>
                <w:u w:val="single"/>
                <w:lang w:val="en-US" w:eastAsia="zh-CN"/>
              </w:rPr>
              <w:t xml:space="preserve">叶隆莹 </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邮箱：</w:t>
            </w:r>
            <w:r>
              <w:rPr>
                <w:rFonts w:hint="default" w:ascii="Times New Roman" w:hAnsi="Times New Roman" w:eastAsia="宋体" w:cs="Times New Roman"/>
                <w:color w:val="auto"/>
                <w:sz w:val="21"/>
                <w:szCs w:val="21"/>
                <w:highlight w:val="none"/>
                <w:u w:val="single"/>
              </w:rPr>
              <w:t>fjth_zb@163.com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供应商产生方法</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 公告</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供应商库抽取</w:t>
            </w:r>
          </w:p>
          <w:p>
            <w:pPr>
              <w:adjustRightInd w:val="0"/>
              <w:snapToGrid w:val="0"/>
              <w:spacing w:after="0" w:line="360" w:lineRule="auto"/>
              <w:jc w:val="left"/>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 专家和采购人推荐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符合要求供应商家数</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是否允许符合要求的供应商只有2家时可以继续进行采购活动：</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否 </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□是，[本项目属于</w:t>
            </w:r>
            <w:r>
              <w:rPr>
                <w:rFonts w:hint="default" w:ascii="Times New Roman" w:hAnsi="Times New Roman" w:eastAsia="宋体" w:cs="Times New Roman"/>
                <w:i/>
                <w:color w:val="auto"/>
                <w:sz w:val="21"/>
                <w:szCs w:val="21"/>
                <w:highlight w:val="none"/>
                <w:u w:val="single"/>
              </w:rPr>
              <w:t>①采用</w:t>
            </w:r>
            <w:r>
              <w:rPr>
                <w:rFonts w:hint="eastAsia" w:ascii="Times New Roman" w:hAnsi="Times New Roman" w:cs="Times New Roman"/>
                <w:i/>
                <w:color w:val="auto"/>
                <w:sz w:val="21"/>
                <w:szCs w:val="21"/>
                <w:highlight w:val="none"/>
                <w:u w:val="single"/>
                <w:lang w:eastAsia="zh-CN"/>
              </w:rPr>
              <w:t>竞争磋商</w:t>
            </w:r>
            <w:r>
              <w:rPr>
                <w:rFonts w:hint="default" w:ascii="Times New Roman" w:hAnsi="Times New Roman" w:eastAsia="宋体" w:cs="Times New Roman"/>
                <w:i/>
                <w:color w:val="auto"/>
                <w:sz w:val="21"/>
                <w:szCs w:val="21"/>
                <w:highlight w:val="none"/>
                <w:u w:val="single"/>
              </w:rPr>
              <w:t>采购方式组织实施的市场竞争不充分的科研项目、需要扶持的科技成果转化项目；②政府购买服务项目(含政府和社会资本合作项目</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供应商资格要求</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1.符合国家</w:t>
            </w:r>
            <w:r>
              <w:rPr>
                <w:rFonts w:hint="default" w:ascii="Times New Roman" w:hAnsi="Times New Roman" w:eastAsia="宋体" w:cs="Times New Roman"/>
                <w:color w:val="auto"/>
                <w:sz w:val="21"/>
                <w:szCs w:val="21"/>
                <w:highlight w:val="none"/>
              </w:rPr>
              <w:t>有关</w:t>
            </w:r>
            <w:r>
              <w:rPr>
                <w:rFonts w:hint="default" w:ascii="Times New Roman" w:hAnsi="Times New Roman" w:eastAsia="宋体" w:cs="Times New Roman"/>
                <w:color w:val="auto"/>
                <w:sz w:val="21"/>
                <w:szCs w:val="21"/>
                <w:highlight w:val="none"/>
                <w:lang w:val="zh-CN"/>
              </w:rPr>
              <w:t>法律规定，在中国境内（指关境内）注册。</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2.具备</w:t>
            </w:r>
            <w:r>
              <w:rPr>
                <w:rFonts w:hint="default" w:ascii="Times New Roman" w:hAnsi="Times New Roman" w:eastAsia="宋体" w:cs="Times New Roman"/>
                <w:color w:val="auto"/>
                <w:sz w:val="21"/>
                <w:szCs w:val="21"/>
                <w:highlight w:val="none"/>
              </w:rPr>
              <w:t>《政府采购法》</w:t>
            </w:r>
            <w:r>
              <w:rPr>
                <w:rFonts w:hint="default" w:ascii="Times New Roman" w:hAnsi="Times New Roman" w:eastAsia="宋体" w:cs="Times New Roman"/>
                <w:color w:val="auto"/>
                <w:sz w:val="21"/>
                <w:szCs w:val="21"/>
                <w:highlight w:val="none"/>
                <w:lang w:val="zh-CN"/>
              </w:rPr>
              <w:t>第二十二条的规定：</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（1）具有独立</w:t>
            </w:r>
            <w:r>
              <w:rPr>
                <w:rFonts w:hint="default" w:ascii="Times New Roman" w:hAnsi="Times New Roman" w:eastAsia="宋体" w:cs="Times New Roman"/>
                <w:color w:val="auto"/>
                <w:sz w:val="21"/>
                <w:szCs w:val="21"/>
                <w:highlight w:val="none"/>
              </w:rPr>
              <w:t>承担</w:t>
            </w:r>
            <w:r>
              <w:rPr>
                <w:rFonts w:hint="default" w:ascii="Times New Roman" w:hAnsi="Times New Roman" w:eastAsia="宋体" w:cs="Times New Roman"/>
                <w:color w:val="auto"/>
                <w:sz w:val="21"/>
                <w:szCs w:val="21"/>
                <w:highlight w:val="none"/>
                <w:lang w:val="zh-CN"/>
              </w:rPr>
              <w:t>民事责任的能力；</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（2）具有良好的商业信誉和健全的财务会计制度；</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（3）具有履行</w:t>
            </w:r>
            <w:r>
              <w:rPr>
                <w:rFonts w:hint="default" w:ascii="Times New Roman" w:hAnsi="Times New Roman" w:eastAsia="宋体" w:cs="Times New Roman"/>
                <w:color w:val="auto"/>
                <w:sz w:val="21"/>
                <w:szCs w:val="21"/>
                <w:highlight w:val="none"/>
              </w:rPr>
              <w:t>合同</w:t>
            </w:r>
            <w:r>
              <w:rPr>
                <w:rFonts w:hint="default" w:ascii="Times New Roman" w:hAnsi="Times New Roman" w:eastAsia="宋体" w:cs="Times New Roman"/>
                <w:color w:val="auto"/>
                <w:sz w:val="21"/>
                <w:szCs w:val="21"/>
                <w:highlight w:val="none"/>
                <w:lang w:val="zh-CN"/>
              </w:rPr>
              <w:t>所必需的设备和专业技术能力；</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（4）有依法</w:t>
            </w:r>
            <w:r>
              <w:rPr>
                <w:rFonts w:hint="default" w:ascii="Times New Roman" w:hAnsi="Times New Roman" w:eastAsia="宋体" w:cs="Times New Roman"/>
                <w:color w:val="auto"/>
                <w:sz w:val="21"/>
                <w:szCs w:val="21"/>
                <w:highlight w:val="none"/>
              </w:rPr>
              <w:t>缴纳</w:t>
            </w:r>
            <w:r>
              <w:rPr>
                <w:rFonts w:hint="default" w:ascii="Times New Roman" w:hAnsi="Times New Roman" w:eastAsia="宋体" w:cs="Times New Roman"/>
                <w:color w:val="auto"/>
                <w:sz w:val="21"/>
                <w:szCs w:val="21"/>
                <w:highlight w:val="none"/>
                <w:lang w:val="zh-CN"/>
              </w:rPr>
              <w:t>税收和社会保障资金的良好记录；</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（5）参加政府</w:t>
            </w:r>
            <w:r>
              <w:rPr>
                <w:rFonts w:hint="default" w:ascii="Times New Roman" w:hAnsi="Times New Roman" w:eastAsia="宋体" w:cs="Times New Roman"/>
                <w:color w:val="auto"/>
                <w:sz w:val="21"/>
                <w:szCs w:val="21"/>
                <w:highlight w:val="none"/>
              </w:rPr>
              <w:t>采购</w:t>
            </w:r>
            <w:r>
              <w:rPr>
                <w:rFonts w:hint="default" w:ascii="Times New Roman" w:hAnsi="Times New Roman" w:eastAsia="宋体" w:cs="Times New Roman"/>
                <w:color w:val="auto"/>
                <w:sz w:val="21"/>
                <w:szCs w:val="21"/>
                <w:highlight w:val="none"/>
                <w:lang w:val="zh-CN"/>
              </w:rPr>
              <w:t>活动前三年内，在经营活动中没有重大违法记录；</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（6）法律、行政法规规定的其他条件。</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3.本项目的特定资格要求：</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无</w:t>
            </w:r>
            <w:r>
              <w:rPr>
                <w:rFonts w:hint="default" w:ascii="Times New Roman" w:hAnsi="Times New Roman" w:eastAsia="宋体" w:cs="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是否接受联合体磋商</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不接受</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接受（</w:t>
            </w:r>
            <w:r>
              <w:rPr>
                <w:rFonts w:hint="default" w:ascii="Times New Roman" w:hAnsi="Times New Roman" w:cs="Times New Roman"/>
                <w:color w:val="auto"/>
                <w:sz w:val="21"/>
                <w:szCs w:val="21"/>
                <w:highlight w:val="none"/>
              </w:rPr>
              <w:t>接受联合体且供应商为联合体的，供应商应提供联合体协议；否则无须提供</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本项目采购标的对应的中小企业划分标准所属行业为：</w:t>
            </w:r>
            <w:r>
              <w:rPr>
                <w:rFonts w:hint="default" w:ascii="Times New Roman" w:hAnsi="Times New Roman" w:eastAsia="宋体" w:cs="Times New Roman"/>
                <w:b/>
                <w:bCs/>
                <w:color w:val="auto"/>
                <w:sz w:val="21"/>
                <w:szCs w:val="21"/>
                <w:highlight w:val="none"/>
              </w:rPr>
              <w:t>“其他未列明行业”</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非主体、非关键性工作分包</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是否允许供应商将本项目的非主体、非关键性工作进行分包：</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不允许</w:t>
            </w:r>
          </w:p>
          <w:p>
            <w:pPr>
              <w:adjustRightInd w:val="0"/>
              <w:snapToGrid w:val="0"/>
              <w:spacing w:after="0" w:line="360" w:lineRule="auto"/>
              <w:jc w:val="left"/>
              <w:rPr>
                <w:rFonts w:hint="default" w:ascii="Times New Roman" w:hAnsi="Times New Roman" w:eastAsia="宋体" w:cs="Times New Roman"/>
                <w:i/>
                <w:color w:val="auto"/>
                <w:sz w:val="21"/>
                <w:szCs w:val="21"/>
                <w:highlight w:val="none"/>
                <w:u w:val="single"/>
              </w:rPr>
            </w:pPr>
            <w:r>
              <w:rPr>
                <w:rFonts w:hint="default" w:ascii="Times New Roman" w:hAnsi="Times New Roman" w:eastAsia="宋体" w:cs="Times New Roman"/>
                <w:color w:val="auto"/>
                <w:sz w:val="21"/>
                <w:szCs w:val="21"/>
                <w:highlight w:val="none"/>
              </w:rPr>
              <w:t>□允许，</w:t>
            </w:r>
            <w:r>
              <w:rPr>
                <w:rFonts w:hint="default" w:ascii="Times New Roman" w:hAnsi="Times New Roman" w:eastAsia="宋体" w:cs="Times New Roman"/>
                <w:i/>
                <w:color w:val="auto"/>
                <w:sz w:val="21"/>
                <w:szCs w:val="21"/>
                <w:highlight w:val="none"/>
                <w:u w:val="single"/>
              </w:rPr>
              <w:t>（写明可以分包履行的具体内容、金额或者比例）</w:t>
            </w:r>
          </w:p>
          <w:p>
            <w:pPr>
              <w:adjustRightInd w:val="0"/>
              <w:snapToGrid w:val="0"/>
              <w:spacing w:after="0" w:line="360" w:lineRule="auto"/>
              <w:jc w:val="left"/>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采购包2：</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984"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核心产品</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货物类项目填写此栏</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无</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有</w:t>
            </w:r>
          </w:p>
          <w:p>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产品名称：</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p>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在本采购项目中，提供相同品牌产品且通过资格审查、实质性响应审查的不同供应商参加同一合同项下磋商的，按一家供应商计算，评审后得分最高的同品牌供应商获得成交供应商推荐资格；评审得分相同的，由采购人或者采购人委托磋商小组按照</w:t>
            </w:r>
            <w:r>
              <w:rPr>
                <w:rFonts w:hint="default" w:ascii="Times New Roman" w:hAnsi="Times New Roman" w:cs="Times New Roman"/>
                <w:b/>
                <w:color w:val="auto"/>
                <w:sz w:val="21"/>
                <w:szCs w:val="21"/>
                <w:highlight w:val="none"/>
                <w:u w:val="single"/>
              </w:rPr>
              <w:t xml:space="preserve">   </w:t>
            </w:r>
            <w:r>
              <w:rPr>
                <w:rFonts w:hint="eastAsia" w:ascii="Times New Roman" w:hAnsi="Times New Roman" w:cs="Times New Roman"/>
                <w:b/>
                <w:color w:val="auto"/>
                <w:sz w:val="21"/>
                <w:szCs w:val="21"/>
                <w:highlight w:val="none"/>
                <w:u w:val="single"/>
                <w:lang w:val="en-US" w:eastAsia="zh-CN"/>
              </w:rPr>
              <w:t>/</w:t>
            </w:r>
            <w:r>
              <w:rPr>
                <w:rFonts w:hint="default" w:ascii="Times New Roman" w:hAnsi="Times New Roman" w:cs="Times New Roman"/>
                <w:b/>
                <w:color w:val="auto"/>
                <w:sz w:val="21"/>
                <w:szCs w:val="21"/>
                <w:highlight w:val="none"/>
                <w:u w:val="single"/>
              </w:rPr>
              <w:t xml:space="preserve">          </w:t>
            </w:r>
            <w:r>
              <w:rPr>
                <w:rFonts w:hint="default" w:ascii="Times New Roman" w:hAnsi="Times New Roman" w:cs="Times New Roman"/>
                <w:b/>
                <w:color w:val="auto"/>
                <w:sz w:val="21"/>
                <w:szCs w:val="21"/>
                <w:highlight w:val="none"/>
              </w:rPr>
              <w:t>的方式</w:t>
            </w:r>
            <w:r>
              <w:rPr>
                <w:rFonts w:hint="default" w:ascii="Times New Roman" w:hAnsi="Times New Roman" w:eastAsia="宋体" w:cs="Times New Roman"/>
                <w:b/>
                <w:bCs/>
                <w:color w:val="auto"/>
                <w:sz w:val="21"/>
                <w:szCs w:val="21"/>
                <w:highlight w:val="none"/>
              </w:rPr>
              <w:t>确定一个供应商获得成交供应商推荐资格，磋商文件未规定的采取随机抽取方式确定，其他同品牌供应商不作为成交候选人。</w:t>
            </w:r>
          </w:p>
          <w:p>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b/>
                <w:bCs/>
                <w:color w:val="auto"/>
                <w:sz w:val="21"/>
                <w:szCs w:val="21"/>
                <w:highlight w:val="none"/>
              </w:rPr>
              <w:t>单个采购包按以上条款计算的供应商家数不足规定家数的，则该采购包的采购活动结束。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984"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采购进口产品</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本采购项目拒绝进口产品参加磋商</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□本采购项目已经财政部审核同意购买进口产品</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□其他_____</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984" w:type="dxa"/>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信息发布媒体</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）国家税务总局宁德市税务局门户网（http://fujian.chinatax.gov.cn/ndsswj/）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获取采购文件</w:t>
            </w:r>
          </w:p>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时间、地点和</w:t>
            </w:r>
          </w:p>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方式等</w:t>
            </w:r>
          </w:p>
        </w:tc>
        <w:tc>
          <w:tcPr>
            <w:tcW w:w="6058" w:type="dxa"/>
            <w:gridSpan w:val="2"/>
            <w:noWrap w:val="0"/>
            <w:vAlign w:val="center"/>
          </w:tcPr>
          <w:p>
            <w:pPr>
              <w:adjustRightInd w:val="0"/>
              <w:snapToGrid w:val="0"/>
              <w:spacing w:after="0" w:line="360" w:lineRule="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时间</w:t>
            </w:r>
            <w:r>
              <w:rPr>
                <w:rFonts w:hint="default" w:ascii="Times New Roman" w:hAnsi="Times New Roman" w:eastAsia="宋体" w:cs="Times New Roman"/>
                <w:b/>
                <w:bCs/>
                <w:color w:val="auto"/>
                <w:sz w:val="21"/>
                <w:szCs w:val="21"/>
                <w:highlight w:val="none"/>
              </w:rPr>
              <w:t>：</w:t>
            </w:r>
            <w:r>
              <w:rPr>
                <w:rFonts w:hint="eastAsia" w:ascii="Times New Roman" w:hAnsi="Times New Roman" w:cs="Times New Roman"/>
                <w:color w:val="auto"/>
                <w:sz w:val="21"/>
                <w:szCs w:val="21"/>
                <w:highlight w:val="none"/>
                <w:u w:val="single"/>
                <w:lang w:val="en-US" w:eastAsia="zh-CN"/>
              </w:rPr>
              <w:t>2024</w:t>
            </w:r>
            <w:r>
              <w:rPr>
                <w:rFonts w:hint="default" w:ascii="Times New Roman" w:hAnsi="Times New Roman" w:eastAsia="宋体" w:cs="Times New Roman"/>
                <w:bCs/>
                <w:color w:val="auto"/>
                <w:sz w:val="21"/>
                <w:szCs w:val="21"/>
                <w:highlight w:val="none"/>
              </w:rPr>
              <w:t>年</w:t>
            </w:r>
            <w:r>
              <w:rPr>
                <w:rFonts w:hint="eastAsia" w:ascii="Times New Roman" w:hAnsi="Times New Roman" w:cs="Times New Roman"/>
                <w:color w:val="auto"/>
                <w:sz w:val="21"/>
                <w:szCs w:val="21"/>
                <w:highlight w:val="none"/>
                <w:u w:val="single"/>
                <w:lang w:val="en-US" w:eastAsia="zh-CN"/>
              </w:rPr>
              <w:t>02</w:t>
            </w:r>
            <w:r>
              <w:rPr>
                <w:rFonts w:hint="default" w:ascii="Times New Roman" w:hAnsi="Times New Roman" w:eastAsia="宋体" w:cs="Times New Roman"/>
                <w:bCs/>
                <w:color w:val="auto"/>
                <w:sz w:val="21"/>
                <w:szCs w:val="21"/>
                <w:highlight w:val="none"/>
              </w:rPr>
              <w:t>月</w:t>
            </w:r>
            <w:r>
              <w:rPr>
                <w:rFonts w:hint="eastAsia" w:ascii="Times New Roman" w:hAnsi="Times New Roman" w:cs="Times New Roman"/>
                <w:color w:val="auto"/>
                <w:sz w:val="21"/>
                <w:szCs w:val="21"/>
                <w:highlight w:val="none"/>
                <w:u w:val="single"/>
                <w:lang w:val="en-US" w:eastAsia="zh-CN"/>
              </w:rPr>
              <w:t>24</w:t>
            </w:r>
            <w:r>
              <w:rPr>
                <w:rFonts w:hint="default" w:ascii="Times New Roman" w:hAnsi="Times New Roman" w:eastAsia="宋体" w:cs="Times New Roman"/>
                <w:bCs/>
                <w:color w:val="auto"/>
                <w:sz w:val="21"/>
                <w:szCs w:val="21"/>
                <w:highlight w:val="none"/>
              </w:rPr>
              <w:t>日至</w:t>
            </w:r>
            <w:r>
              <w:rPr>
                <w:rFonts w:hint="eastAsia" w:ascii="Times New Roman" w:hAnsi="Times New Roman" w:cs="Times New Roman"/>
                <w:color w:val="auto"/>
                <w:sz w:val="21"/>
                <w:szCs w:val="21"/>
                <w:highlight w:val="none"/>
                <w:u w:val="single"/>
                <w:lang w:val="en-US" w:eastAsia="zh-CN"/>
              </w:rPr>
              <w:t>2024</w:t>
            </w:r>
            <w:r>
              <w:rPr>
                <w:rFonts w:hint="default" w:ascii="Times New Roman" w:hAnsi="Times New Roman" w:eastAsia="宋体" w:cs="Times New Roman"/>
                <w:bCs/>
                <w:color w:val="auto"/>
                <w:sz w:val="21"/>
                <w:szCs w:val="21"/>
                <w:highlight w:val="none"/>
              </w:rPr>
              <w:t>年</w:t>
            </w:r>
            <w:r>
              <w:rPr>
                <w:rFonts w:hint="eastAsia" w:ascii="Times New Roman" w:hAnsi="Times New Roman" w:cs="Times New Roman"/>
                <w:color w:val="auto"/>
                <w:sz w:val="21"/>
                <w:szCs w:val="21"/>
                <w:highlight w:val="none"/>
                <w:u w:val="single"/>
                <w:lang w:val="en-US" w:eastAsia="zh-CN"/>
              </w:rPr>
              <w:t>03</w:t>
            </w:r>
            <w:r>
              <w:rPr>
                <w:rFonts w:hint="default" w:ascii="Times New Roman" w:hAnsi="Times New Roman" w:eastAsia="宋体" w:cs="Times New Roman"/>
                <w:bCs/>
                <w:color w:val="auto"/>
                <w:sz w:val="21"/>
                <w:szCs w:val="21"/>
                <w:highlight w:val="none"/>
              </w:rPr>
              <w:t>月</w:t>
            </w:r>
            <w:r>
              <w:rPr>
                <w:rFonts w:hint="eastAsia" w:ascii="Times New Roman" w:hAnsi="Times New Roman" w:cs="Times New Roman"/>
                <w:color w:val="auto"/>
                <w:sz w:val="21"/>
                <w:szCs w:val="21"/>
                <w:highlight w:val="none"/>
                <w:u w:val="single"/>
                <w:lang w:val="en-US" w:eastAsia="zh-CN"/>
              </w:rPr>
              <w:t>01</w:t>
            </w:r>
            <w:r>
              <w:rPr>
                <w:rFonts w:hint="default" w:ascii="Times New Roman" w:hAnsi="Times New Roman" w:eastAsia="宋体" w:cs="Times New Roman"/>
                <w:bCs/>
                <w:color w:val="auto"/>
                <w:sz w:val="21"/>
                <w:szCs w:val="21"/>
                <w:highlight w:val="none"/>
              </w:rPr>
              <w:t>日</w:t>
            </w:r>
            <w:r>
              <w:rPr>
                <w:rFonts w:hint="eastAsia" w:ascii="宋体" w:hAnsi="宋体" w:cs="宋体"/>
                <w:color w:val="auto"/>
                <w:sz w:val="21"/>
                <w:szCs w:val="21"/>
                <w:highlight w:val="none"/>
              </w:rPr>
              <w:t>，每天</w:t>
            </w:r>
            <w:r>
              <w:rPr>
                <w:rFonts w:hint="eastAsia" w:ascii="宋体" w:hAnsi="宋体" w:cs="宋体"/>
                <w:color w:val="auto"/>
                <w:sz w:val="21"/>
                <w:szCs w:val="21"/>
                <w:highlight w:val="none"/>
                <w:u w:val="single"/>
                <w:lang w:val="en-US" w:eastAsia="zh-CN"/>
              </w:rPr>
              <w:t>9：00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val="en-US" w:eastAsia="zh-CN"/>
              </w:rPr>
              <w:t>12：00</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lang w:val="en-US" w:eastAsia="zh-CN"/>
              </w:rPr>
              <w:t>14：30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val="en-US" w:eastAsia="zh-CN"/>
              </w:rPr>
              <w:t>17：30</w:t>
            </w:r>
            <w:r>
              <w:rPr>
                <w:rFonts w:hint="default" w:ascii="Times New Roman" w:hAnsi="Times New Roman" w:eastAsia="宋体" w:cs="Times New Roman"/>
                <w:bCs/>
                <w:color w:val="auto"/>
                <w:sz w:val="21"/>
                <w:szCs w:val="21"/>
                <w:highlight w:val="none"/>
              </w:rPr>
              <w:t>（北京时间，法定节假日除外）</w:t>
            </w:r>
          </w:p>
          <w:p>
            <w:pPr>
              <w:adjustRightInd w:val="0"/>
              <w:snapToGrid w:val="0"/>
              <w:spacing w:after="0" w:line="360" w:lineRule="auto"/>
              <w:rPr>
                <w:rFonts w:hint="default" w:ascii="Times New Roman" w:hAnsi="Times New Roman" w:eastAsia="宋体" w:cs="Times New Roman"/>
                <w:bCs/>
                <w:color w:val="auto"/>
                <w:sz w:val="21"/>
                <w:szCs w:val="21"/>
                <w:highlight w:val="none"/>
                <w:u w:val="single"/>
              </w:rPr>
            </w:pPr>
            <w:r>
              <w:rPr>
                <w:rFonts w:hint="default" w:ascii="Times New Roman" w:hAnsi="Times New Roman" w:eastAsia="宋体" w:cs="Times New Roman"/>
                <w:b/>
                <w:color w:val="auto"/>
                <w:sz w:val="21"/>
                <w:szCs w:val="21"/>
                <w:highlight w:val="none"/>
              </w:rPr>
              <w:t>地点：</w:t>
            </w:r>
            <w:r>
              <w:rPr>
                <w:rFonts w:hint="default" w:ascii="Times New Roman" w:hAnsi="Times New Roman" w:eastAsia="宋体" w:cs="Times New Roman"/>
                <w:b/>
                <w:color w:val="auto"/>
                <w:sz w:val="21"/>
                <w:szCs w:val="21"/>
                <w:highlight w:val="none"/>
                <w:u w:val="single"/>
              </w:rPr>
              <w:t>福建天合招标有限公司</w:t>
            </w:r>
            <w:r>
              <w:rPr>
                <w:rFonts w:hint="default" w:ascii="Times New Roman" w:hAnsi="Times New Roman" w:eastAsia="宋体" w:cs="Times New Roman"/>
                <w:b/>
                <w:color w:val="auto"/>
                <w:sz w:val="21"/>
                <w:szCs w:val="21"/>
                <w:highlight w:val="none"/>
                <w:u w:val="single"/>
                <w:lang w:eastAsia="zh-CN"/>
              </w:rPr>
              <w:t>（</w:t>
            </w:r>
            <w:r>
              <w:rPr>
                <w:rFonts w:hint="default" w:ascii="Times New Roman" w:hAnsi="Times New Roman" w:eastAsia="宋体" w:cs="Times New Roman"/>
                <w:b/>
                <w:color w:val="auto"/>
                <w:sz w:val="21"/>
                <w:szCs w:val="21"/>
                <w:highlight w:val="none"/>
                <w:u w:val="single"/>
              </w:rPr>
              <w:t>福建省宁德市东侨开发区北湖滨路9号东湖曙光城21幢二单元905室</w:t>
            </w:r>
            <w:r>
              <w:rPr>
                <w:rFonts w:hint="default" w:ascii="Times New Roman" w:hAnsi="Times New Roman" w:eastAsia="宋体" w:cs="Times New Roman"/>
                <w:b/>
                <w:color w:val="auto"/>
                <w:sz w:val="21"/>
                <w:szCs w:val="21"/>
                <w:highlight w:val="none"/>
                <w:u w:val="single"/>
                <w:lang w:eastAsia="zh-CN"/>
              </w:rPr>
              <w:t>）</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方式:报名期限内，供应商应选择以下任意一种方式进行报名:</w:t>
            </w:r>
            <w:r>
              <w:rPr>
                <w:rFonts w:hint="default" w:ascii="Times New Roman" w:hAnsi="Times New Roman" w:eastAsia="宋体" w:cs="Times New Roman"/>
                <w:b/>
                <w:bCs/>
                <w:color w:val="auto"/>
                <w:sz w:val="21"/>
                <w:szCs w:val="21"/>
                <w:highlight w:val="none"/>
                <w:lang w:val="en-US" w:eastAsia="zh-CN"/>
              </w:rPr>
              <w:t>①</w:t>
            </w:r>
            <w:r>
              <w:rPr>
                <w:rFonts w:hint="default" w:ascii="Times New Roman" w:hAnsi="Times New Roman" w:eastAsia="宋体" w:cs="Times New Roman"/>
                <w:b/>
                <w:bCs/>
                <w:color w:val="auto"/>
                <w:sz w:val="21"/>
                <w:szCs w:val="21"/>
                <w:highlight w:val="none"/>
              </w:rPr>
              <w:t>供应商应持授权委托书(法人须持法人身份证明)、本人身份证原件及营业执照复印件加盖公章到福建天合招标有限公司(地址:福建省宁德市东侨开发区北湖滨路9号东湖曙光城21幢二单元905室)对本项目进行报名并填写《供应商报名登记表》且缴纳相应金额后受理;②通过电子邮件报名的：须按公告提供的开户名、开户行、账号，电汇或转账相应的金额到本公司账户（开户行：兴业银行宁德分行，账号：</w:t>
            </w:r>
            <w:r>
              <w:rPr>
                <w:rFonts w:hint="default" w:ascii="Times New Roman" w:hAnsi="Times New Roman" w:eastAsia="宋体" w:cs="Times New Roman"/>
                <w:b/>
                <w:bCs/>
                <w:color w:val="auto"/>
                <w:sz w:val="21"/>
                <w:szCs w:val="21"/>
                <w:highlight w:val="none"/>
                <w:lang w:val="en-US" w:eastAsia="zh-CN"/>
              </w:rPr>
              <w:t>622908133040385968</w:t>
            </w:r>
            <w:r>
              <w:rPr>
                <w:rFonts w:hint="default" w:ascii="Times New Roman" w:hAnsi="Times New Roman" w:eastAsia="宋体" w:cs="Times New Roman"/>
                <w:b/>
                <w:bCs/>
                <w:color w:val="auto"/>
                <w:sz w:val="21"/>
                <w:szCs w:val="21"/>
                <w:highlight w:val="none"/>
              </w:rPr>
              <w:t>，户名：</w:t>
            </w:r>
            <w:r>
              <w:rPr>
                <w:rFonts w:hint="default" w:ascii="Times New Roman" w:hAnsi="Times New Roman" w:eastAsia="宋体" w:cs="Times New Roman"/>
                <w:b/>
                <w:bCs/>
                <w:color w:val="auto"/>
                <w:sz w:val="21"/>
                <w:szCs w:val="21"/>
                <w:highlight w:val="none"/>
                <w:lang w:val="en-US" w:eastAsia="zh-CN"/>
              </w:rPr>
              <w:t>郑岐峰</w:t>
            </w:r>
            <w:r>
              <w:rPr>
                <w:rFonts w:hint="default" w:ascii="Times New Roman" w:hAnsi="Times New Roman" w:eastAsia="宋体" w:cs="Times New Roman"/>
                <w:b/>
                <w:bCs/>
                <w:color w:val="auto"/>
                <w:sz w:val="21"/>
                <w:szCs w:val="21"/>
                <w:highlight w:val="none"/>
              </w:rPr>
              <w:t>），同时将电汇或转账底单复印件及供应商将授权委托书(或法人身份证明)、本人身份证、营业执照及《供应商报名登记表》的原件扫描件发送至邮箱fjth_zb@163.com，并将上述材料的复印件加盖公章邮寄至本公司，邮费自付，且未在报名截止时间前将材料送达视为报名未成功，未报名将导致投标被拒绝;且报名时的公司名称应与投标时的公司名称一致，未办理报名手续的不予以书面变更通知及不受理其参加本项目的磋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现场考察或召开磋商前答疑会</w:t>
            </w:r>
          </w:p>
        </w:tc>
        <w:tc>
          <w:tcPr>
            <w:tcW w:w="6058" w:type="dxa"/>
            <w:gridSpan w:val="2"/>
            <w:noWrap w:val="0"/>
            <w:vAlign w:val="center"/>
          </w:tcPr>
          <w:p>
            <w:pPr>
              <w:numPr>
                <w:ilvl w:val="0"/>
                <w:numId w:val="0"/>
              </w:numPr>
              <w:tabs>
                <w:tab w:val="left" w:pos="0"/>
                <w:tab w:val="left" w:pos="420"/>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不组织现场考察/召开磋商前答疑会</w:t>
            </w:r>
          </w:p>
          <w:p>
            <w:pPr>
              <w:numPr>
                <w:ilvl w:val="0"/>
                <w:numId w:val="0"/>
              </w:numPr>
              <w:tabs>
                <w:tab w:val="left" w:pos="0"/>
                <w:tab w:val="left" w:pos="420"/>
              </w:tabs>
              <w:adjustRightInd w:val="0"/>
              <w:snapToGrid w:val="0"/>
              <w:spacing w:after="0" w:line="360" w:lineRule="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bCs/>
                <w:color w:val="auto"/>
                <w:sz w:val="21"/>
                <w:szCs w:val="21"/>
                <w:highlight w:val="none"/>
              </w:rPr>
              <w:t>组织现场考察/</w:t>
            </w:r>
            <w:r>
              <w:rPr>
                <w:rFonts w:hint="default" w:ascii="Times New Roman" w:hAnsi="Times New Roman" w:eastAsia="宋体" w:cs="Times New Roman"/>
                <w:color w:val="auto"/>
                <w:sz w:val="21"/>
                <w:szCs w:val="21"/>
                <w:highlight w:val="none"/>
              </w:rPr>
              <w:t>召开磋商前答疑会</w:t>
            </w:r>
            <w:r>
              <w:rPr>
                <w:rFonts w:hint="default" w:ascii="Times New Roman" w:hAnsi="Times New Roman" w:eastAsia="宋体" w:cs="Times New Roman"/>
                <w:bCs/>
                <w:color w:val="auto"/>
                <w:sz w:val="21"/>
                <w:szCs w:val="21"/>
                <w:highlight w:val="none"/>
              </w:rPr>
              <w:t>：</w:t>
            </w:r>
          </w:p>
          <w:p>
            <w:pPr>
              <w:numPr>
                <w:ilvl w:val="0"/>
                <w:numId w:val="0"/>
              </w:numPr>
              <w:tabs>
                <w:tab w:val="left" w:pos="0"/>
                <w:tab w:val="left" w:pos="420"/>
              </w:tabs>
              <w:adjustRightInd w:val="0"/>
              <w:snapToGrid w:val="0"/>
              <w:spacing w:after="0" w:line="360" w:lineRule="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
                <w:color w:val="auto"/>
                <w:sz w:val="21"/>
                <w:szCs w:val="21"/>
                <w:highlight w:val="none"/>
              </w:rPr>
              <w:t>时间：</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bCs/>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bCs/>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bCs/>
                <w:color w:val="auto"/>
                <w:sz w:val="21"/>
                <w:szCs w:val="21"/>
                <w:highlight w:val="none"/>
              </w:rPr>
              <w:t>日</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bCs/>
                <w:color w:val="auto"/>
                <w:sz w:val="21"/>
                <w:szCs w:val="21"/>
                <w:highlight w:val="none"/>
              </w:rPr>
              <w:t>午</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（北京时间）</w:t>
            </w:r>
          </w:p>
          <w:p>
            <w:pPr>
              <w:numPr>
                <w:ilvl w:val="0"/>
                <w:numId w:val="0"/>
              </w:numPr>
              <w:tabs>
                <w:tab w:val="left" w:pos="0"/>
                <w:tab w:val="left" w:pos="420"/>
              </w:tabs>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地点：</w:t>
            </w:r>
            <w:r>
              <w:rPr>
                <w:rFonts w:hint="default" w:ascii="Times New Roman" w:hAnsi="Times New Roman" w:eastAsia="宋体" w:cs="Times New Roman"/>
                <w:b/>
                <w:color w:val="auto"/>
                <w:sz w:val="21"/>
                <w:szCs w:val="21"/>
                <w:highlight w:val="none"/>
                <w:u w:val="single"/>
              </w:rPr>
              <w:t xml:space="preserve">       </w:t>
            </w:r>
            <w:r>
              <w:rPr>
                <w:rFonts w:hint="eastAsia" w:ascii="Times New Roman" w:hAnsi="Times New Roman" w:cs="Times New Roman"/>
                <w:b/>
                <w:color w:val="auto"/>
                <w:sz w:val="21"/>
                <w:szCs w:val="21"/>
                <w:highlight w:val="none"/>
                <w:u w:val="single"/>
                <w:lang w:val="en-US" w:eastAsia="zh-CN"/>
              </w:rPr>
              <w:t>/</w:t>
            </w:r>
            <w:r>
              <w:rPr>
                <w:rFonts w:hint="default" w:ascii="Times New Roman" w:hAnsi="Times New Roman" w:eastAsia="宋体" w:cs="Times New Roman"/>
                <w:b/>
                <w:color w:val="auto"/>
                <w:sz w:val="21"/>
                <w:szCs w:val="21"/>
                <w:highlight w:val="none"/>
                <w:u w:val="single"/>
              </w:rPr>
              <w:t xml:space="preserve">          </w:t>
            </w:r>
          </w:p>
          <w:p>
            <w:pPr>
              <w:numPr>
                <w:ilvl w:val="0"/>
                <w:numId w:val="0"/>
              </w:numPr>
              <w:tabs>
                <w:tab w:val="left" w:pos="0"/>
                <w:tab w:val="left" w:pos="420"/>
              </w:tabs>
              <w:adjustRightInd w:val="0"/>
              <w:snapToGrid w:val="0"/>
              <w:spacing w:after="0" w:line="36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rPr>
              <w:t>联系人：</w:t>
            </w:r>
            <w:r>
              <w:rPr>
                <w:rFonts w:hint="default" w:ascii="Times New Roman" w:hAnsi="Times New Roman" w:eastAsia="宋体" w:cs="Times New Roman"/>
                <w:b/>
                <w:color w:val="auto"/>
                <w:sz w:val="21"/>
                <w:szCs w:val="21"/>
                <w:highlight w:val="none"/>
                <w:u w:val="single"/>
              </w:rPr>
              <w:t xml:space="preserve">       </w:t>
            </w:r>
            <w:r>
              <w:rPr>
                <w:rFonts w:hint="eastAsia" w:ascii="Times New Roman" w:hAnsi="Times New Roman" w:cs="Times New Roman"/>
                <w:b/>
                <w:color w:val="auto"/>
                <w:sz w:val="21"/>
                <w:szCs w:val="21"/>
                <w:highlight w:val="none"/>
                <w:u w:val="single"/>
                <w:lang w:val="en-US" w:eastAsia="zh-CN"/>
              </w:rPr>
              <w:t>/</w:t>
            </w:r>
            <w:r>
              <w:rPr>
                <w:rFonts w:hint="default" w:ascii="Times New Roman" w:hAnsi="Times New Roman" w:eastAsia="宋体" w:cs="Times New Roman"/>
                <w:b/>
                <w:color w:val="auto"/>
                <w:sz w:val="21"/>
                <w:szCs w:val="21"/>
                <w:highlight w:val="none"/>
                <w:u w:val="single"/>
              </w:rPr>
              <w:t xml:space="preserve">        </w:t>
            </w:r>
          </w:p>
          <w:p>
            <w:pPr>
              <w:numPr>
                <w:ilvl w:val="0"/>
                <w:numId w:val="0"/>
              </w:numPr>
              <w:tabs>
                <w:tab w:val="left" w:pos="0"/>
                <w:tab w:val="left" w:pos="420"/>
              </w:tabs>
              <w:adjustRightInd w:val="0"/>
              <w:snapToGrid w:val="0"/>
              <w:spacing w:after="0" w:line="360" w:lineRule="auto"/>
              <w:rPr>
                <w:rFonts w:hint="default" w:ascii="Times New Roman" w:hAnsi="Times New Roman" w:eastAsia="宋体" w:cs="Times New Roman"/>
                <w:bCs/>
                <w:color w:val="auto"/>
                <w:sz w:val="21"/>
                <w:szCs w:val="21"/>
                <w:highlight w:val="none"/>
                <w:u w:val="single"/>
              </w:rPr>
            </w:pPr>
            <w:r>
              <w:rPr>
                <w:rFonts w:hint="default" w:ascii="Times New Roman" w:hAnsi="Times New Roman" w:eastAsia="宋体" w:cs="Times New Roman"/>
                <w:b/>
                <w:color w:val="auto"/>
                <w:sz w:val="21"/>
                <w:szCs w:val="21"/>
                <w:highlight w:val="none"/>
              </w:rPr>
              <w:t>联系电话：</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p>
          <w:p>
            <w:pPr>
              <w:numPr>
                <w:ilvl w:val="0"/>
                <w:numId w:val="0"/>
              </w:numPr>
              <w:tabs>
                <w:tab w:val="left" w:pos="0"/>
                <w:tab w:val="left" w:pos="420"/>
              </w:tabs>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要求：</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样品</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不要求提供</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bCs/>
                <w:color w:val="auto"/>
                <w:sz w:val="21"/>
                <w:szCs w:val="21"/>
                <w:highlight w:val="none"/>
              </w:rPr>
              <w:t>要求提供：</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1.样品制作的标准和要求：________</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____________</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2.样品检测报告：(□否；□是，检测机构的要求、检测内容详见第六章项目采购需求)</w:t>
            </w:r>
          </w:p>
          <w:p>
            <w:pPr>
              <w:adjustRightInd w:val="0"/>
              <w:snapToGrid w:val="0"/>
              <w:spacing w:after="0" w:line="360" w:lineRule="auto"/>
              <w:jc w:val="left"/>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3.样品的评审方法及评审标准：内容详见第三章评审办法及标准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984"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响应文件组成</w:t>
            </w:r>
          </w:p>
        </w:tc>
        <w:tc>
          <w:tcPr>
            <w:tcW w:w="851"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商务部</w:t>
            </w:r>
            <w:r>
              <w:rPr>
                <w:rFonts w:hint="default" w:ascii="Times New Roman" w:hAnsi="Times New Roman" w:eastAsia="宋体" w:cs="Times New Roman"/>
                <w:bCs/>
                <w:color w:val="auto"/>
                <w:sz w:val="21"/>
                <w:szCs w:val="21"/>
                <w:highlight w:val="none"/>
              </w:rPr>
              <w:t>分</w:t>
            </w:r>
          </w:p>
        </w:tc>
        <w:tc>
          <w:tcPr>
            <w:tcW w:w="5207" w:type="dxa"/>
            <w:noWrap w:val="0"/>
            <w:vAlign w:val="center"/>
          </w:tcPr>
          <w:p>
            <w:pPr>
              <w:widowControl/>
              <w:tabs>
                <w:tab w:val="left" w:pos="0"/>
                <w:tab w:val="left" w:pos="420"/>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一、资格证明文件：</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1.★法人或者其他组织的营业执照等证明文件，自然人的身份证明复印件（线上采购项目提供扫描件，下同）；</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2.★财务状况报告：20</w:t>
            </w:r>
            <w:r>
              <w:rPr>
                <w:rFonts w:hint="eastAsia" w:ascii="Times New Roman" w:hAnsi="Times New Roman"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年度</w:t>
            </w:r>
            <w:r>
              <w:rPr>
                <w:rFonts w:hint="eastAsia" w:ascii="Times New Roman" w:hAnsi="Times New Roman" w:cs="Times New Roman"/>
                <w:color w:val="auto"/>
                <w:sz w:val="21"/>
                <w:szCs w:val="21"/>
                <w:highlight w:val="none"/>
                <w:lang w:val="en-US" w:eastAsia="zh-CN"/>
              </w:rPr>
              <w:t>或2023年度</w:t>
            </w:r>
            <w:r>
              <w:rPr>
                <w:rFonts w:hint="default" w:ascii="Times New Roman" w:hAnsi="Times New Roman" w:eastAsia="宋体" w:cs="Times New Roman"/>
                <w:color w:val="auto"/>
                <w:sz w:val="21"/>
                <w:szCs w:val="21"/>
                <w:highlight w:val="none"/>
              </w:rPr>
              <w:t>经会计师事务所审计的财务报告（须上传加盖会计师事务所公章及注册会计师签章的扫描件）；没有经审计的财务报告的，可以提供基本开户银行出具的资信证明复印件；</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3.★依法缴纳税收：20</w:t>
            </w:r>
            <w:r>
              <w:rPr>
                <w:rFonts w:hint="eastAsia" w:ascii="Times New Roman" w:hAnsi="Times New Roman"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年</w:t>
            </w:r>
            <w:r>
              <w:rPr>
                <w:rFonts w:hint="eastAsia" w:ascii="Times New Roman" w:hAnsi="Times New Roman" w:cs="Times New Roman"/>
                <w:color w:val="auto"/>
                <w:sz w:val="21"/>
                <w:szCs w:val="21"/>
                <w:highlight w:val="none"/>
                <w:lang w:val="en-US" w:eastAsia="zh-CN"/>
              </w:rPr>
              <w:t>02</w:t>
            </w:r>
            <w:r>
              <w:rPr>
                <w:rFonts w:hint="default" w:ascii="Times New Roman" w:hAnsi="Times New Roman" w:eastAsia="宋体" w:cs="Times New Roman"/>
                <w:color w:val="auto"/>
                <w:sz w:val="21"/>
                <w:szCs w:val="21"/>
                <w:highlight w:val="none"/>
              </w:rPr>
              <w:t>月以来不少于</w:t>
            </w:r>
            <w:r>
              <w:rPr>
                <w:rFonts w:hint="eastAsia"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个月依法缴纳税收（不包括个人所得税）的相关材料，如依法免税或不需要纳税的，则应提供相应证明材料复印件；</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4.★社会保障资金：20</w:t>
            </w:r>
            <w:r>
              <w:rPr>
                <w:rFonts w:hint="eastAsia" w:ascii="Times New Roman" w:hAnsi="Times New Roman"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年</w:t>
            </w:r>
            <w:r>
              <w:rPr>
                <w:rFonts w:hint="eastAsia" w:ascii="Times New Roman" w:hAnsi="Times New Roman" w:cs="Times New Roman"/>
                <w:color w:val="auto"/>
                <w:sz w:val="21"/>
                <w:szCs w:val="21"/>
                <w:highlight w:val="none"/>
                <w:lang w:val="en-US" w:eastAsia="zh-CN"/>
              </w:rPr>
              <w:t>02</w:t>
            </w:r>
            <w:r>
              <w:rPr>
                <w:rFonts w:hint="default" w:ascii="Times New Roman" w:hAnsi="Times New Roman" w:eastAsia="宋体" w:cs="Times New Roman"/>
                <w:color w:val="auto"/>
                <w:sz w:val="21"/>
                <w:szCs w:val="21"/>
                <w:highlight w:val="none"/>
              </w:rPr>
              <w:t>月以来不少于</w:t>
            </w:r>
            <w:r>
              <w:rPr>
                <w:rFonts w:hint="eastAsia"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个月的依法缴纳社会保障资金的相关材料，如依法不需要缴纳社会保障资金的，则应提供相应证明材料复印件；</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5.★具备履行合同所必需的设备和专业技术能力的证明材料；</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r>
              <w:rPr>
                <w:rFonts w:hint="default" w:ascii="Times New Roman" w:hAnsi="Times New Roman" w:cs="Times New Roman"/>
                <w:color w:val="auto"/>
                <w:sz w:val="21"/>
                <w:szCs w:val="21"/>
                <w:highlight w:val="none"/>
              </w:rPr>
              <w:t>参加政府采购活动前3年内在经营活动中没有重大违法记录的书面声明</w:t>
            </w:r>
            <w:r>
              <w:rPr>
                <w:rFonts w:hint="default" w:ascii="Times New Roman" w:hAnsi="Times New Roman" w:eastAsia="宋体" w:cs="Times New Roman"/>
                <w:color w:val="auto"/>
                <w:sz w:val="21"/>
                <w:szCs w:val="21"/>
                <w:highlight w:val="none"/>
              </w:rPr>
              <w:t>；</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7.★具备法律、行政法规规定的其他条件的证明材料；</w:t>
            </w:r>
          </w:p>
          <w:p>
            <w:pPr>
              <w:widowControl/>
              <w:tabs>
                <w:tab w:val="left" w:pos="0"/>
                <w:tab w:val="left" w:pos="220"/>
              </w:tabs>
              <w:adjustRightInd w:val="0"/>
              <w:snapToGrid w:val="0"/>
              <w:spacing w:after="0" w:line="360" w:lineRule="auto"/>
              <w:jc w:val="left"/>
              <w:rPr>
                <w:rFonts w:hint="default" w:eastAsia="宋体"/>
                <w:lang w:val="en-US" w:eastAsia="zh-CN"/>
              </w:rPr>
            </w:pPr>
            <w:r>
              <w:rPr>
                <w:rFonts w:hint="default" w:ascii="Times New Roman" w:hAnsi="Times New Roman" w:eastAsia="宋体" w:cs="Times New Roman"/>
                <w:color w:val="auto"/>
                <w:sz w:val="21"/>
                <w:szCs w:val="21"/>
                <w:highlight w:val="none"/>
              </w:rPr>
              <w:t>8.</w:t>
            </w:r>
            <w:r>
              <w:rPr>
                <w:rFonts w:hint="default" w:ascii="Times New Roman" w:hAnsi="Times New Roman" w:eastAsia="宋体" w:cs="Times New Roman"/>
                <w:color w:val="auto"/>
                <w:sz w:val="21"/>
                <w:szCs w:val="21"/>
                <w:highlight w:val="none"/>
                <w:u w:val="none"/>
              </w:rPr>
              <w:t xml:space="preserve"> </w:t>
            </w:r>
            <w:r>
              <w:rPr>
                <w:rFonts w:hint="default" w:ascii="Times New Roman" w:hAnsi="Times New Roman" w:eastAsia="宋体" w:cs="Times New Roman"/>
                <w:color w:val="auto"/>
                <w:sz w:val="21"/>
                <w:szCs w:val="21"/>
                <w:highlight w:val="none"/>
              </w:rPr>
              <w:t>★信用记录查询结果</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u w:val="none"/>
              </w:rPr>
              <w:t>供应商不得被列入失信被执行人、重大税收违法案件当事人名单、政府采购严重违法失信行为记录名单。磋商小组将通过“信用中国”网站（www.creditchina.gov.cn）、中国政府采购网（www.ccgp.gov.cn）查询并打印报价人信用记录，查询结果存在报价人应被拒绝参与政府采购活动相关信息的，其资格审查不合格。因上述网站原因导致无法查询报价人信用记录的（磋商小组应将通过上述网站查询供应商信用记录时的原始页面打印后随采购文件一并存档），视为查询结果未存在报价人应被拒绝参与政府采购活动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851" w:type="dxa"/>
            <w:vMerge w:val="continue"/>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207" w:type="dxa"/>
            <w:noWrap w:val="0"/>
            <w:vAlign w:val="center"/>
          </w:tcPr>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二、</w:t>
            </w:r>
            <w:r>
              <w:rPr>
                <w:rFonts w:hint="default" w:ascii="Times New Roman" w:hAnsi="Times New Roman" w:eastAsia="宋体" w:cs="Times New Roman"/>
                <w:b/>
                <w:color w:val="auto"/>
                <w:sz w:val="21"/>
                <w:szCs w:val="21"/>
                <w:highlight w:val="none"/>
              </w:rPr>
              <w:t>报价一览表</w:t>
            </w:r>
            <w:r>
              <w:rPr>
                <w:rFonts w:hint="default" w:ascii="Times New Roman" w:hAnsi="Times New Roman" w:eastAsia="宋体" w:cs="Times New Roman"/>
                <w:b/>
                <w:bCs/>
                <w:color w:val="auto"/>
                <w:sz w:val="21"/>
                <w:szCs w:val="21"/>
                <w:highlight w:val="none"/>
              </w:rPr>
              <w:t>：</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1.★磋商报价表（线上采购项目，供应商应按照投标工具的流程和提示编制并上传）；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851" w:type="dxa"/>
            <w:vMerge w:val="continue"/>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207" w:type="dxa"/>
            <w:noWrap w:val="0"/>
            <w:vAlign w:val="center"/>
          </w:tcPr>
          <w:p>
            <w:pPr>
              <w:widowControl/>
              <w:shd w:val="clear" w:color="auto" w:fill="FFFFFF"/>
              <w:tabs>
                <w:tab w:val="left" w:pos="475"/>
                <w:tab w:val="left" w:pos="617"/>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三、其他文件及资料：</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1.★授权委托书（</w:t>
            </w:r>
            <w:r>
              <w:rPr>
                <w:rFonts w:hint="default" w:ascii="Times New Roman" w:hAnsi="Times New Roman" w:eastAsia="宋体" w:cs="Times New Roman"/>
                <w:i/>
                <w:color w:val="auto"/>
                <w:sz w:val="21"/>
                <w:szCs w:val="21"/>
                <w:highlight w:val="none"/>
              </w:rPr>
              <w:t>参考响应文件格式1</w:t>
            </w:r>
            <w:r>
              <w:rPr>
                <w:rFonts w:hint="default" w:ascii="Times New Roman" w:hAnsi="Times New Roman" w:eastAsia="宋体" w:cs="Times New Roman"/>
                <w:color w:val="auto"/>
                <w:sz w:val="21"/>
                <w:szCs w:val="21"/>
                <w:highlight w:val="none"/>
              </w:rPr>
              <w:t>）；</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2.★磋商响应函（</w:t>
            </w:r>
            <w:r>
              <w:rPr>
                <w:rFonts w:hint="default" w:ascii="Times New Roman" w:hAnsi="Times New Roman" w:eastAsia="宋体" w:cs="Times New Roman"/>
                <w:i/>
                <w:color w:val="auto"/>
                <w:sz w:val="21"/>
                <w:szCs w:val="21"/>
                <w:highlight w:val="none"/>
              </w:rPr>
              <w:t>参考响应文件格式2</w:t>
            </w:r>
            <w:r>
              <w:rPr>
                <w:rFonts w:hint="default" w:ascii="Times New Roman" w:hAnsi="Times New Roman" w:eastAsia="宋体" w:cs="Times New Roman"/>
                <w:color w:val="auto"/>
                <w:sz w:val="21"/>
                <w:szCs w:val="21"/>
                <w:highlight w:val="none"/>
              </w:rPr>
              <w:t>）；</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3.商务条款偏离表；</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4.中小企业声明函（中小企业</w:t>
            </w:r>
            <w:r>
              <w:rPr>
                <w:rFonts w:hint="default" w:ascii="Times New Roman" w:hAnsi="Times New Roman" w:cs="Times New Roman"/>
                <w:color w:val="auto"/>
                <w:sz w:val="21"/>
                <w:szCs w:val="21"/>
                <w:highlight w:val="none"/>
              </w:rPr>
              <w:t>参加政府采购活动的</w:t>
            </w:r>
            <w:r>
              <w:rPr>
                <w:rFonts w:hint="default" w:ascii="Times New Roman" w:hAnsi="Times New Roman" w:eastAsia="宋体" w:cs="Times New Roman"/>
                <w:color w:val="auto"/>
                <w:sz w:val="21"/>
                <w:szCs w:val="21"/>
                <w:highlight w:val="none"/>
              </w:rPr>
              <w:t>，应按照《政府采购促进中小企业发展管理办法》（财库﹝2020﹞46 号印发）《关于印发中小企业划型标准规定的通知》 （工信部联企业〔2011〕300号）如实填写并提交此函）；</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5.监狱企业证明文件[监狱企业</w:t>
            </w:r>
            <w:r>
              <w:rPr>
                <w:rFonts w:hint="default" w:ascii="Times New Roman" w:hAnsi="Times New Roman" w:cs="Times New Roman"/>
                <w:color w:val="auto"/>
                <w:sz w:val="21"/>
                <w:szCs w:val="21"/>
                <w:highlight w:val="none"/>
              </w:rPr>
              <w:t>参加政府采购活动的</w:t>
            </w:r>
            <w:r>
              <w:rPr>
                <w:rFonts w:hint="default" w:ascii="Times New Roman" w:hAnsi="Times New Roman" w:eastAsia="宋体" w:cs="Times New Roman"/>
                <w:color w:val="auto"/>
                <w:sz w:val="21"/>
                <w:szCs w:val="21"/>
                <w:highlight w:val="none"/>
              </w:rPr>
              <w:t>，应提交省级以上监狱管理局、戒毒管理局（含新疆生产建设兵团）出具的证明文件]；</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6.残疾人福利性单位声明函（残疾人福利性单位</w:t>
            </w:r>
            <w:r>
              <w:rPr>
                <w:rFonts w:hint="default" w:ascii="Times New Roman" w:hAnsi="Times New Roman" w:cs="Times New Roman"/>
                <w:color w:val="auto"/>
                <w:sz w:val="21"/>
                <w:szCs w:val="21"/>
                <w:highlight w:val="none"/>
              </w:rPr>
              <w:t>参加政府采购活动的</w:t>
            </w:r>
            <w:r>
              <w:rPr>
                <w:rFonts w:hint="default" w:ascii="Times New Roman" w:hAnsi="Times New Roman" w:eastAsia="宋体" w:cs="Times New Roman"/>
                <w:color w:val="auto"/>
                <w:sz w:val="21"/>
                <w:szCs w:val="21"/>
                <w:highlight w:val="none"/>
              </w:rPr>
              <w:t>，应提交此函）；</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7.供应商认为需要提供的其它说明和资料；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851"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技术部分</w:t>
            </w:r>
          </w:p>
        </w:tc>
        <w:tc>
          <w:tcPr>
            <w:tcW w:w="5207" w:type="dxa"/>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1.技术条款偏离表；</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2.服务方案；</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3.供应商认为需要提供的其它说明和资料；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1.以上带★的文件及资料未提供或提供的无效，则响应无效。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磋商响应有效期</w:t>
            </w:r>
          </w:p>
        </w:tc>
        <w:tc>
          <w:tcPr>
            <w:tcW w:w="605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从提交响应文件的截止之日起计算</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90</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提交响应文件方式、截止时间、地点</w:t>
            </w:r>
          </w:p>
        </w:tc>
        <w:tc>
          <w:tcPr>
            <w:tcW w:w="605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提交方式：（</w:t>
            </w:r>
            <w:r>
              <w:rPr>
                <w:rFonts w:hint="default" w:ascii="Times New Roman" w:hAnsi="Times New Roman" w:eastAsia="宋体" w:cs="Times New Roman"/>
                <w:color w:val="auto"/>
                <w:sz w:val="21"/>
                <w:szCs w:val="21"/>
                <w:highlight w:val="none"/>
                <w:u w:val="single"/>
              </w:rPr>
              <w:t>纸质文件提交）</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提交响应文件截止时间：</w:t>
            </w:r>
            <w:r>
              <w:rPr>
                <w:rFonts w:hint="eastAsia" w:ascii="Times New Roman" w:hAnsi="Times New Roman" w:cs="Times New Roman"/>
                <w:color w:val="auto"/>
                <w:sz w:val="21"/>
                <w:szCs w:val="21"/>
                <w:highlight w:val="none"/>
                <w:u w:val="single"/>
                <w:lang w:val="en-US" w:eastAsia="zh-CN"/>
              </w:rPr>
              <w:t>2024</w:t>
            </w:r>
            <w:r>
              <w:rPr>
                <w:rFonts w:hint="default" w:ascii="Times New Roman" w:hAnsi="Times New Roman" w:eastAsia="宋体" w:cs="Times New Roman"/>
                <w:bCs/>
                <w:color w:val="auto"/>
                <w:sz w:val="21"/>
                <w:szCs w:val="21"/>
                <w:highlight w:val="none"/>
              </w:rPr>
              <w:t>年</w:t>
            </w:r>
            <w:r>
              <w:rPr>
                <w:rFonts w:hint="eastAsia" w:ascii="Times New Roman" w:hAnsi="Times New Roman" w:cs="Times New Roman"/>
                <w:color w:val="auto"/>
                <w:sz w:val="21"/>
                <w:szCs w:val="21"/>
                <w:highlight w:val="none"/>
                <w:u w:val="single"/>
                <w:lang w:val="en-US" w:eastAsia="zh-CN"/>
              </w:rPr>
              <w:t>03</w:t>
            </w:r>
            <w:r>
              <w:rPr>
                <w:rFonts w:hint="default" w:ascii="Times New Roman" w:hAnsi="Times New Roman" w:eastAsia="宋体" w:cs="Times New Roman"/>
                <w:bCs/>
                <w:color w:val="auto"/>
                <w:sz w:val="21"/>
                <w:szCs w:val="21"/>
                <w:highlight w:val="none"/>
              </w:rPr>
              <w:t>月</w:t>
            </w:r>
            <w:r>
              <w:rPr>
                <w:rFonts w:hint="eastAsia" w:ascii="Times New Roman" w:hAnsi="Times New Roman" w:cs="Times New Roman"/>
                <w:color w:val="auto"/>
                <w:sz w:val="21"/>
                <w:szCs w:val="21"/>
                <w:highlight w:val="none"/>
                <w:u w:val="single"/>
                <w:lang w:val="en-US" w:eastAsia="zh-CN"/>
              </w:rPr>
              <w:t>05</w:t>
            </w:r>
            <w:r>
              <w:rPr>
                <w:rFonts w:hint="default" w:ascii="Times New Roman" w:hAnsi="Times New Roman" w:eastAsia="宋体" w:cs="Times New Roman"/>
                <w:bCs/>
                <w:color w:val="auto"/>
                <w:sz w:val="21"/>
                <w:szCs w:val="21"/>
                <w:highlight w:val="none"/>
              </w:rPr>
              <w:t>日</w:t>
            </w:r>
            <w:bookmarkStart w:id="30" w:name="_GoBack"/>
            <w:bookmarkEnd w:id="30"/>
            <w:r>
              <w:rPr>
                <w:rFonts w:hint="eastAsia" w:ascii="Times New Roman" w:hAnsi="Times New Roman" w:cs="Times New Roman"/>
                <w:color w:val="auto"/>
                <w:sz w:val="21"/>
                <w:szCs w:val="21"/>
                <w:highlight w:val="none"/>
                <w:u w:val="single"/>
                <w:lang w:val="en-US" w:eastAsia="zh-CN"/>
              </w:rPr>
              <w:t>14:30</w:t>
            </w:r>
            <w:r>
              <w:rPr>
                <w:rFonts w:hint="default" w:ascii="Times New Roman" w:hAnsi="Times New Roman" w:eastAsia="宋体" w:cs="Times New Roman"/>
                <w:color w:val="auto"/>
                <w:sz w:val="21"/>
                <w:szCs w:val="21"/>
                <w:highlight w:val="none"/>
              </w:rPr>
              <w:t>（北京时间）</w:t>
            </w:r>
          </w:p>
          <w:p>
            <w:pPr>
              <w:topLinePunct/>
              <w:autoSpaceDE w:val="0"/>
              <w:autoSpaceDN w:val="0"/>
              <w:adjustRightInd w:val="0"/>
              <w:snapToGrid w:val="0"/>
              <w:spacing w:after="0" w:line="360" w:lineRule="auto"/>
              <w:rPr>
                <w:rFonts w:hint="eastAsia" w:ascii="Times New Roman" w:hAnsi="Times New Roman" w:eastAsia="宋体" w:cs="Times New Roman"/>
                <w:b/>
                <w:color w:val="auto"/>
                <w:sz w:val="21"/>
                <w:szCs w:val="21"/>
                <w:highlight w:val="none"/>
                <w:u w:val="single"/>
                <w:lang w:eastAsia="zh-CN"/>
              </w:rPr>
            </w:pPr>
            <w:r>
              <w:rPr>
                <w:rFonts w:hint="default" w:ascii="Times New Roman" w:hAnsi="Times New Roman" w:eastAsia="宋体" w:cs="Times New Roman"/>
                <w:b/>
                <w:color w:val="auto"/>
                <w:sz w:val="21"/>
                <w:szCs w:val="21"/>
                <w:highlight w:val="none"/>
              </w:rPr>
              <w:t>地点：</w:t>
            </w:r>
            <w:r>
              <w:rPr>
                <w:rFonts w:hint="default" w:ascii="Times New Roman" w:hAnsi="Times New Roman" w:eastAsia="宋体" w:cs="Times New Roman"/>
                <w:b/>
                <w:color w:val="auto"/>
                <w:sz w:val="21"/>
                <w:szCs w:val="21"/>
                <w:highlight w:val="none"/>
                <w:u w:val="single"/>
              </w:rPr>
              <w:t>福建省宁德市东侨开发区北湖滨路9号东湖曙光城21幢二单元905室</w:t>
            </w:r>
            <w:r>
              <w:rPr>
                <w:rFonts w:hint="eastAsia" w:ascii="Times New Roman" w:hAnsi="Times New Roman" w:cs="Times New Roman"/>
                <w:b/>
                <w:color w:val="auto"/>
                <w:sz w:val="21"/>
                <w:szCs w:val="21"/>
                <w:highlight w:val="none"/>
                <w:u w:val="single"/>
                <w:lang w:eastAsia="zh-CN"/>
              </w:rPr>
              <w:t>（</w:t>
            </w:r>
            <w:r>
              <w:rPr>
                <w:rFonts w:hint="eastAsia" w:ascii="Times New Roman" w:hAnsi="Times New Roman" w:cs="Times New Roman"/>
                <w:b/>
                <w:color w:val="auto"/>
                <w:sz w:val="21"/>
                <w:szCs w:val="21"/>
                <w:highlight w:val="none"/>
                <w:u w:val="single"/>
                <w:lang w:val="en-US" w:eastAsia="zh-CN"/>
              </w:rPr>
              <w:t>福建天合招标有限公司</w:t>
            </w:r>
            <w:r>
              <w:rPr>
                <w:rFonts w:hint="eastAsia" w:ascii="Times New Roman" w:hAnsi="Times New Roman" w:cs="Times New Roman"/>
                <w:b/>
                <w:color w:val="auto"/>
                <w:sz w:val="21"/>
                <w:szCs w:val="21"/>
                <w:highlight w:val="none"/>
                <w:u w:val="single"/>
                <w:lang w:eastAsia="zh-CN"/>
              </w:rPr>
              <w:t>）</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rPr>
              <w:t>联系电话：</w:t>
            </w:r>
            <w:r>
              <w:rPr>
                <w:rFonts w:hint="eastAsia" w:ascii="Times New Roman" w:hAnsi="Times New Roman" w:cs="Times New Roman"/>
                <w:b/>
                <w:color w:val="auto"/>
                <w:sz w:val="21"/>
                <w:szCs w:val="21"/>
                <w:highlight w:val="none"/>
                <w:u w:val="single"/>
                <w:lang w:val="en-US" w:eastAsia="zh-CN"/>
              </w:rPr>
              <w:t>0593-2053316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响应文件开启时间和地点</w:t>
            </w:r>
          </w:p>
        </w:tc>
        <w:tc>
          <w:tcPr>
            <w:tcW w:w="605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时间：</w:t>
            </w:r>
            <w:r>
              <w:rPr>
                <w:rFonts w:hint="eastAsia" w:ascii="Times New Roman" w:hAnsi="Times New Roman" w:cs="Times New Roman"/>
                <w:color w:val="auto"/>
                <w:sz w:val="21"/>
                <w:szCs w:val="21"/>
                <w:highlight w:val="none"/>
                <w:u w:val="single"/>
                <w:lang w:val="en-US" w:eastAsia="zh-CN"/>
              </w:rPr>
              <w:t>2024</w:t>
            </w:r>
            <w:r>
              <w:rPr>
                <w:rFonts w:hint="default" w:ascii="Times New Roman" w:hAnsi="Times New Roman" w:eastAsia="宋体" w:cs="Times New Roman"/>
                <w:bCs/>
                <w:color w:val="auto"/>
                <w:sz w:val="21"/>
                <w:szCs w:val="21"/>
                <w:highlight w:val="none"/>
              </w:rPr>
              <w:t>年</w:t>
            </w:r>
            <w:r>
              <w:rPr>
                <w:rFonts w:hint="eastAsia" w:ascii="Times New Roman" w:hAnsi="Times New Roman" w:cs="Times New Roman"/>
                <w:color w:val="auto"/>
                <w:sz w:val="21"/>
                <w:szCs w:val="21"/>
                <w:highlight w:val="none"/>
                <w:u w:val="single"/>
                <w:lang w:val="en-US" w:eastAsia="zh-CN"/>
              </w:rPr>
              <w:t>03</w:t>
            </w:r>
            <w:r>
              <w:rPr>
                <w:rFonts w:hint="default" w:ascii="Times New Roman" w:hAnsi="Times New Roman" w:eastAsia="宋体" w:cs="Times New Roman"/>
                <w:bCs/>
                <w:color w:val="auto"/>
                <w:sz w:val="21"/>
                <w:szCs w:val="21"/>
                <w:highlight w:val="none"/>
              </w:rPr>
              <w:t>月</w:t>
            </w:r>
            <w:r>
              <w:rPr>
                <w:rFonts w:hint="eastAsia" w:ascii="Times New Roman" w:hAnsi="Times New Roman" w:cs="Times New Roman"/>
                <w:color w:val="auto"/>
                <w:sz w:val="21"/>
                <w:szCs w:val="21"/>
                <w:highlight w:val="none"/>
                <w:u w:val="single"/>
                <w:lang w:val="en-US" w:eastAsia="zh-CN"/>
              </w:rPr>
              <w:t>05</w:t>
            </w:r>
            <w:r>
              <w:rPr>
                <w:rFonts w:hint="default" w:ascii="Times New Roman" w:hAnsi="Times New Roman" w:eastAsia="宋体" w:cs="Times New Roman"/>
                <w:bCs/>
                <w:color w:val="auto"/>
                <w:sz w:val="21"/>
                <w:szCs w:val="21"/>
                <w:highlight w:val="none"/>
              </w:rPr>
              <w:t>日</w:t>
            </w:r>
            <w:r>
              <w:rPr>
                <w:rFonts w:hint="eastAsia" w:ascii="Times New Roman" w:hAnsi="Times New Roman" w:cs="Times New Roman"/>
                <w:color w:val="auto"/>
                <w:sz w:val="21"/>
                <w:szCs w:val="21"/>
                <w:highlight w:val="none"/>
                <w:u w:val="single"/>
                <w:lang w:val="en-US" w:eastAsia="zh-CN"/>
              </w:rPr>
              <w:t>14:30</w:t>
            </w:r>
            <w:r>
              <w:rPr>
                <w:rFonts w:hint="default" w:ascii="Times New Roman" w:hAnsi="Times New Roman" w:eastAsia="宋体" w:cs="Times New Roman"/>
                <w:color w:val="auto"/>
                <w:sz w:val="21"/>
                <w:szCs w:val="21"/>
                <w:highlight w:val="none"/>
              </w:rPr>
              <w:t>（北京时间）</w:t>
            </w:r>
          </w:p>
          <w:p>
            <w:pPr>
              <w:topLinePunct/>
              <w:autoSpaceDE w:val="0"/>
              <w:autoSpaceDN w:val="0"/>
              <w:adjustRightInd w:val="0"/>
              <w:snapToGrid w:val="0"/>
              <w:spacing w:after="0" w:line="360" w:lineRule="auto"/>
              <w:rPr>
                <w:rFonts w:hint="eastAsia"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rPr>
              <w:t>地点：</w:t>
            </w:r>
            <w:r>
              <w:rPr>
                <w:rFonts w:hint="default" w:ascii="Times New Roman" w:hAnsi="Times New Roman" w:eastAsia="宋体" w:cs="Times New Roman"/>
                <w:b/>
                <w:color w:val="auto"/>
                <w:sz w:val="21"/>
                <w:szCs w:val="21"/>
                <w:highlight w:val="none"/>
                <w:u w:val="single"/>
              </w:rPr>
              <w:t>福建省宁德市东侨开发区北湖滨路9号东湖曙光城21幢二单元905室</w:t>
            </w:r>
            <w:r>
              <w:rPr>
                <w:rFonts w:hint="eastAsia" w:ascii="Times New Roman" w:hAnsi="Times New Roman" w:cs="Times New Roman"/>
                <w:b/>
                <w:color w:val="auto"/>
                <w:sz w:val="21"/>
                <w:szCs w:val="21"/>
                <w:highlight w:val="none"/>
                <w:u w:val="single"/>
                <w:lang w:val="en-US" w:eastAsia="zh-CN"/>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1984" w:type="dxa"/>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磋商保证金</w:t>
            </w:r>
          </w:p>
        </w:tc>
        <w:tc>
          <w:tcPr>
            <w:tcW w:w="605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snapToGrid w:val="0"/>
                <w:color w:val="auto"/>
                <w:sz w:val="21"/>
                <w:szCs w:val="21"/>
                <w:highlight w:val="none"/>
                <w:lang w:val="zh-CN"/>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不要求提供</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要求提供：</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（1）金额：</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采购包1：人民币</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元。</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eastAsia="宋体" w:cs="Times New Roman"/>
                <w:color w:val="auto"/>
                <w:sz w:val="21"/>
                <w:szCs w:val="21"/>
                <w:highlight w:val="none"/>
              </w:rPr>
              <w:t>（2）提交方式：</w:t>
            </w:r>
            <w:r>
              <w:rPr>
                <w:rFonts w:hint="eastAsia" w:ascii="Times New Roman" w:hAnsi="Times New Roman" w:cs="Times New Roman"/>
                <w:color w:val="auto"/>
                <w:sz w:val="21"/>
                <w:szCs w:val="21"/>
                <w:highlight w:val="none"/>
                <w:u w:val="single"/>
                <w:lang w:val="en-US" w:eastAsia="zh-CN"/>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eastAsia="宋体" w:cs="Times New Roman"/>
                <w:color w:val="auto"/>
                <w:sz w:val="21"/>
                <w:szCs w:val="21"/>
                <w:highlight w:val="none"/>
              </w:rPr>
              <w:t>收款账户：</w:t>
            </w:r>
            <w:r>
              <w:rPr>
                <w:rFonts w:hint="eastAsia" w:ascii="Times New Roman" w:hAnsi="Times New Roman" w:cs="Times New Roman"/>
                <w:color w:val="auto"/>
                <w:sz w:val="21"/>
                <w:szCs w:val="21"/>
                <w:highlight w:val="none"/>
                <w:u w:val="single"/>
                <w:lang w:val="en-US" w:eastAsia="zh-CN"/>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eastAsia="宋体" w:cs="Times New Roman"/>
                <w:color w:val="auto"/>
                <w:sz w:val="21"/>
                <w:szCs w:val="21"/>
                <w:highlight w:val="none"/>
              </w:rPr>
              <w:t>开户银行：</w:t>
            </w:r>
            <w:r>
              <w:rPr>
                <w:rFonts w:hint="eastAsia" w:ascii="Times New Roman" w:hAnsi="Times New Roman" w:cs="Times New Roman"/>
                <w:color w:val="auto"/>
                <w:sz w:val="21"/>
                <w:szCs w:val="21"/>
                <w:highlight w:val="none"/>
                <w:u w:val="single"/>
                <w:lang w:val="en-US" w:eastAsia="zh-CN"/>
              </w:rPr>
              <w:t xml:space="preserve">/ </w:t>
            </w:r>
          </w:p>
          <w:p>
            <w:pPr>
              <w:topLinePunct/>
              <w:autoSpaceDE w:val="0"/>
              <w:autoSpaceDN w:val="0"/>
              <w:adjustRightInd w:val="0"/>
              <w:snapToGrid w:val="0"/>
              <w:spacing w:after="0" w:line="360" w:lineRule="auto"/>
              <w:rPr>
                <w:rFonts w:hint="eastAsia" w:ascii="Times New Roman" w:hAnsi="Times New Roman" w:eastAsia="宋体" w:cs="Times New Roman"/>
                <w:b/>
                <w:color w:val="FF0000"/>
                <w:sz w:val="21"/>
                <w:szCs w:val="21"/>
                <w:highlight w:val="none"/>
                <w:lang w:val="en-US" w:eastAsia="zh-CN"/>
              </w:rPr>
            </w:pPr>
            <w:r>
              <w:rPr>
                <w:rFonts w:hint="default" w:ascii="Times New Roman" w:hAnsi="Times New Roman" w:eastAsia="宋体" w:cs="Times New Roman"/>
                <w:color w:val="auto"/>
                <w:sz w:val="21"/>
                <w:szCs w:val="21"/>
                <w:highlight w:val="none"/>
              </w:rPr>
              <w:t>银行账户：</w:t>
            </w:r>
            <w:r>
              <w:rPr>
                <w:rFonts w:hint="eastAsia" w:ascii="Times New Roman" w:hAnsi="Times New Roman" w:cs="Times New Roman"/>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1984" w:type="dxa"/>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不予退还磋商保证金的情形</w:t>
            </w:r>
          </w:p>
        </w:tc>
        <w:tc>
          <w:tcPr>
            <w:tcW w:w="6058" w:type="dxa"/>
            <w:gridSpan w:val="2"/>
            <w:noWrap w:val="0"/>
            <w:vAlign w:val="center"/>
          </w:tcPr>
          <w:p>
            <w:pPr>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有下列情形之一的，磋商保证金将不予退还：</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（1）供应商在提交响应文件截止时间后撤回响应文件的；</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（2）供应商在响应文件中提供虚假材料的；</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（3）除因不可抗力或磋商文件认可的情形以外，成交供应商不与采购人签订合同的；</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（4）供应商与采购人、其他供应商或者采购代理机构恶意串通的； </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（5）其他不予退还磋商保证金的情形：</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1984" w:type="dxa"/>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信用记录审查</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根据《财政部关于在政府采购活动中查询及使用信用记录有关问题的通知》（财库〔2016〕125号）规定，磋商小组将通过“信用中国”网站（www.creditchina.gov.cn）、中国政府采购网（</w:t>
            </w: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"http://www.ccgp.gov.cn"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www.ccgp.gov.cn</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对供应商截止到提交响应文件截止时间的信用记录进行审查，对列入失信被执行人、重大税收违法案件当事人名单、政府采购严重违法失信行为记录名单及其他不符合《中华人民共和国政府采购法》第二十二条规定条件的供应商，其磋商响应将被拒绝。</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本次查询的信用记录仅限于本项目使用，查询结果将留存在采购档案中。</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在上述指定网站不能查询信用信息的供应商，应提供相关证明材料（原件加盖公章）。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支持中小型</w:t>
            </w:r>
          </w:p>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企业发展</w:t>
            </w:r>
          </w:p>
        </w:tc>
        <w:tc>
          <w:tcPr>
            <w:tcW w:w="6058" w:type="dxa"/>
            <w:gridSpan w:val="2"/>
            <w:noWrap w:val="0"/>
            <w:vAlign w:val="center"/>
          </w:tcPr>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根据《政府采购促进中小型企业发展管理办法》（财库〔2020〕46号），鼓励中小企业参加本项目采购活动。</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在货物采购项目中，</w:t>
            </w:r>
            <w:r>
              <w:rPr>
                <w:rFonts w:hint="default" w:ascii="Times New Roman" w:hAnsi="Times New Roman" w:eastAsia="宋体" w:cs="Times New Roman"/>
                <w:color w:val="auto"/>
                <w:sz w:val="21"/>
                <w:szCs w:val="21"/>
                <w:highlight w:val="none"/>
              </w:rPr>
              <w:t>满足所有标的均由中小企业制造，即所有标的均由中小企业生产且使用该中小企业商号或者注册商标的，可享受中小企业扶持政策。</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在服务采购项目中，</w:t>
            </w:r>
            <w:r>
              <w:rPr>
                <w:rFonts w:hint="default" w:ascii="Times New Roman" w:hAnsi="Times New Roman" w:eastAsia="宋体" w:cs="Times New Roman"/>
                <w:color w:val="auto"/>
                <w:sz w:val="21"/>
                <w:szCs w:val="21"/>
                <w:highlight w:val="none"/>
              </w:rPr>
              <w:t>满足服务由中小企业承接，即提供服务的人员为中小企业依照《中华人民共和国劳动合同法》订立劳动合同的从业人员的，可享受中小企业扶持政策。</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在工程采购项目中，</w:t>
            </w:r>
            <w:r>
              <w:rPr>
                <w:rFonts w:hint="default" w:ascii="Times New Roman" w:hAnsi="Times New Roman" w:eastAsia="宋体" w:cs="Times New Roman"/>
                <w:color w:val="auto"/>
                <w:sz w:val="21"/>
                <w:szCs w:val="21"/>
                <w:highlight w:val="none"/>
              </w:rPr>
              <w:t>满足工程由中小企业承建，即工程施工单位为中小企业，可享受中小企业扶持政策。</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专门面向中小企业采购项目。</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□预留份额面向中小企业采购项目（说明：</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非专门面向中小企业采购项目。对小型和微型企业的报价给予</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支持监狱企业发展</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根据《关于政府采购支持监狱企业发展有关问题的通知》（财库〔2014〕68号），监狱企业视同小型、微型企业，按照</w:t>
            </w:r>
            <w:r>
              <w:rPr>
                <w:rFonts w:hint="default" w:ascii="Times New Roman" w:hAnsi="Times New Roman" w:eastAsia="宋体" w:cs="Times New Roman"/>
                <w:b/>
                <w:bCs/>
                <w:color w:val="auto"/>
                <w:sz w:val="21"/>
                <w:szCs w:val="21"/>
                <w:highlight w:val="none"/>
              </w:rPr>
              <w:t>供应商须知前附表第25项</w:t>
            </w:r>
            <w:r>
              <w:rPr>
                <w:rFonts w:hint="default" w:ascii="Times New Roman" w:hAnsi="Times New Roman" w:eastAsia="宋体" w:cs="Times New Roman"/>
                <w:color w:val="auto"/>
                <w:sz w:val="21"/>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促进残疾人</w:t>
            </w:r>
          </w:p>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就业</w:t>
            </w:r>
          </w:p>
        </w:tc>
        <w:tc>
          <w:tcPr>
            <w:tcW w:w="6058" w:type="dxa"/>
            <w:gridSpan w:val="2"/>
            <w:noWrap w:val="0"/>
            <w:vAlign w:val="center"/>
          </w:tcPr>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根据《关于促进残疾人就业政府采购政策的通知》（财库〔2017〕141号），残疾人福利性单位视同小型、微型企业，按照</w:t>
            </w:r>
            <w:r>
              <w:rPr>
                <w:rFonts w:hint="default" w:ascii="Times New Roman" w:hAnsi="Times New Roman" w:eastAsia="宋体" w:cs="Times New Roman"/>
                <w:b/>
                <w:bCs/>
                <w:color w:val="auto"/>
                <w:sz w:val="21"/>
                <w:szCs w:val="21"/>
                <w:highlight w:val="none"/>
              </w:rPr>
              <w:t>供应商须知前附表第25项</w:t>
            </w:r>
            <w:r>
              <w:rPr>
                <w:rFonts w:hint="default" w:ascii="Times New Roman" w:hAnsi="Times New Roman" w:eastAsia="宋体" w:cs="Times New Roman"/>
                <w:color w:val="auto"/>
                <w:sz w:val="21"/>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1984"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tc>
        <w:tc>
          <w:tcPr>
            <w:tcW w:w="605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本项目中强制采购节能产品的货物名称：</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注：供应商所投上述产品必须具有节能产品认证证书，并提供依据国家确定的认证机构出具的、处于有效期之内的节能产品认证证书复印件，否则响应无效。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topLinePunct/>
              <w:autoSpaceDE w:val="0"/>
              <w:autoSpaceDN w:val="0"/>
              <w:adjustRightInd w:val="0"/>
              <w:snapToGrid w:val="0"/>
              <w:spacing w:before="62" w:after="62" w:line="360" w:lineRule="auto"/>
              <w:jc w:val="center"/>
              <w:rPr>
                <w:rFonts w:hint="default" w:ascii="Times New Roman" w:hAnsi="Times New Roman" w:eastAsia="宋体" w:cs="Times New Roman"/>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05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本项目中采购信息安全产品的货物名称：</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注：供应商所投上述产品需为国家认证的信息安全产品，并提供由中国网络安全审查技术与认证中心（原中国信息安全认证中心）按国家标准认证颁发的有效认证证书复印件，否则响应无效。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05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1984" w:type="dxa"/>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评审方法及分值</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详见采购文件商务部分第三章。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履约保证金</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不要求提供</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本采购项目履约保证金为合同金额的</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，提交方式为银行电汇、金融机构或担保机构出具的保函。</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账户信息：</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收款单位：</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开户银行：</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银行账号：</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接收质疑的方式、部门、电话和通讯地址</w:t>
            </w:r>
          </w:p>
        </w:tc>
        <w:tc>
          <w:tcPr>
            <w:tcW w:w="605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质疑联系方式：</w:t>
            </w:r>
          </w:p>
          <w:p>
            <w:p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（1）接收质疑函的方式：</w:t>
            </w:r>
            <w:r>
              <w:rPr>
                <w:rFonts w:hint="eastAsia" w:ascii="Times New Roman" w:hAnsi="Times New Roman" w:cs="Times New Roman"/>
                <w:color w:val="auto"/>
                <w:sz w:val="21"/>
                <w:szCs w:val="21"/>
                <w:highlight w:val="none"/>
                <w:u w:val="single"/>
                <w:lang w:val="en-US" w:eastAsia="zh-CN"/>
              </w:rPr>
              <w:t>书面形式</w:t>
            </w:r>
            <w:r>
              <w:rPr>
                <w:rFonts w:hint="default" w:ascii="Times New Roman" w:hAnsi="Times New Roman" w:eastAsia="宋体" w:cs="Times New Roman"/>
                <w:color w:val="auto"/>
                <w:sz w:val="21"/>
                <w:szCs w:val="21"/>
                <w:highlight w:val="none"/>
                <w:u w:val="single"/>
              </w:rPr>
              <w:t xml:space="preserve"> </w:t>
            </w:r>
          </w:p>
          <w:p>
            <w:p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（2）联系部门：</w:t>
            </w:r>
            <w:r>
              <w:rPr>
                <w:rFonts w:hint="default" w:ascii="Times New Roman" w:hAnsi="Times New Roman" w:eastAsia="宋体" w:cs="Times New Roman"/>
                <w:color w:val="auto"/>
                <w:sz w:val="21"/>
                <w:szCs w:val="21"/>
                <w:highlight w:val="none"/>
                <w:u w:val="single"/>
              </w:rPr>
              <w:t xml:space="preserve">福建天合招标有限公司 </w:t>
            </w:r>
          </w:p>
          <w:p>
            <w:p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（3）联系电话：</w:t>
            </w:r>
            <w:r>
              <w:rPr>
                <w:rFonts w:hint="eastAsia" w:ascii="Times New Roman" w:hAnsi="Times New Roman" w:cs="Times New Roman"/>
                <w:color w:val="auto"/>
                <w:sz w:val="21"/>
                <w:szCs w:val="21"/>
                <w:highlight w:val="none"/>
                <w:u w:val="single"/>
                <w:lang w:val="en-US" w:eastAsia="zh-CN"/>
              </w:rPr>
              <w:t>0593-2053316</w:t>
            </w:r>
            <w:r>
              <w:rPr>
                <w:rFonts w:hint="default" w:ascii="Times New Roman" w:hAnsi="Times New Roman" w:eastAsia="宋体" w:cs="Times New Roman"/>
                <w:color w:val="auto"/>
                <w:sz w:val="21"/>
                <w:szCs w:val="21"/>
                <w:highlight w:val="none"/>
                <w:u w:val="single"/>
              </w:rPr>
              <w:t xml:space="preserve"> </w:t>
            </w:r>
          </w:p>
          <w:p>
            <w:p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（4）通讯地址：</w:t>
            </w:r>
            <w:r>
              <w:rPr>
                <w:rFonts w:hint="default" w:ascii="Times New Roman" w:hAnsi="Times New Roman" w:eastAsia="宋体" w:cs="Times New Roman"/>
                <w:color w:val="auto"/>
                <w:sz w:val="21"/>
                <w:szCs w:val="21"/>
                <w:highlight w:val="none"/>
                <w:u w:val="single"/>
              </w:rPr>
              <w:t>福建省宁德市东侨开发区北湖滨路9号东湖曙光城21幢二单元905室</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（5）电子邮箱：</w:t>
            </w:r>
            <w:r>
              <w:rPr>
                <w:rFonts w:hint="default" w:ascii="Times New Roman" w:hAnsi="Times New Roman" w:eastAsia="宋体" w:cs="Times New Roman"/>
                <w:color w:val="auto"/>
                <w:sz w:val="21"/>
                <w:szCs w:val="21"/>
                <w:highlight w:val="none"/>
                <w:u w:val="single"/>
              </w:rPr>
              <w:t>fjth_zb@163.com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需提交的响应文件份数</w:t>
            </w:r>
          </w:p>
        </w:tc>
        <w:tc>
          <w:tcPr>
            <w:tcW w:w="605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需提交的响应文件份数：</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（1）正本</w:t>
            </w:r>
            <w:r>
              <w:rPr>
                <w:rFonts w:hint="default" w:ascii="Times New Roman" w:hAnsi="Times New Roman" w:eastAsia="宋体" w:cs="Times New Roman"/>
                <w:color w:val="auto"/>
                <w:sz w:val="21"/>
                <w:szCs w:val="21"/>
                <w:highlight w:val="none"/>
                <w:u w:val="single"/>
              </w:rPr>
              <w:t>1</w:t>
            </w:r>
            <w:r>
              <w:rPr>
                <w:rFonts w:hint="default" w:ascii="Times New Roman" w:hAnsi="Times New Roman" w:eastAsia="宋体" w:cs="Times New Roman"/>
                <w:color w:val="auto"/>
                <w:sz w:val="21"/>
                <w:szCs w:val="21"/>
                <w:highlight w:val="none"/>
              </w:rPr>
              <w:t>份、副本</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2</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（2）电子文件</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扫描件 </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Word）。</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采用光盘或U盘刻录提交。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代理费用</w:t>
            </w:r>
          </w:p>
        </w:tc>
        <w:tc>
          <w:tcPr>
            <w:tcW w:w="605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代理费用：</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（1）本项目代理费用由</w:t>
            </w:r>
            <w:r>
              <w:rPr>
                <w:rFonts w:hint="default" w:ascii="Times New Roman" w:hAnsi="Times New Roman" w:eastAsia="宋体" w:cs="Times New Roman"/>
                <w:color w:val="auto"/>
                <w:sz w:val="21"/>
                <w:szCs w:val="21"/>
                <w:highlight w:val="none"/>
                <w:u w:val="single"/>
              </w:rPr>
              <w:t>（成交供应商）</w:t>
            </w:r>
            <w:r>
              <w:rPr>
                <w:rFonts w:hint="default" w:ascii="Times New Roman" w:hAnsi="Times New Roman" w:eastAsia="宋体" w:cs="Times New Roman"/>
                <w:color w:val="auto"/>
                <w:sz w:val="21"/>
                <w:szCs w:val="21"/>
                <w:highlight w:val="none"/>
              </w:rPr>
              <w:t>支付。</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（2）代理费用收取方式及标准：</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采购包1：1、本项目招标代理费收费标准：100万元以下按成交金额的1.5%；由成交供应商支付。2、代理服务费缴交账号：开户银行：兴业银行宁德分行，账号：137010100100348736 开户名：福建天合招标有限公司。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w:t>
            </w:r>
          </w:p>
        </w:tc>
        <w:tc>
          <w:tcPr>
            <w:tcW w:w="1984"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其他补充事项</w:t>
            </w:r>
          </w:p>
        </w:tc>
        <w:tc>
          <w:tcPr>
            <w:tcW w:w="6058" w:type="dxa"/>
            <w:gridSpan w:val="2"/>
            <w:noWrap w:val="0"/>
            <w:vAlign w:val="center"/>
          </w:tcPr>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其他补充事项：</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p>
        </w:tc>
      </w:tr>
    </w:tbl>
    <w:p>
      <w:pPr>
        <w:spacing w:after="0" w:line="240" w:lineRule="auto"/>
        <w:rPr>
          <w:color w:val="auto"/>
          <w:highlight w:val="none"/>
        </w:rPr>
      </w:pPr>
    </w:p>
    <w:p>
      <w:pPr>
        <w:spacing w:after="0" w:line="240" w:lineRule="auto"/>
        <w:rPr>
          <w:color w:val="auto"/>
          <w:highlight w:val="none"/>
        </w:rPr>
        <w:sectPr>
          <w:pgSz w:w="11906" w:h="16838"/>
          <w:pgMar w:top="1440" w:right="1752" w:bottom="1440" w:left="1752"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1"/>
        <w:rPr>
          <w:rFonts w:hint="default" w:ascii="Times New Roman" w:hAnsi="Times New Roman" w:eastAsia="黑体" w:cs="Times New Roman"/>
          <w:b/>
          <w:bCs/>
          <w:color w:val="auto"/>
          <w:highlight w:val="none"/>
        </w:rPr>
      </w:pPr>
      <w:bookmarkStart w:id="3" w:name="_Toc132880658"/>
      <w:r>
        <w:rPr>
          <w:rFonts w:hint="default" w:ascii="Times New Roman" w:hAnsi="Times New Roman" w:eastAsia="黑体" w:cs="Times New Roman"/>
          <w:b/>
          <w:bCs/>
          <w:color w:val="auto"/>
          <w:highlight w:val="none"/>
        </w:rPr>
        <w:t>一、总则</w:t>
      </w:r>
      <w:bookmarkEnd w:id="3"/>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1.预算资金及来源</w:t>
      </w:r>
    </w:p>
    <w:p>
      <w:pPr>
        <w:pageBreakBefore w:val="0"/>
        <w:kinsoku/>
        <w:wordWrap/>
        <w:topLinePunct/>
        <w:autoSpaceDE w:val="0"/>
        <w:autoSpaceDN w:val="0"/>
        <w:bidi w:val="0"/>
        <w:adjustRightInd w:val="0"/>
        <w:snapToGrid w:val="0"/>
        <w:spacing w:after="0" w:line="360" w:lineRule="auto"/>
        <w:ind w:firstLine="420" w:firstLineChars="200"/>
        <w:textAlignment w:val="auto"/>
        <w:outlineLvl w:val="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 本项目已经</w:t>
      </w:r>
      <w:r>
        <w:rPr>
          <w:rFonts w:hint="default" w:ascii="Times New Roman" w:hAnsi="Times New Roman" w:cs="Times New Roman"/>
          <w:b/>
          <w:color w:val="auto"/>
          <w:sz w:val="21"/>
          <w:szCs w:val="21"/>
          <w:highlight w:val="none"/>
          <w:u w:val="single"/>
        </w:rPr>
        <w:t>国家税务总局</w:t>
      </w:r>
      <w:r>
        <w:rPr>
          <w:rFonts w:hint="eastAsia" w:ascii="Times New Roman" w:hAnsi="Times New Roman" w:cs="Times New Roman"/>
          <w:b/>
          <w:color w:val="auto"/>
          <w:sz w:val="21"/>
          <w:szCs w:val="21"/>
          <w:highlight w:val="none"/>
          <w:u w:val="single"/>
          <w:lang w:val="en-US" w:eastAsia="zh-CN"/>
        </w:rPr>
        <w:t>宁德市</w:t>
      </w:r>
      <w:r>
        <w:rPr>
          <w:rFonts w:hint="default" w:ascii="Times New Roman" w:hAnsi="Times New Roman" w:cs="Times New Roman"/>
          <w:b/>
          <w:color w:val="auto"/>
          <w:sz w:val="21"/>
          <w:szCs w:val="21"/>
          <w:highlight w:val="none"/>
          <w:u w:val="single"/>
        </w:rPr>
        <w:t>税务局</w:t>
      </w:r>
      <w:r>
        <w:rPr>
          <w:rFonts w:hint="default" w:ascii="Times New Roman" w:hAnsi="Times New Roman" w:cs="Times New Roman"/>
          <w:color w:val="auto"/>
          <w:sz w:val="21"/>
          <w:szCs w:val="21"/>
          <w:highlight w:val="none"/>
        </w:rPr>
        <w:t>批准立项。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 本项目预算资金见</w:t>
      </w:r>
      <w:r>
        <w:rPr>
          <w:rFonts w:hint="default" w:ascii="Times New Roman" w:hAnsi="Times New Roman" w:cs="Times New Roman"/>
          <w:b/>
          <w:bCs/>
          <w:color w:val="auto"/>
          <w:sz w:val="21"/>
          <w:szCs w:val="21"/>
          <w:highlight w:val="none"/>
        </w:rPr>
        <w:t>供应商须知前附表</w:t>
      </w:r>
      <w:r>
        <w:rPr>
          <w:rFonts w:hint="default" w:ascii="Times New Roman" w:hAnsi="Times New Roman" w:cs="Times New Roman"/>
          <w:color w:val="auto"/>
          <w:sz w:val="21"/>
          <w:szCs w:val="21"/>
          <w:highlight w:val="none"/>
        </w:rPr>
        <w:t>，已列入</w:t>
      </w:r>
      <w:r>
        <w:rPr>
          <w:rFonts w:hint="default" w:ascii="Times New Roman" w:hAnsi="Times New Roman" w:cs="Times New Roman"/>
          <w:b/>
          <w:color w:val="auto"/>
          <w:sz w:val="21"/>
          <w:szCs w:val="21"/>
          <w:highlight w:val="none"/>
          <w:u w:val="single"/>
        </w:rPr>
        <w:t>国家税务总局</w:t>
      </w:r>
      <w:r>
        <w:rPr>
          <w:rFonts w:hint="eastAsia" w:ascii="Times New Roman" w:hAnsi="Times New Roman" w:cs="Times New Roman"/>
          <w:b/>
          <w:color w:val="auto"/>
          <w:sz w:val="21"/>
          <w:szCs w:val="21"/>
          <w:highlight w:val="none"/>
          <w:u w:val="single"/>
          <w:lang w:val="en-US" w:eastAsia="zh-CN"/>
        </w:rPr>
        <w:t>宁德市</w:t>
      </w:r>
      <w:r>
        <w:rPr>
          <w:rFonts w:hint="default" w:ascii="Times New Roman" w:hAnsi="Times New Roman" w:cs="Times New Roman"/>
          <w:b/>
          <w:color w:val="auto"/>
          <w:sz w:val="21"/>
          <w:szCs w:val="21"/>
          <w:highlight w:val="none"/>
          <w:u w:val="single"/>
        </w:rPr>
        <w:t>税务局</w:t>
      </w:r>
      <w:r>
        <w:rPr>
          <w:rFonts w:hint="default" w:ascii="Times New Roman" w:hAnsi="Times New Roman" w:cs="Times New Roman"/>
          <w:color w:val="auto"/>
          <w:sz w:val="21"/>
          <w:szCs w:val="21"/>
          <w:highlight w:val="none"/>
        </w:rPr>
        <w:t>预算。</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2.合格的产品和服务（工程）</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本项目所涉及的所有产品和服务（工程）均应来自中国境内（指关境内），合同金额的支付也仅限于这些产品和服务（工程）。</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合格的产品和服务（工程），即</w:t>
      </w:r>
      <w:r>
        <w:rPr>
          <w:rFonts w:hint="default" w:ascii="Times New Roman" w:hAnsi="Times New Roman" w:cs="Times New Roman"/>
          <w:b/>
          <w:bCs/>
          <w:color w:val="auto"/>
          <w:sz w:val="21"/>
          <w:szCs w:val="21"/>
          <w:highlight w:val="none"/>
        </w:rPr>
        <w:t>采购需求</w:t>
      </w:r>
      <w:r>
        <w:rPr>
          <w:rFonts w:hint="default" w:ascii="Times New Roman" w:hAnsi="Times New Roman" w:cs="Times New Roman"/>
          <w:color w:val="auto"/>
          <w:sz w:val="21"/>
          <w:szCs w:val="21"/>
          <w:highlight w:val="none"/>
        </w:rPr>
        <w:t>见</w:t>
      </w:r>
      <w:r>
        <w:rPr>
          <w:rFonts w:hint="default" w:ascii="Times New Roman" w:hAnsi="Times New Roman" w:cs="Times New Roman"/>
          <w:b/>
          <w:color w:val="auto"/>
          <w:sz w:val="21"/>
          <w:szCs w:val="21"/>
          <w:highlight w:val="none"/>
        </w:rPr>
        <w:t>采购文件（技术部分）。</w:t>
      </w:r>
    </w:p>
    <w:p>
      <w:pPr>
        <w:pageBreakBefore w:val="0"/>
        <w:kinsoku/>
        <w:wordWrap/>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 供应商应保证所提供的产品及服务（工程）免受第三方提出侵犯其知识产权（专利权、商标权、工业设计权及使用权）的请求及起诉。</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3.合格的供应商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default"/>
          <w:color w:val="auto"/>
          <w:highlight w:val="none"/>
        </w:rPr>
      </w:pPr>
      <w:r>
        <w:rPr>
          <w:rFonts w:hint="default"/>
          <w:color w:val="auto"/>
          <w:highlight w:val="none"/>
        </w:rPr>
        <w:t>3.1一般规定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3.1.1供应商应遵守《政府采购法》及其实施条例、《政府采购</w:t>
      </w:r>
      <w:r>
        <w:rPr>
          <w:rFonts w:hint="eastAsia"/>
          <w:color w:val="auto"/>
          <w:highlight w:val="none"/>
          <w:lang w:eastAsia="zh-CN"/>
        </w:rPr>
        <w:t>竞争磋商</w:t>
      </w:r>
      <w:r>
        <w:rPr>
          <w:rFonts w:hint="default"/>
          <w:color w:val="auto"/>
          <w:highlight w:val="none"/>
        </w:rPr>
        <w:t>采购方式管理暂行办法》、《政府采购质疑和投诉办法》及有关政府采购的规定，同时还应遵守有关法律、法规和规章的强制性规定。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3.1.2供应商的资格要求及本项目的特定资格要求见</w:t>
      </w:r>
      <w:r>
        <w:rPr>
          <w:rFonts w:hint="default"/>
          <w:b/>
          <w:bCs/>
          <w:color w:val="auto"/>
          <w:highlight w:val="none"/>
        </w:rPr>
        <w:t>供应商须知前附</w:t>
      </w:r>
      <w:r>
        <w:rPr>
          <w:rFonts w:hint="default"/>
          <w:color w:val="auto"/>
          <w:highlight w:val="none"/>
        </w:rPr>
        <w:t>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3.1.3资格条件中所称“重大违法记录”，是指供应商因违法经营受到刑事处罚或者责令停产停业、吊销许可证或者执照、较大数额罚款等行政处罚。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供应商在参加政府采购活动前3年内因违法经营被禁止在一定期限内参加政府采购活动，期限届满的，可以参加政府采购活动。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4"/>
        <w:rPr>
          <w:rFonts w:hint="default"/>
          <w:color w:val="auto"/>
          <w:highlight w:val="none"/>
        </w:rPr>
      </w:pPr>
      <w:r>
        <w:rPr>
          <w:rFonts w:hint="default"/>
          <w:color w:val="auto"/>
          <w:highlight w:val="none"/>
        </w:rPr>
        <w:t>3.1.4信用记录要求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磋商小组将通过“信用中国”网站（www.creditchina.gov.cn）、中国政府采购网（www.ccgp.gov.cn）等渠道查询供应商的信用记录，并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default"/>
          <w:color w:val="auto"/>
          <w:highlight w:val="none"/>
        </w:rPr>
      </w:pPr>
      <w:r>
        <w:rPr>
          <w:rFonts w:hint="default"/>
          <w:color w:val="auto"/>
          <w:highlight w:val="none"/>
        </w:rPr>
        <w:t>3.2联合体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3.2.1若本项目接受联合体，则两个以上的自然人、法人或者其他组织可以组成一个联合体，以一个供应商的身份共同参加政府采购。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3.2.2以联合体形式参加磋商的，联合体各方应按第二章要求提供资格条件材料。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3.2.3联合体中有同类资质的供应商按照联合体分工承担相同工作的，应当按照资质等级较低的供应商确定资质等级。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3.2.4联合体应当提交联合协议，载明联合体各方承担的工作和义务。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3.2.5联合体各方应当共同与采购人签订采购合同，就采购合同约定的事项对采购人承担连带责任。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3.2.6以联合体形式参加政府采购活动的，联合体各方不得再单独参加或者与其他供应商另外组成联合体参加同一合同项下的政府采购活动。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default"/>
          <w:color w:val="auto"/>
          <w:highlight w:val="none"/>
        </w:rPr>
      </w:pPr>
      <w:r>
        <w:rPr>
          <w:rFonts w:hint="default"/>
          <w:color w:val="auto"/>
          <w:highlight w:val="none"/>
        </w:rPr>
        <w:t>3.3禁止规定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3.3.1单位负责人为同一人或者存在直接控股、管理关系的不同供应商，不得参加同一采购包的政府采购活动。否则响应均无效。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3.3.2除单一来源采购项目外，为采购项目提供整体设计、规范编制或者项目管理、监理、检测等服务的供应商，不得再参加该采购项目的其他采购活动。否则响应无效。</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4.磋商响应费用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供应商应承担所有与编写、提交响应文件有关的费用，不论磋商的结果如何，采购人在任何情况下均无义务和责任承担这些费用。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1"/>
        <w:rPr>
          <w:rFonts w:hint="eastAsia" w:ascii="黑体" w:hAnsi="黑体" w:eastAsia="黑体" w:cs="黑体"/>
          <w:b/>
          <w:bCs/>
          <w:color w:val="auto"/>
          <w:highlight w:val="none"/>
        </w:rPr>
      </w:pPr>
      <w:bookmarkStart w:id="4" w:name="_Toc132880659"/>
      <w:r>
        <w:rPr>
          <w:rFonts w:hint="eastAsia" w:ascii="黑体" w:hAnsi="黑体" w:eastAsia="黑体" w:cs="黑体"/>
          <w:b/>
          <w:bCs/>
          <w:color w:val="auto"/>
          <w:highlight w:val="none"/>
        </w:rPr>
        <w:t>二、采购文件</w:t>
      </w:r>
      <w:bookmarkEnd w:id="4"/>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5.采购文件构成</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3"/>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第一部分 商务部分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（1）磋商邀请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（2）供应商须知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（3）评审方法及标准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（4）政府采购合同文本</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（5）响应文件格式</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3"/>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第二部分 技术部分</w:t>
      </w:r>
    </w:p>
    <w:p>
      <w:pPr>
        <w:pageBreakBefore w:val="0"/>
        <w:kinsoku/>
        <w:wordWrap/>
        <w:topLinePunct/>
        <w:autoSpaceDE w:val="0"/>
        <w:autoSpaceDN w:val="0"/>
        <w:bidi w:val="0"/>
        <w:adjustRightInd w:val="0"/>
        <w:snapToGrid w:val="0"/>
        <w:spacing w:after="0" w:line="360" w:lineRule="auto"/>
        <w:ind w:firstLine="413" w:firstLineChars="196"/>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6.采购文件询问、澄清或修改</w:t>
      </w:r>
    </w:p>
    <w:p>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6.1 供应商对采购文件如有疑问的，可以向采购人或者采购代理机构提出询问，采购人或者采购代理机构应当在3个工作日内作出答复</w:t>
      </w:r>
      <w:r>
        <w:rPr>
          <w:rFonts w:hint="default" w:ascii="Times New Roman" w:hAnsi="Times New Roman" w:cs="Times New Roman"/>
          <w:bCs/>
          <w:color w:val="auto"/>
          <w:sz w:val="21"/>
          <w:szCs w:val="21"/>
          <w:highlight w:val="none"/>
        </w:rPr>
        <w:t>，但答复的内容不得涉及商业秘密。</w:t>
      </w:r>
      <w:r>
        <w:rPr>
          <w:rFonts w:hint="default" w:ascii="Times New Roman" w:hAnsi="Times New Roman" w:cs="Times New Roman"/>
          <w:color w:val="auto"/>
          <w:sz w:val="21"/>
          <w:szCs w:val="21"/>
          <w:highlight w:val="none"/>
        </w:rPr>
        <w:t>如有必要，采购人或者采购代理机构可对采购文件进行澄清或者修改。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6.2 提交首次响应文件截止之日前，采购人、采购代理机构或者磋商小组可以对已发出的磋商文件进行必要的澄清或者修改。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6.3 澄清或者修改将在原公告发布媒体上发布更正公告，并以书面形式通知所有获取磋商文件的供应商。线上采购项目还将通过国家税务总局政府采购评审管理系统（以下简称“评审管理系统”）通知所有获取采购文件的潜在供应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6.4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ageBreakBefore w:val="0"/>
        <w:kinsoku/>
        <w:wordWrap/>
        <w:topLinePunct/>
        <w:autoSpaceDE w:val="0"/>
        <w:autoSpaceDN w:val="0"/>
        <w:bidi w:val="0"/>
        <w:adjustRightInd w:val="0"/>
        <w:snapToGrid w:val="0"/>
        <w:spacing w:after="0" w:line="360" w:lineRule="auto"/>
        <w:ind w:firstLine="420" w:firstLineChars="200"/>
        <w:textAlignment w:val="auto"/>
        <w:outlineLvl w:val="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6.5澄清或者修改的内容作为磋商文件的组成部分。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1"/>
        <w:rPr>
          <w:rFonts w:hint="eastAsia" w:ascii="黑体" w:hAnsi="黑体" w:eastAsia="黑体" w:cs="黑体"/>
          <w:b/>
          <w:bCs/>
          <w:color w:val="auto"/>
          <w:highlight w:val="none"/>
        </w:rPr>
      </w:pPr>
      <w:bookmarkStart w:id="5" w:name="_Toc132880660"/>
      <w:r>
        <w:rPr>
          <w:rFonts w:hint="eastAsia" w:ascii="黑体" w:hAnsi="黑体" w:eastAsia="黑体" w:cs="黑体"/>
          <w:b/>
          <w:bCs/>
          <w:color w:val="auto"/>
          <w:highlight w:val="none"/>
        </w:rPr>
        <w:t>三、响应文件</w:t>
      </w:r>
      <w:bookmarkEnd w:id="5"/>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响应文件编制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default"/>
          <w:color w:val="auto"/>
          <w:highlight w:val="none"/>
        </w:rPr>
      </w:pPr>
      <w:r>
        <w:rPr>
          <w:rFonts w:hint="default"/>
          <w:color w:val="auto"/>
          <w:highlight w:val="none"/>
        </w:rPr>
        <w:t>7.1响应文件的编制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7.1.1供应商应先仔细阅读采购文件的全部内容后，再进行响应文件的编制。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7.1.2响应文件应满足采购文件提出的实质性要求和条件，并保证其所提交的全部资料是不可割离且真实、有效、准确、完整和不具有任何误导性的，否则造成不利后果由供应商承担责任。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default"/>
          <w:color w:val="auto"/>
          <w:highlight w:val="none"/>
        </w:rPr>
      </w:pPr>
      <w:r>
        <w:rPr>
          <w:rFonts w:hint="default"/>
          <w:color w:val="auto"/>
          <w:highlight w:val="none"/>
        </w:rPr>
        <w:t>7.2响应文件的语言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7.2.1除采购文件另有规定外，响应文件应使用中文文本并使用中文简化字，若有不同文本，以中文简化字文本为准。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7.2.2响应文件提供的全部资料中，若属于非中文描述的，应同时提供中文简化字译本。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7.2.3除在采购文件的要求中另有规定外，响应文件计量单位应使用中华人民共和国法定计量单位。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7.3供应商制作响应文件前须提前办理数字证书和电子签章，办理方式和注意事项详见网站《供应商操作手册》。供应商在国家税务总局集中采购中心网站（https://swcg.chinatax.gov.cn） “下载中心”下载并安装“供应商投标工具”，使用投标工具编制响应文件。（线上采购项目适用）</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8.响应文件的组成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 响应文件包括商务部分和技术部分。</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 响应文件</w:t>
      </w:r>
      <w:r>
        <w:rPr>
          <w:rFonts w:hint="default" w:ascii="Times New Roman" w:hAnsi="Times New Roman" w:eastAsia="宋体" w:cs="Times New Roman"/>
          <w:b/>
          <w:bCs/>
          <w:color w:val="auto"/>
          <w:sz w:val="21"/>
          <w:szCs w:val="21"/>
          <w:highlight w:val="none"/>
        </w:rPr>
        <w:t>商务部分</w:t>
      </w:r>
      <w:r>
        <w:rPr>
          <w:rFonts w:hint="default" w:ascii="Times New Roman" w:hAnsi="Times New Roman" w:eastAsia="宋体" w:cs="Times New Roman"/>
          <w:color w:val="auto"/>
          <w:sz w:val="21"/>
          <w:szCs w:val="21"/>
          <w:highlight w:val="none"/>
        </w:rPr>
        <w:t>主要包括的文件和资料：</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8.2.1 资格证明文件，见</w:t>
      </w:r>
      <w:r>
        <w:rPr>
          <w:rFonts w:hint="default" w:ascii="Times New Roman" w:hAnsi="Times New Roman" w:eastAsia="宋体" w:cs="Times New Roman"/>
          <w:b/>
          <w:color w:val="auto"/>
          <w:sz w:val="21"/>
          <w:szCs w:val="21"/>
          <w:highlight w:val="none"/>
        </w:rPr>
        <w:t>供应商须知前附表。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8.2.2 其他文件及资料，见</w:t>
      </w:r>
      <w:r>
        <w:rPr>
          <w:rFonts w:hint="default" w:ascii="Times New Roman" w:hAnsi="Times New Roman" w:eastAsia="宋体" w:cs="Times New Roman"/>
          <w:b/>
          <w:color w:val="auto"/>
          <w:sz w:val="21"/>
          <w:szCs w:val="21"/>
          <w:highlight w:val="none"/>
        </w:rPr>
        <w:t>供应商须知前附表。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 响应文件</w:t>
      </w:r>
      <w:r>
        <w:rPr>
          <w:rFonts w:hint="default" w:ascii="Times New Roman" w:hAnsi="Times New Roman" w:eastAsia="宋体" w:cs="Times New Roman"/>
          <w:b/>
          <w:bCs/>
          <w:color w:val="auto"/>
          <w:sz w:val="21"/>
          <w:szCs w:val="21"/>
          <w:highlight w:val="none"/>
        </w:rPr>
        <w:t>技术部分</w:t>
      </w:r>
      <w:r>
        <w:rPr>
          <w:rFonts w:hint="default" w:ascii="Times New Roman" w:hAnsi="Times New Roman" w:eastAsia="宋体" w:cs="Times New Roman"/>
          <w:color w:val="auto"/>
          <w:sz w:val="21"/>
          <w:szCs w:val="21"/>
          <w:highlight w:val="none"/>
        </w:rPr>
        <w:t>主要包括的文件及资料，见</w:t>
      </w:r>
      <w:r>
        <w:rPr>
          <w:rFonts w:hint="default" w:ascii="Times New Roman" w:hAnsi="Times New Roman" w:eastAsia="宋体" w:cs="Times New Roman"/>
          <w:b/>
          <w:color w:val="auto"/>
          <w:sz w:val="21"/>
          <w:szCs w:val="21"/>
          <w:highlight w:val="none"/>
        </w:rPr>
        <w:t>供应商须知前附表。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outlineLvl w:val="3"/>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 证明资料如标明有效期的，必须在有效期内。</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9.报价要求</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9.1 除采购文件另有规定外，应以人民币报价，线上采购项目还须按照投标工具的流程和提示编制并上传磋商报价表。</w:t>
      </w:r>
    </w:p>
    <w:p>
      <w:pPr>
        <w:pageBreakBefore w:val="0"/>
        <w:kinsoku/>
        <w:wordWrap/>
        <w:topLinePunct/>
        <w:autoSpaceDE w:val="0"/>
        <w:autoSpaceDN w:val="0"/>
        <w:bidi w:val="0"/>
        <w:adjustRightInd w:val="0"/>
        <w:snapToGrid w:val="0"/>
        <w:spacing w:after="0" w:line="360" w:lineRule="auto"/>
        <w:ind w:firstLine="420" w:firstLineChars="200"/>
        <w:textAlignment w:val="auto"/>
        <w:outlineLvl w:val="3"/>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9.2 本项目不接受任何形式的赠送、“零”报价和折扣报价。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9.3 本项目以磋商总报价为依据计算价格分。磋商总报价应包括采购文件中要求供应商承担所有工作内容的全部费用。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9.4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9.5 最低报价不能作为成交的保证。</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9.6 供应商的报价不得超过采购项目预算。</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10.响应文件的书写、密封、签署、盖章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default"/>
          <w:color w:val="auto"/>
          <w:highlight w:val="none"/>
        </w:rPr>
      </w:pPr>
      <w:r>
        <w:rPr>
          <w:rFonts w:hint="default"/>
          <w:color w:val="auto"/>
          <w:highlight w:val="none"/>
        </w:rPr>
        <w:t>10.1书写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4"/>
        <w:rPr>
          <w:rFonts w:hint="default"/>
          <w:color w:val="auto"/>
          <w:highlight w:val="none"/>
        </w:rPr>
      </w:pPr>
      <w:r>
        <w:rPr>
          <w:rFonts w:hint="default"/>
          <w:color w:val="auto"/>
          <w:highlight w:val="none"/>
        </w:rPr>
        <w:t>10.1.1响应文件应使用不能擦去的墨料或墨水打印、书写。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10.1.2响应文件内容应没有涂改或行间插字。若有前述改动，在改动处应由单位负责人（授权代表）签字确认或加盖供应商的单位公章或校正章。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default"/>
          <w:color w:val="auto"/>
          <w:highlight w:val="none"/>
        </w:rPr>
      </w:pPr>
      <w:r>
        <w:rPr>
          <w:rFonts w:hint="default"/>
          <w:color w:val="auto"/>
          <w:highlight w:val="none"/>
        </w:rPr>
        <w:t>10.2密封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4"/>
        <w:rPr>
          <w:rFonts w:hint="default"/>
          <w:color w:val="auto"/>
          <w:highlight w:val="none"/>
        </w:rPr>
      </w:pPr>
      <w:r>
        <w:rPr>
          <w:rFonts w:hint="default"/>
          <w:color w:val="auto"/>
          <w:highlight w:val="none"/>
        </w:rPr>
        <w:t>10.2.1响应文件应胶装或装订成册，避免材料散装、脱落。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10.2.2响应文件应使用不透明的牛皮纸或档案袋等材料密封包装，并在外包装封面注明“正本”或“副本”，以及项目编号、项目名称、开标时间等信息，避免响应文件被误拆或提前拆封。响应文件正本应按上述要求制作。副本可按上述要求制作，也可用正本的完整复印件，并与正本保持一致（若不一致，以正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default"/>
          <w:color w:val="auto"/>
          <w:highlight w:val="none"/>
        </w:rPr>
      </w:pPr>
      <w:r>
        <w:rPr>
          <w:rFonts w:hint="default"/>
          <w:color w:val="auto"/>
          <w:highlight w:val="none"/>
        </w:rPr>
        <w:t>10.3签署、盖章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10.3.1响应文件中要求签字处应由供应商的单位负责人（授权代表）签字或加盖个人印章。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10.3.2响应文件必须按照采购文件给出文件格式的签署要求进行签署。</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10.3.3供应商在</w:t>
      </w:r>
      <w:r>
        <w:rPr>
          <w:rFonts w:hint="default" w:ascii="Times New Roman" w:hAnsi="Times New Roman" w:eastAsia="宋体" w:cs="Times New Roman"/>
          <w:b/>
          <w:bCs/>
          <w:color w:val="auto"/>
          <w:sz w:val="21"/>
          <w:szCs w:val="21"/>
          <w:highlight w:val="none"/>
        </w:rPr>
        <w:t>“磋商响应函”“法定代表人授权委托书”</w:t>
      </w:r>
      <w:r>
        <w:rPr>
          <w:rFonts w:hint="default" w:ascii="Times New Roman" w:hAnsi="Times New Roman" w:eastAsia="宋体" w:cs="Times New Roman"/>
          <w:color w:val="auto"/>
          <w:sz w:val="21"/>
          <w:szCs w:val="21"/>
          <w:highlight w:val="none"/>
        </w:rPr>
        <w:t>上应当按格式要求加盖与供应商名称全称一致的标准公章，并按照采购文件第五章响应文件格式中的相应格式文件要求签署全名或加盖名章。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10.3.4响应文件中的“盖章”指加盖供应商的“公章”，而非“合同专用章”、“投标专用章”等其他非公章。</w:t>
      </w:r>
    </w:p>
    <w:p>
      <w:pPr>
        <w:pageBreakBefore w:val="0"/>
        <w:kinsoku/>
        <w:wordWrap/>
        <w:topLinePunct/>
        <w:autoSpaceDE w:val="0"/>
        <w:autoSpaceDN w:val="0"/>
        <w:bidi w:val="0"/>
        <w:adjustRightInd w:val="0"/>
        <w:snapToGrid w:val="0"/>
        <w:spacing w:after="0" w:line="360" w:lineRule="auto"/>
        <w:ind w:firstLine="420" w:firstLineChars="200"/>
        <w:textAlignment w:val="auto"/>
        <w:outlineLvl w:val="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10.3.5线上采购项目可以使用电子签章。</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响应有效期</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 响应有效期见</w:t>
      </w:r>
      <w:r>
        <w:rPr>
          <w:rFonts w:hint="default" w:ascii="Times New Roman" w:hAnsi="Times New Roman" w:eastAsia="宋体" w:cs="Times New Roman"/>
          <w:b/>
          <w:color w:val="auto"/>
          <w:sz w:val="21"/>
          <w:szCs w:val="21"/>
          <w:highlight w:val="none"/>
        </w:rPr>
        <w:t>供应商须知前附表</w:t>
      </w:r>
      <w:r>
        <w:rPr>
          <w:rFonts w:hint="default" w:ascii="Times New Roman" w:hAnsi="Times New Roman" w:eastAsia="宋体" w:cs="Times New Roman"/>
          <w:color w:val="auto"/>
          <w:sz w:val="21"/>
          <w:szCs w:val="21"/>
          <w:highlight w:val="none"/>
        </w:rPr>
        <w:t>，在此期间，响应文件对供应商具有法律约束力，以保证采购人或者采购代理机构有足够的时间完成磋商、评审、定标以及签订合同。响应文件中承诺的响应有效期应当不少于采购文件中载明的响应有效期，否则作为无效响应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 特殊情况下，在原响应有效期期满之前，采购人或者采购代理机构可征得供应商同意延长响应有效期。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1"/>
        <w:rPr>
          <w:rFonts w:hint="eastAsia" w:ascii="黑体" w:hAnsi="黑体" w:eastAsia="黑体" w:cs="黑体"/>
          <w:b/>
          <w:bCs/>
          <w:color w:val="auto"/>
          <w:highlight w:val="none"/>
        </w:rPr>
      </w:pPr>
      <w:bookmarkStart w:id="6" w:name="_Toc132880661"/>
      <w:r>
        <w:rPr>
          <w:rFonts w:hint="eastAsia" w:ascii="黑体" w:hAnsi="黑体" w:eastAsia="黑体" w:cs="黑体"/>
          <w:b/>
          <w:bCs/>
          <w:color w:val="auto"/>
          <w:highlight w:val="none"/>
        </w:rPr>
        <w:t>四、响应文件递交</w:t>
      </w:r>
      <w:bookmarkEnd w:id="6"/>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12</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响应文件递交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12.1 供应商应当在</w:t>
      </w:r>
      <w:r>
        <w:rPr>
          <w:rFonts w:hint="default" w:ascii="Times New Roman" w:hAnsi="Times New Roman" w:cs="Times New Roman"/>
          <w:b/>
          <w:color w:val="auto"/>
          <w:sz w:val="21"/>
          <w:szCs w:val="21"/>
          <w:highlight w:val="none"/>
        </w:rPr>
        <w:t>供应商须知前附表</w:t>
      </w:r>
      <w:r>
        <w:rPr>
          <w:rFonts w:hint="default" w:ascii="Times New Roman" w:hAnsi="Times New Roman" w:cs="Times New Roman"/>
          <w:color w:val="auto"/>
          <w:sz w:val="21"/>
          <w:szCs w:val="21"/>
          <w:highlight w:val="none"/>
        </w:rPr>
        <w:t>要求提交响应文件截止时间前，根据《供应商须知前附表》载明方式提交响应文件。提交响应文件截止时间后，提交响应文件的将被拒绝。</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12.2 线上采购项目应登录评审管理系统并使用投标工具加密上传响应文件。除上述方式之外，不接受供应商以纸质文件以及其他任何方式提交的响应文件。供应商应充分考虑网络传输时间等因素，合理安排上传时间。提交响应文件截止时间后，评审管理系统不提供响应文件上传功能。供应商未完成响应文件上传的，磋商响应将被拒绝。</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响应文件补充、修改或撤回</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13.1 供应商在提交响应文件截止时间前，可以对所提交的响应文件进行补充、修改或者撤回，并书面通知采购人、采购代理机构。补充、修改的内容应当按照采购文件要求签署、盖章、密封后，作为响应文件的组成部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13.2 线上采购项目，供应商在提交响应文件截止时间前，可以登录评审管理系统对所提交的响应文件进行撤回、补充、修改、重新提交。补充、修改的内容应当按照采购文件要求签署、盖章。</w:t>
      </w:r>
    </w:p>
    <w:p>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13.3 提交响应文件截止时间后，不支持对已提交的响应文件作任何补充、修改或者撤回。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1"/>
        <w:rPr>
          <w:rFonts w:hint="eastAsia" w:ascii="黑体" w:hAnsi="黑体" w:eastAsia="黑体" w:cs="黑体"/>
          <w:b/>
          <w:bCs/>
          <w:color w:val="auto"/>
          <w:highlight w:val="none"/>
        </w:rPr>
      </w:pPr>
      <w:bookmarkStart w:id="7" w:name="_Toc132880662"/>
      <w:r>
        <w:rPr>
          <w:rFonts w:hint="eastAsia" w:ascii="黑体" w:hAnsi="黑体" w:eastAsia="黑体" w:cs="黑体"/>
          <w:b/>
          <w:bCs/>
          <w:color w:val="auto"/>
          <w:highlight w:val="none"/>
        </w:rPr>
        <w:t>五、磋商与评审</w:t>
      </w:r>
      <w:bookmarkEnd w:id="7"/>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14.磋商小组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14.1 磋商与评审由依法组建的磋商小组负责，磋商小组由采购人代表和评审专家组成。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14.2 评审专家应当遵守评审工作纪律，不得泄露评审情况和评审中获悉的商业秘密。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14.3 磋商小组成员应当按照客观、公正、审慎的原则，根据磋商文件规定的评审程序、评审方法和评审标准进行独立评审。</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15.初步审查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15.1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(1)供应商未按照磋商文件规定提交磋商保证金的；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(2)未按照磋商文件规定要求密封、签署、盖章的；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(3)响应有效期不足的；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(4)供应商不满足磋商文件供应商资格条件或未按照磋商文件规定提供资格证明材料的；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(5)响应文件不满足磋商文件实质性条款的。响应文件是否实质性响应磋商文件，由磋商小组依据磋商文件规定、供应商响应文件及磋商情况认定；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(6)供应商存在失信记录的：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失信记录是指，通过“信用中国”网站(www.creditchina.gov.cn)、中国政府采购网(www.ccgp.gov.cn)查询相关主体信用记录，列入失信被执行人、重大税收违法案件当事人名单、政府采购严重违法失信行为记录名单及其他不符合《政府采购法》第二十二条规定条件的情况。失信情况查询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(7)其他不符合法律、规章、规范性文件和磋商文件规定的。</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16.澄清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16.1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16.2 供应商的澄清、说明或者更正应当采用书面形式，由其法定代表人或其授权代表签字，供应商的澄清、说明或者更正不得超出磋商文件的范围或者改变响应文件的实质性内容。（线上采购项目的通过评审管理系统上传加盖电子公章的扫描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default"/>
          <w:color w:val="auto"/>
          <w:highlight w:val="none"/>
        </w:rPr>
      </w:pPr>
      <w:r>
        <w:rPr>
          <w:rFonts w:hint="default"/>
          <w:color w:val="auto"/>
          <w:highlight w:val="none"/>
        </w:rPr>
        <w:t>16.3关于响应描述（即响应文件中描述的内容）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（1）响应描述前后不一致且不涉及证明材料的：按照本节第16.1条、16.2条规定执行。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（2）响应描述与证明材料不一致或多份证明材料之间不一致的：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①磋商小组将要求供应商进行书面澄清，无法澄清的将按照不利于供应商的内容进行评审。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②供应商按照要求进行澄清的，采购人以澄清内容为准进行验收；供应商未按照要求进行澄清的，采购人以响应描述或证明材料中有利于采购人的内容进行验收。供应商应对证明材料的真实性、有效性承担责任。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3）若成交供应商的响应描述存在前后不一致、与证明材料不一致或多份证明材料之间不一致情形之一但在磋商中未能发现，则采购人将以响应描述或证明材料中有利于采购人的内容进行验收，成交供应商应自行承担由此产生的风险及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16.4 除磋商小组要求供应商做出的澄清、说明或者补正以外，磋商小组不接受供应商的任何询问、说明、更改及文件。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default"/>
          <w:color w:val="auto"/>
          <w:highlight w:val="none"/>
        </w:rPr>
      </w:pPr>
      <w:r>
        <w:rPr>
          <w:rFonts w:hint="default"/>
          <w:color w:val="auto"/>
          <w:highlight w:val="none"/>
        </w:rPr>
        <w:t>16.5 供应商的澄清必须在规定的时间内提交。</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17.磋商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17.1　初审结束后，磋商小组所有成员集中与单一供应商分别进行磋商，并给予所有参加磋商的供应商平等的磋商机会。供应商应派其法定代表人或授权代表参加磋商。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17.2 磋商过程中，磋商小组可以根据磋商文件和磋商情况实质性变动采购需求中的技术、服务要求以及合同草案条款，但不得变动磋商文件中的其他内容。实质性变动的内容，须经采购人代表确认。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17.3　对磋商文件作出的实质性变动是磋商文件的有效组成部分，磋商小组应当及时以书面形式同时通知所有参加磋商的供应商。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17.4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17.5　磋商文件不能详细列明采购标的技术、服务要求，需经磋商由供应商提供最终设计方案或解决方案的，磋商结束后，磋商小组应当按照少数服从多数的原则投票推荐3家以上供应商的设计方案或者解决方案。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17.6　磋商小组应当根据实际情况与供应商进行磋商，并确定磋商的轮次。</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17.7　已提交响应文件的供应商，在提交最后报价之前，可以根据磋商情况退出磋商。采购人或采购代理机构应当退还退出磋商的供应商的磋商保证金。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17.8　磋商结束后，供应商按照磋商小组要求重新提交的响应文件，不满足磋商文件及变动后的技术、服务要求以及合同草案条款的实质性要求的，将视为无效响应文件。</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18.最后报价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18.1　磋商结束后，磋商小组应当要求所有实质性响应的供应商在规定时间内提交最后报价，提交最后报价的供应商不得少于3家。（</w:t>
      </w:r>
      <w:r>
        <w:rPr>
          <w:rFonts w:hint="default" w:ascii="Times New Roman" w:hAnsi="Times New Roman" w:cs="Times New Roman"/>
          <w:color w:val="auto"/>
          <w:sz w:val="21"/>
          <w:szCs w:val="21"/>
          <w:highlight w:val="none"/>
        </w:rPr>
        <w:t>符合</w:t>
      </w:r>
      <w:r>
        <w:rPr>
          <w:rFonts w:hint="default" w:ascii="Times New Roman" w:hAnsi="Times New Roman" w:cs="Times New Roman"/>
          <w:b/>
          <w:color w:val="auto"/>
          <w:sz w:val="21"/>
          <w:szCs w:val="21"/>
          <w:highlight w:val="none"/>
        </w:rPr>
        <w:t>供应商须知前附表</w:t>
      </w:r>
      <w:r>
        <w:rPr>
          <w:rFonts w:hint="default" w:ascii="Times New Roman" w:hAnsi="Times New Roman" w:cs="Times New Roman"/>
          <w:color w:val="auto"/>
          <w:sz w:val="21"/>
          <w:szCs w:val="21"/>
          <w:highlight w:val="none"/>
        </w:rPr>
        <w:t>规定的允许符合要求的供应商只有2家时可以继续进行采购活动的情形，提交最后报价的供应商可以为2家</w:t>
      </w:r>
      <w:r>
        <w:rPr>
          <w:rFonts w:hint="default" w:ascii="Times New Roman" w:hAnsi="Times New Roman" w:eastAsia="宋体"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18.2　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18.3　最后报价是供应商响应文件的有效组成部分。如磋商小组没有对磋商文件作实质性变动或增加新的需求，最后报价不得高于首轮报价。</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19.最后报价评审</w:t>
      </w:r>
    </w:p>
    <w:p>
      <w:pPr>
        <w:pageBreakBefore w:val="0"/>
        <w:kinsoku/>
        <w:wordWrap/>
        <w:topLinePunct/>
        <w:autoSpaceDE w:val="0"/>
        <w:autoSpaceDN w:val="0"/>
        <w:bidi w:val="0"/>
        <w:adjustRightInd w:val="0"/>
        <w:snapToGrid w:val="0"/>
        <w:spacing w:after="0" w:line="360" w:lineRule="auto"/>
        <w:ind w:firstLine="420" w:firstLineChars="200"/>
        <w:textAlignment w:val="auto"/>
        <w:outlineLvl w:val="3"/>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19.1　最后报价计算错误修正的原则</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(1)最后报价的大写金额和小写金额不一致的，以大写金额为准。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(2)总价金额与按分项报价汇总金额不一致的，以分项报价金额计算结果为准。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(3)分项报价金额小数点有明显错位的，应以总价为准，并修改分项报价。</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(4)同时出现两种以上不一致的，按照前款规定的顺序修正。 </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(5)如果供应商不接受对其错误的更正，其最后报价将被视为无效报价或确定为无效响应。</w:t>
      </w:r>
    </w:p>
    <w:p>
      <w:pPr>
        <w:pageBreakBefore w:val="0"/>
        <w:kinsoku/>
        <w:wordWrap/>
        <w:topLinePunct/>
        <w:autoSpaceDE w:val="0"/>
        <w:autoSpaceDN w:val="0"/>
        <w:bidi w:val="0"/>
        <w:adjustRightInd w:val="0"/>
        <w:snapToGrid w:val="0"/>
        <w:spacing w:after="0" w:line="360" w:lineRule="auto"/>
        <w:ind w:firstLine="420" w:firstLineChars="200"/>
        <w:textAlignment w:val="auto"/>
        <w:outlineLvl w:val="3"/>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19.2　最后报价的价格扣除原则</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落实政府采购政策进行价格调整的规则详见第三章第2.3条</w:t>
      </w:r>
      <w:r>
        <w:rPr>
          <w:rFonts w:hint="default" w:ascii="Times New Roman" w:hAnsi="Times New Roman" w:eastAsia="宋体"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19.3　磋商报价得分：以供应商的最后报价作为价格评分依据。供应商的评审价为按上述条款修正并给予价格扣除优惠后的价格。</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价格评分统一采用低价优先法计算，即满足磋商文件要求且价格最低的评审价为评审基准价，其价格分为满分。其他供应商的价格分统一按照下列公式计算：</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磋商报价得分=（磋商基准价/最后磋商报价）×价格满分值</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20.综合评审</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20.1　经磋商确定最终采购需求和提交最后报价的供应商后，由磋商小组采用综合评分法对提交最后报价的供应商的响应文件和最后报价进行综合评分。</w:t>
      </w:r>
    </w:p>
    <w:p>
      <w:pPr>
        <w:pageBreakBefore w:val="0"/>
        <w:kinsoku/>
        <w:wordWrap/>
        <w:topLinePunct/>
        <w:autoSpaceDE w:val="0"/>
        <w:autoSpaceDN w:val="0"/>
        <w:bidi w:val="0"/>
        <w:adjustRightInd w:val="0"/>
        <w:snapToGrid w:val="0"/>
        <w:spacing w:after="0" w:line="360" w:lineRule="auto"/>
        <w:ind w:firstLine="420" w:firstLineChars="200"/>
        <w:textAlignment w:val="auto"/>
        <w:outlineLvl w:val="3"/>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　评审办法及标准见第三章。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20.3　评审时，磋商小组成员应当独立对每个有效响应的文件进行评价、打分，然后汇总每个供应商每项评分因素的得分。</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21.提出成交供应商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　磋商小组应当按照综合评分由高到低的顺序提出3名以上成交候选供应商，并编写评审报告。（</w:t>
      </w:r>
      <w:r>
        <w:rPr>
          <w:rFonts w:hint="default" w:ascii="Times New Roman" w:hAnsi="Times New Roman" w:cs="Times New Roman"/>
          <w:color w:val="auto"/>
          <w:sz w:val="21"/>
          <w:szCs w:val="21"/>
          <w:highlight w:val="none"/>
        </w:rPr>
        <w:t>符合</w:t>
      </w:r>
      <w:r>
        <w:rPr>
          <w:rFonts w:hint="default" w:ascii="Times New Roman" w:hAnsi="Times New Roman" w:cs="Times New Roman"/>
          <w:b/>
          <w:color w:val="auto"/>
          <w:sz w:val="21"/>
          <w:szCs w:val="21"/>
          <w:highlight w:val="none"/>
        </w:rPr>
        <w:t>供应商须知前附表</w:t>
      </w:r>
      <w:r>
        <w:rPr>
          <w:rFonts w:hint="default" w:ascii="Times New Roman" w:hAnsi="Times New Roman" w:cs="Times New Roman"/>
          <w:color w:val="auto"/>
          <w:sz w:val="21"/>
          <w:szCs w:val="21"/>
          <w:highlight w:val="none"/>
        </w:rPr>
        <w:t>规定的允许符合要求的供应商只有2家时可以继续进行采购活动的情形，推荐的成交候选供应商可以为2家</w:t>
      </w:r>
      <w:r>
        <w:rPr>
          <w:rFonts w:hint="default" w:ascii="Times New Roman" w:hAnsi="Times New Roman" w:eastAsia="宋体"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21.2　</w:t>
      </w:r>
      <w:r>
        <w:rPr>
          <w:rFonts w:hint="default" w:ascii="Times New Roman" w:hAnsi="Times New Roman" w:eastAsia="宋体" w:cs="Times New Roman"/>
          <w:color w:val="auto"/>
          <w:sz w:val="21"/>
          <w:szCs w:val="21"/>
          <w:highlight w:val="none"/>
          <w:u w:val="single"/>
        </w:rPr>
        <w:t>评审得分相同的，按照最后报价由低到高的顺序推荐。评审得分且最后报价相同的，按照技术指标优劣顺序推荐</w:t>
      </w:r>
      <w:r>
        <w:rPr>
          <w:rFonts w:hint="default" w:ascii="Times New Roman" w:hAnsi="Times New Roman" w:eastAsia="宋体"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22.磋商终止</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　出现下列情形之一的，采购人或者采购代理机构应当终止</w:t>
      </w:r>
      <w:r>
        <w:rPr>
          <w:rFonts w:hint="eastAsia" w:ascii="Times New Roman" w:hAnsi="Times New Roman" w:cs="Times New Roman"/>
          <w:color w:val="auto"/>
          <w:sz w:val="21"/>
          <w:szCs w:val="21"/>
          <w:highlight w:val="none"/>
          <w:lang w:eastAsia="zh-CN"/>
        </w:rPr>
        <w:t>竞争磋商</w:t>
      </w:r>
      <w:r>
        <w:rPr>
          <w:rFonts w:hint="default" w:ascii="Times New Roman" w:hAnsi="Times New Roman" w:eastAsia="宋体" w:cs="Times New Roman"/>
          <w:color w:val="auto"/>
          <w:sz w:val="21"/>
          <w:szCs w:val="21"/>
          <w:highlight w:val="none"/>
        </w:rPr>
        <w:t>采购活动，在财政部指定的媒体上发布项目终止公告并说明原因，重新开展采购活动：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(1)因情况变化，不再符合规定的</w:t>
      </w:r>
      <w:r>
        <w:rPr>
          <w:rFonts w:hint="eastAsia" w:ascii="Times New Roman" w:hAnsi="Times New Roman" w:cs="Times New Roman"/>
          <w:color w:val="auto"/>
          <w:sz w:val="21"/>
          <w:szCs w:val="21"/>
          <w:highlight w:val="none"/>
          <w:lang w:eastAsia="zh-CN"/>
        </w:rPr>
        <w:t>竞争磋商</w:t>
      </w:r>
      <w:r>
        <w:rPr>
          <w:rFonts w:hint="default" w:ascii="Times New Roman" w:hAnsi="Times New Roman" w:eastAsia="宋体" w:cs="Times New Roman"/>
          <w:color w:val="auto"/>
          <w:sz w:val="21"/>
          <w:szCs w:val="21"/>
          <w:highlight w:val="none"/>
        </w:rPr>
        <w:t>采购方式适用情形的；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(2)出现影响采购公正的违法、违规行为的；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(3)在采购过程中符合竞争要求的供应商或者报价未超过采购预算的供应商不足3家的，或者提交最后报价的供应商少于3家的；（</w:t>
      </w:r>
      <w:r>
        <w:rPr>
          <w:rFonts w:hint="default" w:ascii="Times New Roman" w:hAnsi="Times New Roman" w:cs="Times New Roman"/>
          <w:color w:val="auto"/>
          <w:sz w:val="21"/>
          <w:szCs w:val="21"/>
          <w:highlight w:val="none"/>
        </w:rPr>
        <w:t>符合</w:t>
      </w:r>
      <w:r>
        <w:rPr>
          <w:rFonts w:hint="default" w:ascii="Times New Roman" w:hAnsi="Times New Roman" w:cs="Times New Roman"/>
          <w:b/>
          <w:color w:val="auto"/>
          <w:sz w:val="21"/>
          <w:szCs w:val="21"/>
          <w:highlight w:val="none"/>
        </w:rPr>
        <w:t>供应商须知前附表</w:t>
      </w:r>
      <w:r>
        <w:rPr>
          <w:rFonts w:hint="default" w:ascii="Times New Roman" w:hAnsi="Times New Roman" w:cs="Times New Roman"/>
          <w:color w:val="auto"/>
          <w:sz w:val="21"/>
          <w:szCs w:val="21"/>
          <w:highlight w:val="none"/>
        </w:rPr>
        <w:t>规定的允许符合要求的供应商只有2家时可以继续进行采购活动的情形，</w:t>
      </w:r>
      <w:r>
        <w:rPr>
          <w:rFonts w:hint="default" w:ascii="Times New Roman" w:hAnsi="Times New Roman" w:eastAsia="宋体" w:cs="Times New Roman"/>
          <w:color w:val="auto"/>
          <w:sz w:val="21"/>
          <w:szCs w:val="21"/>
          <w:highlight w:val="none"/>
        </w:rPr>
        <w:t xml:space="preserve">符合竞争要求的供应商或者报价未超过采购预算的供应商或者提交最后报价的供应商不足2家的；） </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(4)因重大变故，采购任务取消的。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1"/>
        <w:rPr>
          <w:rFonts w:hint="eastAsia" w:ascii="黑体" w:hAnsi="黑体" w:eastAsia="黑体" w:cs="黑体"/>
          <w:b/>
          <w:bCs/>
          <w:color w:val="auto"/>
          <w:highlight w:val="none"/>
        </w:rPr>
      </w:pPr>
      <w:bookmarkStart w:id="8" w:name="_Toc132880663"/>
      <w:r>
        <w:rPr>
          <w:rFonts w:hint="eastAsia" w:ascii="黑体" w:hAnsi="黑体" w:eastAsia="黑体" w:cs="黑体"/>
          <w:b/>
          <w:bCs/>
          <w:color w:val="auto"/>
          <w:highlight w:val="none"/>
        </w:rPr>
        <w:t>六、成交和合同</w:t>
      </w:r>
      <w:bookmarkEnd w:id="8"/>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成交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23.1采购代理机构应当在评审结束后2个工作日内将评审报告送采购人确认。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23.3 采购人或者采购代理机构应当在成交供应商确定后2个工作日内，在</w:t>
      </w:r>
      <w:r>
        <w:rPr>
          <w:rFonts w:hint="default" w:ascii="Times New Roman" w:hAnsi="Times New Roman" w:cs="Times New Roman"/>
          <w:b/>
          <w:color w:val="auto"/>
          <w:sz w:val="21"/>
          <w:szCs w:val="21"/>
          <w:highlight w:val="none"/>
        </w:rPr>
        <w:t>供应商须知前附表</w:t>
      </w:r>
      <w:r>
        <w:rPr>
          <w:rFonts w:hint="default" w:ascii="Times New Roman" w:hAnsi="Times New Roman" w:cs="Times New Roman"/>
          <w:color w:val="auto"/>
          <w:sz w:val="21"/>
          <w:szCs w:val="21"/>
          <w:highlight w:val="none"/>
        </w:rPr>
        <w:t>规定的媒体上公告成交结果，并将磋商文件随成交结果同时公告。</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23.4 在公告成交结果的同时，采购人或者采购代理机构应当向成交供应商发出成交通知书（对线上采购项目，通过评审管理系统发出成交通知书）。</w:t>
      </w:r>
    </w:p>
    <w:p>
      <w:pPr>
        <w:pageBreakBefore w:val="0"/>
        <w:kinsoku/>
        <w:wordWrap/>
        <w:topLinePunct/>
        <w:autoSpaceDE w:val="0"/>
        <w:autoSpaceDN w:val="0"/>
        <w:bidi w:val="0"/>
        <w:adjustRightInd w:val="0"/>
        <w:snapToGrid w:val="0"/>
        <w:spacing w:after="0" w:line="360" w:lineRule="auto"/>
        <w:ind w:firstLine="420" w:firstLineChars="200"/>
        <w:textAlignment w:val="auto"/>
        <w:outlineLvl w:val="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23.5 成交通知书对采购人和成交供应商具有同等法律效力。</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24</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签订合同</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24.1 采购人与成交供应商应当在成交通知书发出之日起30日内，按照磋商文件确定的合同文本以及采购标的、规格型号、采购金额、采购数量、技术和服务要求等事项签订政府采购合同。</w:t>
      </w:r>
      <w:r>
        <w:rPr>
          <w:rFonts w:hint="default" w:ascii="Times New Roman" w:hAnsi="Times New Roman" w:cs="Times New Roman"/>
          <w:color w:val="auto"/>
          <w:sz w:val="21"/>
          <w:szCs w:val="21"/>
          <w:highlight w:val="none"/>
          <w:u w:val="single"/>
        </w:rPr>
        <w:t>线上采购项目可通过评审管理系统签订合同</w:t>
      </w:r>
      <w:r>
        <w:rPr>
          <w:rFonts w:hint="default" w:ascii="Times New Roman" w:hAnsi="Times New Roman"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24.2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24.4 成交供应商拒绝签订政府采购合同的，采购人可以按照本章第23.2条规定的原则确定其他供应商作为成交供应商并签订政府采购合同，也可以重新开展采购活动。拒绝签订政府采购合同的成交供应商不得参加对该项目重新开展的采购活动。</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25</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履约保证金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25.1成交供应商按照</w:t>
      </w:r>
      <w:r>
        <w:rPr>
          <w:rFonts w:hint="default" w:ascii="Times New Roman" w:hAnsi="Times New Roman" w:cs="Times New Roman"/>
          <w:b/>
          <w:color w:val="auto"/>
          <w:sz w:val="21"/>
          <w:szCs w:val="21"/>
          <w:highlight w:val="none"/>
        </w:rPr>
        <w:t>供应商须知前附表</w:t>
      </w:r>
      <w:r>
        <w:rPr>
          <w:rFonts w:hint="default" w:ascii="Times New Roman" w:hAnsi="Times New Roman" w:cs="Times New Roman"/>
          <w:color w:val="auto"/>
          <w:sz w:val="21"/>
          <w:szCs w:val="21"/>
          <w:highlight w:val="none"/>
        </w:rPr>
        <w:t>的规定，在签订采购合同前，向采购人提交履约保证金。联合体成交的，履约保证金以联合体各方或联合体中牵头人的名义提交。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25.2成交供应商没有按照</w:t>
      </w:r>
      <w:r>
        <w:rPr>
          <w:rFonts w:hint="default" w:ascii="Times New Roman" w:hAnsi="Times New Roman" w:cs="Times New Roman"/>
          <w:b/>
          <w:color w:val="auto"/>
          <w:sz w:val="21"/>
          <w:szCs w:val="21"/>
          <w:highlight w:val="none"/>
        </w:rPr>
        <w:t>供应商须知前附表</w:t>
      </w:r>
      <w:r>
        <w:rPr>
          <w:rFonts w:hint="default" w:ascii="Times New Roman" w:hAnsi="Times New Roman" w:cs="Times New Roman"/>
          <w:color w:val="auto"/>
          <w:sz w:val="21"/>
          <w:szCs w:val="21"/>
          <w:highlight w:val="none"/>
        </w:rPr>
        <w:t>的规定提交履约保证金的，视为放弃成交资格，其磋商保证金不予退还。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1"/>
        <w:rPr>
          <w:rFonts w:hint="eastAsia" w:ascii="黑体" w:hAnsi="黑体" w:eastAsia="黑体" w:cs="黑体"/>
          <w:b/>
          <w:bCs/>
          <w:color w:val="auto"/>
          <w:highlight w:val="none"/>
        </w:rPr>
      </w:pPr>
      <w:bookmarkStart w:id="9" w:name="_Toc132880664"/>
      <w:r>
        <w:rPr>
          <w:rFonts w:hint="eastAsia" w:ascii="黑体" w:hAnsi="黑体" w:eastAsia="黑体" w:cs="黑体"/>
          <w:b/>
          <w:bCs/>
          <w:color w:val="auto"/>
          <w:highlight w:val="none"/>
        </w:rPr>
        <w:t>七、询问和质疑</w:t>
      </w:r>
      <w:bookmarkEnd w:id="9"/>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26. 询问</w:t>
      </w:r>
    </w:p>
    <w:p>
      <w:pPr>
        <w:pageBreakBefore w:val="0"/>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26.1潜在供应商、供应商对政府采购活动事项有疑问的，可以向采购人或者采购代理机构提出询问，采购人或者采购代理机构应当在3个工作日内对依法提出的询问作出答复，但答复的内容不得涉及商业秘密。</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27</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质疑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27.1潜在供应商、供应商（统称质疑人）认为采购文件、采购过程和成交结果使自己的权益受到损害的，可以在知道或者应知其权益受到损害之日起7个工作日内以书面形式向采购人或者采购代理机构提出质疑（线上采购项目可以通过评审管理系统提交）。联系部门、联系电话、通讯地址、电子邮箱</w:t>
      </w:r>
      <w:r>
        <w:rPr>
          <w:rFonts w:hint="default" w:ascii="Times New Roman" w:hAnsi="Times New Roman" w:cs="Times New Roman"/>
          <w:b/>
          <w:bCs/>
          <w:color w:val="auto"/>
          <w:sz w:val="21"/>
          <w:szCs w:val="21"/>
          <w:highlight w:val="none"/>
        </w:rPr>
        <w:t>见</w:t>
      </w:r>
      <w:r>
        <w:rPr>
          <w:rFonts w:hint="default" w:ascii="Times New Roman" w:hAnsi="Times New Roman" w:cs="Times New Roman"/>
          <w:b/>
          <w:color w:val="auto"/>
          <w:sz w:val="21"/>
          <w:szCs w:val="21"/>
          <w:highlight w:val="none"/>
        </w:rPr>
        <w:t>供应商须知前附表</w:t>
      </w:r>
      <w:r>
        <w:rPr>
          <w:rFonts w:hint="default" w:ascii="Times New Roman" w:hAnsi="Times New Roman"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27.2在法定质疑期内，针对同一采购程序环节的质疑应一次性提出。</w:t>
      </w:r>
    </w:p>
    <w:p>
      <w:pPr>
        <w:pageBreakBefore w:val="0"/>
        <w:kinsoku/>
        <w:wordWrap/>
        <w:topLinePunct/>
        <w:autoSpaceDE w:val="0"/>
        <w:autoSpaceDN w:val="0"/>
        <w:bidi w:val="0"/>
        <w:adjustRightInd w:val="0"/>
        <w:snapToGrid w:val="0"/>
        <w:spacing w:after="0" w:line="360" w:lineRule="auto"/>
        <w:ind w:firstLine="420" w:firstLineChars="200"/>
        <w:textAlignment w:val="auto"/>
        <w:outlineLvl w:val="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27.3质疑人应知其权益受到损害之日，是指： </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（1）对可以质疑的采购文件提出质疑的，为收到采购文件之日或者采购文件公告期限届满之日；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（2）对采购过程提出质疑的，为各采购程序环节结束之日；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（3）对成交结果提出质疑的，为成交结果公告期限届满之日。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27.4质疑应当有明确的请求和必要的证明材料。供应商为自然人的，应当由本人签字；供应商为法人或者其他组织的，应当由法定代表人、主要负责人，或者其授权代表签字或者签章，并加盖公章。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27.5 采购人或者代理机构应当在收到供应商的质疑函后7个工作日内，对质疑内容作出答复，</w:t>
      </w:r>
      <w:r>
        <w:rPr>
          <w:rFonts w:hint="default" w:ascii="Times New Roman" w:hAnsi="Times New Roman" w:cs="Times New Roman"/>
          <w:bCs/>
          <w:color w:val="auto"/>
          <w:sz w:val="21"/>
          <w:szCs w:val="21"/>
          <w:highlight w:val="none"/>
        </w:rPr>
        <w:t>书面形式</w:t>
      </w:r>
      <w:r>
        <w:rPr>
          <w:rFonts w:hint="default" w:ascii="Times New Roman" w:hAnsi="Times New Roman" w:cs="Times New Roman"/>
          <w:color w:val="auto"/>
          <w:sz w:val="21"/>
          <w:szCs w:val="21"/>
          <w:highlight w:val="none"/>
        </w:rPr>
        <w:t>通知质疑供应商和其他有关供应商，但答复内容不得涉及商业秘密。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27.6质疑人对采购人、采购代理机构的答复不满意或者采购人、采购代理机构未在规定的时间内作出答复的，可以在答复期满后15个工作日内向同级人民政府财政部门投诉。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rPr>
      </w:pPr>
      <w:r>
        <w:rPr>
          <w:rFonts w:hint="default"/>
          <w:color w:val="auto"/>
          <w:highlight w:val="none"/>
        </w:rPr>
        <w:t>27.7投诉应当有明确的请求和必要的证明材料。投诉的事项不得超出已质疑事项的范围。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1"/>
        <w:rPr>
          <w:rFonts w:hint="eastAsia" w:ascii="黑体" w:hAnsi="黑体" w:eastAsia="黑体" w:cs="黑体"/>
          <w:b/>
          <w:bCs/>
          <w:color w:val="auto"/>
          <w:highlight w:val="none"/>
        </w:rPr>
      </w:pPr>
      <w:bookmarkStart w:id="10" w:name="_Toc132880665"/>
      <w:r>
        <w:rPr>
          <w:rFonts w:hint="eastAsia" w:ascii="黑体" w:hAnsi="黑体" w:eastAsia="黑体" w:cs="黑体"/>
          <w:b/>
          <w:bCs/>
          <w:color w:val="auto"/>
          <w:highlight w:val="none"/>
        </w:rPr>
        <w:t>八、其他</w:t>
      </w:r>
      <w:bookmarkEnd w:id="10"/>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28</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保密</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28.1采购人、采购代理机构应当按照政府采购法和本办法的规定组织开展</w:t>
      </w:r>
      <w:r>
        <w:rPr>
          <w:rFonts w:hint="eastAsia" w:ascii="Times New Roman" w:hAnsi="Times New Roman" w:cs="Times New Roman"/>
          <w:color w:val="auto"/>
          <w:sz w:val="21"/>
          <w:szCs w:val="21"/>
          <w:highlight w:val="none"/>
          <w:lang w:eastAsia="zh-CN"/>
        </w:rPr>
        <w:t>竞争磋商</w:t>
      </w:r>
      <w:r>
        <w:rPr>
          <w:rFonts w:hint="default" w:ascii="Times New Roman" w:hAnsi="Times New Roman" w:cs="Times New Roman"/>
          <w:color w:val="auto"/>
          <w:sz w:val="21"/>
          <w:szCs w:val="21"/>
          <w:highlight w:val="none"/>
        </w:rPr>
        <w:t>，并采取必要措施，保证磋商在严格保密的情况下进行。任何单位和个人不得非法干预、影响磋商过程和结果。</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28.2 磋商小组成员和参与评审工作的有关人员对评审情况以及在评审过程中获悉的国家秘密、商业秘密负有保密责任。</w:t>
      </w:r>
    </w:p>
    <w:p>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29. 知识产权与规避专利、版权纠纷</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outlineLvl w:val="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 知识产权</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29.1.1 项目系统的版权属于采购人所有，成交供应商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outlineLvl w:val="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 规避专利、版权纠纷</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29.2.1 供应商应保证其响应方案中的有关软件、文件、图纸等没有违反有关专利和版权等知识产权的规定。</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29.2.2 成交供应商应保证采购人在中华人民共和国使用本项目成果任何一部分、或接受乙方服务时，免受第三方提出的侵犯其专利权、商标权或工业设计权等知识产权的索赔或起诉。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29.2.3 如果采购人在使用本项目任何一部分时被任何第三方诉称侵犯了第三方知识产权或任何其它权利，成交供应商应负责处理这一指控并应以成交供应商的名义自负费用向起诉方提出抗辩。由此可能产生的一切法律责任和经济责任均由成交供应商承担。</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29.2.4 如果采购人发现任何第三方在采购人未被许可的范围内非法使用采购人获得的知识产权，采购人应通知成交供应商。成交供应商应在收到采购人通知后14天内采取行动制止非法使用行为，否则由成交供应商承担相应的责任。</w:t>
      </w:r>
    </w:p>
    <w:p>
      <w:pPr>
        <w:pageBreakBefore w:val="0"/>
        <w:kinsoku/>
        <w:wordWrap/>
        <w:bidi w:val="0"/>
        <w:spacing w:line="360" w:lineRule="auto"/>
        <w:textAlignment w:val="auto"/>
        <w:rPr>
          <w:rFonts w:hint="default" w:ascii="Times New Roman" w:hAnsi="Times New Roman" w:cs="Times New Roman"/>
          <w:color w:val="auto"/>
          <w:sz w:val="21"/>
          <w:szCs w:val="21"/>
          <w:highlight w:val="none"/>
        </w:rPr>
        <w:sectPr>
          <w:pgSz w:w="11906" w:h="16838"/>
          <w:pgMar w:top="1440" w:right="1752" w:bottom="1440" w:left="1752" w:header="851" w:footer="992" w:gutter="0"/>
          <w:pgNumType w:fmt="decimal"/>
          <w:cols w:space="720" w:num="1"/>
          <w:titlePg/>
          <w:docGrid w:type="lines" w:linePitch="312" w:charSpace="0"/>
        </w:sectPr>
      </w:pPr>
    </w:p>
    <w:p>
      <w:pPr>
        <w:bidi w:val="0"/>
        <w:jc w:val="center"/>
        <w:outlineLvl w:val="0"/>
        <w:rPr>
          <w:rFonts w:hint="eastAsia" w:ascii="华文中宋" w:hAnsi="华文中宋" w:eastAsia="华文中宋" w:cs="华文中宋"/>
          <w:b/>
          <w:bCs/>
          <w:color w:val="auto"/>
          <w:sz w:val="28"/>
          <w:szCs w:val="28"/>
          <w:highlight w:val="none"/>
        </w:rPr>
      </w:pPr>
      <w:bookmarkStart w:id="11" w:name="_Toc132880666"/>
      <w:r>
        <w:rPr>
          <w:rFonts w:hint="eastAsia" w:ascii="华文中宋" w:hAnsi="华文中宋" w:eastAsia="华文中宋" w:cs="华文中宋"/>
          <w:b/>
          <w:bCs/>
          <w:color w:val="auto"/>
          <w:sz w:val="28"/>
          <w:szCs w:val="28"/>
          <w:highlight w:val="none"/>
        </w:rPr>
        <w:t>第三章  评审方法及标准</w:t>
      </w:r>
      <w:bookmarkEnd w:id="11"/>
    </w:p>
    <w:p>
      <w:pPr>
        <w:topLinePunct/>
        <w:autoSpaceDE w:val="0"/>
        <w:autoSpaceDN w:val="0"/>
        <w:adjustRightInd w:val="0"/>
        <w:snapToGrid w:val="0"/>
        <w:spacing w:after="0" w:line="360" w:lineRule="auto"/>
        <w:ind w:firstLine="422" w:firstLineChars="200"/>
        <w:outlineLvl w:val="1"/>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1.评审方法</w:t>
      </w:r>
    </w:p>
    <w:p>
      <w:pPr>
        <w:widowControl/>
        <w:topLinePunct/>
        <w:autoSpaceDE w:val="0"/>
        <w:autoSpaceDN w:val="0"/>
        <w:adjustRightInd w:val="0"/>
        <w:snapToGrid w:val="0"/>
        <w:spacing w:after="0" w:line="360" w:lineRule="auto"/>
        <w:ind w:firstLine="420" w:firstLineChars="200"/>
        <w:outlineLvl w:val="2"/>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 本项目评审方法：</w:t>
      </w:r>
      <w:r>
        <w:rPr>
          <w:rFonts w:hint="default" w:ascii="Times New Roman" w:hAnsi="Times New Roman" w:cs="Times New Roman"/>
          <w:b/>
          <w:color w:val="auto"/>
          <w:sz w:val="21"/>
          <w:szCs w:val="21"/>
          <w:highlight w:val="none"/>
          <w:u w:val="single"/>
        </w:rPr>
        <w:t>采用综合评分法</w:t>
      </w:r>
    </w:p>
    <w:p>
      <w:pPr>
        <w:topLinePunct/>
        <w:autoSpaceDE w:val="0"/>
        <w:autoSpaceDN w:val="0"/>
        <w:adjustRightInd w:val="0"/>
        <w:snapToGrid w:val="0"/>
        <w:spacing w:after="0" w:line="360" w:lineRule="auto"/>
        <w:ind w:firstLine="422" w:firstLineChars="200"/>
        <w:outlineLvl w:val="1"/>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2.评分标准</w:t>
      </w:r>
    </w:p>
    <w:p>
      <w:pPr>
        <w:pStyle w:val="19"/>
        <w:widowControl w:val="0"/>
        <w:spacing w:line="360" w:lineRule="auto"/>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本项目</w:t>
      </w:r>
      <w:r>
        <w:rPr>
          <w:rFonts w:hint="default" w:ascii="Times New Roman" w:hAnsi="Times New Roman" w:cs="Times New Roman"/>
          <w:b/>
          <w:color w:val="auto"/>
          <w:sz w:val="21"/>
          <w:szCs w:val="21"/>
          <w:highlight w:val="none"/>
          <w:u w:val="single"/>
        </w:rPr>
        <w:t>采用综合评分法</w:t>
      </w:r>
      <w:r>
        <w:rPr>
          <w:rFonts w:hint="default" w:ascii="Times New Roman" w:hAnsi="Times New Roman" w:cs="Times New Roman"/>
          <w:color w:val="auto"/>
          <w:sz w:val="21"/>
          <w:szCs w:val="21"/>
          <w:highlight w:val="none"/>
        </w:rPr>
        <w:t>进行评分，综合评分法是指响应文件满足采购文件全部实质性要求，且按照评审因素的量化指标评审得分最高的供应商为成交候选供应商的评审方法。评审因素主要内容如下表。</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本项目价格分值为</w:t>
      </w:r>
      <w:r>
        <w:rPr>
          <w:rFonts w:hint="default"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20</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分，其余评审因素分值为</w:t>
      </w:r>
      <w:r>
        <w:rPr>
          <w:rFonts w:hint="default"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80</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分。评审标准如下表：</w:t>
      </w:r>
    </w:p>
    <w:tbl>
      <w:tblPr>
        <w:tblStyle w:val="12"/>
        <w:tblW w:w="87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1217"/>
        <w:gridCol w:w="791"/>
        <w:gridCol w:w="5368"/>
        <w:gridCol w:w="8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240" w:lineRule="auto"/>
              <w:jc w:val="center"/>
              <w:textAlignment w:val="baseline"/>
              <w:rPr>
                <w:rFonts w:ascii="宋体" w:hAnsi="宋体" w:eastAsia="宋体" w:cs="FangSong_GB2312"/>
                <w:b/>
                <w:bCs/>
                <w:color w:val="auto"/>
                <w:kern w:val="0"/>
                <w:sz w:val="21"/>
                <w:szCs w:val="21"/>
                <w:highlight w:val="none"/>
              </w:rPr>
            </w:pPr>
            <w:r>
              <w:rPr>
                <w:rFonts w:hint="eastAsia" w:ascii="宋体" w:hAnsi="宋体" w:eastAsia="宋体" w:cs="FangSong_GB2312"/>
                <w:b/>
                <w:bCs/>
                <w:color w:val="auto"/>
                <w:kern w:val="0"/>
                <w:sz w:val="21"/>
                <w:szCs w:val="21"/>
                <w:highlight w:val="none"/>
              </w:rPr>
              <w:t>序号</w:t>
            </w:r>
          </w:p>
        </w:tc>
        <w:tc>
          <w:tcPr>
            <w:tcW w:w="121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240" w:lineRule="auto"/>
              <w:jc w:val="center"/>
              <w:textAlignment w:val="baseline"/>
              <w:rPr>
                <w:rFonts w:ascii="宋体" w:hAnsi="宋体" w:eastAsia="宋体" w:cs="FangSong_GB2312"/>
                <w:b/>
                <w:bCs/>
                <w:color w:val="auto"/>
                <w:kern w:val="0"/>
                <w:sz w:val="21"/>
                <w:szCs w:val="21"/>
                <w:highlight w:val="none"/>
              </w:rPr>
            </w:pPr>
            <w:r>
              <w:rPr>
                <w:rFonts w:hint="eastAsia" w:ascii="宋体" w:hAnsi="宋体" w:eastAsia="宋体" w:cs="FangSong_GB2312"/>
                <w:b/>
                <w:bCs/>
                <w:color w:val="auto"/>
                <w:kern w:val="0"/>
                <w:sz w:val="21"/>
                <w:szCs w:val="21"/>
                <w:highlight w:val="none"/>
              </w:rPr>
              <w:t>评审因素</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240" w:lineRule="auto"/>
              <w:jc w:val="center"/>
              <w:textAlignment w:val="baseline"/>
              <w:rPr>
                <w:rFonts w:ascii="宋体" w:hAnsi="宋体" w:eastAsia="宋体" w:cs="FangSong_GB2312"/>
                <w:b/>
                <w:bCs/>
                <w:color w:val="auto"/>
                <w:kern w:val="0"/>
                <w:sz w:val="21"/>
                <w:szCs w:val="21"/>
                <w:highlight w:val="none"/>
              </w:rPr>
            </w:pPr>
            <w:r>
              <w:rPr>
                <w:rFonts w:hint="eastAsia" w:ascii="宋体" w:hAnsi="宋体" w:eastAsia="宋体" w:cs="FangSong_GB2312"/>
                <w:b/>
                <w:bCs/>
                <w:color w:val="auto"/>
                <w:kern w:val="0"/>
                <w:sz w:val="21"/>
                <w:szCs w:val="21"/>
                <w:highlight w:val="none"/>
              </w:rPr>
              <w:t>主要内容</w:t>
            </w: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240" w:lineRule="auto"/>
              <w:jc w:val="center"/>
              <w:textAlignment w:val="baseline"/>
              <w:rPr>
                <w:rFonts w:ascii="宋体" w:hAnsi="宋体" w:eastAsia="宋体" w:cs="FangSong_GB2312"/>
                <w:b/>
                <w:bCs/>
                <w:color w:val="auto"/>
                <w:kern w:val="0"/>
                <w:sz w:val="21"/>
                <w:szCs w:val="21"/>
                <w:highlight w:val="none"/>
              </w:rPr>
            </w:pPr>
            <w:r>
              <w:rPr>
                <w:rFonts w:hint="eastAsia" w:ascii="宋体" w:hAnsi="宋体" w:eastAsia="宋体" w:cs="FangSong_GB2312"/>
                <w:b/>
                <w:bCs/>
                <w:color w:val="auto"/>
                <w:kern w:val="0"/>
                <w:sz w:val="21"/>
                <w:szCs w:val="21"/>
                <w:highlight w:val="none"/>
              </w:rPr>
              <w:t>指标要求</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240" w:lineRule="auto"/>
              <w:jc w:val="center"/>
              <w:textAlignment w:val="baseline"/>
              <w:rPr>
                <w:rFonts w:ascii="宋体" w:hAnsi="宋体" w:eastAsia="宋体" w:cs="FangSong_GB2312"/>
                <w:b/>
                <w:bCs/>
                <w:color w:val="auto"/>
                <w:kern w:val="0"/>
                <w:sz w:val="21"/>
                <w:szCs w:val="21"/>
                <w:highlight w:val="none"/>
              </w:rPr>
            </w:pPr>
            <w:r>
              <w:rPr>
                <w:rFonts w:hint="eastAsia" w:ascii="宋体" w:hAnsi="宋体" w:eastAsia="宋体" w:cs="FangSong_GB2312"/>
                <w:b/>
                <w:bCs/>
                <w:color w:val="auto"/>
                <w:kern w:val="0"/>
                <w:sz w:val="21"/>
                <w:szCs w:val="21"/>
                <w:highlight w:val="none"/>
              </w:rPr>
              <w:t>细项</w:t>
            </w:r>
          </w:p>
          <w:p>
            <w:pPr>
              <w:widowControl/>
              <w:overflowPunct w:val="0"/>
              <w:autoSpaceDE w:val="0"/>
              <w:autoSpaceDN w:val="0"/>
              <w:adjustRightInd w:val="0"/>
              <w:spacing w:after="0" w:line="240" w:lineRule="auto"/>
              <w:jc w:val="center"/>
              <w:textAlignment w:val="baseline"/>
              <w:rPr>
                <w:rFonts w:ascii="宋体" w:hAnsi="宋体" w:eastAsia="宋体" w:cs="FangSong_GB2312"/>
                <w:b/>
                <w:bCs/>
                <w:color w:val="auto"/>
                <w:kern w:val="0"/>
                <w:sz w:val="21"/>
                <w:szCs w:val="21"/>
                <w:highlight w:val="none"/>
              </w:rPr>
            </w:pPr>
            <w:r>
              <w:rPr>
                <w:rFonts w:hint="eastAsia" w:ascii="宋体" w:hAnsi="宋体" w:eastAsia="宋体" w:cs="FangSong_GB2312"/>
                <w:b/>
                <w:bCs/>
                <w:color w:val="auto"/>
                <w:kern w:val="0"/>
                <w:sz w:val="21"/>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eastAsia="宋体" w:cs="FangSong_GB2312"/>
                <w:color w:val="auto"/>
                <w:kern w:val="0"/>
                <w:sz w:val="21"/>
                <w:szCs w:val="21"/>
                <w:highlight w:val="none"/>
                <w:lang w:val="en-US" w:eastAsia="zh-CN"/>
              </w:rPr>
            </w:pPr>
            <w:r>
              <w:rPr>
                <w:rFonts w:hint="eastAsia" w:ascii="宋体" w:hAnsi="宋体" w:cs="FangSong_GB2312"/>
                <w:b/>
                <w:bCs/>
                <w:color w:val="auto"/>
                <w:kern w:val="0"/>
                <w:sz w:val="21"/>
                <w:szCs w:val="21"/>
                <w:highlight w:val="none"/>
                <w:lang w:val="en-US" w:eastAsia="zh-CN"/>
              </w:rPr>
              <w:t>A</w:t>
            </w:r>
          </w:p>
        </w:tc>
        <w:tc>
          <w:tcPr>
            <w:tcW w:w="121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sz w:val="21"/>
                <w:szCs w:val="21"/>
                <w:highlight w:val="none"/>
                <w:lang w:val="zh-CN"/>
              </w:rPr>
            </w:pPr>
            <w:r>
              <w:rPr>
                <w:rFonts w:hint="eastAsia" w:ascii="宋体" w:hAnsi="宋体" w:eastAsia="宋体" w:cs="FangSong_GB2312"/>
                <w:color w:val="auto"/>
                <w:sz w:val="21"/>
                <w:szCs w:val="21"/>
                <w:highlight w:val="none"/>
                <w:lang w:val="zh-CN"/>
              </w:rPr>
              <w:t>报价</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sz w:val="21"/>
                <w:szCs w:val="21"/>
                <w:highlight w:val="none"/>
                <w:lang w:val="zh-CN"/>
              </w:rPr>
            </w:pPr>
            <w:r>
              <w:rPr>
                <w:rFonts w:hint="eastAsia" w:ascii="宋体" w:hAnsi="宋体" w:eastAsia="宋体" w:cs="FangSong_GB2312"/>
                <w:color w:val="auto"/>
                <w:sz w:val="21"/>
                <w:szCs w:val="21"/>
                <w:highlight w:val="none"/>
                <w:lang w:val="zh-CN"/>
              </w:rPr>
              <w:t>价 格</w:t>
            </w:r>
          </w:p>
        </w:tc>
        <w:tc>
          <w:tcPr>
            <w:tcW w:w="5368" w:type="dxa"/>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hint="eastAsia" w:ascii="宋体" w:hAnsi="宋体" w:cs="FangSong_GB2312"/>
                <w:color w:val="auto"/>
                <w:sz w:val="21"/>
                <w:szCs w:val="21"/>
                <w:highlight w:val="none"/>
                <w:lang w:val="zh-CN" w:eastAsia="zh-CN"/>
              </w:rPr>
            </w:pPr>
            <w:r>
              <w:rPr>
                <w:rFonts w:hint="eastAsia" w:ascii="宋体" w:hAnsi="宋体" w:cs="FangSong_GB2312"/>
                <w:color w:val="auto"/>
                <w:sz w:val="21"/>
                <w:szCs w:val="21"/>
                <w:highlight w:val="none"/>
                <w:lang w:val="zh-CN" w:eastAsia="zh-CN"/>
              </w:rPr>
              <w:t>磋商报价得分=（磋商基准价／最后磋商报价）× 满分值</w:t>
            </w:r>
          </w:p>
          <w:p>
            <w:pPr>
              <w:widowControl/>
              <w:overflowPunct w:val="0"/>
              <w:autoSpaceDE w:val="0"/>
              <w:autoSpaceDN w:val="0"/>
              <w:adjustRightInd w:val="0"/>
              <w:spacing w:after="0" w:line="360" w:lineRule="auto"/>
              <w:jc w:val="left"/>
              <w:textAlignment w:val="baseline"/>
              <w:rPr>
                <w:rFonts w:hint="eastAsia" w:ascii="宋体" w:hAnsi="宋体" w:cs="FangSong_GB2312"/>
                <w:color w:val="auto"/>
                <w:sz w:val="21"/>
                <w:szCs w:val="21"/>
                <w:highlight w:val="none"/>
                <w:lang w:val="zh-CN" w:eastAsia="zh-CN"/>
              </w:rPr>
            </w:pPr>
            <w:r>
              <w:rPr>
                <w:rFonts w:hint="eastAsia" w:ascii="宋体" w:hAnsi="宋体" w:cs="FangSong_GB2312"/>
                <w:color w:val="auto"/>
                <w:sz w:val="21"/>
                <w:szCs w:val="21"/>
                <w:highlight w:val="none"/>
                <w:lang w:val="zh-CN" w:eastAsia="zh-CN"/>
              </w:rPr>
              <w:t>（1）磋商基准价为满足磋商文件要求且最后报价最低的供应商的价格。</w:t>
            </w:r>
          </w:p>
          <w:p>
            <w:pPr>
              <w:widowControl/>
              <w:overflowPunct w:val="0"/>
              <w:autoSpaceDE w:val="0"/>
              <w:autoSpaceDN w:val="0"/>
              <w:adjustRightInd w:val="0"/>
              <w:spacing w:after="0" w:line="360" w:lineRule="auto"/>
              <w:jc w:val="left"/>
              <w:textAlignment w:val="baseline"/>
              <w:rPr>
                <w:rFonts w:hint="eastAsia" w:ascii="宋体" w:hAnsi="宋体" w:cs="FangSong_GB2312"/>
                <w:color w:val="auto"/>
                <w:sz w:val="21"/>
                <w:szCs w:val="21"/>
                <w:highlight w:val="none"/>
                <w:lang w:val="zh-CN" w:eastAsia="zh-CN"/>
              </w:rPr>
            </w:pPr>
            <w:r>
              <w:rPr>
                <w:rFonts w:hint="eastAsia" w:ascii="宋体" w:hAnsi="宋体" w:cs="FangSong_GB2312"/>
                <w:color w:val="auto"/>
                <w:sz w:val="21"/>
                <w:szCs w:val="21"/>
                <w:highlight w:val="none"/>
                <w:lang w:val="zh-CN" w:eastAsia="zh-CN"/>
              </w:rPr>
              <w:t>（2）因落实政府采购政策进行价格调整的，以调整后的价格计算磋商基准价和最后磋商报价。</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eastAsia="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FangSong_GB2312"/>
                <w:b/>
                <w:bCs/>
                <w:color w:val="auto"/>
                <w:kern w:val="0"/>
                <w:sz w:val="21"/>
                <w:szCs w:val="21"/>
                <w:highlight w:val="none"/>
                <w:lang w:val="en-US" w:eastAsia="zh-CN"/>
              </w:rPr>
            </w:pPr>
            <w:r>
              <w:rPr>
                <w:rFonts w:hint="eastAsia" w:ascii="宋体" w:hAnsi="宋体" w:cs="FangSong_GB2312"/>
                <w:b/>
                <w:bCs/>
                <w:color w:val="auto"/>
                <w:kern w:val="0"/>
                <w:sz w:val="21"/>
                <w:szCs w:val="21"/>
                <w:highlight w:val="none"/>
                <w:lang w:val="en-US" w:eastAsia="zh-CN"/>
              </w:rPr>
              <w:t>B</w:t>
            </w:r>
          </w:p>
        </w:tc>
        <w:tc>
          <w:tcPr>
            <w:tcW w:w="1217"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r>
              <w:rPr>
                <w:rFonts w:hint="eastAsia" w:ascii="宋体" w:hAnsi="宋体" w:eastAsia="宋体" w:cs="FangSong_GB2312"/>
                <w:color w:val="auto"/>
                <w:sz w:val="21"/>
                <w:szCs w:val="21"/>
                <w:highlight w:val="none"/>
                <w:lang w:val="zh-CN"/>
              </w:rPr>
              <w:t>技术因素</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B1</w:t>
            </w:r>
          </w:p>
          <w:p>
            <w:pPr>
              <w:widowControl/>
              <w:overflowPunct w:val="0"/>
              <w:autoSpaceDE w:val="0"/>
              <w:autoSpaceDN w:val="0"/>
              <w:adjustRightInd w:val="0"/>
              <w:spacing w:after="0" w:line="360" w:lineRule="auto"/>
              <w:jc w:val="center"/>
              <w:textAlignment w:val="baseline"/>
              <w:rPr>
                <w:rFonts w:hint="default" w:ascii="宋体" w:hAnsi="宋体" w:eastAsia="宋体" w:cs="FangSong_GB2312"/>
                <w:color w:val="auto"/>
                <w:sz w:val="21"/>
                <w:szCs w:val="21"/>
                <w:highlight w:val="none"/>
                <w:lang w:val="en-US" w:eastAsia="zh-CN"/>
              </w:rPr>
            </w:pPr>
            <w:r>
              <w:rPr>
                <w:rFonts w:hint="eastAsia" w:ascii="宋体" w:hAnsi="宋体" w:cs="宋体"/>
                <w:spacing w:val="-2"/>
                <w:kern w:val="0"/>
                <w:sz w:val="24"/>
                <w:szCs w:val="24"/>
                <w:lang w:val="zh-CN"/>
              </w:rPr>
              <w:t>项目理解</w:t>
            </w: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eastAsia" w:ascii="宋体" w:hAnsi="宋体" w:cs="FangSong_GB2312"/>
                <w:color w:val="auto"/>
                <w:sz w:val="21"/>
                <w:szCs w:val="21"/>
                <w:highlight w:val="none"/>
                <w:lang w:val="zh-CN" w:eastAsia="zh-CN"/>
              </w:rPr>
            </w:pPr>
            <w:r>
              <w:rPr>
                <w:rFonts w:hint="eastAsia" w:ascii="宋体" w:hAnsi="宋体" w:cs="FangSong_GB2312"/>
                <w:color w:val="auto"/>
                <w:sz w:val="21"/>
                <w:szCs w:val="21"/>
                <w:highlight w:val="none"/>
                <w:lang w:val="zh-CN" w:eastAsia="zh-CN"/>
              </w:rPr>
              <w:t>B1.报价人应能够充分理解国家税务总局宁德市税务局12366服务外包项目的总体需求，在人员、业务、设备、管理制度、运营管理等方面提出服务外包解决方案，</w:t>
            </w:r>
            <w:r>
              <w:rPr>
                <w:rFonts w:hint="eastAsia" w:ascii="宋体" w:hAnsi="宋体" w:cs="FangSong_GB2312"/>
                <w:color w:val="auto"/>
                <w:sz w:val="21"/>
                <w:szCs w:val="21"/>
                <w:highlight w:val="none"/>
                <w:lang w:val="en-US" w:eastAsia="zh-CN"/>
              </w:rPr>
              <w:t>方案包含以上要点，内容与要点相符、解决方案可行且措施具体的得3分；方案所包含的要点齐全、内容与要点相符，内容相对简略，但能提供解决方案且有可操作性的得2分；方案所包含的要点有缺漏或仅笼统描述无具体措施的得1分，未提供方案或方案内容与项目情况不相符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B2</w:t>
            </w:r>
          </w:p>
          <w:p>
            <w:pPr>
              <w:widowControl/>
              <w:overflowPunct w:val="0"/>
              <w:autoSpaceDE w:val="0"/>
              <w:autoSpaceDN w:val="0"/>
              <w:adjustRightInd w:val="0"/>
              <w:spacing w:after="0" w:line="360" w:lineRule="auto"/>
              <w:jc w:val="center"/>
              <w:textAlignment w:val="baseline"/>
              <w:rPr>
                <w:rFonts w:hint="default" w:ascii="宋体" w:hAnsi="宋体" w:eastAsia="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人员方案</w:t>
            </w: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eastAsia="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2-1根据报价人制定完整的服务团队架构和人员投入方案进行评议，方案包含以上要点，内容与要点相符、且措施具体的得3分；方案所包含的要点齐全、内容与要点相符，内容相对简略，但具有可操作性的得2分；方案所包含的要点有缺漏或仅笼统描述无具体措施的得1分，未提供方案或方案内容与项目情况不相符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sz w:val="21"/>
                <w:szCs w:val="21"/>
                <w:highlight w:val="none"/>
                <w:lang w:val="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eastAsia="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B2-2报价人承诺在合同签订后七个日历日内，应提供充足的坐席人员投入本项目，承诺坐席上线前应经过岗前培训并通过采购人组织的岗前测试的坐席人员11人的得3分。（需提供承诺函，未提供的不得分）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sz w:val="21"/>
                <w:szCs w:val="21"/>
                <w:highlight w:val="none"/>
                <w:lang w:val="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2-3报价人除坐席人员外另配备1名为本项目专职现场管理人员，管理人员具有管理10人规模以上工作经验的得2分；在上述基础上至投标截止时间前具有连续2年（含）以上从事呼叫中心管理工作经历的得2分。报价人需提供管理人员名单，并附人员社保缴费记录及工作经历用人单位证明等佐证材料。未提供人员名单或未提供相关佐证材料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sz w:val="21"/>
                <w:szCs w:val="21"/>
                <w:highlight w:val="none"/>
                <w:lang w:val="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2-4报价人在坐席人员中配备2名（含）以上业务骨干作为业务支持人员投入本项目，业务支持人员拥有至投标截止时间前连续2年（含）以上从事税务咨询服务工作经历的（税务咨询服务指在税务呼叫中心、办税服务厅等工作），每人得2分，满分4分。报价人需提供业务支持人员名单，并附人员社保缴费记录及工作经历用人单位证明等佐证材料。未提供人员名单或未提供相关佐证材料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sz w:val="21"/>
                <w:szCs w:val="21"/>
                <w:highlight w:val="none"/>
                <w:lang w:val="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eastAsia"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B2-5报价人制定人员公开招聘方案：</w:t>
            </w:r>
          </w:p>
          <w:p>
            <w:pPr>
              <w:widowControl/>
              <w:overflowPunct w:val="0"/>
              <w:autoSpaceDE w:val="0"/>
              <w:autoSpaceDN w:val="0"/>
              <w:adjustRightInd w:val="0"/>
              <w:spacing w:after="0" w:line="360" w:lineRule="auto"/>
              <w:jc w:val="left"/>
              <w:textAlignment w:val="baseline"/>
              <w:rPr>
                <w:rFonts w:hint="eastAsia"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 xml:space="preserve">优秀的解决方案中应满足招聘坐席人员中具备财税工作经历的占比在70%（不含）以上的，得3分； </w:t>
            </w:r>
          </w:p>
          <w:p>
            <w:pPr>
              <w:widowControl/>
              <w:overflowPunct w:val="0"/>
              <w:autoSpaceDE w:val="0"/>
              <w:autoSpaceDN w:val="0"/>
              <w:adjustRightInd w:val="0"/>
              <w:spacing w:after="0" w:line="360" w:lineRule="auto"/>
              <w:jc w:val="left"/>
              <w:textAlignment w:val="baseline"/>
              <w:rPr>
                <w:rFonts w:hint="eastAsia"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良好的解决方案中应满足招聘坐席人员中具备财税工作经历的占比在60%（不含）—70%（含）%的，得2分；</w:t>
            </w:r>
          </w:p>
          <w:p>
            <w:pPr>
              <w:widowControl/>
              <w:overflowPunct w:val="0"/>
              <w:autoSpaceDE w:val="0"/>
              <w:autoSpaceDN w:val="0"/>
              <w:adjustRightInd w:val="0"/>
              <w:spacing w:after="0" w:line="360" w:lineRule="auto"/>
              <w:jc w:val="left"/>
              <w:textAlignment w:val="baseline"/>
              <w:rPr>
                <w:rFonts w:hint="eastAsia"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一般的解决方案中应满足招聘坐席人员中具备财税工作经历的占比在50%（不含）—60%（含）的，得1分；</w:t>
            </w:r>
          </w:p>
          <w:p>
            <w:pPr>
              <w:widowControl/>
              <w:overflowPunct w:val="0"/>
              <w:autoSpaceDE w:val="0"/>
              <w:autoSpaceDN w:val="0"/>
              <w:adjustRightInd w:val="0"/>
              <w:spacing w:after="0" w:line="360" w:lineRule="auto"/>
              <w:jc w:val="left"/>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（需提供工作经历用人单位证明及承诺函，未提供的不得分）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sz w:val="21"/>
                <w:szCs w:val="21"/>
                <w:highlight w:val="none"/>
                <w:lang w:val="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2-6报价人能制定满足12366中心人员管理的各项制度（至少包括人员薪资福利管理、人员激励机制、职业规划、业务考核、考勤管理、质量监测管理等6项制度），制度内容与要点相符、思路清晰，措施合理且具体的每提供1项得1分；制度内容与要点相符，内容相对简略，且有可操作性的每提供1项得0.5分；未提供方案或方案内容与项目情况不相符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sz w:val="21"/>
                <w:szCs w:val="21"/>
                <w:highlight w:val="none"/>
                <w:lang w:val="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B2-7报价人承诺用于坐席人员的劳务报酬总额占合同总价83%（含）以上，承诺83%的得1分，每高一个百分点加1分，上限为5分，未提供承诺函的不得分。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sz w:val="21"/>
                <w:szCs w:val="21"/>
                <w:highlight w:val="none"/>
                <w:lang w:val="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B2-8报价人承诺用于坐席人员的教育培训费用总额占合同总价3%（含）以上，承诺3%的得2分，每高一个百分点加1分，上限为3分，未提供承诺函的不得分。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sz w:val="21"/>
                <w:szCs w:val="21"/>
                <w:highlight w:val="none"/>
                <w:lang w:val="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B2-9成交人制定合理人才储备方案，保证12366中心服务外包人员数量相对稳定，承诺每半年人员流失率在20%以下（含20%）的得5分，20%-30%（含30%）的得3分，高于30%的不得分。（需提供承诺函）</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sz w:val="21"/>
                <w:szCs w:val="21"/>
                <w:highlight w:val="none"/>
                <w:lang w:val="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2-10根据报价人提供科学合理的人员淘汰机制（至少包含培训考试、绩效考核、违纪行为等淘汰机制）进行评议，方案包含以上要点，内容与要点相符、且措施具体的得3分；方案所包含的要点齐全、内容与要点相符，内容相对简略，但具有可操作性的得1.5分；方案所包含的要点有缺漏，或未提供方案，或方案内容与项目情况不相符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restart"/>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cs="宋体"/>
                <w:spacing w:val="-2"/>
                <w:kern w:val="0"/>
                <w:sz w:val="24"/>
                <w:szCs w:val="24"/>
                <w:lang w:val="en-US" w:eastAsia="zh-CN"/>
              </w:rPr>
            </w:pPr>
            <w:r>
              <w:rPr>
                <w:rFonts w:hint="eastAsia" w:ascii="宋体" w:hAnsi="宋体" w:cs="宋体"/>
                <w:spacing w:val="-2"/>
                <w:kern w:val="0"/>
                <w:sz w:val="24"/>
                <w:szCs w:val="24"/>
                <w:lang w:val="en-US" w:eastAsia="zh-CN"/>
              </w:rPr>
              <w:t>B3</w:t>
            </w:r>
          </w:p>
          <w:p>
            <w:pPr>
              <w:widowControl/>
              <w:overflowPunct w:val="0"/>
              <w:autoSpaceDE w:val="0"/>
              <w:autoSpaceDN w:val="0"/>
              <w:adjustRightInd w:val="0"/>
              <w:spacing w:after="0" w:line="360" w:lineRule="auto"/>
              <w:jc w:val="center"/>
              <w:textAlignment w:val="baseline"/>
              <w:rPr>
                <w:rFonts w:ascii="宋体" w:hAnsi="宋体" w:eastAsia="宋体" w:cs="FangSong_GB2312"/>
                <w:color w:val="auto"/>
                <w:sz w:val="21"/>
                <w:szCs w:val="21"/>
                <w:highlight w:val="none"/>
                <w:lang w:val="zh-CN"/>
              </w:rPr>
            </w:pPr>
            <w:r>
              <w:rPr>
                <w:rFonts w:hint="eastAsia" w:ascii="宋体" w:hAnsi="宋体" w:cs="宋体"/>
                <w:spacing w:val="-2"/>
                <w:kern w:val="0"/>
                <w:sz w:val="24"/>
                <w:szCs w:val="24"/>
                <w:lang w:val="zh-CN"/>
              </w:rPr>
              <w:t>业务及运营管理</w:t>
            </w: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B3-1报价人制定现场管理方案、保密工作方案、 突发事件应急管理方案，由评委进行评议：方案内容与主题相符、思路清晰，措施合理具体、有利于保证项目的正常实施的每提供1项得1分；方案内容与要点相符，内容相对简略，且有可操作性的每提供1项得0.5分；未提供方案或方案内容与项目情况不相符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cs="宋体"/>
                <w:spacing w:val="-2"/>
                <w:kern w:val="0"/>
                <w:sz w:val="24"/>
                <w:szCs w:val="24"/>
                <w:lang w:val="en-US" w:eastAsia="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3-2报价人制定沟通协调机制方案（至少包含如何与采购人建立沟通协调机制、如何实现情况互通，如何确保运行管理顺畅的各项措施），由评委进行评议：方案包含以上要点，内容与要点相符、且措施具体，能够保证项目管理顺畅的得3分；方案所包含的要点齐全、内容与要点相符，内容相对简略，但具有可操作性的得2分；方案所包含的要点有缺漏或仅笼统描述无具体措施的得1分，未提供方案或方案内容与项目情况不相符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cs="宋体"/>
                <w:spacing w:val="-2"/>
                <w:kern w:val="0"/>
                <w:sz w:val="24"/>
                <w:szCs w:val="24"/>
                <w:lang w:val="en-US" w:eastAsia="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3-3报价人需提供对招聘的坐席人员的上岗培训方案（含基本礼仪培训、12366纳税服务热线基本工作流程及作业标准、各税费政策培训、各税费申报业务培训、各类网报系统基本架构及常见问题、征收管理及纳税服务基础知识等专业培训），以及日常工作岗位培训方案（包括税收业务新政策、典型录音分析、沟通服务技巧等）等，由评委进行评议。其中日常培训方案要求一个月开展不少于4次专项培训（专项培训指的是根据各阶段工作重点，按要求组织各类业务专题培训），不少于4次分组培训（分组培训指的是根据各阶段工作重点，分时段组织坐席人员开展分组学习，要求4次分组培训中不少于2次服务规范培训），且每月制定培训方案和情况记录。方案包含以上要点，内容与要点相符、且措施具体，符合以上培训要求，能够保证项目管理顺畅的得3分；方案所包含的要点齐全、内容与要点相符，基本符合以上培训要求，但内容相对简略的得2分；方案所包含的要点有缺漏或仅笼统描述无具体措施的得1分，未提供方案或培训方案内容不符合要求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cs="宋体"/>
                <w:spacing w:val="-2"/>
                <w:kern w:val="0"/>
                <w:sz w:val="24"/>
                <w:szCs w:val="24"/>
                <w:lang w:val="en-US" w:eastAsia="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3-4报价人需提供坐席人员的质检方案，由评委进行评议，质检方案要求每月抽取监听有效样本总量不低于人工服务总量的3%（含）的，每月抽取监测网络咨询（含留言）有效样本总量不低于网络咨询人工服务总量的3%（含），质检方案符合以上要求，措施具体，能够保证项目管理顺畅的得3分；方案基本符合以上要求，但内容相对简略，未展开叙述的得2分；其余得1分，未提供方案或质检方案内容不符合要求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cs="宋体"/>
                <w:spacing w:val="-2"/>
                <w:kern w:val="0"/>
                <w:sz w:val="24"/>
                <w:szCs w:val="24"/>
                <w:lang w:val="en-US" w:eastAsia="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3-5报价人围绕本项目制定的考核标准制定绩效管理实施方案，达到国家税务总局和国家税务总局福建省税务局绩效考核标准，保证12366服务质效。绩效管理方案符合以上要求，措施具体，能够保证项目管理顺畅的得3分；绩效管理方案基本符合以上要求，但内容相对简略，未展开叙述的得2分；其余得1分，未提供方案或方案内容不符合要求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cs="宋体"/>
                <w:spacing w:val="-2"/>
                <w:kern w:val="0"/>
                <w:sz w:val="24"/>
                <w:szCs w:val="24"/>
                <w:lang w:val="en-US" w:eastAsia="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B3-6报价人提供保障服务团队活动的方案，并提供相应的经费保障，由评委进行评议：方案合理、完善并提供相应的经费保障承诺的得3分，仅提供方案，但措施不具体或者未有相应的经费保障承诺的得1.5分, 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cs="宋体"/>
                <w:spacing w:val="-2"/>
                <w:kern w:val="0"/>
                <w:sz w:val="24"/>
                <w:szCs w:val="24"/>
                <w:lang w:val="en-US" w:eastAsia="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3-7报价人根据国家税务总局、国家税务总局福建省税务局和12366各项管理规定制定具体实施方案（包括保密制度、门禁制度、环境卫生、专项工作保障配合、信息安全管理规定及12366运行管理各项制度规定等），方案包含以上要点，内容与要点相符、且措施具体，能够保证项目管理顺畅的得3分；方案所包含的要点齐全、内容与要点相符，但内容相对简略的得2分；方案所包含的要点有缺漏或仅笼统描述无具体措施的得1分，未提供方案或方案内容不符合要求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cs="宋体"/>
                <w:spacing w:val="-2"/>
                <w:kern w:val="0"/>
                <w:sz w:val="24"/>
                <w:szCs w:val="24"/>
                <w:lang w:val="en-US" w:eastAsia="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B3-8报价人承诺公司领导能定期到现场同坐席人员沟通交流，开展人文关怀。提供承诺函的，得3分；未提供的不得分。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764" w:type="dxa"/>
            <w:gridSpan w:val="5"/>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both"/>
              <w:textAlignment w:val="baseline"/>
              <w:rPr>
                <w:rFonts w:hint="eastAsia" w:ascii="宋体" w:hAnsi="宋体" w:cs="FangSong_GB2312"/>
                <w:color w:val="auto"/>
                <w:sz w:val="21"/>
                <w:szCs w:val="21"/>
                <w:highlight w:val="none"/>
                <w:lang w:val="en-US" w:eastAsia="zh-CN"/>
              </w:rPr>
            </w:pPr>
            <w:r>
              <w:rPr>
                <w:rFonts w:hint="eastAsia" w:ascii="宋体" w:hAnsi="宋体" w:cs="宋体"/>
                <w:spacing w:val="-2"/>
                <w:kern w:val="0"/>
                <w:sz w:val="24"/>
                <w:szCs w:val="24"/>
                <w:lang w:val="zh-CN"/>
              </w:rPr>
              <w:t>各报价人的技术部分得分B=B1+B2+B3+B4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FangSong_GB2312"/>
                <w:color w:val="auto"/>
                <w:kern w:val="0"/>
                <w:sz w:val="21"/>
                <w:szCs w:val="21"/>
                <w:highlight w:val="none"/>
                <w:lang w:val="en-US" w:eastAsia="zh-CN"/>
              </w:rPr>
            </w:pPr>
            <w:r>
              <w:rPr>
                <w:rFonts w:hint="eastAsia" w:ascii="宋体" w:hAnsi="宋体" w:cs="FangSong_GB2312"/>
                <w:b/>
                <w:bCs/>
                <w:color w:val="auto"/>
                <w:kern w:val="0"/>
                <w:sz w:val="21"/>
                <w:szCs w:val="21"/>
                <w:highlight w:val="none"/>
                <w:lang w:val="en-US" w:eastAsia="zh-CN"/>
              </w:rPr>
              <w:t>C</w:t>
            </w:r>
          </w:p>
        </w:tc>
        <w:tc>
          <w:tcPr>
            <w:tcW w:w="1217"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sz w:val="21"/>
                <w:szCs w:val="21"/>
                <w:highlight w:val="none"/>
                <w:lang w:val="zh-CN"/>
              </w:rPr>
            </w:pPr>
            <w:r>
              <w:rPr>
                <w:rFonts w:hint="eastAsia" w:ascii="宋体" w:hAnsi="宋体" w:eastAsia="宋体" w:cs="FangSong_GB2312"/>
                <w:color w:val="auto"/>
                <w:sz w:val="21"/>
                <w:szCs w:val="21"/>
                <w:highlight w:val="none"/>
                <w:lang w:val="zh-CN"/>
              </w:rPr>
              <w:t>商务因素</w:t>
            </w:r>
          </w:p>
        </w:tc>
        <w:tc>
          <w:tcPr>
            <w:tcW w:w="791"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C1</w:t>
            </w:r>
          </w:p>
          <w:p>
            <w:pPr>
              <w:widowControl/>
              <w:overflowPunct w:val="0"/>
              <w:autoSpaceDE w:val="0"/>
              <w:autoSpaceDN w:val="0"/>
              <w:adjustRightInd w:val="0"/>
              <w:spacing w:after="0" w:line="360" w:lineRule="auto"/>
              <w:jc w:val="center"/>
              <w:textAlignment w:val="baseline"/>
              <w:rPr>
                <w:rFonts w:hint="default" w:ascii="宋体" w:hAnsi="宋体" w:eastAsia="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综合实力</w:t>
            </w: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eastAsia="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C1-1报价人具有人力资源服务许可证的得2分,提供证书编号及查询网址或者提供有效的证书复印件，否则不得分。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sz w:val="21"/>
                <w:szCs w:val="21"/>
                <w:highlight w:val="none"/>
                <w:lang w:val="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r>
              <w:rPr>
                <w:rFonts w:hint="eastAsia" w:ascii="宋体" w:hAnsi="宋体" w:cs="FangSong_GB2312"/>
                <w:color w:val="auto"/>
                <w:sz w:val="21"/>
                <w:szCs w:val="21"/>
                <w:highlight w:val="none"/>
                <w:lang w:val="en-US" w:eastAsia="zh-CN"/>
              </w:rPr>
              <w:t>C1-2</w:t>
            </w:r>
            <w:r>
              <w:rPr>
                <w:rFonts w:hint="eastAsia" w:ascii="宋体" w:hAnsi="宋体" w:eastAsia="宋体" w:cs="FangSong_GB2312"/>
                <w:color w:val="auto"/>
                <w:sz w:val="21"/>
                <w:szCs w:val="21"/>
                <w:highlight w:val="none"/>
                <w:lang w:val="zh-CN"/>
              </w:rPr>
              <w:t>报价人能提供客服号证明（和网络运营商签订的协议），得3分，未提供的不得分。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vMerge w:val="continue"/>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sz w:val="21"/>
                <w:szCs w:val="21"/>
                <w:highlight w:val="none"/>
                <w:lang w:val="zh-CN"/>
              </w:rPr>
            </w:pP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宋体" w:hAnsi="宋体" w:eastAsia="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C1-3报价人公司具有呼叫中心的得3分。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044" w:type="dxa"/>
            <w:gridSpan w:val="3"/>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cs="FangSong_GB2312"/>
                <w:color w:val="auto"/>
                <w:sz w:val="21"/>
                <w:szCs w:val="21"/>
                <w:highlight w:val="none"/>
                <w:lang w:val="en-US" w:eastAsia="zh-CN"/>
              </w:rPr>
            </w:pPr>
            <w:r>
              <w:rPr>
                <w:rFonts w:hint="eastAsia" w:ascii="宋体" w:hAnsi="宋体" w:eastAsia="宋体" w:cs="FangSong_GB2312"/>
                <w:color w:val="auto"/>
                <w:sz w:val="21"/>
                <w:szCs w:val="21"/>
                <w:highlight w:val="none"/>
                <w:lang w:val="zh-CN"/>
              </w:rPr>
              <w:t>以上须提供证书或证明材料复印件。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color w:val="auto"/>
                <w:kern w:val="0"/>
                <w:sz w:val="21"/>
                <w:szCs w:val="21"/>
                <w:highlight w:val="none"/>
              </w:rPr>
            </w:pPr>
          </w:p>
        </w:tc>
        <w:tc>
          <w:tcPr>
            <w:tcW w:w="1217"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eastAsia="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C2同类项目经验</w:t>
            </w:r>
          </w:p>
        </w:tc>
        <w:tc>
          <w:tcPr>
            <w:tcW w:w="53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ascii="宋体" w:hAnsi="宋体" w:eastAsia="宋体" w:cs="FangSong_GB2312"/>
                <w:color w:val="auto"/>
                <w:sz w:val="21"/>
                <w:szCs w:val="21"/>
                <w:highlight w:val="none"/>
                <w:lang w:val="zh-CN"/>
              </w:rPr>
            </w:pPr>
            <w:r>
              <w:rPr>
                <w:rFonts w:hint="eastAsia" w:ascii="宋体" w:hAnsi="宋体" w:cs="FangSong_GB2312"/>
                <w:color w:val="auto"/>
                <w:sz w:val="21"/>
                <w:szCs w:val="21"/>
                <w:highlight w:val="none"/>
                <w:lang w:val="en-US" w:eastAsia="zh-CN"/>
              </w:rPr>
              <w:t>C2-1.</w:t>
            </w:r>
            <w:r>
              <w:rPr>
                <w:rFonts w:hint="eastAsia" w:ascii="宋体" w:hAnsi="宋体" w:eastAsia="宋体" w:cs="FangSong_GB2312"/>
                <w:color w:val="auto"/>
                <w:sz w:val="21"/>
                <w:szCs w:val="21"/>
                <w:highlight w:val="none"/>
                <w:lang w:val="zh-CN"/>
              </w:rPr>
              <w:t>2020年1月1日至投标截止时间前，报价人具有市级及以上同类项目经验的，每提供1项得</w:t>
            </w:r>
            <w:r>
              <w:rPr>
                <w:rFonts w:hint="eastAsia" w:ascii="宋体" w:hAnsi="宋体" w:cs="FangSong_GB2312"/>
                <w:color w:val="auto"/>
                <w:sz w:val="21"/>
                <w:szCs w:val="21"/>
                <w:highlight w:val="none"/>
                <w:lang w:val="en-US" w:eastAsia="zh-CN"/>
              </w:rPr>
              <w:t>2</w:t>
            </w:r>
            <w:r>
              <w:rPr>
                <w:rFonts w:hint="eastAsia" w:ascii="宋体" w:hAnsi="宋体" w:eastAsia="宋体" w:cs="FangSong_GB2312"/>
                <w:color w:val="auto"/>
                <w:sz w:val="21"/>
                <w:szCs w:val="21"/>
                <w:highlight w:val="none"/>
                <w:lang w:val="zh-CN"/>
              </w:rPr>
              <w:t>分，满分</w:t>
            </w:r>
            <w:r>
              <w:rPr>
                <w:rFonts w:hint="eastAsia" w:ascii="宋体" w:hAnsi="宋体" w:cs="FangSong_GB2312"/>
                <w:color w:val="auto"/>
                <w:sz w:val="21"/>
                <w:szCs w:val="21"/>
                <w:highlight w:val="none"/>
                <w:lang w:val="en-US" w:eastAsia="zh-CN"/>
              </w:rPr>
              <w:t>6</w:t>
            </w:r>
            <w:r>
              <w:rPr>
                <w:rFonts w:hint="eastAsia" w:ascii="宋体" w:hAnsi="宋体" w:eastAsia="宋体" w:cs="FangSong_GB2312"/>
                <w:color w:val="auto"/>
                <w:sz w:val="21"/>
                <w:szCs w:val="21"/>
                <w:highlight w:val="none"/>
                <w:lang w:val="zh-CN"/>
              </w:rPr>
              <w:t>分。须提供中标公告（提供相关网站中标公告的下载网页并注明网址）、中标通知书复印件、采购合同文本复印件，以及能够证明该业绩项目已经采购人验收合格的相关证明文件复印件。未提供或提供不全，该项业绩不给予计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FangSong_GB2312"/>
                <w:color w:val="auto"/>
                <w:sz w:val="21"/>
                <w:szCs w:val="21"/>
                <w:highlight w:val="none"/>
                <w:lang w:val="en-US" w:eastAsia="zh-CN"/>
              </w:rPr>
            </w:pPr>
            <w:r>
              <w:rPr>
                <w:rFonts w:hint="eastAsia" w:ascii="宋体" w:hAnsi="宋体" w:cs="FangSong_GB2312"/>
                <w:color w:val="auto"/>
                <w:sz w:val="21"/>
                <w:szCs w:val="21"/>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764" w:type="dxa"/>
            <w:gridSpan w:val="5"/>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both"/>
              <w:textAlignment w:val="baseline"/>
              <w:rPr>
                <w:rFonts w:hint="default" w:ascii="宋体" w:hAnsi="宋体" w:eastAsia="宋体" w:cs="FangSong_GB2312"/>
                <w:color w:val="auto"/>
                <w:sz w:val="21"/>
                <w:szCs w:val="21"/>
                <w:highlight w:val="none"/>
                <w:lang w:val="en-US" w:eastAsia="zh-CN"/>
              </w:rPr>
            </w:pPr>
            <w:r>
              <w:rPr>
                <w:rFonts w:hint="eastAsia" w:ascii="宋体" w:hAnsi="宋体" w:cs="宋体"/>
                <w:spacing w:val="-2"/>
                <w:kern w:val="0"/>
                <w:sz w:val="24"/>
                <w:szCs w:val="24"/>
                <w:lang w:val="zh-CN"/>
              </w:rPr>
              <w:t>各报价人的商务部分得分C=C1+C2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764" w:type="dxa"/>
            <w:gridSpan w:val="5"/>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both"/>
              <w:textAlignment w:val="baseline"/>
              <w:rPr>
                <w:rFonts w:hint="eastAsia" w:ascii="宋体" w:hAnsi="宋体" w:cs="宋体"/>
                <w:spacing w:val="-2"/>
                <w:kern w:val="0"/>
                <w:sz w:val="24"/>
                <w:szCs w:val="24"/>
                <w:lang w:val="zh-CN"/>
              </w:rPr>
            </w:pPr>
            <w:r>
              <w:rPr>
                <w:rFonts w:hint="eastAsia" w:ascii="宋体" w:hAnsi="宋体" w:cs="宋体"/>
                <w:spacing w:val="-2"/>
                <w:kern w:val="0"/>
                <w:sz w:val="24"/>
                <w:szCs w:val="24"/>
                <w:lang w:val="zh-CN"/>
              </w:rPr>
              <w:t>各报价人的最终得分为A+B+C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79" w:type="dxa"/>
            <w:gridSpan w:val="4"/>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b/>
                <w:bCs/>
                <w:color w:val="auto"/>
                <w:kern w:val="0"/>
                <w:sz w:val="21"/>
                <w:szCs w:val="21"/>
                <w:highlight w:val="none"/>
              </w:rPr>
            </w:pPr>
            <w:r>
              <w:rPr>
                <w:rFonts w:hint="eastAsia" w:ascii="宋体" w:hAnsi="宋体" w:eastAsia="宋体" w:cs="FangSong_GB2312"/>
                <w:b/>
                <w:bCs/>
                <w:color w:val="auto"/>
                <w:kern w:val="0"/>
                <w:sz w:val="21"/>
                <w:szCs w:val="21"/>
                <w:highlight w:val="none"/>
              </w:rPr>
              <w:t>合     计</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ascii="宋体" w:hAnsi="宋体" w:eastAsia="宋体" w:cs="FangSong_GB2312"/>
                <w:b/>
                <w:bCs/>
                <w:color w:val="auto"/>
                <w:kern w:val="0"/>
                <w:sz w:val="21"/>
                <w:szCs w:val="21"/>
                <w:highlight w:val="none"/>
              </w:rPr>
            </w:pPr>
            <w:r>
              <w:rPr>
                <w:rFonts w:hint="eastAsia" w:ascii="宋体" w:hAnsi="宋体" w:eastAsia="宋体" w:cs="FangSong_GB2312"/>
                <w:b/>
                <w:bCs/>
                <w:color w:val="auto"/>
                <w:kern w:val="0"/>
                <w:sz w:val="21"/>
                <w:szCs w:val="21"/>
                <w:highlight w:val="none"/>
              </w:rPr>
              <w:t xml:space="preserve">100 </w:t>
            </w:r>
          </w:p>
        </w:tc>
      </w:tr>
    </w:tbl>
    <w:p>
      <w:pPr>
        <w:topLinePunct/>
        <w:autoSpaceDE w:val="0"/>
        <w:autoSpaceDN w:val="0"/>
        <w:spacing w:after="0" w:line="360" w:lineRule="auto"/>
        <w:ind w:firstLine="420" w:firstLineChars="200"/>
        <w:outlineLvl w:val="2"/>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 落实政府采购政策进行价格调整的规则：</w:t>
      </w:r>
    </w:p>
    <w:tbl>
      <w:tblPr>
        <w:tblStyle w:val="13"/>
        <w:tblW w:w="87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8"/>
        <w:gridCol w:w="3561"/>
        <w:gridCol w:w="3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68" w:type="dxa"/>
            <w:noWrap w:val="0"/>
            <w:vAlign w:val="center"/>
          </w:tcPr>
          <w:p>
            <w:pPr>
              <w:pStyle w:val="19"/>
              <w:widowControl w:val="0"/>
              <w:spacing w:line="240" w:lineRule="auto"/>
              <w:jc w:val="center"/>
              <w:rPr>
                <w:rFonts w:hint="default" w:ascii="宋体" w:hAnsi="宋体"/>
                <w:b/>
                <w:color w:val="auto"/>
                <w:kern w:val="2"/>
                <w:sz w:val="21"/>
                <w:szCs w:val="21"/>
                <w:highlight w:val="none"/>
              </w:rPr>
            </w:pPr>
            <w:r>
              <w:rPr>
                <w:rFonts w:ascii="宋体" w:hAnsi="宋体"/>
                <w:b/>
                <w:color w:val="auto"/>
                <w:kern w:val="2"/>
                <w:sz w:val="21"/>
                <w:szCs w:val="21"/>
                <w:highlight w:val="none"/>
              </w:rPr>
              <w:t>政府采购政策</w:t>
            </w:r>
          </w:p>
        </w:tc>
        <w:tc>
          <w:tcPr>
            <w:tcW w:w="3561" w:type="dxa"/>
            <w:noWrap w:val="0"/>
            <w:vAlign w:val="center"/>
          </w:tcPr>
          <w:p>
            <w:pPr>
              <w:pStyle w:val="19"/>
              <w:widowControl w:val="0"/>
              <w:spacing w:line="240" w:lineRule="auto"/>
              <w:jc w:val="center"/>
              <w:rPr>
                <w:rFonts w:hint="default" w:ascii="宋体" w:hAnsi="宋体"/>
                <w:b/>
                <w:color w:val="auto"/>
                <w:kern w:val="2"/>
                <w:sz w:val="21"/>
                <w:szCs w:val="21"/>
                <w:highlight w:val="none"/>
              </w:rPr>
            </w:pPr>
            <w:r>
              <w:rPr>
                <w:rFonts w:ascii="宋体" w:hAnsi="宋体"/>
                <w:b/>
                <w:color w:val="auto"/>
                <w:kern w:val="2"/>
                <w:sz w:val="21"/>
                <w:szCs w:val="21"/>
                <w:highlight w:val="none"/>
              </w:rPr>
              <w:t>价格扣除规则</w:t>
            </w:r>
          </w:p>
        </w:tc>
        <w:tc>
          <w:tcPr>
            <w:tcW w:w="3129" w:type="dxa"/>
            <w:noWrap w:val="0"/>
            <w:vAlign w:val="center"/>
          </w:tcPr>
          <w:p>
            <w:pPr>
              <w:pStyle w:val="19"/>
              <w:widowControl w:val="0"/>
              <w:spacing w:line="240" w:lineRule="auto"/>
              <w:jc w:val="center"/>
              <w:rPr>
                <w:rFonts w:hint="default" w:ascii="宋体" w:hAnsi="宋体"/>
                <w:b/>
                <w:color w:val="auto"/>
                <w:kern w:val="2"/>
                <w:sz w:val="21"/>
                <w:szCs w:val="21"/>
                <w:highlight w:val="none"/>
              </w:rPr>
            </w:pPr>
            <w:r>
              <w:rPr>
                <w:rFonts w:ascii="宋体" w:hAnsi="宋体"/>
                <w:b/>
                <w:color w:val="auto"/>
                <w:kern w:val="2"/>
                <w:sz w:val="21"/>
                <w:szCs w:val="21"/>
                <w:highlight w:val="none"/>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68" w:type="dxa"/>
            <w:noWrap w:val="0"/>
            <w:vAlign w:val="center"/>
          </w:tcPr>
          <w:p>
            <w:pPr>
              <w:pStyle w:val="19"/>
              <w:widowControl w:val="0"/>
              <w:spacing w:line="24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节约能源政策</w:t>
            </w:r>
          </w:p>
        </w:tc>
        <w:tc>
          <w:tcPr>
            <w:tcW w:w="3561" w:type="dxa"/>
            <w:noWrap w:val="0"/>
            <w:vAlign w:val="center"/>
          </w:tcPr>
          <w:p>
            <w:pPr>
              <w:pStyle w:val="19"/>
              <w:widowControl w:val="0"/>
              <w:spacing w:line="240" w:lineRule="auto"/>
              <w:jc w:val="center"/>
              <w:rPr>
                <w:rFonts w:hint="eastAsia"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c>
          <w:tcPr>
            <w:tcW w:w="3129" w:type="dxa"/>
            <w:noWrap w:val="0"/>
            <w:vAlign w:val="center"/>
          </w:tcPr>
          <w:p>
            <w:pPr>
              <w:pStyle w:val="19"/>
              <w:widowControl w:val="0"/>
              <w:spacing w:line="240" w:lineRule="auto"/>
              <w:jc w:val="center"/>
              <w:rPr>
                <w:rFonts w:hint="eastAsia"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68" w:type="dxa"/>
            <w:noWrap w:val="0"/>
            <w:vAlign w:val="center"/>
          </w:tcPr>
          <w:p>
            <w:pPr>
              <w:pStyle w:val="19"/>
              <w:widowControl w:val="0"/>
              <w:spacing w:line="24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保护环境政策</w:t>
            </w:r>
          </w:p>
        </w:tc>
        <w:tc>
          <w:tcPr>
            <w:tcW w:w="3561" w:type="dxa"/>
            <w:noWrap w:val="0"/>
            <w:vAlign w:val="center"/>
          </w:tcPr>
          <w:p>
            <w:pPr>
              <w:pStyle w:val="19"/>
              <w:widowControl w:val="0"/>
              <w:spacing w:line="240" w:lineRule="auto"/>
              <w:jc w:val="center"/>
              <w:rPr>
                <w:rFonts w:hint="eastAsia"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c>
          <w:tcPr>
            <w:tcW w:w="3129" w:type="dxa"/>
            <w:noWrap w:val="0"/>
            <w:vAlign w:val="center"/>
          </w:tcPr>
          <w:p>
            <w:pPr>
              <w:pStyle w:val="19"/>
              <w:widowControl w:val="0"/>
              <w:spacing w:line="240" w:lineRule="auto"/>
              <w:jc w:val="center"/>
              <w:rPr>
                <w:rFonts w:hint="eastAsia"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68" w:type="dxa"/>
            <w:noWrap w:val="0"/>
            <w:vAlign w:val="center"/>
          </w:tcPr>
          <w:p>
            <w:pPr>
              <w:pStyle w:val="19"/>
              <w:widowControl w:val="0"/>
              <w:spacing w:line="24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促进中小企业</w:t>
            </w:r>
          </w:p>
          <w:p>
            <w:pPr>
              <w:pStyle w:val="19"/>
              <w:widowControl w:val="0"/>
              <w:spacing w:line="24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发展政策</w:t>
            </w:r>
          </w:p>
        </w:tc>
        <w:tc>
          <w:tcPr>
            <w:tcW w:w="6690" w:type="dxa"/>
            <w:gridSpan w:val="2"/>
            <w:noWrap w:val="0"/>
            <w:vAlign w:val="center"/>
          </w:tcPr>
          <w:p>
            <w:pPr>
              <w:pStyle w:val="19"/>
              <w:widowControl w:val="0"/>
              <w:spacing w:line="240" w:lineRule="auto"/>
              <w:jc w:val="center"/>
              <w:rPr>
                <w:rFonts w:hint="default"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已专门面向中小企业采购，不再享受政策优惠。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68" w:type="dxa"/>
            <w:noWrap w:val="0"/>
            <w:vAlign w:val="center"/>
          </w:tcPr>
          <w:p>
            <w:pPr>
              <w:pStyle w:val="19"/>
              <w:widowControl w:val="0"/>
              <w:spacing w:line="24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促进残疾人就业政策</w:t>
            </w:r>
          </w:p>
        </w:tc>
        <w:tc>
          <w:tcPr>
            <w:tcW w:w="6690" w:type="dxa"/>
            <w:gridSpan w:val="2"/>
            <w:noWrap w:val="0"/>
            <w:vAlign w:val="center"/>
          </w:tcPr>
          <w:p>
            <w:pPr>
              <w:pStyle w:val="19"/>
              <w:widowControl w:val="0"/>
              <w:spacing w:line="240" w:lineRule="auto"/>
              <w:jc w:val="center"/>
              <w:rPr>
                <w:rFonts w:hint="eastAsia"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68" w:type="dxa"/>
            <w:noWrap w:val="0"/>
            <w:vAlign w:val="center"/>
          </w:tcPr>
          <w:p>
            <w:pPr>
              <w:pStyle w:val="19"/>
              <w:widowControl w:val="0"/>
              <w:spacing w:line="24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支持监狱企业</w:t>
            </w:r>
          </w:p>
          <w:p>
            <w:pPr>
              <w:pStyle w:val="19"/>
              <w:widowControl w:val="0"/>
              <w:spacing w:line="24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发展政策</w:t>
            </w:r>
          </w:p>
        </w:tc>
        <w:tc>
          <w:tcPr>
            <w:tcW w:w="6690" w:type="dxa"/>
            <w:gridSpan w:val="2"/>
            <w:noWrap w:val="0"/>
            <w:vAlign w:val="center"/>
          </w:tcPr>
          <w:p>
            <w:pPr>
              <w:pStyle w:val="19"/>
              <w:widowControl w:val="0"/>
              <w:spacing w:line="240" w:lineRule="auto"/>
              <w:jc w:val="center"/>
              <w:rPr>
                <w:rFonts w:hint="default" w:ascii="宋体" w:hAnsi="宋体"/>
                <w:color w:val="auto"/>
                <w:kern w:val="2"/>
                <w:sz w:val="21"/>
                <w:szCs w:val="21"/>
                <w:highlight w:val="none"/>
              </w:rPr>
            </w:pPr>
            <w:r>
              <w:rPr>
                <w:rFonts w:hint="eastAsia" w:ascii="宋体" w:hAnsi="宋体"/>
                <w:color w:val="auto"/>
                <w:kern w:val="2"/>
                <w:sz w:val="21"/>
                <w:szCs w:val="21"/>
                <w:highlight w:val="none"/>
                <w:lang w:val="en-US" w:eastAsia="zh-CN"/>
              </w:rPr>
              <w:t>同上</w:t>
            </w:r>
          </w:p>
        </w:tc>
      </w:tr>
    </w:tbl>
    <w:p>
      <w:pPr>
        <w:rPr>
          <w:color w:val="auto"/>
          <w:highlight w:val="none"/>
        </w:rPr>
        <w:sectPr>
          <w:pgSz w:w="11906" w:h="16838"/>
          <w:pgMar w:top="1440" w:right="1752" w:bottom="1440" w:left="1752" w:header="851" w:footer="992" w:gutter="0"/>
          <w:pgNumType w:fmt="decimal"/>
          <w:cols w:space="720" w:num="1"/>
          <w:titlePg/>
          <w:docGrid w:type="lines" w:linePitch="312" w:charSpace="0"/>
        </w:sectPr>
      </w:pPr>
    </w:p>
    <w:p>
      <w:pPr>
        <w:bidi w:val="0"/>
        <w:jc w:val="center"/>
        <w:outlineLvl w:val="0"/>
        <w:rPr>
          <w:rFonts w:hint="eastAsia" w:ascii="华文中宋" w:hAnsi="华文中宋" w:eastAsia="华文中宋" w:cs="华文中宋"/>
          <w:b/>
          <w:bCs/>
          <w:color w:val="auto"/>
          <w:sz w:val="28"/>
          <w:szCs w:val="28"/>
          <w:highlight w:val="none"/>
        </w:rPr>
      </w:pPr>
      <w:bookmarkStart w:id="12" w:name="_Toc132880667"/>
      <w:r>
        <w:rPr>
          <w:rFonts w:hint="eastAsia" w:ascii="华文中宋" w:hAnsi="华文中宋" w:eastAsia="华文中宋" w:cs="华文中宋"/>
          <w:b/>
          <w:bCs/>
          <w:color w:val="auto"/>
          <w:sz w:val="28"/>
          <w:szCs w:val="28"/>
          <w:highlight w:val="none"/>
        </w:rPr>
        <w:t>第四章  政府采购合同文本</w:t>
      </w:r>
      <w:bookmarkEnd w:id="12"/>
    </w:p>
    <w:p>
      <w:pPr>
        <w:pStyle w:val="8"/>
        <w:spacing w:line="360" w:lineRule="auto"/>
        <w:ind w:firstLine="480"/>
        <w:jc w:val="center"/>
        <w:rPr>
          <w:rFonts w:hint="eastAsia" w:hAnsi="宋体" w:cs="宋体"/>
          <w:color w:val="auto"/>
          <w:sz w:val="21"/>
          <w:szCs w:val="21"/>
          <w:highlight w:val="none"/>
        </w:rPr>
      </w:pPr>
      <w:r>
        <w:rPr>
          <w:rFonts w:hint="eastAsia" w:hAnsi="宋体" w:cs="宋体"/>
          <w:color w:val="auto"/>
          <w:sz w:val="21"/>
          <w:szCs w:val="21"/>
          <w:highlight w:val="none"/>
        </w:rPr>
        <w:t>（具体格式参照“4.7合同范本”）</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华文中宋" w:hAnsi="华文中宋" w:eastAsia="华文中宋" w:cs="华文中宋"/>
          <w:color w:val="auto"/>
          <w:sz w:val="28"/>
          <w:szCs w:val="28"/>
          <w:highlight w:val="none"/>
          <w:lang w:val="en-US" w:eastAsia="zh-CN"/>
        </w:rPr>
      </w:pPr>
      <w:r>
        <w:rPr>
          <w:rFonts w:hint="eastAsia" w:ascii="华文中宋" w:hAnsi="华文中宋" w:eastAsia="华文中宋" w:cs="华文中宋"/>
          <w:color w:val="auto"/>
          <w:sz w:val="28"/>
          <w:szCs w:val="28"/>
          <w:highlight w:val="none"/>
          <w:lang w:val="en-US" w:eastAsia="zh-CN"/>
        </w:rPr>
        <w:t>4</w:t>
      </w:r>
      <w:r>
        <w:rPr>
          <w:rFonts w:hint="eastAsia" w:ascii="华文中宋" w:hAnsi="华文中宋" w:eastAsia="华文中宋" w:cs="华文中宋"/>
          <w:color w:val="auto"/>
          <w:sz w:val="28"/>
          <w:szCs w:val="28"/>
          <w:highlight w:val="none"/>
        </w:rPr>
        <w:t>.</w:t>
      </w:r>
      <w:r>
        <w:rPr>
          <w:rFonts w:hint="eastAsia" w:ascii="华文中宋" w:hAnsi="华文中宋" w:eastAsia="华文中宋" w:cs="华文中宋"/>
          <w:color w:val="auto"/>
          <w:sz w:val="28"/>
          <w:szCs w:val="28"/>
          <w:highlight w:val="none"/>
          <w:lang w:val="en-US" w:eastAsia="zh-CN"/>
        </w:rPr>
        <w:t>7</w:t>
      </w:r>
      <w:r>
        <w:rPr>
          <w:rFonts w:hint="eastAsia" w:ascii="华文中宋" w:hAnsi="华文中宋" w:eastAsia="华文中宋" w:cs="华文中宋"/>
          <w:color w:val="auto"/>
          <w:sz w:val="28"/>
          <w:szCs w:val="28"/>
          <w:highlight w:val="none"/>
        </w:rPr>
        <w:t>.</w:t>
      </w:r>
      <w:r>
        <w:rPr>
          <w:rFonts w:hint="eastAsia" w:ascii="华文中宋" w:hAnsi="华文中宋" w:eastAsia="华文中宋" w:cs="华文中宋"/>
          <w:color w:val="auto"/>
          <w:sz w:val="28"/>
          <w:szCs w:val="28"/>
          <w:highlight w:val="none"/>
          <w:lang w:val="en-US" w:eastAsia="zh-CN"/>
        </w:rPr>
        <w:t>2</w:t>
      </w:r>
      <w:r>
        <w:rPr>
          <w:rFonts w:hint="eastAsia" w:ascii="华文中宋" w:hAnsi="华文中宋" w:eastAsia="华文中宋" w:cs="华文中宋"/>
          <w:color w:val="auto"/>
          <w:sz w:val="28"/>
          <w:szCs w:val="28"/>
          <w:highlight w:val="none"/>
        </w:rPr>
        <w:t>.</w:t>
      </w:r>
      <w:r>
        <w:rPr>
          <w:rFonts w:hint="eastAsia" w:ascii="华文中宋" w:hAnsi="华文中宋" w:eastAsia="华文中宋" w:cs="华文中宋"/>
          <w:color w:val="auto"/>
          <w:sz w:val="28"/>
          <w:szCs w:val="28"/>
          <w:highlight w:val="none"/>
          <w:lang w:val="en-US" w:eastAsia="zh-CN"/>
        </w:rPr>
        <w:t>1</w:t>
      </w:r>
      <w:r>
        <w:rPr>
          <w:rFonts w:hint="eastAsia" w:ascii="华文中宋" w:hAnsi="华文中宋" w:eastAsia="华文中宋" w:cs="华文中宋"/>
          <w:color w:val="auto"/>
          <w:sz w:val="28"/>
          <w:szCs w:val="28"/>
          <w:highlight w:val="none"/>
        </w:rPr>
        <w:t>　技术服务类项目合同</w:t>
      </w:r>
      <w:r>
        <w:rPr>
          <w:rFonts w:hint="eastAsia" w:ascii="华文中宋" w:hAnsi="华文中宋" w:eastAsia="华文中宋" w:cs="华文中宋"/>
          <w:color w:val="auto"/>
          <w:sz w:val="28"/>
          <w:szCs w:val="28"/>
          <w:highlight w:val="none"/>
          <w:lang w:eastAsia="zh-CN"/>
        </w:rPr>
        <w:t>范本</w:t>
      </w:r>
    </w:p>
    <w:p>
      <w:pPr>
        <w:pStyle w:val="8"/>
        <w:jc w:val="center"/>
        <w:rPr>
          <w:rFonts w:hint="eastAsia" w:hAnsi="宋体" w:cs="宋体"/>
          <w:b/>
          <w:color w:val="auto"/>
          <w:sz w:val="96"/>
          <w:szCs w:val="96"/>
          <w:highlight w:val="none"/>
        </w:rPr>
      </w:pPr>
    </w:p>
    <w:p>
      <w:pPr>
        <w:pStyle w:val="8"/>
        <w:jc w:val="center"/>
        <w:rPr>
          <w:rFonts w:hint="eastAsia" w:hAnsi="宋体" w:cs="宋体"/>
          <w:b/>
          <w:color w:val="auto"/>
          <w:sz w:val="96"/>
          <w:szCs w:val="96"/>
          <w:highlight w:val="none"/>
        </w:rPr>
      </w:pPr>
    </w:p>
    <w:p>
      <w:pPr>
        <w:pStyle w:val="8"/>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合 同 书</w:t>
      </w:r>
    </w:p>
    <w:p>
      <w:pPr>
        <w:pStyle w:val="8"/>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outlineLvl w:val="9"/>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项目名称：</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lang w:eastAsia="zh-CN"/>
        </w:rPr>
        <w:t>包</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eastAsia="zh-CN"/>
        </w:rPr>
        <w:t>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合同编号：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方正小标宋简体" w:hAnsi="方正小标宋简体" w:eastAsia="方正小标宋简体" w:cs="方正小标宋简体"/>
          <w:b w:val="0"/>
          <w:bCs/>
          <w:color w:val="auto"/>
          <w:sz w:val="24"/>
          <w:szCs w:val="24"/>
          <w:highlight w:val="none"/>
        </w:rPr>
      </w:pPr>
    </w:p>
    <w:p>
      <w:pPr>
        <w:pStyle w:val="8"/>
        <w:spacing w:line="460" w:lineRule="exact"/>
        <w:jc w:val="center"/>
        <w:rPr>
          <w:rFonts w:hint="eastAsia" w:ascii="方正小标宋简体" w:hAnsi="方正小标宋简体" w:eastAsia="方正小标宋简体" w:cs="方正小标宋简体"/>
          <w:b w:val="0"/>
          <w:bCs/>
          <w:color w:val="auto"/>
          <w:sz w:val="24"/>
          <w:szCs w:val="24"/>
          <w:highlight w:val="none"/>
        </w:rPr>
      </w:pPr>
    </w:p>
    <w:p>
      <w:pPr>
        <w:pStyle w:val="8"/>
        <w:tabs>
          <w:tab w:val="left" w:pos="3045"/>
        </w:tabs>
        <w:spacing w:line="460" w:lineRule="exact"/>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ab/>
      </w:r>
    </w:p>
    <w:p>
      <w:pPr>
        <w:pStyle w:val="8"/>
        <w:spacing w:line="460" w:lineRule="exact"/>
        <w:jc w:val="both"/>
        <w:rPr>
          <w:rFonts w:hint="eastAsia" w:ascii="方正小标宋简体" w:hAnsi="方正小标宋简体" w:eastAsia="方正小标宋简体" w:cs="方正小标宋简体"/>
          <w:b w:val="0"/>
          <w:bCs/>
          <w:color w:val="auto"/>
          <w:sz w:val="24"/>
          <w:szCs w:val="24"/>
          <w:highlight w:val="none"/>
        </w:rPr>
      </w:pPr>
    </w:p>
    <w:p>
      <w:pPr>
        <w:pStyle w:val="8"/>
        <w:spacing w:line="460" w:lineRule="exact"/>
        <w:jc w:val="center"/>
        <w:rPr>
          <w:rFonts w:hint="eastAsia" w:ascii="方正小标宋简体" w:hAnsi="方正小标宋简体" w:eastAsia="方正小标宋简体" w:cs="方正小标宋简体"/>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 xml:space="preserve">甲    方： </w:t>
      </w:r>
      <w:r>
        <w:rPr>
          <w:rFonts w:hint="eastAsia" w:ascii="方正小标宋简体" w:hAnsi="方正小标宋简体" w:eastAsia="方正小标宋简体" w:cs="方正小标宋简体"/>
          <w:b w:val="0"/>
          <w:bCs/>
          <w:color w:val="auto"/>
          <w:sz w:val="24"/>
          <w:szCs w:val="24"/>
          <w:highlight w:val="none"/>
          <w:u w:val="single"/>
        </w:rPr>
        <w:t>国家税务总局</w:t>
      </w:r>
      <w:r>
        <w:rPr>
          <w:rFonts w:hint="eastAsia" w:ascii="方正小标宋简体" w:hAnsi="方正小标宋简体" w:eastAsia="方正小标宋简体" w:cs="方正小标宋简体"/>
          <w:b w:val="0"/>
          <w:bCs/>
          <w:color w:val="auto"/>
          <w:sz w:val="24"/>
          <w:szCs w:val="24"/>
          <w:highlight w:val="none"/>
          <w:u w:val="single"/>
          <w:lang w:val="en-US" w:eastAsia="zh-CN"/>
        </w:rPr>
        <w:t>XX税务局</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eastAsia"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乙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eastAsia" w:ascii="方正小标宋简体" w:hAnsi="方正小标宋简体" w:eastAsia="方正小标宋简体" w:cs="方正小标宋简体"/>
          <w:b w:val="0"/>
          <w:bCs/>
          <w:color w:val="auto"/>
          <w:sz w:val="24"/>
          <w:szCs w:val="24"/>
          <w:highlight w:val="none"/>
          <w:u w:val="single"/>
          <w:lang w:eastAsia="zh-CN"/>
        </w:rPr>
      </w:pPr>
      <w:r>
        <w:rPr>
          <w:rFonts w:hint="eastAsia" w:ascii="方正小标宋简体" w:hAnsi="方正小标宋简体" w:eastAsia="方正小标宋简体" w:cs="方正小标宋简体"/>
          <w:b w:val="0"/>
          <w:bCs/>
          <w:color w:val="auto"/>
          <w:sz w:val="24"/>
          <w:szCs w:val="24"/>
          <w:highlight w:val="none"/>
        </w:rPr>
        <w:t xml:space="preserve">日    期： </w:t>
      </w:r>
      <w:r>
        <w:rPr>
          <w:rFonts w:hint="eastAsia" w:ascii="方正小标宋简体" w:hAnsi="方正小标宋简体" w:eastAsia="方正小标宋简体" w:cs="方正小标宋简体"/>
          <w:b w:val="0"/>
          <w:bCs/>
          <w:color w:val="auto"/>
          <w:sz w:val="24"/>
          <w:szCs w:val="24"/>
          <w:highlight w:val="none"/>
          <w:u w:val="single"/>
        </w:rPr>
        <w:t xml:space="preserve">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年</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 xml:space="preserve">月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lang w:eastAsia="zh-CN"/>
        </w:rPr>
        <w:t>日</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9"/>
        <w:rPr>
          <w:rFonts w:hint="eastAsia" w:ascii="宋体" w:hAnsi="宋体" w:cs="宋体"/>
          <w:b/>
          <w:color w:val="auto"/>
          <w:sz w:val="24"/>
          <w:szCs w:val="24"/>
          <w:highlight w:val="none"/>
        </w:rPr>
      </w:pPr>
      <w:r>
        <w:rPr>
          <w:rFonts w:ascii="宋体" w:hAnsi="宋体" w:cs="宋体"/>
          <w:b/>
          <w:bCs/>
          <w:color w:val="auto"/>
          <w:sz w:val="28"/>
          <w:highlight w:val="none"/>
          <w:u w:val="single"/>
        </w:rPr>
        <w:br w:type="page"/>
      </w:r>
      <w:r>
        <w:rPr>
          <w:rFonts w:hint="eastAsia" w:ascii="宋体" w:hAnsi="宋体" w:cs="宋体"/>
          <w:b/>
          <w:color w:val="auto"/>
          <w:sz w:val="24"/>
          <w:szCs w:val="24"/>
          <w:highlight w:val="none"/>
        </w:rPr>
        <w:t>合同条款前附表</w:t>
      </w:r>
    </w:p>
    <w:tbl>
      <w:tblPr>
        <w:tblStyle w:val="12"/>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7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合同编号</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合同类型</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定价方式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c>
          <w:tcPr>
            <w:tcW w:w="1909" w:type="dxa"/>
            <w:gridSpan w:val="2"/>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甲方名称</w:t>
            </w:r>
          </w:p>
        </w:tc>
        <w:tc>
          <w:tcPr>
            <w:tcW w:w="6264"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甲方地址</w:t>
            </w:r>
          </w:p>
        </w:tc>
        <w:tc>
          <w:tcPr>
            <w:tcW w:w="626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restart"/>
            <w:tcBorders>
              <w:top w:val="single" w:color="auto" w:sz="6"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甲方相关部门</w:t>
            </w:r>
          </w:p>
        </w:tc>
        <w:tc>
          <w:tcPr>
            <w:tcW w:w="150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甲方采购部门</w:t>
            </w:r>
          </w:p>
        </w:tc>
        <w:tc>
          <w:tcPr>
            <w:tcW w:w="626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default" w:ascii="Times New Roman" w:hAnsi="Times New Roman" w:cs="Times New Roman"/>
                <w:color w:val="auto"/>
                <w:sz w:val="21"/>
                <w:szCs w:val="21"/>
                <w:highlight w:val="none"/>
                <w:lang w:eastAsia="zh-CN"/>
              </w:rPr>
              <w:t>需求部门</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6</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乙方企业性质</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中型企业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小型企业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微型企业    </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监狱企业</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残疾人福利性单位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乙方地址</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乙方联系人</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传真</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7</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合同金额</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8</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服务内容</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本合同服务内容为：</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9</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合同付款</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numPr>
                <w:ilvl w:val="0"/>
                <w:numId w:val="0"/>
              </w:numPr>
              <w:tabs>
                <w:tab w:val="left" w:pos="84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合同以人民币结算，付款方式：</w:t>
            </w:r>
          </w:p>
          <w:p>
            <w:pPr>
              <w:pStyle w:val="20"/>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第一次付款：在</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后，甲方支付乙方合同金额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pStyle w:val="20"/>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第二次付款：在</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后，甲方支付乙方合同金额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p>
          <w:p>
            <w:pPr>
              <w:pStyle w:val="20"/>
              <w:keepNext w:val="0"/>
              <w:keepLines w:val="0"/>
              <w:pageBreakBefore w:val="0"/>
              <w:numPr>
                <w:ilvl w:val="0"/>
                <w:numId w:val="0"/>
              </w:numPr>
              <w:tabs>
                <w:tab w:val="left" w:pos="84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
              </w:rPr>
              <w:t>......</w:t>
            </w:r>
          </w:p>
          <w:p>
            <w:pPr>
              <w:pStyle w:val="20"/>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每次办理付款时，乙方应提供发票、付款申请（格式另附）、</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出具的验收意见。</w:t>
            </w:r>
            <w:r>
              <w:rPr>
                <w:rFonts w:hint="default" w:ascii="Times New Roman" w:hAnsi="Times New Roman" w:cs="Times New Roman"/>
                <w:color w:val="auto"/>
                <w:sz w:val="21"/>
                <w:szCs w:val="21"/>
                <w:highlight w:val="none"/>
                <w:lang w:eastAsia="zh-CN"/>
              </w:rPr>
              <w:t>支付合同款项时（合同初次付款外），如属于信息化监理范围内的项目，应经实施单位、业主单位、监理单位共同签字认可；如属于需要进行中期报告的项目，应附中期报告审议意见为“通过”的文书。</w:t>
            </w:r>
          </w:p>
          <w:p>
            <w:pPr>
              <w:pStyle w:val="20"/>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甲方在收到发票等合同约定资料后，进行核实。满足合同约定支付条件的，自收到发票后30日内将资金以</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cs="Times New Roman"/>
                <w:color w:val="auto"/>
                <w:kern w:val="2"/>
                <w:sz w:val="21"/>
                <w:szCs w:val="21"/>
                <w:highlight w:val="none"/>
                <w:u w:val="single"/>
                <w:lang w:val="en-US" w:eastAsia="zh-CN" w:bidi="ar-SA"/>
              </w:rPr>
              <w:t xml:space="preserve">  （如：</w:t>
            </w:r>
            <w:r>
              <w:rPr>
                <w:rFonts w:hint="default" w:ascii="Times New Roman" w:hAnsi="Times New Roman" w:cs="Times New Roman"/>
                <w:color w:val="auto"/>
                <w:sz w:val="21"/>
                <w:szCs w:val="21"/>
                <w:highlight w:val="none"/>
              </w:rPr>
              <w:t>电汇</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方式支付到乙方账户。</w:t>
            </w:r>
          </w:p>
          <w:p>
            <w:pPr>
              <w:pStyle w:val="20"/>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履约保证金及返还</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□本</w:t>
            </w:r>
            <w:r>
              <w:rPr>
                <w:rFonts w:hint="default" w:ascii="Times New Roman" w:hAnsi="Times New Roman" w:cs="Times New Roman"/>
                <w:color w:val="auto"/>
                <w:sz w:val="21"/>
                <w:szCs w:val="21"/>
                <w:highlight w:val="none"/>
                <w:lang w:eastAsia="zh-CN"/>
              </w:rPr>
              <w:t>项目不要求提供履约保证金。</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□本项目要求提供履约保证金。履约保证金为合同</w:t>
            </w:r>
            <w:r>
              <w:rPr>
                <w:rFonts w:hint="default" w:ascii="Times New Roman" w:hAnsi="Times New Roman" w:cs="Times New Roman"/>
                <w:color w:val="auto"/>
                <w:sz w:val="21"/>
                <w:szCs w:val="21"/>
                <w:highlight w:val="none"/>
                <w:lang w:eastAsia="zh-CN"/>
              </w:rPr>
              <w:t>总</w:t>
            </w:r>
            <w:r>
              <w:rPr>
                <w:rFonts w:hint="default" w:ascii="Times New Roman" w:hAnsi="Times New Roman" w:cs="Times New Roman"/>
                <w:color w:val="auto"/>
                <w:sz w:val="21"/>
                <w:szCs w:val="21"/>
                <w:highlight w:val="none"/>
              </w:rPr>
              <w:t>金额</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none"/>
                <w:lang w:val="en" w:eastAsia="zh-CN"/>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乙方应在合同签订之日起 30 日内提交甲方。提交方式为银行电汇、金融机构或担保机构出具的保函。在合同履行期满，扣除应扣除的款项（如有）且双方无争议后，无息返还。</w:t>
            </w:r>
          </w:p>
          <w:p>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办理返还履约保证金时，乙方应提供履约保证金返还申请（格式另附）、</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出具的项目终验意见或</w:t>
            </w:r>
            <w:r>
              <w:rPr>
                <w:rFonts w:hint="default" w:ascii="Times New Roman" w:hAnsi="Times New Roman" w:cs="Times New Roman"/>
                <w:color w:val="auto"/>
                <w:sz w:val="21"/>
                <w:szCs w:val="21"/>
                <w:highlight w:val="none"/>
                <w:lang w:eastAsia="zh-CN"/>
              </w:rPr>
              <w:t>质量保证</w:t>
            </w:r>
            <w:r>
              <w:rPr>
                <w:rFonts w:hint="default" w:ascii="Times New Roman" w:hAnsi="Times New Roman" w:cs="Times New Roman"/>
                <w:color w:val="auto"/>
                <w:sz w:val="21"/>
                <w:szCs w:val="21"/>
                <w:highlight w:val="none"/>
              </w:rPr>
              <w:t>期（服务期）满验收意见。</w:t>
            </w:r>
          </w:p>
          <w:p>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满足履约保证金返还条件的，甲方在收到返还相关信息等合同约定资料后，进行核实。对核实结果无异议的，自完成核实之日起30日内，以</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方式返还履约保证金</w:t>
            </w:r>
            <w:r>
              <w:rPr>
                <w:rFonts w:hint="default" w:ascii="Times New Roman" w:hAnsi="Times New Roman" w:cs="Times New Roman"/>
                <w:color w:val="auto"/>
                <w:sz w:val="21"/>
                <w:szCs w:val="21"/>
                <w:highlight w:val="none"/>
                <w:lang w:eastAsia="zh-CN"/>
              </w:rPr>
              <w:t>或退回保函</w:t>
            </w:r>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合同履行期限</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自合同签订之日起至质量保障期</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服务期）满</w:t>
            </w:r>
            <w:r>
              <w:rPr>
                <w:rFonts w:hint="default" w:ascii="Times New Roman" w:hAnsi="Times New Roman" w:cs="Times New Roman"/>
                <w:color w:val="auto"/>
                <w:sz w:val="21"/>
                <w:szCs w:val="21"/>
                <w:highlight w:val="none"/>
                <w:lang w:eastAsia="zh-CN"/>
              </w:rPr>
              <w:t>验收合格</w:t>
            </w:r>
            <w:r>
              <w:rPr>
                <w:rFonts w:hint="default" w:ascii="Times New Roman" w:hAnsi="Times New Roman" w:cs="Times New Roman"/>
                <w:color w:val="auto"/>
                <w:sz w:val="21"/>
                <w:szCs w:val="21"/>
                <w:highlight w:val="none"/>
              </w:rPr>
              <w:t>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项目</w:t>
            </w:r>
            <w:r>
              <w:rPr>
                <w:rFonts w:hint="default" w:ascii="Times New Roman" w:hAnsi="Times New Roman" w:cs="Times New Roman"/>
                <w:color w:val="auto"/>
                <w:sz w:val="21"/>
                <w:szCs w:val="21"/>
                <w:highlight w:val="none"/>
              </w:rPr>
              <w:t>质量保障期</w:t>
            </w:r>
          </w:p>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cs="Times New Roman"/>
                <w:color w:val="auto"/>
                <w:sz w:val="21"/>
                <w:szCs w:val="21"/>
                <w:highlight w:val="none"/>
                <w:lang w:eastAsia="zh-CN"/>
              </w:rPr>
              <w:t>（服务期）</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自合同签订之日起至</w:t>
            </w:r>
            <w:r>
              <w:rPr>
                <w:rFonts w:hint="default" w:ascii="Times New Roman" w:hAnsi="Times New Roman" w:cs="Times New Roman"/>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合同履约地点</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合同约定地点或甲方指定地点</w:t>
            </w:r>
          </w:p>
        </w:tc>
      </w:tr>
    </w:tbl>
    <w:p>
      <w:pPr>
        <w:tabs>
          <w:tab w:val="left" w:pos="700"/>
        </w:tabs>
        <w:topLinePunct/>
        <w:autoSpaceDE w:val="0"/>
        <w:autoSpaceDN w:val="0"/>
        <w:spacing w:line="460" w:lineRule="exact"/>
        <w:rPr>
          <w:rFonts w:hint="eastAsia" w:ascii="宋体" w:hAnsi="宋体" w:cs="宋体"/>
          <w:b/>
          <w:color w:val="auto"/>
          <w:sz w:val="24"/>
          <w:highlight w:val="none"/>
        </w:rPr>
      </w:pPr>
      <w:r>
        <w:rPr>
          <w:rFonts w:hint="eastAsia" w:ascii="宋体" w:hAnsi="宋体" w:cs="宋体"/>
          <w:b/>
          <w:color w:val="auto"/>
          <w:sz w:val="28"/>
          <w:highlight w:val="none"/>
        </w:rPr>
        <w:br w:type="page"/>
      </w:r>
    </w:p>
    <w:p>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outlineLvl w:val="2"/>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pPr>
        <w:tabs>
          <w:tab w:val="left" w:pos="540"/>
        </w:tabs>
        <w:topLinePunct/>
        <w:autoSpaceDE w:val="0"/>
        <w:autoSpaceDN w:val="0"/>
        <w:spacing w:line="460" w:lineRule="exact"/>
        <w:rPr>
          <w:rFonts w:hint="default" w:ascii="Times New Roman" w:hAnsi="Times New Roman" w:cs="Times New Roman"/>
          <w:b/>
          <w:color w:val="auto"/>
          <w:sz w:val="24"/>
          <w:highlight w:val="none"/>
        </w:rPr>
      </w:pP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国家税务总局（以下简称“甲方”）通过</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式</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确定_</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_____公司（以下简称“乙方”）为《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sz w:val="21"/>
          <w:szCs w:val="21"/>
          <w:highlight w:val="none"/>
          <w:lang w:eastAsia="zh-CN"/>
        </w:rPr>
        <w:t>中标（成交）供应商</w:t>
      </w:r>
      <w:r>
        <w:rPr>
          <w:rFonts w:hint="default" w:ascii="Times New Roman" w:hAnsi="Times New Roman" w:cs="Times New Roman"/>
          <w:color w:val="auto"/>
          <w:sz w:val="21"/>
          <w:szCs w:val="21"/>
          <w:highlight w:val="none"/>
        </w:rPr>
        <w:t>。甲乙双方同意按照该项目</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约定的内容，签署《</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合同书》（合同编号：</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，以下简称“合同”)。</w:t>
      </w:r>
    </w:p>
    <w:p>
      <w:pPr>
        <w:keepNext w:val="0"/>
        <w:keepLines w:val="0"/>
        <w:pageBreakBefore w:val="0"/>
        <w:widowControl w:val="0"/>
        <w:kinsoku/>
        <w:wordWrap/>
        <w:overflowPunct/>
        <w:topLinePunct/>
        <w:autoSpaceDE w:val="0"/>
        <w:autoSpaceDN w:val="0"/>
        <w:bidi w:val="0"/>
        <w:snapToGrid w:val="0"/>
        <w:spacing w:line="360" w:lineRule="auto"/>
        <w:ind w:left="482"/>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合同文件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本合同所附下列文件是构成本合同不可分割的部分：</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（1）合同通用条款；</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（2）报价表（总报价表和分项报价表）；</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）招标（采购）文件；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投标（响应）</w:t>
      </w:r>
      <w:r>
        <w:rPr>
          <w:rFonts w:hint="default" w:ascii="Times New Roman" w:hAnsi="Times New Roman" w:cs="Times New Roman"/>
          <w:color w:val="auto"/>
          <w:sz w:val="21"/>
          <w:szCs w:val="21"/>
          <w:highlight w:val="none"/>
        </w:rPr>
        <w:t>文件。</w:t>
      </w:r>
    </w:p>
    <w:p>
      <w:pPr>
        <w:keepNext w:val="0"/>
        <w:keepLines w:val="0"/>
        <w:pageBreakBefore w:val="0"/>
        <w:widowControl w:val="0"/>
        <w:kinsoku/>
        <w:wordWrap/>
        <w:overflowPunct/>
        <w:topLinePunct/>
        <w:autoSpaceDE w:val="0"/>
        <w:autoSpaceDN w:val="0"/>
        <w:bidi w:val="0"/>
        <w:snapToGrid w:val="0"/>
        <w:spacing w:line="360" w:lineRule="auto"/>
        <w:ind w:left="482"/>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合同范围和条件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本合同的范围和条件应与上述合同文件的规定相一致。</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13" w:firstLineChars="196"/>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合同金额</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本合同金额为人民币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keepNext w:val="0"/>
        <w:keepLines w:val="0"/>
        <w:pageBreakBefore w:val="0"/>
        <w:widowControl w:val="0"/>
        <w:numPr>
          <w:ilvl w:val="0"/>
          <w:numId w:val="0"/>
        </w:numPr>
        <w:tabs>
          <w:tab w:val="left" w:pos="700"/>
        </w:tabs>
        <w:kinsoku/>
        <w:wordWrap/>
        <w:overflowPunct/>
        <w:topLinePunct/>
        <w:autoSpaceDE w:val="0"/>
        <w:autoSpaceDN w:val="0"/>
        <w:bidi w:val="0"/>
        <w:snapToGrid w:val="0"/>
        <w:spacing w:line="360" w:lineRule="auto"/>
        <w:ind w:firstLine="422" w:firstLineChars="200"/>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
        </w:rPr>
        <w:t>4.</w:t>
      </w:r>
      <w:r>
        <w:rPr>
          <w:rFonts w:hint="default" w:ascii="Times New Roman" w:hAnsi="Times New Roman" w:cs="Times New Roman"/>
          <w:b/>
          <w:color w:val="auto"/>
          <w:sz w:val="21"/>
          <w:szCs w:val="21"/>
          <w:highlight w:val="none"/>
        </w:rPr>
        <w:t>付款条件</w:t>
      </w:r>
    </w:p>
    <w:p>
      <w:pPr>
        <w:pStyle w:val="20"/>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合同以人民币结算，付款方式：</w:t>
      </w:r>
    </w:p>
    <w:p>
      <w:pPr>
        <w:pStyle w:val="20"/>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left="19" w:leftChars="9" w:firstLine="401" w:firstLineChars="191"/>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第一次付款：在</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后，甲方支付乙方合同金额</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w:t>
      </w:r>
    </w:p>
    <w:p>
      <w:pPr>
        <w:pStyle w:val="20"/>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第二次付款：在</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后，甲方支付乙方合同金额</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w:t>
      </w:r>
    </w:p>
    <w:p>
      <w:pPr>
        <w:pStyle w:val="20"/>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p>
      <w:pPr>
        <w:pStyle w:val="20"/>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每次办理付款时，乙方应提供发票、付款申请（格式另附）、</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出具的验收意见。</w:t>
      </w:r>
      <w:r>
        <w:rPr>
          <w:rFonts w:hint="default" w:ascii="Times New Roman" w:hAnsi="Times New Roman" w:cs="Times New Roman"/>
          <w:color w:val="auto"/>
          <w:sz w:val="21"/>
          <w:szCs w:val="21"/>
          <w:highlight w:val="none"/>
          <w:lang w:eastAsia="zh-CN"/>
        </w:rPr>
        <w:t>支付合同款项时（合同初次付款外），如属于信息化监理范围内的项目，应经实施单位、业主单位、监理单位共同签字认可；如属于需要进行中期报告的项目，应附中期报告审议意见为“通过”的文书。</w:t>
      </w:r>
    </w:p>
    <w:p>
      <w:pPr>
        <w:pStyle w:val="20"/>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甲方在收到发票等合同约定资料后，进行核实。满足合同约定支付条件的，自收到发票后30日内将资金以</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方式支付到乙方账户。</w:t>
      </w:r>
    </w:p>
    <w:p>
      <w:pPr>
        <w:keepNext w:val="0"/>
        <w:keepLines w:val="0"/>
        <w:pageBreakBefore w:val="0"/>
        <w:widowControl w:val="0"/>
        <w:kinsoku/>
        <w:wordWrap/>
        <w:overflowPunct/>
        <w:topLinePunct/>
        <w:autoSpaceDE w:val="0"/>
        <w:autoSpaceDN w:val="0"/>
        <w:bidi w:val="0"/>
        <w:snapToGrid w:val="0"/>
        <w:spacing w:line="360" w:lineRule="auto"/>
        <w:ind w:left="482"/>
        <w:outlineLvl w:val="2"/>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5. 合同签订</w:t>
      </w:r>
      <w:r>
        <w:rPr>
          <w:rFonts w:hint="default" w:ascii="Times New Roman" w:hAnsi="Times New Roman" w:cs="Times New Roman"/>
          <w:b/>
          <w:color w:val="auto"/>
          <w:sz w:val="21"/>
          <w:szCs w:val="21"/>
          <w:highlight w:val="none"/>
          <w:lang w:eastAsia="zh-CN"/>
        </w:rPr>
        <w:t>及生效</w:t>
      </w:r>
    </w:p>
    <w:p>
      <w:pPr>
        <w:pStyle w:val="20"/>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本合同一式</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份</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由甲乙双方</w:t>
      </w:r>
      <w:r>
        <w:rPr>
          <w:rFonts w:hint="default" w:ascii="Times New Roman" w:hAnsi="Times New Roman" w:cs="Times New Roman"/>
          <w:color w:val="auto"/>
          <w:sz w:val="21"/>
          <w:szCs w:val="21"/>
          <w:highlight w:val="none"/>
          <w:lang w:eastAsia="zh-CN"/>
        </w:rPr>
        <w:t>法定代表人或被</w:t>
      </w:r>
      <w:r>
        <w:rPr>
          <w:rFonts w:hint="default" w:ascii="Times New Roman" w:hAnsi="Times New Roman" w:cs="Times New Roman"/>
          <w:color w:val="auto"/>
          <w:sz w:val="21"/>
          <w:szCs w:val="21"/>
          <w:highlight w:val="none"/>
        </w:rPr>
        <w:t>授权</w:t>
      </w:r>
      <w:r>
        <w:rPr>
          <w:rFonts w:hint="default" w:ascii="Times New Roman" w:hAnsi="Times New Roman" w:cs="Times New Roman"/>
          <w:color w:val="auto"/>
          <w:sz w:val="21"/>
          <w:szCs w:val="21"/>
          <w:highlight w:val="none"/>
          <w:lang w:eastAsia="zh-CN"/>
        </w:rPr>
        <w:t>人</w:t>
      </w:r>
      <w:r>
        <w:rPr>
          <w:rFonts w:hint="default" w:ascii="Times New Roman" w:hAnsi="Times New Roman" w:cs="Times New Roman"/>
          <w:color w:val="auto"/>
          <w:sz w:val="21"/>
          <w:szCs w:val="21"/>
          <w:highlight w:val="none"/>
        </w:rPr>
        <w:t>签字</w:t>
      </w:r>
      <w:r>
        <w:rPr>
          <w:rFonts w:hint="default" w:ascii="Times New Roman" w:hAnsi="Times New Roman" w:cs="Times New Roman"/>
          <w:color w:val="auto"/>
          <w:sz w:val="21"/>
          <w:szCs w:val="21"/>
          <w:highlight w:val="none"/>
          <w:lang w:eastAsia="zh-CN"/>
        </w:rPr>
        <w:t>并</w:t>
      </w:r>
      <w:r>
        <w:rPr>
          <w:rFonts w:hint="default" w:ascii="Times New Roman" w:hAnsi="Times New Roman" w:cs="Times New Roman"/>
          <w:color w:val="auto"/>
          <w:sz w:val="21"/>
          <w:szCs w:val="21"/>
          <w:highlight w:val="none"/>
        </w:rPr>
        <w:t>盖章</w:t>
      </w:r>
      <w:r>
        <w:rPr>
          <w:rFonts w:hint="default" w:ascii="Times New Roman" w:hAnsi="Times New Roman" w:cs="Times New Roman"/>
          <w:color w:val="auto"/>
          <w:sz w:val="21"/>
          <w:szCs w:val="21"/>
          <w:highlight w:val="none"/>
          <w:lang w:eastAsia="zh-CN"/>
        </w:rPr>
        <w:t>后生效。</w:t>
      </w:r>
    </w:p>
    <w:p>
      <w:pPr>
        <w:pStyle w:val="20"/>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乙方由</w:t>
      </w:r>
      <w:r>
        <w:rPr>
          <w:rFonts w:hint="default" w:ascii="Times New Roman" w:hAnsi="Times New Roman" w:cs="Times New Roman"/>
          <w:color w:val="auto"/>
          <w:sz w:val="21"/>
          <w:szCs w:val="21"/>
          <w:highlight w:val="none"/>
          <w:lang w:eastAsia="zh-CN"/>
        </w:rPr>
        <w:t>法定代表人</w:t>
      </w:r>
      <w:r>
        <w:rPr>
          <w:rFonts w:hint="default" w:ascii="Times New Roman" w:hAnsi="Times New Roman" w:cs="Times New Roman"/>
          <w:color w:val="auto"/>
          <w:sz w:val="21"/>
          <w:szCs w:val="21"/>
          <w:highlight w:val="none"/>
        </w:rPr>
        <w:t>签订合同的，应提供</w:t>
      </w:r>
      <w:r>
        <w:rPr>
          <w:rFonts w:hint="default" w:ascii="Times New Roman" w:hAnsi="Times New Roman" w:cs="Times New Roman"/>
          <w:color w:val="auto"/>
          <w:sz w:val="21"/>
          <w:szCs w:val="21"/>
          <w:highlight w:val="none"/>
          <w:lang w:eastAsia="zh-CN"/>
        </w:rPr>
        <w:t>法定代表人</w:t>
      </w:r>
      <w:r>
        <w:rPr>
          <w:rFonts w:hint="default" w:ascii="Times New Roman" w:hAnsi="Times New Roman" w:cs="Times New Roman"/>
          <w:color w:val="auto"/>
          <w:sz w:val="21"/>
          <w:szCs w:val="21"/>
          <w:highlight w:val="none"/>
        </w:rPr>
        <w:t>身份证复印件；乙方由</w:t>
      </w:r>
      <w:r>
        <w:rPr>
          <w:rFonts w:hint="default" w:ascii="Times New Roman" w:hAnsi="Times New Roman" w:cs="Times New Roman"/>
          <w:color w:val="auto"/>
          <w:sz w:val="21"/>
          <w:szCs w:val="21"/>
          <w:highlight w:val="none"/>
          <w:lang w:eastAsia="zh-CN"/>
        </w:rPr>
        <w:t>被</w:t>
      </w:r>
      <w:r>
        <w:rPr>
          <w:rFonts w:hint="default" w:ascii="Times New Roman" w:hAnsi="Times New Roman" w:cs="Times New Roman"/>
          <w:color w:val="auto"/>
          <w:sz w:val="21"/>
          <w:szCs w:val="21"/>
          <w:highlight w:val="none"/>
        </w:rPr>
        <w:t>授权</w:t>
      </w:r>
      <w:r>
        <w:rPr>
          <w:rFonts w:hint="default" w:ascii="Times New Roman" w:hAnsi="Times New Roman" w:cs="Times New Roman"/>
          <w:color w:val="auto"/>
          <w:sz w:val="21"/>
          <w:szCs w:val="21"/>
          <w:highlight w:val="none"/>
          <w:lang w:eastAsia="zh-CN"/>
        </w:rPr>
        <w:t>人</w:t>
      </w:r>
      <w:r>
        <w:rPr>
          <w:rFonts w:hint="default" w:ascii="Times New Roman" w:hAnsi="Times New Roman" w:cs="Times New Roman"/>
          <w:color w:val="auto"/>
          <w:sz w:val="21"/>
          <w:szCs w:val="21"/>
          <w:highlight w:val="none"/>
        </w:rPr>
        <w:t>签订合同的，</w:t>
      </w:r>
      <w:r>
        <w:rPr>
          <w:rFonts w:hint="default" w:ascii="Times New Roman" w:hAnsi="Times New Roman" w:cs="Times New Roman"/>
          <w:color w:val="auto"/>
          <w:sz w:val="21"/>
          <w:szCs w:val="21"/>
          <w:highlight w:val="none"/>
          <w:lang w:eastAsia="zh-CN"/>
        </w:rPr>
        <w:t>应</w:t>
      </w:r>
      <w:r>
        <w:rPr>
          <w:rFonts w:hint="default" w:ascii="Times New Roman" w:hAnsi="Times New Roman" w:cs="Times New Roman"/>
          <w:color w:val="auto"/>
          <w:sz w:val="21"/>
          <w:szCs w:val="21"/>
          <w:highlight w:val="none"/>
        </w:rPr>
        <w:t>提供授权</w:t>
      </w:r>
      <w:r>
        <w:rPr>
          <w:rFonts w:hint="default" w:ascii="Times New Roman" w:hAnsi="Times New Roman" w:cs="Times New Roman"/>
          <w:color w:val="auto"/>
          <w:sz w:val="21"/>
          <w:szCs w:val="21"/>
          <w:highlight w:val="none"/>
          <w:lang w:eastAsia="zh-CN"/>
        </w:rPr>
        <w:t>委托</w:t>
      </w:r>
      <w:r>
        <w:rPr>
          <w:rFonts w:hint="default" w:ascii="Times New Roman" w:hAnsi="Times New Roman" w:cs="Times New Roman"/>
          <w:color w:val="auto"/>
          <w:sz w:val="21"/>
          <w:szCs w:val="21"/>
          <w:highlight w:val="none"/>
        </w:rPr>
        <w:t>书和</w:t>
      </w:r>
      <w:r>
        <w:rPr>
          <w:rFonts w:hint="default" w:ascii="Times New Roman" w:hAnsi="Times New Roman" w:cs="Times New Roman"/>
          <w:color w:val="auto"/>
          <w:sz w:val="21"/>
          <w:szCs w:val="21"/>
          <w:highlight w:val="none"/>
          <w:lang w:eastAsia="zh-CN"/>
        </w:rPr>
        <w:t>法定代表人及被</w:t>
      </w:r>
      <w:r>
        <w:rPr>
          <w:rFonts w:hint="default" w:ascii="Times New Roman" w:hAnsi="Times New Roman" w:cs="Times New Roman"/>
          <w:color w:val="auto"/>
          <w:sz w:val="21"/>
          <w:szCs w:val="21"/>
          <w:highlight w:val="none"/>
        </w:rPr>
        <w:t>授权</w:t>
      </w:r>
      <w:r>
        <w:rPr>
          <w:rFonts w:hint="default" w:ascii="Times New Roman" w:hAnsi="Times New Roman" w:cs="Times New Roman"/>
          <w:color w:val="auto"/>
          <w:sz w:val="21"/>
          <w:szCs w:val="21"/>
          <w:highlight w:val="none"/>
          <w:lang w:eastAsia="zh-CN"/>
        </w:rPr>
        <w:t>人</w:t>
      </w:r>
      <w:r>
        <w:rPr>
          <w:rFonts w:hint="default" w:ascii="Times New Roman" w:hAnsi="Times New Roman" w:cs="Times New Roman"/>
          <w:color w:val="auto"/>
          <w:sz w:val="21"/>
          <w:szCs w:val="21"/>
          <w:highlight w:val="none"/>
        </w:rPr>
        <w:t>身份证复印件。</w:t>
      </w:r>
    </w:p>
    <w:p>
      <w:pPr>
        <w:pStyle w:val="20"/>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rPr>
          <w:rFonts w:hint="eastAsia"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ind w:firstLine="420" w:firstLineChars="200"/>
        <w:rPr>
          <w:rFonts w:hint="eastAsia" w:ascii="宋体" w:hAnsi="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甲方：国家税务总局</w:t>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                 乙方：</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签字：                                 签字：</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盖章：                                 盖章： </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日期：    年    月    日               日期：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月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pPr>
        <w:topLinePunct/>
        <w:autoSpaceDE w:val="0"/>
        <w:autoSpaceDN w:val="0"/>
        <w:spacing w:line="460" w:lineRule="exact"/>
        <w:rPr>
          <w:rFonts w:hint="eastAsia" w:ascii="宋体" w:hAnsi="宋体" w:cs="宋体"/>
          <w:b/>
          <w:color w:val="auto"/>
          <w:sz w:val="24"/>
          <w:highlight w:val="none"/>
        </w:rPr>
      </w:pPr>
    </w:p>
    <w:p>
      <w:pPr>
        <w:topLinePunct/>
        <w:autoSpaceDE w:val="0"/>
        <w:autoSpaceDN w:val="0"/>
        <w:spacing w:line="460" w:lineRule="exact"/>
        <w:jc w:val="center"/>
        <w:rPr>
          <w:rFonts w:hint="eastAsia" w:ascii="宋体" w:hAnsi="宋体" w:eastAsia="宋体" w:cs="宋体"/>
          <w:b/>
          <w:color w:val="auto"/>
          <w:sz w:val="24"/>
          <w:highlight w:val="none"/>
          <w:lang w:eastAsia="zh-CN"/>
        </w:rPr>
      </w:pPr>
    </w:p>
    <w:p>
      <w:pPr>
        <w:topLinePunct/>
        <w:autoSpaceDE w:val="0"/>
        <w:autoSpaceDN w:val="0"/>
        <w:spacing w:line="460" w:lineRule="exact"/>
        <w:jc w:val="center"/>
        <w:rPr>
          <w:rFonts w:hint="eastAsia" w:ascii="宋体" w:hAnsi="宋体" w:eastAsia="宋体" w:cs="宋体"/>
          <w:b/>
          <w:color w:val="auto"/>
          <w:sz w:val="24"/>
          <w:highlight w:val="none"/>
          <w:lang w:eastAsia="zh-CN"/>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outlineLvl w:val="3"/>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outlineLvl w:val="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1.1“甲方”是指国家税务总局</w:t>
      </w:r>
      <w:r>
        <w:rPr>
          <w:rFonts w:hint="default" w:ascii="Times New Roman" w:hAnsi="Times New Roman" w:cs="Times New Roman"/>
          <w:color w:val="auto"/>
          <w:sz w:val="21"/>
          <w:szCs w:val="21"/>
          <w:highlight w:val="none"/>
          <w:lang w:val="en"/>
        </w:rPr>
        <w:t>XX</w:t>
      </w:r>
      <w:r>
        <w:rPr>
          <w:rFonts w:hint="default" w:ascii="Times New Roman" w:hAnsi="Times New Roman" w:cs="Times New Roman"/>
          <w:color w:val="auto"/>
          <w:sz w:val="21"/>
          <w:szCs w:val="21"/>
          <w:highlight w:val="none"/>
          <w:lang w:val="en" w:eastAsia="zh-CN"/>
        </w:rPr>
        <w:t>税务局</w:t>
      </w:r>
      <w:r>
        <w:rPr>
          <w:rFonts w:hint="default" w:ascii="Times New Roman" w:hAnsi="Times New Roman" w:cs="Times New Roman"/>
          <w:color w:val="auto"/>
          <w:sz w:val="21"/>
          <w:szCs w:val="21"/>
          <w:highlight w:val="none"/>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1.1.1“甲方采购部门”见“合同条款前附表”第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项“甲方采购部门”。</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1.1.2“甲方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outlineLvl w:val="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1.2“乙方”见“合同条款前附表”第</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项“乙方名称”。</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 “合同”系指甲乙双方签订的、合同格式中载明的甲乙双方所达成的协议，包括所有的附件、附录和上述文件所提到的构成合同的所有文件。</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 “天”除非特别指出，“天”均为自然天。</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标准</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乙方为甲方</w:t>
      </w:r>
      <w:r>
        <w:rPr>
          <w:rFonts w:hint="default" w:ascii="Times New Roman" w:hAnsi="Times New Roman" w:cs="Times New Roman"/>
          <w:color w:val="auto"/>
          <w:sz w:val="21"/>
          <w:szCs w:val="21"/>
          <w:highlight w:val="none"/>
          <w:lang w:eastAsia="zh-CN"/>
        </w:rPr>
        <w:t>交付或</w:t>
      </w:r>
      <w:r>
        <w:rPr>
          <w:rFonts w:hint="default" w:ascii="Times New Roman" w:hAnsi="Times New Roman" w:cs="Times New Roman"/>
          <w:color w:val="auto"/>
          <w:sz w:val="21"/>
          <w:szCs w:val="21"/>
          <w:highlight w:val="none"/>
        </w:rPr>
        <w:t>提供的服务应符合</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所述的</w:t>
      </w:r>
      <w:r>
        <w:rPr>
          <w:rFonts w:hint="default" w:ascii="Times New Roman" w:hAnsi="Times New Roman" w:cs="Times New Roman"/>
          <w:color w:val="auto"/>
          <w:sz w:val="21"/>
          <w:szCs w:val="21"/>
          <w:highlight w:val="none"/>
          <w:lang w:eastAsia="zh-CN"/>
        </w:rPr>
        <w:t>标准</w:t>
      </w:r>
      <w:r>
        <w:rPr>
          <w:rFonts w:hint="default" w:ascii="Times New Roman" w:hAnsi="Times New Roman" w:cs="Times New Roman"/>
          <w:color w:val="auto"/>
          <w:sz w:val="21"/>
          <w:szCs w:val="21"/>
          <w:highlight w:val="none"/>
        </w:rPr>
        <w:t>，如果没有提及适用标准，则应符合相应的国家标准。这些标准必须是有关机构发布的最新版本的标准。</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除非技术要求中另有规定，计量单位均采用中华人民共和国法定计量单位。</w:t>
      </w:r>
    </w:p>
    <w:p>
      <w:pPr>
        <w:keepNext w:val="0"/>
        <w:keepLines w:val="0"/>
        <w:pageBreakBefore w:val="0"/>
        <w:widowControl w:val="0"/>
        <w:kinsoku/>
        <w:wordWrap/>
        <w:overflowPunct/>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服务</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Cs/>
          <w:color w:val="auto"/>
          <w:sz w:val="21"/>
          <w:szCs w:val="21"/>
          <w:highlight w:val="none"/>
        </w:rPr>
        <w:t>3.1 本项目的“服务”见“合同条款前附表”第</w:t>
      </w:r>
      <w:r>
        <w:rPr>
          <w:rFonts w:hint="default" w:ascii="Times New Roman" w:hAnsi="Times New Roman" w:cs="Times New Roman"/>
          <w:bCs/>
          <w:color w:val="auto"/>
          <w:sz w:val="21"/>
          <w:szCs w:val="21"/>
          <w:highlight w:val="none"/>
          <w:lang w:val="en-US" w:eastAsia="zh-CN"/>
        </w:rPr>
        <w:t>8</w:t>
      </w:r>
      <w:r>
        <w:rPr>
          <w:rFonts w:hint="default" w:ascii="Times New Roman" w:hAnsi="Times New Roman" w:cs="Times New Roman"/>
          <w:bCs/>
          <w:color w:val="auto"/>
          <w:sz w:val="21"/>
          <w:szCs w:val="21"/>
          <w:highlight w:val="none"/>
        </w:rPr>
        <w:t>项“服务内容”。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 乙方应保证所提供的服务符合合同规定的技术要求。如不符时，乙方应负全责并尽快处理解决，由此造成的损失和相关费用由乙方负责，甲方保留终止合同及索赔的权利。</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 乙方应保证通过执行合同中全部方案后，可以取得本合同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的结果，达到本合同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的预期目标。对任何情况下出现的问题，应尽快提出解决方案。</w:t>
      </w:r>
    </w:p>
    <w:p>
      <w:pPr>
        <w:keepNext w:val="0"/>
        <w:keepLines w:val="0"/>
        <w:pageBreakBefore w:val="0"/>
        <w:widowControl w:val="0"/>
        <w:tabs>
          <w:tab w:val="left" w:pos="0"/>
          <w:tab w:val="left" w:pos="54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 如果乙方提供的服务和解决方案不符合甲方要求，或在规定的时间内没有弥补缺陷，甲方有权采取一切必要的补救措施，由此产生的费用全部由乙方负责。</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 除合同条款另行规定外，伴随服务的费用应含在合同价中，不单独进行支付。</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 知识产权</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乙方应保证所提供</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服务免受第三方提出侵犯其知识产权（专利权、商标权、</w:t>
      </w:r>
      <w:r>
        <w:rPr>
          <w:rFonts w:hint="default" w:ascii="Times New Roman" w:hAnsi="Times New Roman" w:cs="Times New Roman"/>
          <w:color w:val="auto"/>
          <w:sz w:val="21"/>
          <w:szCs w:val="21"/>
          <w:highlight w:val="none"/>
          <w:lang w:eastAsia="zh-CN"/>
        </w:rPr>
        <w:t>软件著作权、</w:t>
      </w:r>
      <w:r>
        <w:rPr>
          <w:rFonts w:hint="default" w:ascii="Times New Roman" w:hAnsi="Times New Roman" w:cs="Times New Roman"/>
          <w:color w:val="auto"/>
          <w:sz w:val="21"/>
          <w:szCs w:val="21"/>
          <w:highlight w:val="none"/>
        </w:rPr>
        <w:t>版权等）的起诉。</w:t>
      </w:r>
    </w:p>
    <w:p>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 乙方不得利用本项目实施过程中所产生的成果（包括发明、发现、可运行系统、源代码及相关技术资料、文档等），另行自行开发本合同业务范围内供纳税人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使用的软件或产品，不得利用开发便利变相收费或搭车收费。</w:t>
      </w:r>
    </w:p>
    <w:p>
      <w:pPr>
        <w:keepNext w:val="0"/>
        <w:keepLines w:val="0"/>
        <w:pageBreakBefore w:val="0"/>
        <w:widowControl w:val="0"/>
        <w:kinsoku/>
        <w:wordWrap/>
        <w:overflowPunct/>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 保密条款</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 甲乙双方应对在本合同签订或履行过程中所接触的对方信息，包括但不限于知识产权、技术资料、技术诀窍、内部管理及其他相关信息，负有保密义务。</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应以审慎态度避免泄漏、公开或传播甲方的信息；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在开发过程中对数据的处理方式应事先得到甲方的许可；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未经甲方书面许可，不得对有关信息进行修改、补充、复制；</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 未经甲方书面许可，不得将信息以任何方式（如E-mail）携带出甲方场所；</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（5） 未经甲方书面许可，不得将信息透露给任何其他人； </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 严禁在提交的软件</w:t>
      </w:r>
      <w:r>
        <w:rPr>
          <w:rFonts w:hint="default" w:ascii="Times New Roman" w:hAnsi="Times New Roman" w:cs="Times New Roman"/>
          <w:color w:val="auto"/>
          <w:sz w:val="21"/>
          <w:szCs w:val="21"/>
          <w:highlight w:val="none"/>
          <w:lang w:eastAsia="zh-CN"/>
        </w:rPr>
        <w:t>产品</w:t>
      </w:r>
      <w:r>
        <w:rPr>
          <w:rFonts w:hint="default" w:ascii="Times New Roman" w:hAnsi="Times New Roman" w:cs="Times New Roman"/>
          <w:color w:val="auto"/>
          <w:sz w:val="21"/>
          <w:szCs w:val="21"/>
          <w:highlight w:val="none"/>
        </w:rPr>
        <w:t>中设置远程维护接口和后门程序；</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 不得进行系统软硬件设备的远程维护；</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 甲方以书面形式提出的其他保密措施。</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 保密期限不受合同有效期的限制，在合同有效期结束后，信息接受方仍应承担保密义务，直至该等信息成为公开信息。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 甲乙双方如出现泄密行为，泄密方应承担相关的法律责任，包括但是不限于对由此给对方造成的经济损失进行赔偿。</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xml:space="preserve">. </w:t>
      </w:r>
      <w:r>
        <w:rPr>
          <w:rFonts w:hint="default" w:ascii="Times New Roman" w:hAnsi="Times New Roman" w:cs="Times New Roman"/>
          <w:b/>
          <w:color w:val="auto"/>
          <w:sz w:val="21"/>
          <w:szCs w:val="21"/>
          <w:highlight w:val="none"/>
          <w:lang w:eastAsia="zh-CN"/>
        </w:rPr>
        <w:t>履约</w:t>
      </w:r>
      <w:r>
        <w:rPr>
          <w:rFonts w:hint="default" w:ascii="Times New Roman" w:hAnsi="Times New Roman" w:cs="Times New Roman"/>
          <w:b/>
          <w:color w:val="auto"/>
          <w:sz w:val="21"/>
          <w:szCs w:val="21"/>
          <w:highlight w:val="none"/>
        </w:rPr>
        <w:t>验收要求</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严格按照采购合同开展履约验收。验收时,</w:t>
      </w:r>
      <w:r>
        <w:rPr>
          <w:rFonts w:hint="default" w:ascii="Times New Roman" w:hAnsi="Times New Roman" w:cs="Times New Roman"/>
          <w:color w:val="auto"/>
          <w:sz w:val="21"/>
          <w:szCs w:val="21"/>
          <w:highlight w:val="none"/>
          <w:lang w:eastAsia="zh-CN"/>
        </w:rPr>
        <w:t>应当按照本合同约定的技术、服务和安全标准，对供应商各项义务履行情况进行验收确认。未约定相关标准的，应当按照国家强制性规定、政策要求、安全标准和行业有关标准进行验收确认。</w:t>
      </w:r>
      <w:r>
        <w:rPr>
          <w:rFonts w:hint="default" w:ascii="Times New Roman" w:hAnsi="Times New Roman" w:cs="Times New Roman"/>
          <w:color w:val="auto"/>
          <w:sz w:val="21"/>
          <w:szCs w:val="21"/>
          <w:highlight w:val="none"/>
        </w:rPr>
        <w:t>验收结束后</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应当出具验收意见，列明合同事项、验收标准及验收情况</w:t>
      </w:r>
      <w:r>
        <w:rPr>
          <w:rFonts w:hint="default" w:ascii="Times New Roman" w:hAnsi="Times New Roman" w:cs="Times New Roman"/>
          <w:color w:val="auto"/>
          <w:sz w:val="21"/>
          <w:szCs w:val="21"/>
          <w:highlight w:val="none"/>
          <w:lang w:eastAsia="zh-CN"/>
        </w:rPr>
        <w:t>，由全体验收人员签字</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bidi w:val="0"/>
        <w:adjustRightInd/>
        <w:snapToGrid/>
        <w:spacing w:line="360" w:lineRule="auto"/>
        <w:ind w:firstLine="420" w:firstLineChars="200"/>
        <w:textAlignment w:val="auto"/>
        <w:outlineLvl w:val="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.2具体</w:t>
      </w:r>
      <w:r>
        <w:rPr>
          <w:rFonts w:hint="default" w:ascii="Times New Roman" w:hAnsi="Times New Roman" w:cs="Times New Roman"/>
          <w:color w:val="auto"/>
          <w:sz w:val="21"/>
          <w:szCs w:val="21"/>
          <w:highlight w:val="none"/>
          <w:lang w:eastAsia="zh-CN"/>
        </w:rPr>
        <w:t>履约</w:t>
      </w:r>
      <w:r>
        <w:rPr>
          <w:rFonts w:hint="default" w:ascii="Times New Roman" w:hAnsi="Times New Roman" w:cs="Times New Roman"/>
          <w:color w:val="auto"/>
          <w:sz w:val="21"/>
          <w:szCs w:val="21"/>
          <w:highlight w:val="none"/>
        </w:rPr>
        <w:t>验收要求详见</w:t>
      </w:r>
      <w:r>
        <w:rPr>
          <w:rFonts w:hint="default" w:ascii="Times New Roman" w:hAnsi="Times New Roman" w:cs="Times New Roman"/>
          <w:color w:val="auto"/>
          <w:sz w:val="21"/>
          <w:szCs w:val="21"/>
          <w:highlight w:val="none"/>
          <w:lang w:eastAsia="zh-CN"/>
        </w:rPr>
        <w:t>招标（</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文件。</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履约保证金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需提交履约保证金的项目，乙方应按照“合同条款前附表”第 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 xml:space="preserve"> 项“履约保证金及返还”提交履约保证金。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履约保证金的金额</w:t>
      </w:r>
      <w:r>
        <w:rPr>
          <w:rFonts w:hint="default" w:ascii="Times New Roman" w:hAnsi="Times New Roman" w:cs="Times New Roman"/>
          <w:color w:val="auto"/>
          <w:sz w:val="21"/>
          <w:szCs w:val="21"/>
          <w:highlight w:val="none"/>
          <w:lang w:eastAsia="zh-CN"/>
        </w:rPr>
        <w:t>可用于</w:t>
      </w:r>
      <w:r>
        <w:rPr>
          <w:rFonts w:hint="default" w:ascii="Times New Roman" w:hAnsi="Times New Roman" w:cs="Times New Roman"/>
          <w:color w:val="auto"/>
          <w:sz w:val="21"/>
          <w:szCs w:val="21"/>
          <w:highlight w:val="none"/>
        </w:rPr>
        <w:t>补偿甲方因乙方不能完成其合同义务而蒙受的损失。</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.4 乙方不履行合同、或者履行合同义务不符合约定使得合同目的不能实现，履约保证金不予退还，给甲方造成的损失超过履约保证金数额的，还应当对超过部分予以赔偿。</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.5 履约保证金在合同履行期满后，扣除相应款项（如有）且双方无争议后，凭返还申请等资料一次性无息返还，详见“合同条款前附表”第</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项“履约保证金及返还”。</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．履约延误</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.1 乙方应按照本合同的规定提供服务。</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.4 除不可抗力和根据合同规定延期取得甲方同意而不收取误期赔偿费之外，乙方延误工期，将按合同规定被收取误期赔偿费。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.5 逾期退还履约保证金的违约责任。满足履约保证金返还条件的，甲方在收到返还相关信息等合同约定资料后，进行核实。对核实结果无异议的，应当自完成核实之日起30日内返还履约保证金。无特殊原因逾期退还履约保证金</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，乙方可要求</w:t>
      </w:r>
      <w:r>
        <w:rPr>
          <w:rFonts w:hint="default" w:ascii="Times New Roman" w:hAnsi="Times New Roman" w:cs="Times New Roman"/>
          <w:color w:val="auto"/>
          <w:sz w:val="21"/>
          <w:szCs w:val="21"/>
          <w:highlight w:val="none"/>
          <w:lang w:eastAsia="zh-CN"/>
        </w:rPr>
        <w:t>甲方按</w:t>
      </w:r>
      <w:r>
        <w:rPr>
          <w:rFonts w:hint="default" w:ascii="Times New Roman" w:hAnsi="Times New Roman" w:cs="Times New Roman"/>
          <w:color w:val="auto"/>
          <w:sz w:val="21"/>
          <w:szCs w:val="21"/>
          <w:highlight w:val="none"/>
        </w:rPr>
        <w:t>银行</w:t>
      </w:r>
      <w:r>
        <w:rPr>
          <w:rFonts w:hint="default" w:ascii="Times New Roman" w:hAnsi="Times New Roman" w:cs="Times New Roman"/>
          <w:color w:val="auto"/>
          <w:sz w:val="21"/>
          <w:szCs w:val="21"/>
          <w:highlight w:val="none"/>
          <w:lang w:eastAsia="zh-CN"/>
        </w:rPr>
        <w:t>同期</w:t>
      </w:r>
      <w:r>
        <w:rPr>
          <w:rFonts w:hint="default" w:ascii="Times New Roman" w:hAnsi="Times New Roman" w:cs="Times New Roman"/>
          <w:color w:val="auto"/>
          <w:sz w:val="21"/>
          <w:szCs w:val="21"/>
          <w:highlight w:val="none"/>
        </w:rPr>
        <w:t>活期存款</w:t>
      </w:r>
      <w:r>
        <w:rPr>
          <w:rFonts w:hint="default" w:ascii="Times New Roman" w:hAnsi="Times New Roman" w:cs="Times New Roman"/>
          <w:color w:val="auto"/>
          <w:sz w:val="21"/>
          <w:szCs w:val="21"/>
          <w:highlight w:val="none"/>
          <w:lang w:eastAsia="zh-CN"/>
        </w:rPr>
        <w:t>利率支付逾期利息</w:t>
      </w:r>
      <w:r>
        <w:rPr>
          <w:rFonts w:hint="default" w:ascii="Times New Roman" w:hAnsi="Times New Roman" w:cs="Times New Roman"/>
          <w:color w:val="auto"/>
          <w:sz w:val="21"/>
          <w:szCs w:val="21"/>
          <w:highlight w:val="none"/>
        </w:rPr>
        <w:t>。特殊原因逾期返还的，双方协商解决。</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 违约责任</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.2 乙方没有按照时限要求提供服务，且在甲方指定的延长期限内没有采取补救措施，甲方有权自行采取其他方式进行补救，乙方除按合同第</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条约定向甲方支付误期违约金外，另外甲方所发生的一切费用和甲方损失，甲方有权从应付的乙方的合同款项中扣除，不足扣除的乙方应另行支付。</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.3 除应支付甲方违约金等外，甲方有权根据合同或有关部门出具的检验证书向乙方提出索赔。</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.4 如果乙方对差异负有责任而甲方提出索赔，乙方同意按照下列方式解决索赔事宜：</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.5 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r>
        <w:rPr>
          <w:rFonts w:hint="default" w:ascii="Times New Roman" w:hAnsi="Times New Roman" w:cs="Times New Roman"/>
          <w:color w:val="auto"/>
          <w:sz w:val="21"/>
          <w:szCs w:val="21"/>
          <w:highlight w:val="none"/>
        </w:rPr>
        <w:t>纳入国家税务总局失信名单。</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对于影响恶劣的严重违法失信行为，推送财政部纳入政府采购严重违法失信行为记录名单。</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9.6 如果乙方在本项目实施过程中发生违反网络安全规定行为造成不良后果的，自甲方做出认定之日起三年内，税务系统各单位可以拒绝乙方参与税务系统政府采购活动。</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不良后果指造成数据失窃或丢失、敏感信息泄露、主要业务系统瘫痪等网络安全事件。</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 xml:space="preserve"> 对于本协议未约定的、招标（采购）文件（技术部分）中约定的违约处理条款，按招标（采购）文件（技术部分）相关约定执行；对本协议与招标（采购）文件（技术部分）约定不同的违约处理条款，以本协议约定为准。</w:t>
      </w:r>
    </w:p>
    <w:p>
      <w:pPr>
        <w:keepNext w:val="0"/>
        <w:keepLines w:val="0"/>
        <w:pageBreakBefore w:val="0"/>
        <w:widowControl w:val="0"/>
        <w:kinsoku/>
        <w:wordWrap/>
        <w:overflowPunct/>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 不可抗力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本条所述的“不可抗力”系指双方不可预见、不可避免、不可克服的客观情况，但不包括双方的违约或疏忽。这些事件包括但不限于：战争、严重火灾、洪水、台风、地震等。</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如果乙方因不可抗力而导致合同实施延误或不能履行合同义务，不应承担误期赔偿或终止合同的责任。</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keepNext w:val="0"/>
        <w:keepLines w:val="0"/>
        <w:pageBreakBefore w:val="0"/>
        <w:widowControl w:val="0"/>
        <w:kinsoku/>
        <w:wordWrap/>
        <w:overflowPunct/>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 争端的解决</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.1 甲乙双方应</w:t>
      </w:r>
      <w:r>
        <w:rPr>
          <w:rFonts w:hint="default" w:ascii="Times New Roman" w:hAnsi="Times New Roman" w:cs="Times New Roman"/>
          <w:color w:val="auto"/>
          <w:sz w:val="21"/>
          <w:szCs w:val="21"/>
          <w:highlight w:val="none"/>
          <w:lang w:eastAsia="zh-CN"/>
        </w:rPr>
        <w:t>首先</w:t>
      </w:r>
      <w:r>
        <w:rPr>
          <w:rFonts w:hint="default" w:ascii="Times New Roman" w:hAnsi="Times New Roman" w:cs="Times New Roman"/>
          <w:color w:val="auto"/>
          <w:sz w:val="21"/>
          <w:szCs w:val="21"/>
          <w:highlight w:val="none"/>
        </w:rPr>
        <w:t>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天内仍不能解决，</w:t>
      </w:r>
      <w:r>
        <w:rPr>
          <w:rFonts w:hint="default" w:ascii="Times New Roman" w:hAnsi="Times New Roman" w:cs="Times New Roman"/>
          <w:color w:val="auto"/>
          <w:sz w:val="21"/>
          <w:szCs w:val="21"/>
          <w:highlight w:val="none"/>
          <w:lang w:eastAsia="zh-CN"/>
        </w:rPr>
        <w:t>可以按合同约定的方式提起仲裁或诉讼</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2.1</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2.2</w:t>
      </w:r>
      <w:r>
        <w:rPr>
          <w:rFonts w:hint="default" w:ascii="Times New Roman" w:hAnsi="Times New Roman" w:cs="Times New Roman"/>
          <w:color w:val="auto"/>
          <w:sz w:val="21"/>
          <w:szCs w:val="21"/>
          <w:highlight w:val="none"/>
        </w:rPr>
        <w:t xml:space="preserve"> 仲裁裁决应为最终裁决，对双方均具有约束力。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2.3</w:t>
      </w:r>
      <w:r>
        <w:rPr>
          <w:rFonts w:hint="default" w:ascii="Times New Roman" w:hAnsi="Times New Roman" w:cs="Times New Roman"/>
          <w:color w:val="auto"/>
          <w:sz w:val="21"/>
          <w:szCs w:val="21"/>
          <w:highlight w:val="none"/>
        </w:rPr>
        <w:t xml:space="preserve"> 仲裁费除仲裁机关另有裁决外应由败诉方负担。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2.4</w:t>
      </w:r>
      <w:r>
        <w:rPr>
          <w:rFonts w:hint="default" w:ascii="Times New Roman" w:hAnsi="Times New Roman" w:cs="Times New Roman"/>
          <w:color w:val="auto"/>
          <w:sz w:val="21"/>
          <w:szCs w:val="21"/>
          <w:highlight w:val="none"/>
        </w:rPr>
        <w:t>在仲裁期间，除正在进行仲裁部分外，本合同的其它部分应继续执行。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11.3.1诉讼应向甲方所在地或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val="en-US" w:eastAsia="zh-CN"/>
        </w:rPr>
        <w:t>人民法院提起诉讼。</w:t>
      </w:r>
    </w:p>
    <w:p>
      <w:pPr>
        <w:keepNext w:val="0"/>
        <w:keepLines w:val="0"/>
        <w:pageBreakBefore w:val="0"/>
        <w:widowControl w:val="0"/>
        <w:kinsoku/>
        <w:wordWrap/>
        <w:overflowPunct/>
        <w:bidi w:val="0"/>
        <w:adjustRightInd/>
        <w:snapToGrid/>
        <w:spacing w:line="360" w:lineRule="auto"/>
        <w:ind w:firstLine="420" w:firstLineChars="200"/>
        <w:textAlignment w:val="auto"/>
        <w:outlineLvl w:val="3"/>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11.3.2诉讼费除人民法院另有判决外，应由败诉方负担。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11.3.3在诉讼期间，除正在进行诉讼部分外，本</w:t>
      </w:r>
      <w:r>
        <w:rPr>
          <w:rFonts w:hint="default" w:ascii="Times New Roman" w:hAnsi="Times New Roman" w:cs="Times New Roman"/>
          <w:color w:val="auto"/>
          <w:sz w:val="21"/>
          <w:szCs w:val="21"/>
          <w:highlight w:val="none"/>
        </w:rPr>
        <w:t>合同的其它部分应继续执行。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 违约终止合同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12.1.1 </w:t>
      </w:r>
      <w:r>
        <w:rPr>
          <w:rFonts w:hint="default" w:ascii="Times New Roman" w:hAnsi="Times New Roman" w:cs="Times New Roman"/>
          <w:color w:val="auto"/>
          <w:sz w:val="21"/>
          <w:szCs w:val="21"/>
          <w:highlight w:val="none"/>
          <w:lang w:eastAsia="zh-CN"/>
        </w:rPr>
        <w:t>乙方不履行合同业务或者履行合同义务不符合合同约定；</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如果乙方未能在合同规定的期限或甲方同意延长的期限内提供服务；</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因乙方人员自身技术能力、经验不足等问题造成甲方发生重大紧急故障，带来重大影响和损失的；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 xml:space="preserve"> 乙方对重大紧急故障没有及时响应，或不能在规定时间内解决处理故障、恢复正常运行的；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 xml:space="preserve"> 不能满足本项目技术需求的管理要求和规范，且经多次整改无明显改进的</w:t>
      </w:r>
      <w:r>
        <w:rPr>
          <w:rFonts w:hint="default"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 xml:space="preserve"> 在合同服务期内，同一个应用系统在升级完善、运行维护支持服务过程中，出现5次经甲乙双方确认的用户投诉的</w:t>
      </w:r>
      <w:r>
        <w:rPr>
          <w:rFonts w:hint="default"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12.1.7 </w:t>
      </w:r>
      <w:r>
        <w:rPr>
          <w:rFonts w:hint="default" w:ascii="Times New Roman" w:hAnsi="Times New Roman" w:cs="Times New Roman"/>
          <w:color w:val="auto"/>
          <w:sz w:val="21"/>
          <w:szCs w:val="21"/>
          <w:highlight w:val="none"/>
        </w:rPr>
        <w:t>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使用的软件或产品的，或利用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12.1.8 乙方在本项目实施过程中发生违反网络安全规定行为造成不良后果的。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 xml:space="preserve"> 乙方提供的服务侵犯甲方、第三方知识产权等合法权益的；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 xml:space="preserve"> 乙方或乙方人员造成甲方或第三方经济损失而拒不赔偿的；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乙方转让其应履行的合同义务，或未经甲方同意采取分包方式履行合同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乙方有其他严重违约行为的。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.2 如果甲方根据上述第1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.1条的规定，终止了全部或部分合同，甲方可以适当的条件和方法购买乙方未能提供的服务，乙方应对甲方购买类似服务所超出的费用负责。同时，乙方应继续执行合同中未终止的部分。</w:t>
      </w:r>
    </w:p>
    <w:p>
      <w:pPr>
        <w:keepNext w:val="0"/>
        <w:keepLines w:val="0"/>
        <w:pageBreakBefore w:val="0"/>
        <w:widowControl w:val="0"/>
        <w:kinsoku/>
        <w:wordWrap/>
        <w:overflowPunct/>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破产终止合同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.1 如果乙方破产或无清偿能力，甲方可在任何时候以书面形式通知乙方终止合同而不给乙方补偿。</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.2该终止合同将不损害或影响甲方已经采取或将要采取的任何行动或补救措施的权力。</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4</w:t>
      </w:r>
      <w:r>
        <w:rPr>
          <w:rFonts w:hint="default" w:ascii="Times New Roman" w:hAnsi="Times New Roman" w:cs="Times New Roman"/>
          <w:b/>
          <w:color w:val="auto"/>
          <w:sz w:val="21"/>
          <w:szCs w:val="21"/>
          <w:highlight w:val="none"/>
        </w:rPr>
        <w:t>. 其他情况的终止合同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.1 乙方在执行合同的过程中发生重大事故或变故，对履行合同有直接影响的，甲方可以提出终止合同而不给予乙方任何补偿。</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.2 在服务期内，由于甲方工作计划调整，推广使用新应用系统导致本项目相关服务停止的，甲方可以提出终止合同而不给予乙方任何补偿。</w:t>
      </w:r>
    </w:p>
    <w:p>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5</w:t>
      </w:r>
      <w:r>
        <w:rPr>
          <w:rFonts w:hint="default" w:ascii="Times New Roman" w:hAnsi="Times New Roman" w:cs="Times New Roman"/>
          <w:b/>
          <w:color w:val="auto"/>
          <w:sz w:val="21"/>
          <w:szCs w:val="21"/>
          <w:highlight w:val="none"/>
        </w:rPr>
        <w:t>. 合同修改或变更</w:t>
      </w:r>
    </w:p>
    <w:p>
      <w:pPr>
        <w:keepNext w:val="0"/>
        <w:keepLines w:val="0"/>
        <w:pageBreakBefore w:val="0"/>
        <w:widowControl w:val="0"/>
        <w:kinsoku/>
        <w:wordWrap/>
        <w:overflowPunct/>
        <w:bidi w:val="0"/>
        <w:adjustRightInd/>
        <w:snapToGrid/>
        <w:spacing w:line="360" w:lineRule="auto"/>
        <w:ind w:firstLine="48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.1 合同如有未尽事宜，须经甲乙双方共同协商，做出补充约定，并签订书面补充合同或变更协议。补充合同或变更协议作为本合同的一部分，与本合同具有同等效力。</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.2 除了双方签署书面修改或变更协议，并成为本合同不可分割的一部分的情况之外，本合同的条款不得有任何变化或修改。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.3 由于采购人项目统一规划等原因导致本项目停止部分服务的，甲方将启动合同变更程序，与乙方协商变更相关合同条款。</w:t>
      </w:r>
    </w:p>
    <w:p>
      <w:pPr>
        <w:keepNext w:val="0"/>
        <w:keepLines w:val="0"/>
        <w:pageBreakBefore w:val="0"/>
        <w:widowControl w:val="0"/>
        <w:kinsoku/>
        <w:wordWrap/>
        <w:overflowPunct/>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转让和分包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除甲方事先书面同意外，乙方不得部分转让或全部转让其应履行的合同义务。</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16.2 </w:t>
      </w:r>
      <w:r>
        <w:rPr>
          <w:rFonts w:hint="default" w:ascii="Times New Roman" w:hAnsi="Times New Roman" w:eastAsia="宋体" w:cs="Times New Roman"/>
          <w:color w:val="auto"/>
          <w:sz w:val="21"/>
          <w:szCs w:val="21"/>
          <w:highlight w:val="none"/>
          <w:lang w:val="en-US" w:eastAsia="zh-CN"/>
        </w:rPr>
        <w:t>未经甲方同意，乙方不得采取分包方式履行合同。经甲方同意分包履行合同的，乙方就采购项目及分包项目向甲方负责，分包供应商就分包项目承担责任。</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合同语言</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本合同语言为中文。</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双方交换的与合同有关的信件和其他文件应用合同语言书写。</w:t>
      </w:r>
    </w:p>
    <w:p>
      <w:pPr>
        <w:keepNext w:val="0"/>
        <w:keepLines w:val="0"/>
        <w:pageBreakBefore w:val="0"/>
        <w:widowControl w:val="0"/>
        <w:kinsoku/>
        <w:wordWrap/>
        <w:overflowPunct/>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18</w:t>
      </w:r>
      <w:r>
        <w:rPr>
          <w:rFonts w:hint="default" w:ascii="Times New Roman" w:hAnsi="Times New Roman" w:cs="Times New Roman"/>
          <w:b/>
          <w:color w:val="auto"/>
          <w:sz w:val="21"/>
          <w:szCs w:val="21"/>
          <w:highlight w:val="none"/>
        </w:rPr>
        <w:t>. 适用法律</w:t>
      </w:r>
    </w:p>
    <w:p>
      <w:pPr>
        <w:keepNext w:val="0"/>
        <w:keepLines w:val="0"/>
        <w:pageBreakBefore w:val="0"/>
        <w:widowControl w:val="0"/>
        <w:kinsoku/>
        <w:wordWrap/>
        <w:overflowPunct/>
        <w:bidi w:val="0"/>
        <w:adjustRightInd/>
        <w:snapToGrid/>
        <w:spacing w:line="360" w:lineRule="auto"/>
        <w:ind w:firstLine="420" w:firstLineChars="200"/>
        <w:textAlignment w:val="auto"/>
        <w:outlineLvl w:val="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.1 本合同按照中华人民共和国现行法律进行解释。</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.2 本合同的履行、违约责任和解决争议的方法等适用《中华人民共和国</w:t>
      </w:r>
      <w:r>
        <w:rPr>
          <w:rFonts w:hint="default" w:ascii="Times New Roman" w:hAnsi="Times New Roman" w:cs="Times New Roman"/>
          <w:color w:val="auto"/>
          <w:sz w:val="21"/>
          <w:szCs w:val="21"/>
          <w:highlight w:val="none"/>
          <w:lang w:eastAsia="zh-CN"/>
        </w:rPr>
        <w:t>民法典（合同编）</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19</w:t>
      </w:r>
      <w:r>
        <w:rPr>
          <w:rFonts w:hint="default" w:ascii="Times New Roman" w:hAnsi="Times New Roman" w:cs="Times New Roman"/>
          <w:b/>
          <w:color w:val="auto"/>
          <w:sz w:val="21"/>
          <w:szCs w:val="21"/>
          <w:highlight w:val="none"/>
        </w:rPr>
        <w:t>. 税费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19</w:t>
      </w:r>
      <w:r>
        <w:rPr>
          <w:rFonts w:hint="default" w:ascii="Times New Roman" w:hAnsi="Times New Roman" w:cs="Times New Roman"/>
          <w:color w:val="auto"/>
          <w:sz w:val="21"/>
          <w:szCs w:val="21"/>
          <w:highlight w:val="none"/>
        </w:rPr>
        <w:t>.1 合同服务的所有税费均已包含于合同价中，甲方不再另行支付。</w:t>
      </w:r>
    </w:p>
    <w:p>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outlineLvl w:val="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20</w:t>
      </w:r>
      <w:r>
        <w:rPr>
          <w:rFonts w:hint="default" w:ascii="Times New Roman" w:hAnsi="Times New Roman" w:cs="Times New Roman"/>
          <w:b/>
          <w:color w:val="auto"/>
          <w:sz w:val="21"/>
          <w:szCs w:val="21"/>
          <w:highlight w:val="none"/>
        </w:rPr>
        <w:t>. 合同生效</w:t>
      </w:r>
    </w:p>
    <w:p>
      <w:pPr>
        <w:keepNext w:val="0"/>
        <w:keepLines w:val="0"/>
        <w:pageBreakBefore w:val="0"/>
        <w:widowControl w:val="0"/>
        <w:kinsoku/>
        <w:wordWrap/>
        <w:overflowPunct/>
        <w:bidi w:val="0"/>
        <w:adjustRightInd/>
        <w:snapToGrid/>
        <w:spacing w:line="360" w:lineRule="auto"/>
        <w:ind w:firstLine="420" w:firstLineChars="200"/>
        <w:textAlignment w:val="auto"/>
        <w:rPr>
          <w:color w:val="auto"/>
          <w:highlight w:val="none"/>
        </w:rPr>
        <w:sectPr>
          <w:pgSz w:w="11906" w:h="16838"/>
          <w:pgMar w:top="1440" w:right="1752" w:bottom="1440" w:left="1752" w:header="851" w:footer="992" w:gutter="0"/>
          <w:pgNumType w:fmt="decimal"/>
          <w:cols w:space="720" w:num="1"/>
          <w:titlePg/>
          <w:docGrid w:type="lines" w:linePitch="312" w:charSpace="0"/>
        </w:sectPr>
      </w:pP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.1 本合同一式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份，由甲乙双方法定代表人或被授权人签字并盖章后生效。</w:t>
      </w:r>
    </w:p>
    <w:p>
      <w:pPr>
        <w:bidi w:val="0"/>
        <w:jc w:val="center"/>
        <w:outlineLvl w:val="0"/>
        <w:rPr>
          <w:rFonts w:hint="eastAsia" w:ascii="华文中宋" w:hAnsi="华文中宋" w:eastAsia="华文中宋" w:cs="华文中宋"/>
          <w:b/>
          <w:bCs/>
          <w:color w:val="auto"/>
          <w:sz w:val="28"/>
          <w:szCs w:val="28"/>
          <w:highlight w:val="none"/>
        </w:rPr>
      </w:pPr>
      <w:bookmarkStart w:id="13" w:name="_Toc132880668"/>
      <w:r>
        <w:rPr>
          <w:rFonts w:hint="eastAsia" w:ascii="华文中宋" w:hAnsi="华文中宋" w:eastAsia="华文中宋" w:cs="华文中宋"/>
          <w:b/>
          <w:bCs/>
          <w:color w:val="auto"/>
          <w:sz w:val="28"/>
          <w:szCs w:val="28"/>
          <w:highlight w:val="none"/>
        </w:rPr>
        <w:t>第五章　响应文件格式</w:t>
      </w:r>
      <w:bookmarkEnd w:id="13"/>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供应商必须按下列文本格式，如实提供具有法律效力的资格证明文件和真实有效的其他文件资料，任何不按下列文本格式提供或有实质性变更将由供应商承担风险。</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1.供应商应严格按照本章规定填写和提交全部格式文件以及其他有关资料，混乱的编排导致响应文件被误读或查找不到，后果由供应商承担。</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outlineLvl w:val="1"/>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2.所附表格中要求回答的全部问题和信息都必须正面回答。</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3.资格声明文件的签字人应保证全部声明和问题的回答是真实的和准确的。</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4.磋商小组将应用供应商提交的资料并根据自己的判断，决定供应商履行合同的合格性及能力。</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outlineLvl w:val="1"/>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5.全部文件应按供应商须知中规定的语言提交。</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6.以下格式文件为要求填写内容的固定格式，供应商不得擅自修改格式，其他未提供格式的文件和资料由供应商自行设计编制格式填写。</w:t>
      </w:r>
    </w:p>
    <w:p>
      <w:pPr>
        <w:adjustRightInd w:val="0"/>
        <w:snapToGrid w:val="0"/>
        <w:spacing w:beforeLines="20" w:after="4" w:line="360" w:lineRule="auto"/>
        <w:ind w:firstLine="422" w:firstLineChars="200"/>
        <w:jc w:val="center"/>
        <w:rPr>
          <w:rFonts w:hint="default" w:ascii="Times New Roman" w:hAnsi="Times New Roman" w:cs="Times New Roman"/>
          <w:b/>
          <w:bCs/>
          <w:color w:val="auto"/>
          <w:highlight w:val="none"/>
        </w:rPr>
      </w:pPr>
    </w:p>
    <w:p>
      <w:pPr>
        <w:ind w:firstLine="422" w:firstLineChars="200"/>
        <w:jc w:val="center"/>
        <w:rPr>
          <w:rFonts w:hint="default" w:ascii="Times New Roman" w:hAnsi="Times New Roman" w:cs="Times New Roman"/>
          <w:b/>
          <w:bCs/>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b/>
          <w:bCs/>
          <w:color w:val="auto"/>
          <w:highlight w:val="none"/>
        </w:rPr>
      </w:pPr>
    </w:p>
    <w:p>
      <w:pPr>
        <w:adjustRightInd w:val="0"/>
        <w:snapToGrid w:val="0"/>
        <w:spacing w:after="0" w:line="360" w:lineRule="auto"/>
        <w:jc w:val="center"/>
        <w:rPr>
          <w:b/>
          <w:bCs/>
          <w:color w:val="auto"/>
          <w:highlight w:val="none"/>
        </w:rPr>
      </w:pPr>
      <w:r>
        <w:rPr>
          <w:rFonts w:hint="eastAsia"/>
          <w:b/>
          <w:bCs/>
          <w:color w:val="auto"/>
          <w:highlight w:val="none"/>
        </w:rPr>
        <w:br w:type="page"/>
      </w:r>
    </w:p>
    <w:p>
      <w:pPr>
        <w:spacing w:line="600" w:lineRule="auto"/>
        <w:jc w:val="center"/>
        <w:rPr>
          <w:rFonts w:ascii="宋体" w:hAnsi="宋体"/>
          <w:b/>
          <w:color w:val="auto"/>
          <w:kern w:val="0"/>
          <w:sz w:val="44"/>
          <w:szCs w:val="44"/>
          <w:highlight w:val="none"/>
        </w:rPr>
      </w:pPr>
    </w:p>
    <w:p>
      <w:pPr>
        <w:pStyle w:val="2"/>
        <w:rPr>
          <w:rFonts w:ascii="宋体" w:hAnsi="宋体"/>
          <w:b/>
          <w:color w:val="auto"/>
          <w:kern w:val="0"/>
          <w:sz w:val="44"/>
          <w:szCs w:val="44"/>
          <w:highlight w:val="none"/>
        </w:rPr>
      </w:pP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响  应  文  件</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商务部分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（填写正本或副本）</w:t>
      </w:r>
    </w:p>
    <w:p>
      <w:pPr>
        <w:spacing w:line="360" w:lineRule="auto"/>
        <w:ind w:firstLine="480" w:firstLineChars="200"/>
        <w:jc w:val="center"/>
        <w:rPr>
          <w:rFonts w:hint="eastAsia" w:ascii="方正小标宋简体" w:hAnsi="方正小标宋简体" w:eastAsia="方正小标宋简体" w:cs="方正小标宋简体"/>
          <w:b w:val="0"/>
          <w:bCs/>
          <w:color w:val="auto"/>
          <w:kern w:val="0"/>
          <w:sz w:val="24"/>
          <w:szCs w:val="24"/>
          <w:highlight w:val="none"/>
        </w:rPr>
      </w:pPr>
    </w:p>
    <w:p>
      <w:pPr>
        <w:pStyle w:val="2"/>
        <w:rPr>
          <w:rFonts w:hint="eastAsia" w:ascii="方正小标宋简体" w:hAnsi="方正小标宋简体" w:eastAsia="方正小标宋简体" w:cs="方正小标宋简体"/>
          <w:b w:val="0"/>
          <w:bCs/>
          <w:color w:val="auto"/>
          <w:kern w:val="0"/>
          <w:sz w:val="24"/>
          <w:szCs w:val="24"/>
          <w:highlight w:val="none"/>
        </w:rPr>
      </w:pPr>
    </w:p>
    <w:p>
      <w:pPr>
        <w:rPr>
          <w:rFonts w:hint="eastAsia" w:ascii="方正小标宋简体" w:hAnsi="方正小标宋简体" w:eastAsia="方正小标宋简体" w:cs="方正小标宋简体"/>
          <w:b w:val="0"/>
          <w:bCs/>
          <w:color w:val="auto"/>
          <w:kern w:val="0"/>
          <w:sz w:val="24"/>
          <w:szCs w:val="24"/>
          <w:highlight w:val="none"/>
        </w:rPr>
      </w:pPr>
    </w:p>
    <w:p>
      <w:pPr>
        <w:pStyle w:val="2"/>
        <w:rPr>
          <w:rFonts w:hint="eastAsia" w:ascii="方正小标宋简体" w:hAnsi="方正小标宋简体" w:eastAsia="方正小标宋简体" w:cs="方正小标宋简体"/>
          <w:b w:val="0"/>
          <w:bCs/>
          <w:color w:val="auto"/>
          <w:kern w:val="0"/>
          <w:sz w:val="24"/>
          <w:szCs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项目名称：</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项目编号：</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所投采购包：</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供应商：</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日  期：</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widowControl/>
        <w:spacing w:after="0" w:line="24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格式1  授权委托书</w:t>
      </w:r>
    </w:p>
    <w:p>
      <w:pPr>
        <w:adjustRightInd w:val="0"/>
        <w:snapToGrid w:val="0"/>
        <w:spacing w:after="0" w:line="360" w:lineRule="auto"/>
        <w:jc w:val="center"/>
        <w:outlineLvl w:val="2"/>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1-1法定代表人授权委托书</w:t>
      </w:r>
    </w:p>
    <w:p>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适用于授权代表参加磋商</w:t>
      </w:r>
      <w:r>
        <w:rPr>
          <w:rFonts w:ascii="宋体" w:hAnsi="宋体" w:cs="宋体"/>
          <w:b w:val="0"/>
          <w:bCs w:val="0"/>
          <w:color w:val="auto"/>
          <w:sz w:val="21"/>
          <w:szCs w:val="21"/>
          <w:highlight w:val="none"/>
        </w:rPr>
        <w:t>)</w:t>
      </w:r>
    </w:p>
    <w:p>
      <w:pPr>
        <w:pStyle w:val="8"/>
        <w:rPr>
          <w:rFonts w:ascii="Times New Roman" w:hAnsi="Times New Roman" w:eastAsia="仿宋_GB2312"/>
          <w:color w:val="auto"/>
          <w:highlight w:val="none"/>
        </w:rPr>
      </w:pPr>
    </w:p>
    <w:p>
      <w:pPr>
        <w:pStyle w:val="8"/>
        <w:spacing w:line="360" w:lineRule="auto"/>
        <w:rPr>
          <w:rFonts w:ascii="宋体" w:hAnsi="宋体" w:eastAsia="宋体"/>
          <w:color w:val="auto"/>
          <w:sz w:val="21"/>
          <w:szCs w:val="21"/>
          <w:highlight w:val="none"/>
        </w:rPr>
      </w:pPr>
      <w:r>
        <w:rPr>
          <w:rFonts w:ascii="宋体" w:hAnsi="宋体" w:eastAsia="宋体"/>
          <w:color w:val="auto"/>
          <w:sz w:val="21"/>
          <w:szCs w:val="21"/>
          <w:highlight w:val="none"/>
        </w:rPr>
        <w:t>致____________(采购人或采购代理机构)：</w:t>
      </w:r>
    </w:p>
    <w:p>
      <w:pPr>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本授权书声明：注册于___________ （供应商住址）的___________（供应商名称）法定代表人_______（姓名、职务）代表本公司授权_______（授权代表姓名、职务）为本公司的合法磋商代表，就贵方组织的《</w:t>
      </w:r>
      <w:r>
        <w:rPr>
          <w:rFonts w:hint="eastAsia" w:ascii="宋体" w:hAnsi="宋体" w:cs="宋体"/>
          <w:color w:val="auto"/>
          <w:sz w:val="21"/>
          <w:szCs w:val="21"/>
          <w:highlight w:val="none"/>
          <w:u w:val="single"/>
        </w:rPr>
        <w:t xml:space="preserve">          项目</w:t>
      </w:r>
      <w:r>
        <w:rPr>
          <w:rFonts w:hint="eastAsia" w:ascii="宋体" w:hAnsi="宋体" w:cs="宋体"/>
          <w:color w:val="auto"/>
          <w:sz w:val="21"/>
          <w:szCs w:val="21"/>
          <w:highlight w:val="none"/>
        </w:rPr>
        <w:t>》（项目编号：_______）</w:t>
      </w:r>
      <w:r>
        <w:rPr>
          <w:rFonts w:hint="eastAsia" w:ascii="宋体" w:hAnsi="宋体"/>
          <w:color w:val="auto"/>
          <w:kern w:val="0"/>
          <w:sz w:val="21"/>
          <w:szCs w:val="21"/>
          <w:highlight w:val="none"/>
        </w:rPr>
        <w:t>磋商</w:t>
      </w:r>
      <w:r>
        <w:rPr>
          <w:rFonts w:ascii="宋体" w:hAnsi="宋体"/>
          <w:color w:val="auto"/>
          <w:kern w:val="0"/>
          <w:sz w:val="21"/>
          <w:szCs w:val="21"/>
          <w:highlight w:val="none"/>
        </w:rPr>
        <w:t>、澄清、</w:t>
      </w:r>
      <w:r>
        <w:rPr>
          <w:rFonts w:hint="eastAsia" w:ascii="宋体" w:hAnsi="宋体" w:cs="宋体"/>
          <w:color w:val="auto"/>
          <w:sz w:val="21"/>
          <w:szCs w:val="21"/>
          <w:highlight w:val="none"/>
        </w:rPr>
        <w:t>合同的执行，以本公司名义处理一切与之有关的事务。</w:t>
      </w:r>
    </w:p>
    <w:p>
      <w:pPr>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本授权书于______年______月_____日生效，特此声明。</w:t>
      </w:r>
    </w:p>
    <w:p>
      <w:pPr>
        <w:pStyle w:val="8"/>
        <w:adjustRightInd w:val="0"/>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授权代表无转委托权。</w:t>
      </w:r>
    </w:p>
    <w:p>
      <w:pPr>
        <w:pStyle w:val="8"/>
        <w:adjustRightInd w:val="0"/>
        <w:snapToGrid w:val="0"/>
        <w:spacing w:line="360" w:lineRule="auto"/>
        <w:rPr>
          <w:rFonts w:hAnsi="宋体" w:cs="宋体"/>
          <w:color w:val="auto"/>
          <w:highlight w:val="none"/>
        </w:rPr>
      </w:pPr>
    </w:p>
    <w:tbl>
      <w:tblPr>
        <w:tblStyle w:val="12"/>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8"/>
              <w:adjustRightInd w:val="0"/>
              <w:snapToGrid w:val="0"/>
              <w:spacing w:line="360" w:lineRule="auto"/>
              <w:jc w:val="center"/>
              <w:rPr>
                <w:rFonts w:hAnsi="宋体" w:cs="宋体"/>
                <w:color w:val="auto"/>
                <w:highlight w:val="none"/>
              </w:rPr>
            </w:pPr>
          </w:p>
          <w:p>
            <w:pPr>
              <w:pStyle w:val="8"/>
              <w:adjustRightInd w:val="0"/>
              <w:snapToGrid w:val="0"/>
              <w:spacing w:line="360" w:lineRule="auto"/>
              <w:jc w:val="center"/>
              <w:rPr>
                <w:rFonts w:hAnsi="宋体" w:cs="宋体"/>
                <w:color w:val="auto"/>
                <w:highlight w:val="none"/>
              </w:rPr>
            </w:pPr>
          </w:p>
          <w:p>
            <w:pPr>
              <w:pStyle w:val="8"/>
              <w:adjustRightInd w:val="0"/>
              <w:snapToGrid w:val="0"/>
              <w:spacing w:line="360" w:lineRule="auto"/>
              <w:jc w:val="center"/>
              <w:rPr>
                <w:rFonts w:hAnsi="宋体" w:cs="宋体"/>
                <w:color w:val="auto"/>
                <w:highlight w:val="none"/>
              </w:rPr>
            </w:pPr>
          </w:p>
          <w:p>
            <w:pPr>
              <w:pStyle w:val="8"/>
              <w:adjustRightInd w:val="0"/>
              <w:snapToGrid w:val="0"/>
              <w:spacing w:line="360" w:lineRule="auto"/>
              <w:jc w:val="center"/>
              <w:rPr>
                <w:rFonts w:hAnsi="宋体" w:cs="宋体"/>
                <w:color w:val="auto"/>
                <w:highlight w:val="none"/>
              </w:rPr>
            </w:pPr>
            <w:r>
              <w:rPr>
                <w:rFonts w:hint="eastAsia" w:hAnsi="宋体" w:cs="宋体"/>
                <w:b/>
                <w:color w:val="auto"/>
                <w:highlight w:val="none"/>
              </w:rPr>
              <w:t>授权代表</w:t>
            </w:r>
            <w:r>
              <w:rPr>
                <w:rFonts w:hint="eastAsia" w:hAnsi="宋体" w:cs="宋体"/>
                <w:color w:val="auto"/>
                <w:highlight w:val="none"/>
              </w:rPr>
              <w:t>身份证复印件</w:t>
            </w:r>
          </w:p>
          <w:p>
            <w:pPr>
              <w:pStyle w:val="8"/>
              <w:adjustRightInd w:val="0"/>
              <w:snapToGrid w:val="0"/>
              <w:spacing w:line="360" w:lineRule="auto"/>
              <w:jc w:val="center"/>
              <w:rPr>
                <w:rFonts w:hAnsi="宋体" w:cs="宋体"/>
                <w:color w:val="auto"/>
                <w:highlight w:val="none"/>
              </w:rPr>
            </w:pPr>
          </w:p>
          <w:p>
            <w:pPr>
              <w:pStyle w:val="8"/>
              <w:adjustRightInd w:val="0"/>
              <w:snapToGrid w:val="0"/>
              <w:spacing w:line="360" w:lineRule="auto"/>
              <w:jc w:val="center"/>
              <w:rPr>
                <w:rFonts w:hAnsi="宋体" w:cs="宋体"/>
                <w:color w:val="auto"/>
                <w:highlight w:val="none"/>
              </w:rPr>
            </w:pPr>
          </w:p>
          <w:p>
            <w:pPr>
              <w:pStyle w:val="8"/>
              <w:adjustRightInd w:val="0"/>
              <w:snapToGrid w:val="0"/>
              <w:spacing w:line="360" w:lineRule="auto"/>
              <w:jc w:val="center"/>
              <w:rPr>
                <w:rFonts w:hAnsi="宋体" w:cs="宋体"/>
                <w:color w:val="auto"/>
                <w:highlight w:val="none"/>
              </w:rPr>
            </w:pPr>
          </w:p>
        </w:tc>
      </w:tr>
    </w:tbl>
    <w:p>
      <w:pPr>
        <w:pStyle w:val="8"/>
        <w:adjustRightInd w:val="0"/>
        <w:snapToGrid w:val="0"/>
        <w:spacing w:line="360" w:lineRule="auto"/>
        <w:jc w:val="left"/>
        <w:rPr>
          <w:rFonts w:hAnsi="宋体" w:cs="宋体"/>
          <w:color w:val="auto"/>
          <w:highlight w:val="none"/>
        </w:rPr>
      </w:pPr>
    </w:p>
    <w:p>
      <w:pPr>
        <w:tabs>
          <w:tab w:val="left" w:pos="1230"/>
        </w:tabs>
        <w:topLinePunct/>
        <w:autoSpaceDE w:val="0"/>
        <w:autoSpaceDN w:val="0"/>
        <w:adjustRightInd w:val="0"/>
        <w:snapToGrid w:val="0"/>
        <w:spacing w:after="0" w:line="360" w:lineRule="auto"/>
        <w:ind w:left="360"/>
        <w:rPr>
          <w:rFonts w:ascii="宋体" w:hAnsi="宋体" w:cs="宋体"/>
          <w:color w:val="auto"/>
          <w:sz w:val="21"/>
          <w:szCs w:val="21"/>
          <w:highlight w:val="none"/>
        </w:rPr>
      </w:pPr>
      <w:r>
        <w:rPr>
          <w:rFonts w:hint="eastAsia" w:ascii="宋体" w:hAnsi="宋体" w:cs="宋体"/>
          <w:color w:val="auto"/>
          <w:sz w:val="21"/>
          <w:szCs w:val="21"/>
          <w:highlight w:val="none"/>
        </w:rPr>
        <w:t>供应商名称（公章）：________________</w:t>
      </w:r>
    </w:p>
    <w:p>
      <w:pPr>
        <w:tabs>
          <w:tab w:val="left" w:pos="1230"/>
        </w:tabs>
        <w:topLinePunct/>
        <w:autoSpaceDE w:val="0"/>
        <w:autoSpaceDN w:val="0"/>
        <w:adjustRightInd w:val="0"/>
        <w:snapToGrid w:val="0"/>
        <w:spacing w:after="0" w:line="360" w:lineRule="auto"/>
        <w:ind w:left="360"/>
        <w:rPr>
          <w:rFonts w:ascii="宋体" w:hAnsi="宋体" w:cs="宋体"/>
          <w:color w:val="auto"/>
          <w:sz w:val="21"/>
          <w:szCs w:val="21"/>
          <w:highlight w:val="none"/>
        </w:rPr>
      </w:pPr>
      <w:r>
        <w:rPr>
          <w:rFonts w:hint="eastAsia" w:ascii="宋体" w:hAnsi="宋体" w:cs="宋体"/>
          <w:color w:val="auto"/>
          <w:sz w:val="21"/>
          <w:szCs w:val="21"/>
          <w:highlight w:val="none"/>
        </w:rPr>
        <w:t>法定代表人（签字或签章）：________________</w:t>
      </w:r>
    </w:p>
    <w:p>
      <w:pPr>
        <w:tabs>
          <w:tab w:val="left" w:pos="1230"/>
        </w:tabs>
        <w:topLinePunct/>
        <w:autoSpaceDE w:val="0"/>
        <w:autoSpaceDN w:val="0"/>
        <w:adjustRightInd w:val="0"/>
        <w:snapToGrid w:val="0"/>
        <w:spacing w:after="0" w:line="360" w:lineRule="auto"/>
        <w:ind w:left="360"/>
        <w:rPr>
          <w:rFonts w:ascii="宋体" w:hAnsi="宋体" w:cs="宋体"/>
          <w:color w:val="auto"/>
          <w:sz w:val="21"/>
          <w:szCs w:val="21"/>
          <w:highlight w:val="none"/>
        </w:rPr>
      </w:pPr>
      <w:r>
        <w:rPr>
          <w:rFonts w:hint="eastAsia" w:ascii="宋体" w:hAnsi="宋体" w:cs="宋体"/>
          <w:color w:val="auto"/>
          <w:sz w:val="21"/>
          <w:szCs w:val="21"/>
          <w:highlight w:val="none"/>
        </w:rPr>
        <w:t>授权代表（签字）：________________</w:t>
      </w:r>
    </w:p>
    <w:p>
      <w:pPr>
        <w:tabs>
          <w:tab w:val="left" w:pos="1230"/>
        </w:tabs>
        <w:topLinePunct/>
        <w:autoSpaceDE w:val="0"/>
        <w:autoSpaceDN w:val="0"/>
        <w:adjustRightInd w:val="0"/>
        <w:snapToGrid w:val="0"/>
        <w:spacing w:after="0" w:line="360" w:lineRule="auto"/>
        <w:ind w:left="360"/>
        <w:rPr>
          <w:rFonts w:ascii="宋体" w:hAnsi="宋体" w:cs="宋体"/>
          <w:color w:val="auto"/>
          <w:sz w:val="21"/>
          <w:szCs w:val="21"/>
          <w:highlight w:val="none"/>
        </w:rPr>
      </w:pPr>
      <w:r>
        <w:rPr>
          <w:rFonts w:hint="eastAsia" w:ascii="宋体" w:hAnsi="宋体" w:cs="宋体"/>
          <w:color w:val="auto"/>
          <w:sz w:val="21"/>
          <w:szCs w:val="21"/>
          <w:highlight w:val="none"/>
        </w:rPr>
        <w:t>授权代表联系电话：____________</w:t>
      </w:r>
    </w:p>
    <w:p>
      <w:pPr>
        <w:tabs>
          <w:tab w:val="left" w:pos="1230"/>
        </w:tabs>
        <w:topLinePunct/>
        <w:autoSpaceDE w:val="0"/>
        <w:autoSpaceDN w:val="0"/>
        <w:adjustRightInd w:val="0"/>
        <w:snapToGrid w:val="0"/>
        <w:spacing w:after="0" w:line="360" w:lineRule="auto"/>
        <w:ind w:left="360"/>
        <w:rPr>
          <w:rFonts w:ascii="宋体" w:hAnsi="宋体" w:cs="宋体"/>
          <w:color w:val="auto"/>
          <w:sz w:val="21"/>
          <w:szCs w:val="21"/>
          <w:highlight w:val="none"/>
        </w:rPr>
      </w:pPr>
      <w:r>
        <w:rPr>
          <w:rFonts w:hint="eastAsia" w:ascii="宋体" w:hAnsi="宋体" w:cs="宋体"/>
          <w:color w:val="auto"/>
          <w:sz w:val="21"/>
          <w:szCs w:val="21"/>
          <w:highlight w:val="none"/>
        </w:rPr>
        <w:t>日期：____________</w:t>
      </w:r>
    </w:p>
    <w:p>
      <w:pPr>
        <w:topLinePunct/>
        <w:autoSpaceDE w:val="0"/>
        <w:autoSpaceDN w:val="0"/>
        <w:adjustRightInd w:val="0"/>
        <w:snapToGrid w:val="0"/>
        <w:spacing w:after="0" w:line="360" w:lineRule="auto"/>
        <w:jc w:val="left"/>
        <w:rPr>
          <w:rFonts w:ascii="宋体" w:hAnsi="宋体" w:cs="宋体"/>
          <w:color w:val="auto"/>
          <w:highlight w:val="none"/>
        </w:rPr>
      </w:pPr>
    </w:p>
    <w:p>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1.供应商如由授权代表参与磋商活动的，须同时提供《法定代表人授权委托书》和授权代表身份证复印件</w:t>
      </w:r>
      <w:r>
        <w:rPr>
          <w:rFonts w:hint="eastAsia" w:ascii="宋体" w:hAnsi="宋体" w:cs="宋体"/>
          <w:bCs/>
          <w:color w:val="auto"/>
          <w:szCs w:val="21"/>
          <w:highlight w:val="none"/>
        </w:rPr>
        <w:t>（线上采购项目提供扫描件，下同）</w:t>
      </w:r>
      <w:r>
        <w:rPr>
          <w:rFonts w:hint="eastAsia" w:ascii="宋体" w:hAnsi="宋体" w:cs="宋体"/>
          <w:color w:val="auto"/>
          <w:highlight w:val="none"/>
        </w:rPr>
        <w:t>。《法定代表人授权委托书》应当按本格式要求加盖与供应商名称全称一致的标准公章，并签署法定代表人或授权代表的全名或加盖名章</w:t>
      </w:r>
      <w:r>
        <w:rPr>
          <w:rFonts w:hint="eastAsia" w:ascii="宋体" w:hAnsi="宋体" w:cs="宋体"/>
          <w:color w:val="auto"/>
          <w:szCs w:val="21"/>
          <w:highlight w:val="none"/>
        </w:rPr>
        <w:t>。(线上采购项目应上传扫描件)</w:t>
      </w:r>
      <w:r>
        <w:rPr>
          <w:rFonts w:hint="eastAsia" w:ascii="宋体" w:hAnsi="宋体" w:cs="宋体"/>
          <w:color w:val="auto"/>
          <w:highlight w:val="none"/>
        </w:rPr>
        <w:t>。</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1-2法定代表人身份证明复印件</w:t>
      </w:r>
    </w:p>
    <w:p>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(适用于法定代表人参加</w:t>
      </w:r>
      <w:r>
        <w:rPr>
          <w:rFonts w:hint="eastAsia" w:ascii="宋体" w:hAnsi="宋体" w:cs="宋体"/>
          <w:b w:val="0"/>
          <w:bCs w:val="0"/>
          <w:color w:val="auto"/>
          <w:sz w:val="21"/>
          <w:szCs w:val="21"/>
          <w:highlight w:val="none"/>
        </w:rPr>
        <w:t>磋商</w:t>
      </w:r>
      <w:r>
        <w:rPr>
          <w:rFonts w:ascii="宋体" w:hAnsi="宋体" w:cs="宋体"/>
          <w:b w:val="0"/>
          <w:bCs w:val="0"/>
          <w:color w:val="auto"/>
          <w:sz w:val="21"/>
          <w:szCs w:val="21"/>
          <w:highlight w:val="none"/>
        </w:rPr>
        <w:t>)</w:t>
      </w:r>
    </w:p>
    <w:p>
      <w:pPr>
        <w:topLinePunct/>
        <w:autoSpaceDE w:val="0"/>
        <w:autoSpaceDN w:val="0"/>
        <w:adjustRightInd w:val="0"/>
        <w:snapToGrid w:val="0"/>
        <w:spacing w:after="0" w:line="360" w:lineRule="auto"/>
        <w:ind w:firstLine="420" w:firstLineChars="200"/>
        <w:rPr>
          <w:color w:val="auto"/>
          <w:highlight w:val="none"/>
        </w:rPr>
      </w:pPr>
    </w:p>
    <w:tbl>
      <w:tblPr>
        <w:tblStyle w:val="12"/>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8"/>
              <w:adjustRightInd w:val="0"/>
              <w:snapToGrid w:val="0"/>
              <w:spacing w:line="360" w:lineRule="auto"/>
              <w:jc w:val="center"/>
              <w:rPr>
                <w:rFonts w:hAnsi="宋体" w:cs="宋体"/>
                <w:color w:val="auto"/>
                <w:highlight w:val="none"/>
              </w:rPr>
            </w:pPr>
          </w:p>
          <w:p>
            <w:pPr>
              <w:pStyle w:val="8"/>
              <w:adjustRightInd w:val="0"/>
              <w:snapToGrid w:val="0"/>
              <w:spacing w:line="360" w:lineRule="auto"/>
              <w:jc w:val="center"/>
              <w:rPr>
                <w:rFonts w:hAnsi="宋体" w:cs="宋体"/>
                <w:color w:val="auto"/>
                <w:highlight w:val="none"/>
              </w:rPr>
            </w:pPr>
          </w:p>
          <w:p>
            <w:pPr>
              <w:pStyle w:val="8"/>
              <w:adjustRightInd w:val="0"/>
              <w:snapToGrid w:val="0"/>
              <w:spacing w:line="360" w:lineRule="auto"/>
              <w:jc w:val="center"/>
              <w:rPr>
                <w:rFonts w:hAnsi="宋体" w:cs="宋体"/>
                <w:color w:val="auto"/>
                <w:highlight w:val="none"/>
              </w:rPr>
            </w:pPr>
          </w:p>
          <w:p>
            <w:pPr>
              <w:pStyle w:val="8"/>
              <w:adjustRightInd w:val="0"/>
              <w:snapToGrid w:val="0"/>
              <w:spacing w:line="360" w:lineRule="auto"/>
              <w:jc w:val="center"/>
              <w:rPr>
                <w:rFonts w:hAnsi="宋体" w:cs="宋体"/>
                <w:color w:val="auto"/>
                <w:highlight w:val="none"/>
              </w:rPr>
            </w:pPr>
          </w:p>
          <w:p>
            <w:pPr>
              <w:pStyle w:val="8"/>
              <w:adjustRightInd w:val="0"/>
              <w:snapToGrid w:val="0"/>
              <w:spacing w:line="360" w:lineRule="auto"/>
              <w:jc w:val="center"/>
              <w:rPr>
                <w:rFonts w:hAnsi="宋体" w:cs="宋体"/>
                <w:color w:val="auto"/>
                <w:highlight w:val="none"/>
              </w:rPr>
            </w:pPr>
            <w:r>
              <w:rPr>
                <w:rFonts w:hAnsi="宋体" w:cs="宋体"/>
                <w:color w:val="auto"/>
                <w:highlight w:val="none"/>
              </w:rPr>
              <w:t>法定代表人身份证明复印件</w:t>
            </w:r>
          </w:p>
          <w:p>
            <w:pPr>
              <w:pStyle w:val="8"/>
              <w:adjustRightInd w:val="0"/>
              <w:snapToGrid w:val="0"/>
              <w:spacing w:line="360" w:lineRule="auto"/>
              <w:jc w:val="center"/>
              <w:rPr>
                <w:rFonts w:hAnsi="宋体" w:cs="宋体"/>
                <w:color w:val="auto"/>
                <w:highlight w:val="none"/>
              </w:rPr>
            </w:pPr>
          </w:p>
          <w:p>
            <w:pPr>
              <w:pStyle w:val="8"/>
              <w:adjustRightInd w:val="0"/>
              <w:snapToGrid w:val="0"/>
              <w:spacing w:line="360" w:lineRule="auto"/>
              <w:jc w:val="center"/>
              <w:rPr>
                <w:rFonts w:hAnsi="宋体" w:cs="宋体"/>
                <w:color w:val="auto"/>
                <w:highlight w:val="none"/>
              </w:rPr>
            </w:pPr>
          </w:p>
          <w:p>
            <w:pPr>
              <w:pStyle w:val="8"/>
              <w:adjustRightInd w:val="0"/>
              <w:snapToGrid w:val="0"/>
              <w:spacing w:line="360" w:lineRule="auto"/>
              <w:jc w:val="center"/>
              <w:rPr>
                <w:rFonts w:hAnsi="宋体" w:cs="宋体"/>
                <w:color w:val="auto"/>
                <w:highlight w:val="none"/>
              </w:rPr>
            </w:pPr>
          </w:p>
          <w:p>
            <w:pPr>
              <w:pStyle w:val="8"/>
              <w:adjustRightInd w:val="0"/>
              <w:snapToGrid w:val="0"/>
              <w:spacing w:line="360" w:lineRule="auto"/>
              <w:jc w:val="center"/>
              <w:rPr>
                <w:rFonts w:hAnsi="宋体" w:cs="宋体"/>
                <w:color w:val="auto"/>
                <w:highlight w:val="none"/>
              </w:rPr>
            </w:pPr>
          </w:p>
        </w:tc>
      </w:tr>
    </w:tbl>
    <w:p>
      <w:pPr>
        <w:topLinePunct/>
        <w:autoSpaceDE w:val="0"/>
        <w:autoSpaceDN w:val="0"/>
        <w:adjustRightInd w:val="0"/>
        <w:snapToGrid w:val="0"/>
        <w:spacing w:after="0" w:line="360" w:lineRule="auto"/>
        <w:jc w:val="left"/>
        <w:rPr>
          <w:rFonts w:eastAsia="仿宋_GB2312"/>
          <w:color w:val="auto"/>
          <w:highlight w:val="none"/>
        </w:rPr>
      </w:pPr>
    </w:p>
    <w:p>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供应商如由</w:t>
      </w:r>
      <w:r>
        <w:rPr>
          <w:rFonts w:hint="eastAsia" w:ascii="宋体" w:hAnsi="宋体" w:cs="宋体"/>
          <w:b/>
          <w:bCs/>
          <w:color w:val="auto"/>
          <w:highlight w:val="none"/>
        </w:rPr>
        <w:t>法定代表人作为磋商代表参与磋商活动的，仅须提供法定代表人身份证复印件</w:t>
      </w:r>
      <w:r>
        <w:rPr>
          <w:rFonts w:hint="eastAsia" w:ascii="宋体" w:hAnsi="宋体" w:cs="宋体"/>
          <w:bCs/>
          <w:color w:val="auto"/>
          <w:szCs w:val="21"/>
          <w:highlight w:val="none"/>
        </w:rPr>
        <w:t>（线上采购项目提供扫描件，下同）</w:t>
      </w:r>
      <w:r>
        <w:rPr>
          <w:rFonts w:hint="eastAsia" w:ascii="宋体" w:hAnsi="宋体" w:cs="宋体"/>
          <w:color w:val="auto"/>
          <w:highlight w:val="none"/>
        </w:rPr>
        <w:t>。</w:t>
      </w:r>
    </w:p>
    <w:p>
      <w:pPr>
        <w:pStyle w:val="8"/>
        <w:ind w:firstLine="420" w:firstLineChars="200"/>
        <w:rPr>
          <w:rFonts w:ascii="Times New Roman" w:hAnsi="Times New Roman" w:eastAsia="仿宋_GB2312"/>
          <w:color w:val="auto"/>
          <w:highlight w:val="none"/>
        </w:rPr>
      </w:pPr>
    </w:p>
    <w:p>
      <w:pPr>
        <w:widowControl/>
        <w:spacing w:after="0" w:line="24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1-3自然人授权委托书</w:t>
      </w:r>
    </w:p>
    <w:p>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适用于自然人参加磋商</w:t>
      </w:r>
      <w:r>
        <w:rPr>
          <w:rFonts w:ascii="宋体" w:hAnsi="宋体" w:cs="宋体"/>
          <w:b w:val="0"/>
          <w:bCs w:val="0"/>
          <w:color w:val="auto"/>
          <w:sz w:val="21"/>
          <w:szCs w:val="21"/>
          <w:highlight w:val="none"/>
        </w:rPr>
        <w:t>)</w:t>
      </w:r>
    </w:p>
    <w:p>
      <w:pPr>
        <w:pStyle w:val="8"/>
        <w:rPr>
          <w:rFonts w:ascii="Times New Roman" w:hAnsi="Times New Roman" w:eastAsia="仿宋_GB2312"/>
          <w:b w:val="0"/>
          <w:bCs w:val="0"/>
          <w:color w:val="auto"/>
          <w:sz w:val="21"/>
          <w:szCs w:val="21"/>
          <w:highlight w:val="none"/>
        </w:rPr>
      </w:pPr>
    </w:p>
    <w:p>
      <w:pPr>
        <w:pStyle w:val="8"/>
        <w:spacing w:line="360" w:lineRule="auto"/>
        <w:rPr>
          <w:rFonts w:ascii="宋体" w:hAnsi="宋体" w:eastAsia="宋体"/>
          <w:color w:val="auto"/>
          <w:sz w:val="21"/>
          <w:szCs w:val="21"/>
          <w:highlight w:val="none"/>
        </w:rPr>
      </w:pPr>
      <w:r>
        <w:rPr>
          <w:rFonts w:ascii="宋体" w:hAnsi="宋体" w:eastAsia="宋体"/>
          <w:color w:val="auto"/>
          <w:sz w:val="21"/>
          <w:szCs w:val="21"/>
          <w:highlight w:val="none"/>
        </w:rPr>
        <w:t>致____________(采购人或采购代理机构)：</w:t>
      </w:r>
    </w:p>
    <w:p>
      <w:pPr>
        <w:pStyle w:val="8"/>
        <w:spacing w:line="360" w:lineRule="auto"/>
        <w:ind w:firstLine="420" w:firstLineChars="200"/>
        <w:rPr>
          <w:rFonts w:ascii="宋体" w:hAnsi="宋体" w:eastAsia="宋体"/>
          <w:color w:val="auto"/>
          <w:sz w:val="21"/>
          <w:szCs w:val="21"/>
          <w:highlight w:val="none"/>
        </w:rPr>
      </w:pPr>
      <w:r>
        <w:rPr>
          <w:rFonts w:hint="eastAsia" w:hAnsi="宋体" w:cs="宋体"/>
          <w:color w:val="auto"/>
          <w:sz w:val="21"/>
          <w:szCs w:val="21"/>
          <w:highlight w:val="none"/>
        </w:rPr>
        <w:t>本授权书声明：</w:t>
      </w:r>
      <w:r>
        <w:rPr>
          <w:rFonts w:ascii="宋体" w:hAnsi="宋体" w:eastAsia="宋体"/>
          <w:color w:val="auto"/>
          <w:sz w:val="21"/>
          <w:szCs w:val="21"/>
          <w:highlight w:val="none"/>
        </w:rPr>
        <w:t>我________(姓名</w:t>
      </w:r>
      <w:r>
        <w:rPr>
          <w:rFonts w:hint="eastAsia" w:ascii="宋体" w:hAnsi="宋体" w:eastAsia="宋体"/>
          <w:color w:val="auto"/>
          <w:sz w:val="21"/>
          <w:szCs w:val="21"/>
          <w:highlight w:val="none"/>
        </w:rPr>
        <w:t>、</w:t>
      </w:r>
      <w:r>
        <w:rPr>
          <w:rFonts w:ascii="宋体" w:hAnsi="宋体" w:eastAsia="宋体"/>
          <w:color w:val="auto"/>
          <w:sz w:val="21"/>
          <w:szCs w:val="21"/>
          <w:highlight w:val="none"/>
        </w:rPr>
        <w:t>身份证号码)系自然人，现授权委托____________(姓名</w:t>
      </w:r>
      <w:r>
        <w:rPr>
          <w:rFonts w:hint="eastAsia" w:ascii="宋体" w:hAnsi="宋体" w:eastAsia="宋体"/>
          <w:color w:val="auto"/>
          <w:sz w:val="21"/>
          <w:szCs w:val="21"/>
          <w:highlight w:val="none"/>
        </w:rPr>
        <w:t>、</w:t>
      </w:r>
      <w:r>
        <w:rPr>
          <w:rFonts w:ascii="宋体" w:hAnsi="宋体" w:eastAsia="宋体"/>
          <w:color w:val="auto"/>
          <w:sz w:val="21"/>
          <w:szCs w:val="21"/>
          <w:highlight w:val="none"/>
        </w:rPr>
        <w:t>身份证号码)以本人名义参加</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项目</w:t>
      </w:r>
      <w:r>
        <w:rPr>
          <w:rFonts w:hint="eastAsia" w:hAnsi="宋体" w:cs="宋体"/>
          <w:color w:val="auto"/>
          <w:sz w:val="21"/>
          <w:szCs w:val="21"/>
          <w:highlight w:val="none"/>
        </w:rPr>
        <w:t>》（项目编号：    ）</w:t>
      </w:r>
      <w:r>
        <w:rPr>
          <w:rFonts w:ascii="宋体" w:hAnsi="宋体" w:eastAsia="宋体"/>
          <w:color w:val="auto"/>
          <w:sz w:val="21"/>
          <w:szCs w:val="21"/>
          <w:highlight w:val="none"/>
        </w:rPr>
        <w:t>的</w:t>
      </w:r>
      <w:r>
        <w:rPr>
          <w:rFonts w:hint="eastAsia" w:ascii="宋体" w:hAnsi="宋体" w:eastAsia="宋体"/>
          <w:color w:val="auto"/>
          <w:sz w:val="21"/>
          <w:szCs w:val="21"/>
          <w:highlight w:val="none"/>
        </w:rPr>
        <w:t>磋商</w:t>
      </w:r>
      <w:r>
        <w:rPr>
          <w:rFonts w:ascii="宋体" w:hAnsi="宋体" w:eastAsia="宋体"/>
          <w:color w:val="auto"/>
          <w:sz w:val="21"/>
          <w:szCs w:val="21"/>
          <w:highlight w:val="none"/>
        </w:rPr>
        <w:t>活动，并代表本人全权办理针对上述项目的</w:t>
      </w:r>
      <w:r>
        <w:rPr>
          <w:rFonts w:hint="eastAsia" w:ascii="宋体" w:hAnsi="宋体" w:eastAsia="宋体"/>
          <w:color w:val="auto"/>
          <w:sz w:val="21"/>
          <w:szCs w:val="21"/>
          <w:highlight w:val="none"/>
        </w:rPr>
        <w:t>磋商、签约等具体事务和签署相关文件。</w:t>
      </w:r>
    </w:p>
    <w:p>
      <w:pPr>
        <w:pStyle w:val="8"/>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本人对被授权人的签字事项负全部责任。</w:t>
      </w:r>
    </w:p>
    <w:p>
      <w:pPr>
        <w:pStyle w:val="8"/>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授权委托代理期限：从　　年　　月　　日起至　　年　　月　　日止。</w:t>
      </w:r>
    </w:p>
    <w:p>
      <w:pPr>
        <w:pStyle w:val="8"/>
        <w:spacing w:line="360" w:lineRule="auto"/>
        <w:ind w:firstLine="420" w:firstLineChars="200"/>
        <w:rPr>
          <w:rFonts w:ascii="宋体" w:hAnsi="宋体" w:eastAsia="宋体"/>
          <w:color w:val="auto"/>
          <w:sz w:val="21"/>
          <w:szCs w:val="21"/>
          <w:highlight w:val="none"/>
        </w:rPr>
      </w:pPr>
    </w:p>
    <w:p>
      <w:pPr>
        <w:pStyle w:val="8"/>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代理人无转委托权，特此委托。</w:t>
      </w:r>
    </w:p>
    <w:p>
      <w:pPr>
        <w:pStyle w:val="8"/>
        <w:spacing w:line="360" w:lineRule="auto"/>
        <w:ind w:firstLine="420" w:firstLineChars="200"/>
        <w:rPr>
          <w:rFonts w:ascii="宋体" w:hAnsi="宋体" w:eastAsia="宋体"/>
          <w:color w:val="auto"/>
          <w:sz w:val="21"/>
          <w:szCs w:val="21"/>
          <w:highlight w:val="none"/>
        </w:rPr>
      </w:pPr>
    </w:p>
    <w:p>
      <w:pPr>
        <w:pStyle w:val="8"/>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我已在下面签字，以资证明。</w:t>
      </w:r>
    </w:p>
    <w:p>
      <w:pPr>
        <w:pStyle w:val="8"/>
        <w:spacing w:line="360" w:lineRule="auto"/>
        <w:ind w:firstLine="420" w:firstLineChars="200"/>
        <w:rPr>
          <w:rFonts w:ascii="宋体" w:hAnsi="宋体" w:eastAsia="宋体"/>
          <w:color w:val="auto"/>
          <w:sz w:val="21"/>
          <w:szCs w:val="21"/>
          <w:highlight w:val="none"/>
        </w:rPr>
      </w:pPr>
    </w:p>
    <w:p>
      <w:pPr>
        <w:pStyle w:val="8"/>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自然人签字并在签名处加盖食指指印：　　　　年　　月　　日</w:t>
      </w:r>
    </w:p>
    <w:p>
      <w:pPr>
        <w:pStyle w:val="8"/>
        <w:spacing w:line="360" w:lineRule="auto"/>
        <w:ind w:firstLine="420" w:firstLineChars="200"/>
        <w:rPr>
          <w:rFonts w:ascii="宋体" w:hAnsi="宋体" w:eastAsia="宋体"/>
          <w:color w:val="auto"/>
          <w:sz w:val="21"/>
          <w:szCs w:val="21"/>
          <w:highlight w:val="none"/>
        </w:rPr>
      </w:pPr>
    </w:p>
    <w:p>
      <w:pPr>
        <w:topLinePunct/>
        <w:autoSpaceDE w:val="0"/>
        <w:autoSpaceDN w:val="0"/>
        <w:adjustRightInd w:val="0"/>
        <w:snapToGrid w:val="0"/>
        <w:spacing w:after="0" w:line="360" w:lineRule="auto"/>
        <w:jc w:val="left"/>
        <w:rPr>
          <w:rFonts w:ascii="宋体" w:hAnsi="宋体" w:cs="宋体"/>
          <w:color w:val="auto"/>
          <w:sz w:val="21"/>
          <w:szCs w:val="21"/>
          <w:highlight w:val="none"/>
        </w:rPr>
      </w:pPr>
    </w:p>
    <w:p>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供应商如由</w:t>
      </w:r>
      <w:r>
        <w:rPr>
          <w:rFonts w:hint="eastAsia" w:ascii="宋体" w:hAnsi="宋体" w:cs="宋体"/>
          <w:b/>
          <w:bCs/>
          <w:color w:val="auto"/>
          <w:highlight w:val="none"/>
        </w:rPr>
        <w:t>被授权人参与磋商活动的，</w:t>
      </w:r>
      <w:r>
        <w:rPr>
          <w:rFonts w:hint="eastAsia" w:ascii="宋体" w:hAnsi="宋体" w:cs="宋体"/>
          <w:color w:val="auto"/>
          <w:highlight w:val="none"/>
        </w:rPr>
        <w:t>须提供《自然人授权委托书》，《自然人授权委托书》应当按本格式要求签字并由自然人在签名处加盖食指指印</w:t>
      </w:r>
      <w:r>
        <w:rPr>
          <w:rFonts w:hint="eastAsia" w:ascii="宋体" w:hAnsi="宋体" w:cs="宋体"/>
          <w:color w:val="auto"/>
          <w:szCs w:val="21"/>
          <w:highlight w:val="none"/>
        </w:rPr>
        <w:t>。</w:t>
      </w:r>
    </w:p>
    <w:p>
      <w:pPr>
        <w:pStyle w:val="8"/>
        <w:spacing w:line="360" w:lineRule="auto"/>
        <w:ind w:firstLine="480" w:firstLineChars="200"/>
        <w:rPr>
          <w:rFonts w:ascii="宋体" w:hAnsi="宋体" w:eastAsia="宋体"/>
          <w:color w:val="auto"/>
          <w:sz w:val="24"/>
          <w:szCs w:val="24"/>
          <w:highlight w:val="none"/>
        </w:rPr>
      </w:pPr>
    </w:p>
    <w:p>
      <w:pPr>
        <w:pStyle w:val="8"/>
        <w:ind w:firstLine="420" w:firstLineChars="200"/>
        <w:jc w:val="center"/>
        <w:rPr>
          <w:rFonts w:hint="default" w:ascii="Times New Roman" w:hAnsi="Times New Roman" w:cs="Times New Roman"/>
          <w:b/>
          <w:bCs/>
          <w:color w:val="auto"/>
          <w:sz w:val="36"/>
          <w:szCs w:val="36"/>
          <w:highlight w:val="none"/>
        </w:rPr>
      </w:pPr>
      <w:r>
        <w:rPr>
          <w:rFonts w:ascii="Times New Roman" w:hAnsi="Times New Roman" w:eastAsia="仿宋_GB2312"/>
          <w:color w:val="auto"/>
          <w:highlight w:val="none"/>
        </w:rPr>
        <w:br w:type="page"/>
      </w:r>
      <w:r>
        <w:rPr>
          <w:rFonts w:hint="default" w:ascii="Times New Roman" w:hAnsi="Times New Roman" w:cs="Times New Roman"/>
          <w:b/>
          <w:bCs/>
          <w:color w:val="auto"/>
          <w:sz w:val="28"/>
          <w:szCs w:val="28"/>
          <w:highlight w:val="none"/>
        </w:rPr>
        <w:t>格式2  磋商响应函</w:t>
      </w:r>
    </w:p>
    <w:p>
      <w:pPr>
        <w:pStyle w:val="8"/>
        <w:topLinePunct/>
        <w:autoSpaceDE w:val="0"/>
        <w:autoSpaceDN w:val="0"/>
        <w:adjustRightInd w:val="0"/>
        <w:snapToGrid w:val="0"/>
        <w:spacing w:line="360" w:lineRule="auto"/>
        <w:rPr>
          <w:rFonts w:hint="default" w:ascii="Times New Roman" w:hAnsi="Times New Roman" w:cs="Times New Roman"/>
          <w:color w:val="auto"/>
          <w:sz w:val="24"/>
          <w:highlight w:val="none"/>
        </w:rPr>
      </w:pPr>
    </w:p>
    <w:p>
      <w:pPr>
        <w:pStyle w:val="8"/>
        <w:topLinePunct/>
        <w:autoSpaceDE w:val="0"/>
        <w:autoSpaceDN w:val="0"/>
        <w:adjustRightInd w:val="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致________（采购人或采购代理机构）：</w:t>
      </w:r>
    </w:p>
    <w:p>
      <w:pPr>
        <w:pStyle w:val="8"/>
        <w:topLinePunct/>
        <w:autoSpaceDE w:val="0"/>
        <w:autoSpaceDN w:val="0"/>
        <w:adjustRightInd w:val="0"/>
        <w:snapToGrid w:val="0"/>
        <w:spacing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根据______（项目名称）（项目编号：______）的磋商邀请，______（姓名、职务）代表供应商______（供应商名称、地址）参加项目磋商的有关活动。据此函，作如下承诺：</w:t>
      </w:r>
    </w:p>
    <w:p>
      <w:pPr>
        <w:pStyle w:val="20"/>
        <w:numPr>
          <w:ilvl w:val="0"/>
          <w:numId w:val="0"/>
        </w:numPr>
        <w:tabs>
          <w:tab w:val="left" w:pos="420"/>
        </w:tabs>
        <w:topLinePunct/>
        <w:autoSpaceDE w:val="0"/>
        <w:autoSpaceDN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1.同意在本项目采购文件中规定的开标日起</w:t>
      </w:r>
      <w:r>
        <w:rPr>
          <w:rFonts w:hint="default" w:ascii="Times New Roman" w:hAnsi="Times New Roman" w:cs="Times New Roman"/>
          <w:color w:val="auto"/>
          <w:sz w:val="21"/>
          <w:szCs w:val="21"/>
          <w:highlight w:val="none"/>
          <w:u w:val="single"/>
        </w:rPr>
        <w:t xml:space="preserve">    天</w:t>
      </w:r>
      <w:r>
        <w:rPr>
          <w:rFonts w:hint="default" w:ascii="Times New Roman" w:hAnsi="Times New Roman" w:cs="Times New Roman"/>
          <w:color w:val="auto"/>
          <w:sz w:val="21"/>
          <w:szCs w:val="21"/>
          <w:highlight w:val="none"/>
        </w:rPr>
        <w:t>遵守本响应文件中的承诺，且在期满之前均具有约束力。</w:t>
      </w:r>
    </w:p>
    <w:p>
      <w:pPr>
        <w:pStyle w:val="20"/>
        <w:numPr>
          <w:ilvl w:val="0"/>
          <w:numId w:val="0"/>
        </w:numPr>
        <w:tabs>
          <w:tab w:val="left" w:pos="420"/>
        </w:tabs>
        <w:topLinePunct/>
        <w:autoSpaceDE w:val="0"/>
        <w:autoSpaceDN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2.具备政府采购相关法律法规规定的参加政府采购活动的供应商应当具备的条件：</w:t>
      </w:r>
    </w:p>
    <w:p>
      <w:pPr>
        <w:tabs>
          <w:tab w:val="left" w:pos="700"/>
        </w:tabs>
        <w:topLinePunct/>
        <w:autoSpaceDE w:val="0"/>
        <w:autoSpaceDN w:val="0"/>
        <w:adjustRightInd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（1）具有独立承担民事责任的能力；</w:t>
      </w:r>
    </w:p>
    <w:p>
      <w:pPr>
        <w:tabs>
          <w:tab w:val="left" w:pos="700"/>
        </w:tabs>
        <w:topLinePunct/>
        <w:autoSpaceDE w:val="0"/>
        <w:autoSpaceDN w:val="0"/>
        <w:adjustRightInd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（2）具有良好的商业信誉和健全的财务会计制度；</w:t>
      </w:r>
    </w:p>
    <w:p>
      <w:pPr>
        <w:tabs>
          <w:tab w:val="left" w:pos="700"/>
        </w:tabs>
        <w:topLinePunct/>
        <w:autoSpaceDE w:val="0"/>
        <w:autoSpaceDN w:val="0"/>
        <w:adjustRightInd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（3）具有履行合同所必需的设备和专业技术能力；</w:t>
      </w:r>
    </w:p>
    <w:p>
      <w:pPr>
        <w:tabs>
          <w:tab w:val="left" w:pos="700"/>
        </w:tabs>
        <w:topLinePunct/>
        <w:autoSpaceDE w:val="0"/>
        <w:autoSpaceDN w:val="0"/>
        <w:adjustRightInd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（4）有依法缴纳税收和社会保障资金的良好记录；</w:t>
      </w:r>
    </w:p>
    <w:p>
      <w:pPr>
        <w:tabs>
          <w:tab w:val="left" w:pos="700"/>
        </w:tabs>
        <w:topLinePunct/>
        <w:autoSpaceDE w:val="0"/>
        <w:autoSpaceDN w:val="0"/>
        <w:adjustRightInd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（5）参加此项采购活动前三年内，在经营活动中没有重大违法记录。</w:t>
      </w:r>
    </w:p>
    <w:p>
      <w:pPr>
        <w:tabs>
          <w:tab w:val="left" w:pos="700"/>
        </w:tabs>
        <w:topLinePunct/>
        <w:autoSpaceDE w:val="0"/>
        <w:autoSpaceDN w:val="0"/>
        <w:adjustRightInd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（6）法律、行政法规规定的其他条件。 </w:t>
      </w:r>
    </w:p>
    <w:p>
      <w:pPr>
        <w:pStyle w:val="20"/>
        <w:numPr>
          <w:ilvl w:val="0"/>
          <w:numId w:val="0"/>
        </w:numPr>
        <w:tabs>
          <w:tab w:val="left" w:pos="420"/>
        </w:tabs>
        <w:topLinePunct/>
        <w:autoSpaceDE w:val="0"/>
        <w:autoSpaceDN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3.具备本项目采购文件中规定的其他要求和资质条件。</w:t>
      </w:r>
    </w:p>
    <w:p>
      <w:pPr>
        <w:pStyle w:val="20"/>
        <w:numPr>
          <w:ilvl w:val="0"/>
          <w:numId w:val="0"/>
        </w:numPr>
        <w:tabs>
          <w:tab w:val="left" w:pos="420"/>
        </w:tabs>
        <w:topLinePunct/>
        <w:autoSpaceDE w:val="0"/>
        <w:autoSpaceDN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4.提供供应商须知规定的全部响应文件。</w:t>
      </w:r>
    </w:p>
    <w:p>
      <w:pPr>
        <w:pStyle w:val="20"/>
        <w:numPr>
          <w:ilvl w:val="0"/>
          <w:numId w:val="0"/>
        </w:numPr>
        <w:tabs>
          <w:tab w:val="left" w:pos="420"/>
        </w:tabs>
        <w:topLinePunct/>
        <w:autoSpaceDE w:val="0"/>
        <w:autoSpaceDN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5.已详细审阅全部采购文件（包括采购文件澄清函），理解供应商须知的所有条款。</w:t>
      </w:r>
    </w:p>
    <w:p>
      <w:pPr>
        <w:pStyle w:val="20"/>
        <w:numPr>
          <w:ilvl w:val="0"/>
          <w:numId w:val="0"/>
        </w:numPr>
        <w:tabs>
          <w:tab w:val="left" w:pos="420"/>
        </w:tabs>
        <w:topLinePunct/>
        <w:autoSpaceDE w:val="0"/>
        <w:autoSpaceDN w:val="0"/>
        <w:snapToGrid w:val="0"/>
        <w:spacing w:after="0" w:line="360" w:lineRule="auto"/>
        <w:ind w:firstLine="428" w:firstLineChars="204"/>
        <w:outlineLvl w:val="1"/>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6.完全理解贵方“最低报价不能作为成交的保证”的规定。</w:t>
      </w:r>
    </w:p>
    <w:p>
      <w:pPr>
        <w:pStyle w:val="20"/>
        <w:numPr>
          <w:ilvl w:val="0"/>
          <w:numId w:val="0"/>
        </w:numPr>
        <w:tabs>
          <w:tab w:val="left" w:pos="420"/>
        </w:tabs>
        <w:topLinePunct/>
        <w:autoSpaceDE w:val="0"/>
        <w:autoSpaceDN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7.接受采购文件中全部合同条款，且无任何异议；保证忠实地执行双方所签订的合同，并承担合同规定的责任和义务。</w:t>
      </w:r>
    </w:p>
    <w:p>
      <w:pPr>
        <w:pStyle w:val="20"/>
        <w:numPr>
          <w:ilvl w:val="0"/>
          <w:numId w:val="0"/>
        </w:numPr>
        <w:tabs>
          <w:tab w:val="left" w:pos="420"/>
        </w:tabs>
        <w:topLinePunct/>
        <w:autoSpaceDE w:val="0"/>
        <w:autoSpaceDN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8.完全满足和响应采购文件中的各项商务和技术要求，若有偏差，已在响应文件中明确说明。</w:t>
      </w:r>
    </w:p>
    <w:p>
      <w:pPr>
        <w:pStyle w:val="20"/>
        <w:numPr>
          <w:ilvl w:val="0"/>
          <w:numId w:val="0"/>
        </w:numPr>
        <w:tabs>
          <w:tab w:val="left" w:pos="420"/>
        </w:tabs>
        <w:topLinePunct/>
        <w:autoSpaceDE w:val="0"/>
        <w:autoSpaceDN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9.愿意提供任何与磋商有关的数据、情况和技术资料等。若贵方需要，愿意提供一切证明材料。</w:t>
      </w:r>
    </w:p>
    <w:p>
      <w:pPr>
        <w:pStyle w:val="20"/>
        <w:numPr>
          <w:ilvl w:val="0"/>
          <w:numId w:val="0"/>
        </w:numPr>
        <w:tabs>
          <w:tab w:val="left" w:pos="420"/>
        </w:tabs>
        <w:topLinePunct/>
        <w:autoSpaceDE w:val="0"/>
        <w:autoSpaceDN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10.我方已详细审核全部响应文件、参考资料及有关附件，确认无误。</w:t>
      </w:r>
    </w:p>
    <w:p>
      <w:pPr>
        <w:pStyle w:val="20"/>
        <w:numPr>
          <w:ilvl w:val="0"/>
          <w:numId w:val="0"/>
        </w:numPr>
        <w:tabs>
          <w:tab w:val="left" w:pos="420"/>
        </w:tabs>
        <w:topLinePunct/>
        <w:autoSpaceDE w:val="0"/>
        <w:autoSpaceDN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11.对本次采购内容及与本项目有关的知识产权、技术资料、商业秘密及相关信息保密。</w:t>
      </w:r>
    </w:p>
    <w:p>
      <w:pPr>
        <w:pStyle w:val="20"/>
        <w:numPr>
          <w:ilvl w:val="0"/>
          <w:numId w:val="0"/>
        </w:numPr>
        <w:tabs>
          <w:tab w:val="left" w:pos="420"/>
        </w:tabs>
        <w:topLinePunct/>
        <w:autoSpaceDE w:val="0"/>
        <w:autoSpaceDN w:val="0"/>
        <w:snapToGrid w:val="0"/>
        <w:spacing w:after="0" w:line="360" w:lineRule="auto"/>
        <w:ind w:firstLine="428" w:firstLineChars="20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pStyle w:val="20"/>
        <w:numPr>
          <w:ilvl w:val="0"/>
          <w:numId w:val="0"/>
        </w:numPr>
        <w:tabs>
          <w:tab w:val="left" w:pos="420"/>
        </w:tabs>
        <w:topLinePunct/>
        <w:autoSpaceDE w:val="0"/>
        <w:autoSpaceDN w:val="0"/>
        <w:snapToGrid w:val="0"/>
        <w:spacing w:after="0" w:line="360" w:lineRule="auto"/>
        <w:ind w:firstLine="428" w:firstLineChars="204"/>
        <w:rPr>
          <w:rFonts w:hint="default" w:eastAsia="宋体" w:cs="宋体"/>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13.</w:t>
      </w:r>
      <w:r>
        <w:rPr>
          <w:rFonts w:hint="eastAsia" w:cs="宋体"/>
          <w:color w:val="auto"/>
          <w:sz w:val="21"/>
          <w:szCs w:val="21"/>
          <w:highlight w:val="none"/>
          <w:lang w:val="en-US" w:eastAsia="zh-CN"/>
        </w:rPr>
        <w:t>已知悉并承诺遵守采购文件中关于供应链安全管理的全部要求。</w:t>
      </w:r>
    </w:p>
    <w:p>
      <w:pPr>
        <w:pStyle w:val="20"/>
        <w:numPr>
          <w:ilvl w:val="0"/>
          <w:numId w:val="0"/>
        </w:numPr>
        <w:tabs>
          <w:tab w:val="left" w:pos="420"/>
        </w:tabs>
        <w:topLinePunct/>
        <w:autoSpaceDE w:val="0"/>
        <w:autoSpaceDN w:val="0"/>
        <w:snapToGrid w:val="0"/>
        <w:spacing w:after="0" w:line="360" w:lineRule="auto"/>
        <w:ind w:firstLine="428" w:firstLineChars="204"/>
        <w:rPr>
          <w:rFonts w:cs="宋体"/>
          <w:color w:val="auto"/>
          <w:sz w:val="21"/>
          <w:szCs w:val="21"/>
          <w:highlight w:val="none"/>
        </w:rPr>
      </w:pPr>
    </w:p>
    <w:p>
      <w:pPr>
        <w:pStyle w:val="20"/>
        <w:numPr>
          <w:ilvl w:val="0"/>
          <w:numId w:val="0"/>
        </w:numPr>
        <w:tabs>
          <w:tab w:val="left" w:pos="420"/>
        </w:tabs>
        <w:topLinePunct/>
        <w:autoSpaceDE w:val="0"/>
        <w:autoSpaceDN w:val="0"/>
        <w:snapToGrid w:val="0"/>
        <w:spacing w:after="0" w:line="360" w:lineRule="auto"/>
        <w:ind w:firstLine="428" w:firstLineChars="204"/>
        <w:rPr>
          <w:rFonts w:cs="宋体"/>
          <w:color w:val="auto"/>
          <w:sz w:val="21"/>
          <w:szCs w:val="21"/>
          <w:highlight w:val="none"/>
        </w:rPr>
      </w:pPr>
    </w:p>
    <w:p>
      <w:pPr>
        <w:pStyle w:val="20"/>
        <w:numPr>
          <w:ilvl w:val="0"/>
          <w:numId w:val="0"/>
        </w:numPr>
        <w:tabs>
          <w:tab w:val="left" w:pos="420"/>
        </w:tabs>
        <w:topLinePunct/>
        <w:autoSpaceDE w:val="0"/>
        <w:autoSpaceDN w:val="0"/>
        <w:snapToGrid w:val="0"/>
        <w:spacing w:after="0" w:line="360" w:lineRule="auto"/>
        <w:ind w:firstLine="428" w:firstLineChars="204"/>
        <w:rPr>
          <w:rFonts w:cs="宋体"/>
          <w:color w:val="auto"/>
          <w:sz w:val="21"/>
          <w:szCs w:val="21"/>
          <w:highlight w:val="none"/>
        </w:rPr>
      </w:pPr>
    </w:p>
    <w:p>
      <w:pPr>
        <w:pStyle w:val="20"/>
        <w:numPr>
          <w:ilvl w:val="0"/>
          <w:numId w:val="0"/>
        </w:numPr>
        <w:tabs>
          <w:tab w:val="left" w:pos="420"/>
        </w:tabs>
        <w:topLinePunct/>
        <w:autoSpaceDE w:val="0"/>
        <w:autoSpaceDN w:val="0"/>
        <w:snapToGrid w:val="0"/>
        <w:spacing w:after="0" w:line="360" w:lineRule="auto"/>
        <w:ind w:firstLine="428" w:firstLineChars="204"/>
        <w:rPr>
          <w:rFonts w:cs="宋体"/>
          <w:color w:val="auto"/>
          <w:sz w:val="21"/>
          <w:szCs w:val="21"/>
          <w:highlight w:val="none"/>
        </w:rPr>
      </w:pPr>
    </w:p>
    <w:p>
      <w:pPr>
        <w:pStyle w:val="20"/>
        <w:numPr>
          <w:ilvl w:val="0"/>
          <w:numId w:val="0"/>
        </w:numPr>
        <w:tabs>
          <w:tab w:val="left" w:pos="420"/>
        </w:tabs>
        <w:topLinePunct/>
        <w:autoSpaceDE w:val="0"/>
        <w:autoSpaceDN w:val="0"/>
        <w:snapToGrid w:val="0"/>
        <w:spacing w:after="0" w:line="360" w:lineRule="auto"/>
        <w:ind w:firstLine="428" w:firstLineChars="204"/>
        <w:rPr>
          <w:rFonts w:cs="宋体"/>
          <w:color w:val="auto"/>
          <w:sz w:val="21"/>
          <w:szCs w:val="21"/>
          <w:highlight w:val="none"/>
        </w:rPr>
      </w:pPr>
    </w:p>
    <w:p>
      <w:pPr>
        <w:pStyle w:val="20"/>
        <w:numPr>
          <w:ilvl w:val="0"/>
          <w:numId w:val="0"/>
        </w:numPr>
        <w:tabs>
          <w:tab w:val="left" w:pos="420"/>
        </w:tabs>
        <w:topLinePunct/>
        <w:autoSpaceDE w:val="0"/>
        <w:autoSpaceDN w:val="0"/>
        <w:snapToGrid w:val="0"/>
        <w:spacing w:after="0" w:line="360" w:lineRule="auto"/>
        <w:ind w:firstLine="428" w:firstLineChars="204"/>
        <w:rPr>
          <w:rFonts w:cs="宋体"/>
          <w:color w:val="auto"/>
          <w:sz w:val="21"/>
          <w:szCs w:val="21"/>
          <w:highlight w:val="none"/>
        </w:rPr>
      </w:pPr>
      <w:r>
        <w:rPr>
          <w:rFonts w:hint="eastAsia" w:cs="宋体"/>
          <w:color w:val="auto"/>
          <w:sz w:val="21"/>
          <w:szCs w:val="21"/>
          <w:highlight w:val="none"/>
        </w:rPr>
        <w:t>供应商名称（公章）：____________</w:t>
      </w:r>
    </w:p>
    <w:p>
      <w:pPr>
        <w:pStyle w:val="20"/>
        <w:numPr>
          <w:ilvl w:val="0"/>
          <w:numId w:val="0"/>
        </w:numPr>
        <w:tabs>
          <w:tab w:val="left" w:pos="420"/>
        </w:tabs>
        <w:topLinePunct/>
        <w:autoSpaceDE w:val="0"/>
        <w:autoSpaceDN w:val="0"/>
        <w:snapToGrid w:val="0"/>
        <w:spacing w:after="0" w:line="360" w:lineRule="auto"/>
        <w:ind w:firstLine="428" w:firstLineChars="204"/>
        <w:rPr>
          <w:rFonts w:cs="宋体"/>
          <w:color w:val="auto"/>
          <w:sz w:val="21"/>
          <w:szCs w:val="21"/>
          <w:highlight w:val="none"/>
        </w:rPr>
      </w:pPr>
      <w:r>
        <w:rPr>
          <w:rFonts w:hint="eastAsia" w:cs="宋体"/>
          <w:color w:val="auto"/>
          <w:sz w:val="21"/>
          <w:szCs w:val="21"/>
          <w:highlight w:val="none"/>
        </w:rPr>
        <w:t>法定代表人（签字或签章）/授权代表（签字）：____________</w:t>
      </w:r>
    </w:p>
    <w:p>
      <w:pPr>
        <w:pStyle w:val="20"/>
        <w:numPr>
          <w:ilvl w:val="0"/>
          <w:numId w:val="0"/>
        </w:numPr>
        <w:tabs>
          <w:tab w:val="left" w:pos="420"/>
        </w:tabs>
        <w:topLinePunct/>
        <w:autoSpaceDE w:val="0"/>
        <w:autoSpaceDN w:val="0"/>
        <w:snapToGrid w:val="0"/>
        <w:spacing w:after="0" w:line="360" w:lineRule="auto"/>
        <w:ind w:firstLine="428" w:firstLineChars="204"/>
        <w:rPr>
          <w:rFonts w:cs="宋体"/>
          <w:color w:val="auto"/>
          <w:sz w:val="21"/>
          <w:szCs w:val="21"/>
          <w:highlight w:val="none"/>
        </w:rPr>
      </w:pPr>
      <w:r>
        <w:rPr>
          <w:rFonts w:hint="eastAsia" w:cs="宋体"/>
          <w:color w:val="auto"/>
          <w:sz w:val="21"/>
          <w:szCs w:val="21"/>
          <w:highlight w:val="none"/>
        </w:rPr>
        <w:t>供应商地址：____________</w:t>
      </w:r>
    </w:p>
    <w:p>
      <w:pPr>
        <w:pStyle w:val="20"/>
        <w:numPr>
          <w:ilvl w:val="0"/>
          <w:numId w:val="0"/>
        </w:numPr>
        <w:tabs>
          <w:tab w:val="left" w:pos="420"/>
        </w:tabs>
        <w:topLinePunct/>
        <w:autoSpaceDE w:val="0"/>
        <w:autoSpaceDN w:val="0"/>
        <w:snapToGrid w:val="0"/>
        <w:spacing w:after="0" w:line="360" w:lineRule="auto"/>
        <w:ind w:firstLine="428" w:firstLineChars="204"/>
        <w:rPr>
          <w:rFonts w:cs="宋体"/>
          <w:color w:val="auto"/>
          <w:sz w:val="21"/>
          <w:szCs w:val="21"/>
          <w:highlight w:val="none"/>
        </w:rPr>
      </w:pPr>
      <w:r>
        <w:rPr>
          <w:rFonts w:hint="eastAsia" w:cs="宋体"/>
          <w:color w:val="auto"/>
          <w:sz w:val="21"/>
          <w:szCs w:val="21"/>
          <w:highlight w:val="none"/>
        </w:rPr>
        <w:t>邮编：____________</w:t>
      </w:r>
    </w:p>
    <w:p>
      <w:pPr>
        <w:pStyle w:val="20"/>
        <w:numPr>
          <w:ilvl w:val="0"/>
          <w:numId w:val="0"/>
        </w:numPr>
        <w:tabs>
          <w:tab w:val="left" w:pos="420"/>
        </w:tabs>
        <w:topLinePunct/>
        <w:autoSpaceDE w:val="0"/>
        <w:autoSpaceDN w:val="0"/>
        <w:snapToGrid w:val="0"/>
        <w:spacing w:after="0" w:line="360" w:lineRule="auto"/>
        <w:ind w:firstLine="428" w:firstLineChars="204"/>
        <w:rPr>
          <w:rFonts w:cs="宋体"/>
          <w:color w:val="auto"/>
          <w:sz w:val="21"/>
          <w:szCs w:val="21"/>
          <w:highlight w:val="none"/>
        </w:rPr>
      </w:pPr>
      <w:r>
        <w:rPr>
          <w:rFonts w:hint="eastAsia" w:cs="宋体"/>
          <w:color w:val="auto"/>
          <w:sz w:val="21"/>
          <w:szCs w:val="21"/>
          <w:highlight w:val="none"/>
        </w:rPr>
        <w:t>电话：____________</w:t>
      </w:r>
    </w:p>
    <w:p>
      <w:pPr>
        <w:pStyle w:val="20"/>
        <w:numPr>
          <w:ilvl w:val="0"/>
          <w:numId w:val="0"/>
        </w:numPr>
        <w:tabs>
          <w:tab w:val="left" w:pos="420"/>
        </w:tabs>
        <w:topLinePunct/>
        <w:autoSpaceDE w:val="0"/>
        <w:autoSpaceDN w:val="0"/>
        <w:snapToGrid w:val="0"/>
        <w:spacing w:after="0" w:line="360" w:lineRule="auto"/>
        <w:ind w:firstLine="428" w:firstLineChars="204"/>
        <w:rPr>
          <w:rFonts w:cs="宋体"/>
          <w:color w:val="auto"/>
          <w:sz w:val="21"/>
          <w:szCs w:val="21"/>
          <w:highlight w:val="none"/>
        </w:rPr>
      </w:pPr>
      <w:r>
        <w:rPr>
          <w:rFonts w:hint="eastAsia" w:cs="宋体"/>
          <w:color w:val="auto"/>
          <w:sz w:val="21"/>
          <w:szCs w:val="21"/>
          <w:highlight w:val="none"/>
        </w:rPr>
        <w:t>传真：____________</w:t>
      </w:r>
    </w:p>
    <w:p>
      <w:pPr>
        <w:pStyle w:val="20"/>
        <w:numPr>
          <w:ilvl w:val="0"/>
          <w:numId w:val="0"/>
        </w:numPr>
        <w:tabs>
          <w:tab w:val="left" w:pos="420"/>
        </w:tabs>
        <w:topLinePunct/>
        <w:autoSpaceDE w:val="0"/>
        <w:autoSpaceDN w:val="0"/>
        <w:snapToGrid w:val="0"/>
        <w:spacing w:after="0" w:line="360" w:lineRule="auto"/>
        <w:ind w:left="480"/>
        <w:rPr>
          <w:rFonts w:cs="宋体"/>
          <w:color w:val="auto"/>
          <w:sz w:val="21"/>
          <w:szCs w:val="21"/>
          <w:highlight w:val="none"/>
        </w:rPr>
      </w:pPr>
      <w:r>
        <w:rPr>
          <w:rFonts w:hint="eastAsia" w:cs="宋体"/>
          <w:color w:val="auto"/>
          <w:sz w:val="21"/>
          <w:szCs w:val="21"/>
          <w:highlight w:val="none"/>
        </w:rPr>
        <w:t xml:space="preserve">日  期：____________          </w:t>
      </w:r>
    </w:p>
    <w:p>
      <w:pPr>
        <w:tabs>
          <w:tab w:val="left" w:pos="1230"/>
        </w:tabs>
        <w:topLinePunct/>
        <w:autoSpaceDE w:val="0"/>
        <w:autoSpaceDN w:val="0"/>
        <w:snapToGrid w:val="0"/>
        <w:spacing w:line="400" w:lineRule="exact"/>
        <w:ind w:left="360"/>
        <w:rPr>
          <w:rFonts w:ascii="宋体" w:hAnsi="宋体" w:cs="宋体"/>
          <w:color w:val="auto"/>
          <w:sz w:val="21"/>
          <w:szCs w:val="21"/>
          <w:highlight w:val="none"/>
        </w:rPr>
      </w:pPr>
    </w:p>
    <w:p>
      <w:pPr>
        <w:ind w:firstLine="480" w:firstLineChars="200"/>
        <w:rPr>
          <w:rFonts w:hAnsi="宋体" w:eastAsia="Times New Roman" w:cs="宋体"/>
          <w:color w:val="auto"/>
          <w:sz w:val="24"/>
          <w:highlight w:val="none"/>
        </w:rPr>
      </w:pPr>
    </w:p>
    <w:p>
      <w:pPr>
        <w:adjustRightInd w:val="0"/>
        <w:snapToGrid w:val="0"/>
        <w:spacing w:after="0" w:line="360" w:lineRule="auto"/>
        <w:rPr>
          <w:rFonts w:ascii="宋体" w:hAnsi="宋体" w:cs="宋体"/>
          <w:color w:val="auto"/>
          <w:highlight w:val="none"/>
        </w:rPr>
      </w:pPr>
      <w:r>
        <w:rPr>
          <w:rFonts w:hint="eastAsia" w:ascii="宋体" w:hAnsi="宋体" w:cs="宋体"/>
          <w:color w:val="auto"/>
          <w:highlight w:val="none"/>
        </w:rPr>
        <w:t>特别说明：</w:t>
      </w:r>
    </w:p>
    <w:p>
      <w:pPr>
        <w:adjustRightInd w:val="0"/>
        <w:snapToGrid w:val="0"/>
        <w:spacing w:after="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供应商应当按上述格式要求加盖与供应商名称全称一致的标准公章，并签署法定代表人或</w:t>
      </w:r>
      <w:r>
        <w:rPr>
          <w:rFonts w:hint="eastAsia" w:ascii="宋体" w:hAnsi="宋体" w:cs="宋体"/>
          <w:bCs/>
          <w:color w:val="auto"/>
          <w:szCs w:val="21"/>
          <w:highlight w:val="none"/>
        </w:rPr>
        <w:t>授权代表</w:t>
      </w:r>
      <w:r>
        <w:rPr>
          <w:rFonts w:hint="eastAsia" w:ascii="宋体" w:hAnsi="宋体" w:cs="宋体"/>
          <w:color w:val="auto"/>
          <w:szCs w:val="21"/>
          <w:highlight w:val="none"/>
        </w:rPr>
        <w:t>的全名或加盖名章，线上采购项目应上传扫描件。</w:t>
      </w:r>
    </w:p>
    <w:p>
      <w:pPr>
        <w:adjustRightInd w:val="0"/>
        <w:snapToGrid w:val="0"/>
        <w:spacing w:after="0" w:line="360" w:lineRule="auto"/>
        <w:jc w:val="center"/>
        <w:rPr>
          <w:rFonts w:ascii="宋体" w:hAnsi="宋体" w:cs="宋体"/>
          <w:b/>
          <w:bCs/>
          <w:color w:val="auto"/>
          <w:sz w:val="28"/>
          <w:szCs w:val="28"/>
          <w:highlight w:val="none"/>
        </w:rPr>
      </w:pPr>
      <w:r>
        <w:rPr>
          <w:rFonts w:hint="eastAsia" w:hAnsi="宋体" w:cs="宋体"/>
          <w:b/>
          <w:bCs/>
          <w:color w:val="auto"/>
          <w:sz w:val="28"/>
          <w:szCs w:val="28"/>
          <w:highlight w:val="none"/>
        </w:rPr>
        <w:br w:type="page"/>
      </w:r>
      <w:r>
        <w:rPr>
          <w:rFonts w:hint="eastAsia" w:ascii="宋体" w:hAnsi="宋体" w:cs="宋体"/>
          <w:b/>
          <w:bCs/>
          <w:color w:val="auto"/>
          <w:sz w:val="28"/>
          <w:szCs w:val="28"/>
          <w:highlight w:val="none"/>
        </w:rPr>
        <w:t>格式3  磋商报价表</w:t>
      </w:r>
    </w:p>
    <w:p>
      <w:pPr>
        <w:pStyle w:val="8"/>
        <w:topLinePunct/>
        <w:autoSpaceDE w:val="0"/>
        <w:autoSpaceDN w:val="0"/>
        <w:adjustRightInd w:val="0"/>
        <w:snapToGrid w:val="0"/>
        <w:spacing w:line="360" w:lineRule="auto"/>
        <w:ind w:left="2"/>
        <w:jc w:val="center"/>
        <w:outlineLvl w:val="1"/>
        <w:rPr>
          <w:rFonts w:hAnsi="宋体" w:cs="宋体"/>
          <w:b/>
          <w:bCs/>
          <w:color w:val="auto"/>
          <w:kern w:val="2"/>
          <w:sz w:val="28"/>
          <w:szCs w:val="28"/>
          <w:highlight w:val="none"/>
        </w:rPr>
      </w:pPr>
      <w:r>
        <w:rPr>
          <w:rFonts w:hint="eastAsia" w:hAnsi="宋体" w:cs="宋体"/>
          <w:b/>
          <w:bCs/>
          <w:color w:val="auto"/>
          <w:kern w:val="2"/>
          <w:sz w:val="28"/>
          <w:szCs w:val="28"/>
          <w:highlight w:val="none"/>
        </w:rPr>
        <w:t>1.报价一览表（总报价表）</w:t>
      </w:r>
    </w:p>
    <w:p>
      <w:pPr>
        <w:pStyle w:val="8"/>
        <w:topLinePunct/>
        <w:autoSpaceDE w:val="0"/>
        <w:autoSpaceDN w:val="0"/>
        <w:adjustRightInd w:val="0"/>
        <w:snapToGrid w:val="0"/>
        <w:spacing w:line="360" w:lineRule="auto"/>
        <w:ind w:left="2"/>
        <w:jc w:val="center"/>
        <w:rPr>
          <w:rFonts w:hAnsi="宋体" w:cs="宋体"/>
          <w:b w:val="0"/>
          <w:bCs w:val="0"/>
          <w:color w:val="auto"/>
          <w:kern w:val="2"/>
          <w:sz w:val="21"/>
          <w:highlight w:val="none"/>
        </w:rPr>
      </w:pPr>
      <w:r>
        <w:rPr>
          <w:rFonts w:hAnsi="宋体" w:cs="宋体"/>
          <w:b w:val="0"/>
          <w:bCs w:val="0"/>
          <w:color w:val="auto"/>
          <w:kern w:val="2"/>
          <w:sz w:val="21"/>
          <w:highlight w:val="none"/>
        </w:rPr>
        <w:t>(货物类项目适用)</w:t>
      </w:r>
    </w:p>
    <w:p>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after="0" w:line="360" w:lineRule="auto"/>
        <w:ind w:right="840"/>
        <w:rPr>
          <w:rFonts w:ascii="宋体" w:hAnsi="宋体" w:cs="宋体"/>
          <w:color w:val="auto"/>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   元</w:t>
      </w:r>
    </w:p>
    <w:tbl>
      <w:tblPr>
        <w:tblStyle w:val="12"/>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4918"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p>
        </w:tc>
        <w:tc>
          <w:tcPr>
            <w:tcW w:w="4918" w:type="dxa"/>
            <w:noWrap/>
            <w:vAlign w:val="center"/>
          </w:tcPr>
          <w:p>
            <w:pPr>
              <w:spacing w:line="460" w:lineRule="exact"/>
              <w:jc w:val="left"/>
              <w:rPr>
                <w:rFonts w:hint="default" w:ascii="Times New Roman" w:hAnsi="Times New Roman" w:cs="Times New Roman"/>
                <w:color w:val="auto"/>
                <w:sz w:val="21"/>
                <w:szCs w:val="21"/>
                <w:highlight w:val="none"/>
              </w:rPr>
            </w:pPr>
          </w:p>
        </w:tc>
        <w:tc>
          <w:tcPr>
            <w:tcW w:w="2553" w:type="dxa"/>
            <w:noWrap/>
            <w:vAlign w:val="center"/>
          </w:tcPr>
          <w:p>
            <w:pPr>
              <w:spacing w:line="460" w:lineRule="exact"/>
              <w:jc w:val="left"/>
              <w:rPr>
                <w:rFonts w:hint="default" w:ascii="Times New Roman" w:hAnsi="Times New Roman"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4918" w:type="dxa"/>
            <w:noWrap/>
            <w:vAlign w:val="center"/>
          </w:tcPr>
          <w:p>
            <w:pPr>
              <w:spacing w:line="460" w:lineRule="exact"/>
              <w:jc w:val="left"/>
              <w:rPr>
                <w:rFonts w:hint="default" w:ascii="Times New Roman" w:hAnsi="Times New Roman" w:cs="Times New Roman"/>
                <w:color w:val="auto"/>
                <w:sz w:val="21"/>
                <w:szCs w:val="21"/>
                <w:highlight w:val="none"/>
              </w:rPr>
            </w:pP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4918" w:type="dxa"/>
            <w:noWrap/>
            <w:vAlign w:val="center"/>
          </w:tcPr>
          <w:p>
            <w:pPr>
              <w:spacing w:line="460" w:lineRule="exact"/>
              <w:jc w:val="left"/>
              <w:rPr>
                <w:rFonts w:hint="default" w:ascii="Times New Roman" w:hAnsi="Times New Roman" w:cs="Times New Roman"/>
                <w:color w:val="auto"/>
                <w:sz w:val="21"/>
                <w:szCs w:val="21"/>
                <w:highlight w:val="none"/>
              </w:rPr>
            </w:pP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报价合计（小写）</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color w:val="auto"/>
                <w:sz w:val="21"/>
                <w:szCs w:val="21"/>
                <w:highlight w:val="none"/>
              </w:rPr>
              <w:t>报价合计（大写）</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供货期限</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质保期</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1.本项目总价及分项报价均不接受任何形式的赠送、“零”报价和折扣报价。</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2.本项目执行中所发生的所有费用均计入总报价中，采购人不再另行支付其他任何费用。</w:t>
      </w:r>
    </w:p>
    <w:p>
      <w:pPr>
        <w:topLinePunct/>
        <w:autoSpaceDE w:val="0"/>
        <w:autoSpaceDN w:val="0"/>
        <w:spacing w:after="0" w:line="360" w:lineRule="auto"/>
        <w:ind w:firstLine="420" w:firstLineChars="200"/>
        <w:outlineLvl w:val="1"/>
        <w:rPr>
          <w:rFonts w:ascii="宋体" w:hAnsi="宋体" w:cs="宋体"/>
          <w:color w:val="auto"/>
          <w:szCs w:val="21"/>
          <w:highlight w:val="none"/>
        </w:rPr>
      </w:pPr>
      <w:r>
        <w:rPr>
          <w:rFonts w:hint="eastAsia" w:ascii="宋体" w:hAnsi="宋体" w:cs="宋体"/>
          <w:color w:val="auto"/>
          <w:szCs w:val="21"/>
          <w:highlight w:val="none"/>
        </w:rPr>
        <w:t>3.供应商应根据《采购文件-技术部分》相关要求填报。</w:t>
      </w:r>
    </w:p>
    <w:p>
      <w:pPr>
        <w:topLinePunct/>
        <w:autoSpaceDE w:val="0"/>
        <w:autoSpaceDN w:val="0"/>
        <w:adjustRightInd w:val="0"/>
        <w:snapToGrid w:val="0"/>
        <w:spacing w:after="0" w:line="360" w:lineRule="auto"/>
        <w:ind w:firstLine="525" w:firstLineChars="250"/>
        <w:jc w:val="left"/>
        <w:rPr>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授权代表（签字或盖章）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pPr>
        <w:widowControl/>
        <w:spacing w:after="0" w:line="240" w:lineRule="auto"/>
        <w:jc w:val="center"/>
        <w:outlineLvl w:val="1"/>
        <w:rPr>
          <w:rFonts w:hAnsi="宋体" w:cs="宋体"/>
          <w:b/>
          <w:bCs/>
          <w:color w:val="auto"/>
          <w:kern w:val="2"/>
          <w:sz w:val="28"/>
          <w:szCs w:val="28"/>
          <w:highlight w:val="none"/>
        </w:rPr>
      </w:pPr>
      <w:r>
        <w:rPr>
          <w:rFonts w:hAnsi="宋体" w:cs="宋体"/>
          <w:color w:val="auto"/>
          <w:sz w:val="21"/>
          <w:szCs w:val="21"/>
          <w:highlight w:val="none"/>
        </w:rPr>
        <w:br w:type="page"/>
      </w:r>
      <w:r>
        <w:rPr>
          <w:rFonts w:hint="eastAsia" w:hAnsi="宋体" w:cs="宋体"/>
          <w:b/>
          <w:bCs/>
          <w:color w:val="auto"/>
          <w:kern w:val="2"/>
          <w:sz w:val="28"/>
          <w:szCs w:val="28"/>
          <w:highlight w:val="none"/>
        </w:rPr>
        <w:t>1.报价一览表（总报价表）</w:t>
      </w:r>
    </w:p>
    <w:p>
      <w:pPr>
        <w:pStyle w:val="8"/>
        <w:topLinePunct/>
        <w:autoSpaceDE w:val="0"/>
        <w:autoSpaceDN w:val="0"/>
        <w:adjustRightInd w:val="0"/>
        <w:snapToGrid w:val="0"/>
        <w:spacing w:line="360" w:lineRule="auto"/>
        <w:ind w:left="2"/>
        <w:jc w:val="center"/>
        <w:rPr>
          <w:rFonts w:hAnsi="宋体" w:cs="宋体"/>
          <w:b w:val="0"/>
          <w:bCs w:val="0"/>
          <w:color w:val="auto"/>
          <w:kern w:val="2"/>
          <w:sz w:val="21"/>
          <w:highlight w:val="none"/>
        </w:rPr>
      </w:pPr>
      <w:r>
        <w:rPr>
          <w:rFonts w:hint="eastAsia" w:hAnsi="宋体" w:cs="宋体"/>
          <w:b w:val="0"/>
          <w:bCs w:val="0"/>
          <w:color w:val="auto"/>
          <w:kern w:val="2"/>
          <w:sz w:val="21"/>
          <w:highlight w:val="none"/>
        </w:rPr>
        <w:t>(服务类项目适用)</w:t>
      </w:r>
    </w:p>
    <w:p>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after="0" w:line="360" w:lineRule="auto"/>
        <w:ind w:right="840"/>
        <w:rPr>
          <w:rFonts w:ascii="宋体" w:hAnsi="宋体" w:cs="宋体"/>
          <w:bCs/>
          <w:color w:val="auto"/>
          <w:w w:val="150"/>
          <w:szCs w:val="21"/>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   元</w:t>
      </w:r>
    </w:p>
    <w:tbl>
      <w:tblPr>
        <w:tblStyle w:val="12"/>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4918"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p>
        </w:tc>
        <w:tc>
          <w:tcPr>
            <w:tcW w:w="4918" w:type="dxa"/>
            <w:noWrap/>
            <w:vAlign w:val="center"/>
          </w:tcPr>
          <w:p>
            <w:pPr>
              <w:adjustRightInd w:val="0"/>
              <w:snapToGrid w:val="0"/>
              <w:spacing w:after="0" w:line="360" w:lineRule="auto"/>
              <w:jc w:val="center"/>
              <w:rPr>
                <w:rFonts w:hint="default" w:ascii="Times New Roman" w:hAnsi="Times New Roman" w:cs="Times New Roman"/>
                <w:color w:val="auto"/>
                <w:sz w:val="21"/>
                <w:szCs w:val="21"/>
                <w:highlight w:val="none"/>
              </w:rPr>
            </w:pP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4918" w:type="dxa"/>
            <w:noWrap/>
            <w:vAlign w:val="center"/>
          </w:tcPr>
          <w:p>
            <w:pPr>
              <w:spacing w:line="460" w:lineRule="exact"/>
              <w:jc w:val="left"/>
              <w:rPr>
                <w:rFonts w:hint="default" w:ascii="Times New Roman" w:hAnsi="Times New Roman" w:cs="Times New Roman"/>
                <w:color w:val="auto"/>
                <w:sz w:val="21"/>
                <w:szCs w:val="21"/>
                <w:highlight w:val="none"/>
              </w:rPr>
            </w:pP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4918" w:type="dxa"/>
            <w:noWrap/>
            <w:vAlign w:val="center"/>
          </w:tcPr>
          <w:p>
            <w:pPr>
              <w:spacing w:line="460" w:lineRule="exact"/>
              <w:jc w:val="left"/>
              <w:rPr>
                <w:rFonts w:hint="default" w:ascii="Times New Roman" w:hAnsi="Times New Roman" w:cs="Times New Roman"/>
                <w:color w:val="auto"/>
                <w:sz w:val="21"/>
                <w:szCs w:val="21"/>
                <w:highlight w:val="none"/>
              </w:rPr>
            </w:pP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报价合计（小写）</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color w:val="auto"/>
                <w:sz w:val="21"/>
                <w:szCs w:val="21"/>
                <w:highlight w:val="none"/>
              </w:rPr>
              <w:t>报价合计（大写）</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服务期</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1.本项目总价及分项报价均不接受任何形式的赠送、“零”报价和折扣报价。</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2.本项目执行中所发生的所有费用均计入总报价中，采购人不再另行支付其他任何费用。</w:t>
      </w:r>
    </w:p>
    <w:p>
      <w:pPr>
        <w:topLinePunct/>
        <w:autoSpaceDE w:val="0"/>
        <w:autoSpaceDN w:val="0"/>
        <w:spacing w:after="0" w:line="360" w:lineRule="auto"/>
        <w:ind w:firstLine="420" w:firstLineChars="200"/>
        <w:outlineLvl w:val="1"/>
        <w:rPr>
          <w:rFonts w:ascii="宋体" w:hAnsi="宋体" w:cs="宋体"/>
          <w:color w:val="auto"/>
          <w:szCs w:val="21"/>
          <w:highlight w:val="none"/>
        </w:rPr>
      </w:pPr>
      <w:r>
        <w:rPr>
          <w:rFonts w:hint="eastAsia" w:ascii="宋体" w:hAnsi="宋体" w:cs="宋体"/>
          <w:color w:val="auto"/>
          <w:szCs w:val="21"/>
          <w:highlight w:val="none"/>
        </w:rPr>
        <w:t>3.供应商应根据《采购文件-技术部分》相关要求填报。</w:t>
      </w:r>
    </w:p>
    <w:p>
      <w:pPr>
        <w:topLinePunct/>
        <w:autoSpaceDE w:val="0"/>
        <w:autoSpaceDN w:val="0"/>
        <w:adjustRightInd w:val="0"/>
        <w:snapToGrid w:val="0"/>
        <w:spacing w:after="0" w:line="360" w:lineRule="auto"/>
        <w:ind w:firstLine="525" w:firstLineChars="250"/>
        <w:jc w:val="left"/>
        <w:rPr>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授权代表（签字或盖章）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pPr>
        <w:widowControl/>
        <w:spacing w:after="0" w:line="240" w:lineRule="auto"/>
        <w:jc w:val="center"/>
        <w:outlineLvl w:val="1"/>
        <w:rPr>
          <w:rFonts w:hAnsi="宋体" w:cs="宋体"/>
          <w:b/>
          <w:bCs/>
          <w:color w:val="auto"/>
          <w:kern w:val="2"/>
          <w:sz w:val="28"/>
          <w:szCs w:val="28"/>
          <w:highlight w:val="none"/>
        </w:rPr>
      </w:pPr>
      <w:r>
        <w:rPr>
          <w:rFonts w:hAnsi="宋体" w:cs="宋体"/>
          <w:color w:val="auto"/>
          <w:sz w:val="21"/>
          <w:szCs w:val="21"/>
          <w:highlight w:val="none"/>
        </w:rPr>
        <w:br w:type="page"/>
      </w:r>
      <w:r>
        <w:rPr>
          <w:rFonts w:hint="eastAsia" w:hAnsi="宋体" w:cs="宋体"/>
          <w:b/>
          <w:bCs/>
          <w:color w:val="auto"/>
          <w:kern w:val="2"/>
          <w:sz w:val="28"/>
          <w:szCs w:val="28"/>
          <w:highlight w:val="none"/>
        </w:rPr>
        <w:t>1.报价一览表（总报价表）</w:t>
      </w:r>
    </w:p>
    <w:p>
      <w:pPr>
        <w:pStyle w:val="8"/>
        <w:topLinePunct/>
        <w:autoSpaceDE w:val="0"/>
        <w:autoSpaceDN w:val="0"/>
        <w:adjustRightInd w:val="0"/>
        <w:snapToGrid w:val="0"/>
        <w:spacing w:line="360" w:lineRule="auto"/>
        <w:ind w:left="2"/>
        <w:jc w:val="center"/>
        <w:rPr>
          <w:rFonts w:hAnsi="宋体" w:cs="宋体"/>
          <w:b w:val="0"/>
          <w:bCs w:val="0"/>
          <w:color w:val="auto"/>
          <w:kern w:val="2"/>
          <w:sz w:val="21"/>
          <w:highlight w:val="none"/>
        </w:rPr>
      </w:pPr>
      <w:r>
        <w:rPr>
          <w:rFonts w:hint="eastAsia" w:hAnsi="宋体" w:cs="宋体"/>
          <w:b w:val="0"/>
          <w:bCs w:val="0"/>
          <w:color w:val="auto"/>
          <w:kern w:val="2"/>
          <w:sz w:val="21"/>
          <w:highlight w:val="none"/>
        </w:rPr>
        <w:t>(工程类项目适用)</w:t>
      </w:r>
    </w:p>
    <w:p>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after="0" w:line="360" w:lineRule="auto"/>
        <w:ind w:right="840"/>
        <w:rPr>
          <w:rFonts w:ascii="宋体" w:hAnsi="宋体" w:cs="宋体"/>
          <w:bCs/>
          <w:color w:val="auto"/>
          <w:w w:val="150"/>
          <w:szCs w:val="21"/>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   元</w:t>
      </w:r>
    </w:p>
    <w:tbl>
      <w:tblPr>
        <w:tblStyle w:val="12"/>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4918"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p>
        </w:tc>
        <w:tc>
          <w:tcPr>
            <w:tcW w:w="4918" w:type="dxa"/>
            <w:noWrap/>
            <w:vAlign w:val="center"/>
          </w:tcPr>
          <w:p>
            <w:pPr>
              <w:adjustRightInd w:val="0"/>
              <w:snapToGrid w:val="0"/>
              <w:spacing w:after="0" w:line="360" w:lineRule="auto"/>
              <w:jc w:val="center"/>
              <w:rPr>
                <w:rFonts w:hint="default" w:ascii="Times New Roman" w:hAnsi="Times New Roman" w:cs="Times New Roman"/>
                <w:color w:val="auto"/>
                <w:sz w:val="21"/>
                <w:szCs w:val="21"/>
                <w:highlight w:val="none"/>
              </w:rPr>
            </w:pP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4918" w:type="dxa"/>
            <w:noWrap/>
            <w:vAlign w:val="center"/>
          </w:tcPr>
          <w:p>
            <w:pPr>
              <w:spacing w:line="460" w:lineRule="exact"/>
              <w:jc w:val="left"/>
              <w:rPr>
                <w:rFonts w:hint="default" w:ascii="Times New Roman" w:hAnsi="Times New Roman" w:cs="Times New Roman"/>
                <w:color w:val="auto"/>
                <w:sz w:val="21"/>
                <w:szCs w:val="21"/>
                <w:highlight w:val="none"/>
              </w:rPr>
            </w:pP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4918" w:type="dxa"/>
            <w:noWrap/>
            <w:vAlign w:val="center"/>
          </w:tcPr>
          <w:p>
            <w:pPr>
              <w:spacing w:line="460" w:lineRule="exact"/>
              <w:jc w:val="left"/>
              <w:rPr>
                <w:rFonts w:hint="default" w:ascii="Times New Roman" w:hAnsi="Times New Roman" w:cs="Times New Roman"/>
                <w:color w:val="auto"/>
                <w:sz w:val="21"/>
                <w:szCs w:val="21"/>
                <w:highlight w:val="none"/>
              </w:rPr>
            </w:pP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报价合计（小写）</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color w:val="auto"/>
                <w:sz w:val="21"/>
                <w:szCs w:val="21"/>
                <w:highlight w:val="none"/>
              </w:rPr>
              <w:t>报价合计（大写）</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工期</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1.本项目总价及分项报价均不接受任何形式的赠送、“零”报价和折扣报价。</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2.本项目执行中所发生的所有费用均计入总报价中，采购人不再另行支付其他任何费用。</w:t>
      </w:r>
    </w:p>
    <w:p>
      <w:pPr>
        <w:topLinePunct/>
        <w:autoSpaceDE w:val="0"/>
        <w:autoSpaceDN w:val="0"/>
        <w:spacing w:after="0" w:line="360" w:lineRule="auto"/>
        <w:ind w:firstLine="420" w:firstLineChars="200"/>
        <w:outlineLvl w:val="1"/>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3.供应商应根据《采购文件-技术部分》相关要求填报。</w:t>
      </w:r>
    </w:p>
    <w:p>
      <w:pPr>
        <w:topLinePunct/>
        <w:autoSpaceDE w:val="0"/>
        <w:autoSpaceDN w:val="0"/>
        <w:adjustRightInd w:val="0"/>
        <w:snapToGrid w:val="0"/>
        <w:spacing w:after="0" w:line="360" w:lineRule="auto"/>
        <w:ind w:firstLine="525" w:firstLineChars="250"/>
        <w:jc w:val="left"/>
        <w:rPr>
          <w:rFonts w:hint="default" w:ascii="Times New Roman" w:hAnsi="Times New Roman" w:cs="Times New Roman"/>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授权代表（签字或盖章）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pPr>
        <w:widowControl/>
        <w:spacing w:after="0" w:line="240" w:lineRule="auto"/>
        <w:jc w:val="center"/>
        <w:outlineLvl w:val="1"/>
        <w:rPr>
          <w:rFonts w:hint="default" w:ascii="Times New Roman" w:hAnsi="Times New Roman" w:cs="Times New Roman"/>
          <w:b/>
          <w:bCs/>
          <w:color w:val="auto"/>
          <w:sz w:val="28"/>
          <w:szCs w:val="28"/>
          <w:highlight w:val="none"/>
        </w:rPr>
      </w:pPr>
      <w:r>
        <w:rPr>
          <w:rFonts w:hAnsi="宋体" w:cs="宋体"/>
          <w:color w:val="auto"/>
          <w:sz w:val="21"/>
          <w:szCs w:val="21"/>
          <w:highlight w:val="none"/>
        </w:rPr>
        <w:br w:type="page"/>
      </w:r>
      <w:r>
        <w:rPr>
          <w:rFonts w:hint="default" w:ascii="Times New Roman" w:hAnsi="Times New Roman" w:cs="Times New Roman"/>
          <w:b/>
          <w:bCs/>
          <w:color w:val="auto"/>
          <w:sz w:val="28"/>
          <w:szCs w:val="28"/>
          <w:highlight w:val="none"/>
        </w:rPr>
        <w:t>2.分项报价表</w:t>
      </w:r>
    </w:p>
    <w:p>
      <w:pPr>
        <w:spacing w:line="360" w:lineRule="auto"/>
        <w:jc w:val="center"/>
        <w:outlineLvl w:val="2"/>
        <w:rPr>
          <w:rFonts w:hint="default" w:ascii="Times New Roman" w:hAnsi="Times New Roman" w:cs="Times New Roman"/>
          <w:b/>
          <w:color w:val="auto"/>
          <w:sz w:val="28"/>
          <w:highlight w:val="none"/>
        </w:rPr>
      </w:pPr>
      <w:r>
        <w:rPr>
          <w:rFonts w:hint="default" w:ascii="Times New Roman" w:hAnsi="Times New Roman" w:cs="Times New Roman"/>
          <w:b/>
          <w:color w:val="auto"/>
          <w:sz w:val="28"/>
          <w:highlight w:val="none"/>
        </w:rPr>
        <w:t>2.1 分项报价表</w:t>
      </w:r>
    </w:p>
    <w:p>
      <w:pPr>
        <w:pStyle w:val="8"/>
        <w:topLinePunct/>
        <w:autoSpaceDE w:val="0"/>
        <w:autoSpaceDN w:val="0"/>
        <w:adjustRightInd w:val="0"/>
        <w:snapToGrid w:val="0"/>
        <w:spacing w:line="360" w:lineRule="auto"/>
        <w:ind w:left="2"/>
        <w:jc w:val="center"/>
        <w:rPr>
          <w:rFonts w:hAnsi="宋体" w:cs="宋体"/>
          <w:b w:val="0"/>
          <w:bCs w:val="0"/>
          <w:color w:val="auto"/>
          <w:kern w:val="2"/>
          <w:sz w:val="21"/>
          <w:highlight w:val="none"/>
        </w:rPr>
      </w:pPr>
      <w:r>
        <w:rPr>
          <w:rFonts w:hint="eastAsia" w:hAnsi="宋体" w:cs="宋体"/>
          <w:b w:val="0"/>
          <w:bCs w:val="0"/>
          <w:color w:val="auto"/>
          <w:kern w:val="2"/>
          <w:sz w:val="21"/>
          <w:highlight w:val="none"/>
        </w:rPr>
        <w:t>(货物类项目适用)</w:t>
      </w:r>
    </w:p>
    <w:p>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after="0" w:line="360" w:lineRule="auto"/>
        <w:ind w:right="840"/>
        <w:rPr>
          <w:rFonts w:ascii="宋体" w:hAnsi="宋体" w:cs="宋体"/>
          <w:bCs/>
          <w:color w:val="auto"/>
          <w:w w:val="150"/>
          <w:szCs w:val="21"/>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   元</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277"/>
        <w:gridCol w:w="851"/>
        <w:gridCol w:w="851"/>
        <w:gridCol w:w="850"/>
        <w:gridCol w:w="565"/>
        <w:gridCol w:w="1058"/>
        <w:gridCol w:w="1186"/>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741" w:type="pc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货物</w:t>
            </w:r>
          </w:p>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名称</w:t>
            </w:r>
          </w:p>
        </w:tc>
        <w:tc>
          <w:tcPr>
            <w:tcW w:w="494" w:type="pc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品牌</w:t>
            </w:r>
          </w:p>
        </w:tc>
        <w:tc>
          <w:tcPr>
            <w:tcW w:w="494" w:type="pc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生产</w:t>
            </w:r>
          </w:p>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厂家</w:t>
            </w:r>
          </w:p>
        </w:tc>
        <w:tc>
          <w:tcPr>
            <w:tcW w:w="493" w:type="pc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规格</w:t>
            </w:r>
          </w:p>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型号</w:t>
            </w:r>
          </w:p>
        </w:tc>
        <w:tc>
          <w:tcPr>
            <w:tcW w:w="328" w:type="pc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单价</w:t>
            </w:r>
          </w:p>
        </w:tc>
        <w:tc>
          <w:tcPr>
            <w:tcW w:w="614" w:type="pc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数量</w:t>
            </w:r>
          </w:p>
        </w:tc>
        <w:tc>
          <w:tcPr>
            <w:tcW w:w="688" w:type="pc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合计</w:t>
            </w:r>
          </w:p>
        </w:tc>
        <w:tc>
          <w:tcPr>
            <w:tcW w:w="590" w:type="pc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741" w:type="pct"/>
            <w:noWrap w:val="0"/>
            <w:vAlign w:val="center"/>
          </w:tcPr>
          <w:p>
            <w:pPr>
              <w:pStyle w:val="8"/>
              <w:jc w:val="center"/>
              <w:rPr>
                <w:rFonts w:hint="default" w:ascii="Times New Roman" w:hAnsi="Times New Roman" w:cs="Times New Roman"/>
                <w:color w:val="auto"/>
                <w:sz w:val="21"/>
                <w:szCs w:val="21"/>
                <w:highlight w:val="none"/>
              </w:rPr>
            </w:pPr>
          </w:p>
        </w:tc>
        <w:tc>
          <w:tcPr>
            <w:tcW w:w="494" w:type="pct"/>
            <w:noWrap w:val="0"/>
            <w:vAlign w:val="center"/>
          </w:tcPr>
          <w:p>
            <w:pPr>
              <w:pStyle w:val="8"/>
              <w:jc w:val="center"/>
              <w:rPr>
                <w:rFonts w:hint="default" w:ascii="Times New Roman" w:hAnsi="Times New Roman" w:cs="Times New Roman"/>
                <w:color w:val="auto"/>
                <w:sz w:val="21"/>
                <w:szCs w:val="21"/>
                <w:highlight w:val="none"/>
              </w:rPr>
            </w:pPr>
          </w:p>
        </w:tc>
        <w:tc>
          <w:tcPr>
            <w:tcW w:w="494" w:type="pct"/>
            <w:noWrap w:val="0"/>
            <w:vAlign w:val="center"/>
          </w:tcPr>
          <w:p>
            <w:pPr>
              <w:pStyle w:val="8"/>
              <w:jc w:val="center"/>
              <w:rPr>
                <w:rFonts w:hint="default" w:ascii="Times New Roman" w:hAnsi="Times New Roman" w:cs="Times New Roman"/>
                <w:color w:val="auto"/>
                <w:sz w:val="21"/>
                <w:szCs w:val="21"/>
                <w:highlight w:val="none"/>
              </w:rPr>
            </w:pPr>
          </w:p>
        </w:tc>
        <w:tc>
          <w:tcPr>
            <w:tcW w:w="493" w:type="pct"/>
            <w:noWrap w:val="0"/>
            <w:vAlign w:val="center"/>
          </w:tcPr>
          <w:p>
            <w:pPr>
              <w:pStyle w:val="8"/>
              <w:jc w:val="center"/>
              <w:rPr>
                <w:rFonts w:hint="default" w:ascii="Times New Roman" w:hAnsi="Times New Roman" w:cs="Times New Roman"/>
                <w:color w:val="auto"/>
                <w:sz w:val="21"/>
                <w:szCs w:val="21"/>
                <w:highlight w:val="none"/>
              </w:rPr>
            </w:pPr>
          </w:p>
        </w:tc>
        <w:tc>
          <w:tcPr>
            <w:tcW w:w="328" w:type="pct"/>
            <w:noWrap w:val="0"/>
            <w:vAlign w:val="center"/>
          </w:tcPr>
          <w:p>
            <w:pPr>
              <w:pStyle w:val="8"/>
              <w:jc w:val="center"/>
              <w:rPr>
                <w:rFonts w:hint="default" w:ascii="Times New Roman" w:hAnsi="Times New Roman" w:cs="Times New Roman"/>
                <w:color w:val="auto"/>
                <w:sz w:val="21"/>
                <w:szCs w:val="21"/>
                <w:highlight w:val="none"/>
              </w:rPr>
            </w:pPr>
          </w:p>
        </w:tc>
        <w:tc>
          <w:tcPr>
            <w:tcW w:w="614" w:type="pct"/>
            <w:noWrap w:val="0"/>
            <w:vAlign w:val="center"/>
          </w:tcPr>
          <w:p>
            <w:pPr>
              <w:pStyle w:val="8"/>
              <w:jc w:val="center"/>
              <w:rPr>
                <w:rFonts w:hint="default" w:ascii="Times New Roman" w:hAnsi="Times New Roman" w:cs="Times New Roman"/>
                <w:color w:val="auto"/>
                <w:sz w:val="21"/>
                <w:szCs w:val="21"/>
                <w:highlight w:val="none"/>
              </w:rPr>
            </w:pPr>
          </w:p>
        </w:tc>
        <w:tc>
          <w:tcPr>
            <w:tcW w:w="688" w:type="pct"/>
            <w:noWrap w:val="0"/>
            <w:vAlign w:val="center"/>
          </w:tcPr>
          <w:p>
            <w:pPr>
              <w:pStyle w:val="8"/>
              <w:jc w:val="center"/>
              <w:rPr>
                <w:rFonts w:hint="default" w:ascii="Times New Roman" w:hAnsi="Times New Roman" w:cs="Times New Roman"/>
                <w:color w:val="auto"/>
                <w:sz w:val="21"/>
                <w:szCs w:val="21"/>
                <w:highlight w:val="none"/>
              </w:rPr>
            </w:pPr>
          </w:p>
        </w:tc>
        <w:tc>
          <w:tcPr>
            <w:tcW w:w="590" w:type="pct"/>
            <w:noWrap w:val="0"/>
            <w:vAlign w:val="center"/>
          </w:tcPr>
          <w:p>
            <w:pPr>
              <w:pStyle w:val="8"/>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741" w:type="pct"/>
            <w:noWrap w:val="0"/>
            <w:vAlign w:val="center"/>
          </w:tcPr>
          <w:p>
            <w:pPr>
              <w:pStyle w:val="8"/>
              <w:jc w:val="center"/>
              <w:rPr>
                <w:rFonts w:hint="default" w:ascii="Times New Roman" w:hAnsi="Times New Roman" w:cs="Times New Roman"/>
                <w:color w:val="auto"/>
                <w:sz w:val="21"/>
                <w:szCs w:val="21"/>
                <w:highlight w:val="none"/>
              </w:rPr>
            </w:pPr>
          </w:p>
        </w:tc>
        <w:tc>
          <w:tcPr>
            <w:tcW w:w="494" w:type="pct"/>
            <w:noWrap w:val="0"/>
            <w:vAlign w:val="center"/>
          </w:tcPr>
          <w:p>
            <w:pPr>
              <w:pStyle w:val="8"/>
              <w:jc w:val="center"/>
              <w:rPr>
                <w:rFonts w:hint="default" w:ascii="Times New Roman" w:hAnsi="Times New Roman" w:cs="Times New Roman"/>
                <w:color w:val="auto"/>
                <w:sz w:val="21"/>
                <w:szCs w:val="21"/>
                <w:highlight w:val="none"/>
              </w:rPr>
            </w:pPr>
          </w:p>
        </w:tc>
        <w:tc>
          <w:tcPr>
            <w:tcW w:w="494" w:type="pct"/>
            <w:noWrap w:val="0"/>
            <w:vAlign w:val="center"/>
          </w:tcPr>
          <w:p>
            <w:pPr>
              <w:pStyle w:val="8"/>
              <w:jc w:val="center"/>
              <w:rPr>
                <w:rFonts w:hint="default" w:ascii="Times New Roman" w:hAnsi="Times New Roman" w:cs="Times New Roman"/>
                <w:color w:val="auto"/>
                <w:sz w:val="21"/>
                <w:szCs w:val="21"/>
                <w:highlight w:val="none"/>
              </w:rPr>
            </w:pPr>
          </w:p>
        </w:tc>
        <w:tc>
          <w:tcPr>
            <w:tcW w:w="493" w:type="pct"/>
            <w:noWrap w:val="0"/>
            <w:vAlign w:val="center"/>
          </w:tcPr>
          <w:p>
            <w:pPr>
              <w:pStyle w:val="8"/>
              <w:jc w:val="center"/>
              <w:rPr>
                <w:rFonts w:hint="default" w:ascii="Times New Roman" w:hAnsi="Times New Roman" w:cs="Times New Roman"/>
                <w:color w:val="auto"/>
                <w:sz w:val="21"/>
                <w:szCs w:val="21"/>
                <w:highlight w:val="none"/>
              </w:rPr>
            </w:pPr>
          </w:p>
        </w:tc>
        <w:tc>
          <w:tcPr>
            <w:tcW w:w="328" w:type="pct"/>
            <w:noWrap w:val="0"/>
            <w:vAlign w:val="center"/>
          </w:tcPr>
          <w:p>
            <w:pPr>
              <w:pStyle w:val="8"/>
              <w:jc w:val="center"/>
              <w:rPr>
                <w:rFonts w:hint="default" w:ascii="Times New Roman" w:hAnsi="Times New Roman" w:cs="Times New Roman"/>
                <w:color w:val="auto"/>
                <w:sz w:val="21"/>
                <w:szCs w:val="21"/>
                <w:highlight w:val="none"/>
              </w:rPr>
            </w:pPr>
          </w:p>
        </w:tc>
        <w:tc>
          <w:tcPr>
            <w:tcW w:w="614" w:type="pct"/>
            <w:noWrap w:val="0"/>
            <w:vAlign w:val="center"/>
          </w:tcPr>
          <w:p>
            <w:pPr>
              <w:pStyle w:val="8"/>
              <w:jc w:val="center"/>
              <w:rPr>
                <w:rFonts w:hint="default" w:ascii="Times New Roman" w:hAnsi="Times New Roman" w:cs="Times New Roman"/>
                <w:color w:val="auto"/>
                <w:sz w:val="21"/>
                <w:szCs w:val="21"/>
                <w:highlight w:val="none"/>
              </w:rPr>
            </w:pPr>
          </w:p>
        </w:tc>
        <w:tc>
          <w:tcPr>
            <w:tcW w:w="688" w:type="pct"/>
            <w:noWrap w:val="0"/>
            <w:vAlign w:val="center"/>
          </w:tcPr>
          <w:p>
            <w:pPr>
              <w:pStyle w:val="8"/>
              <w:jc w:val="center"/>
              <w:rPr>
                <w:rFonts w:hint="default" w:ascii="Times New Roman" w:hAnsi="Times New Roman" w:cs="Times New Roman"/>
                <w:color w:val="auto"/>
                <w:sz w:val="21"/>
                <w:szCs w:val="21"/>
                <w:highlight w:val="none"/>
              </w:rPr>
            </w:pPr>
          </w:p>
        </w:tc>
        <w:tc>
          <w:tcPr>
            <w:tcW w:w="590" w:type="pct"/>
            <w:noWrap w:val="0"/>
            <w:vAlign w:val="center"/>
          </w:tcPr>
          <w:p>
            <w:pPr>
              <w:pStyle w:val="8"/>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741" w:type="pct"/>
            <w:noWrap w:val="0"/>
            <w:vAlign w:val="center"/>
          </w:tcPr>
          <w:p>
            <w:pPr>
              <w:pStyle w:val="8"/>
              <w:jc w:val="center"/>
              <w:rPr>
                <w:rFonts w:hint="default" w:ascii="Times New Roman" w:hAnsi="Times New Roman" w:cs="Times New Roman"/>
                <w:color w:val="auto"/>
                <w:sz w:val="21"/>
                <w:szCs w:val="21"/>
                <w:highlight w:val="none"/>
              </w:rPr>
            </w:pPr>
          </w:p>
        </w:tc>
        <w:tc>
          <w:tcPr>
            <w:tcW w:w="494" w:type="pct"/>
            <w:noWrap w:val="0"/>
            <w:vAlign w:val="center"/>
          </w:tcPr>
          <w:p>
            <w:pPr>
              <w:pStyle w:val="8"/>
              <w:jc w:val="center"/>
              <w:rPr>
                <w:rFonts w:hint="default" w:ascii="Times New Roman" w:hAnsi="Times New Roman" w:cs="Times New Roman"/>
                <w:color w:val="auto"/>
                <w:sz w:val="21"/>
                <w:szCs w:val="21"/>
                <w:highlight w:val="none"/>
              </w:rPr>
            </w:pPr>
          </w:p>
        </w:tc>
        <w:tc>
          <w:tcPr>
            <w:tcW w:w="494" w:type="pct"/>
            <w:noWrap w:val="0"/>
            <w:vAlign w:val="center"/>
          </w:tcPr>
          <w:p>
            <w:pPr>
              <w:pStyle w:val="8"/>
              <w:jc w:val="center"/>
              <w:rPr>
                <w:rFonts w:hint="default" w:ascii="Times New Roman" w:hAnsi="Times New Roman" w:cs="Times New Roman"/>
                <w:color w:val="auto"/>
                <w:sz w:val="21"/>
                <w:szCs w:val="21"/>
                <w:highlight w:val="none"/>
              </w:rPr>
            </w:pPr>
          </w:p>
        </w:tc>
        <w:tc>
          <w:tcPr>
            <w:tcW w:w="493" w:type="pct"/>
            <w:noWrap w:val="0"/>
            <w:vAlign w:val="center"/>
          </w:tcPr>
          <w:p>
            <w:pPr>
              <w:pStyle w:val="8"/>
              <w:jc w:val="center"/>
              <w:rPr>
                <w:rFonts w:hint="default" w:ascii="Times New Roman" w:hAnsi="Times New Roman" w:cs="Times New Roman"/>
                <w:color w:val="auto"/>
                <w:sz w:val="21"/>
                <w:szCs w:val="21"/>
                <w:highlight w:val="none"/>
              </w:rPr>
            </w:pPr>
          </w:p>
        </w:tc>
        <w:tc>
          <w:tcPr>
            <w:tcW w:w="328" w:type="pct"/>
            <w:noWrap w:val="0"/>
            <w:vAlign w:val="center"/>
          </w:tcPr>
          <w:p>
            <w:pPr>
              <w:pStyle w:val="8"/>
              <w:jc w:val="center"/>
              <w:rPr>
                <w:rFonts w:hint="default" w:ascii="Times New Roman" w:hAnsi="Times New Roman" w:cs="Times New Roman"/>
                <w:color w:val="auto"/>
                <w:sz w:val="21"/>
                <w:szCs w:val="21"/>
                <w:highlight w:val="none"/>
              </w:rPr>
            </w:pPr>
          </w:p>
        </w:tc>
        <w:tc>
          <w:tcPr>
            <w:tcW w:w="614" w:type="pct"/>
            <w:noWrap w:val="0"/>
            <w:vAlign w:val="center"/>
          </w:tcPr>
          <w:p>
            <w:pPr>
              <w:pStyle w:val="8"/>
              <w:jc w:val="center"/>
              <w:rPr>
                <w:rFonts w:hint="default" w:ascii="Times New Roman" w:hAnsi="Times New Roman" w:cs="Times New Roman"/>
                <w:color w:val="auto"/>
                <w:sz w:val="21"/>
                <w:szCs w:val="21"/>
                <w:highlight w:val="none"/>
              </w:rPr>
            </w:pPr>
          </w:p>
        </w:tc>
        <w:tc>
          <w:tcPr>
            <w:tcW w:w="688" w:type="pct"/>
            <w:noWrap w:val="0"/>
            <w:vAlign w:val="center"/>
          </w:tcPr>
          <w:p>
            <w:pPr>
              <w:pStyle w:val="8"/>
              <w:jc w:val="center"/>
              <w:rPr>
                <w:rFonts w:hint="default" w:ascii="Times New Roman" w:hAnsi="Times New Roman" w:cs="Times New Roman"/>
                <w:color w:val="auto"/>
                <w:sz w:val="21"/>
                <w:szCs w:val="21"/>
                <w:highlight w:val="none"/>
              </w:rPr>
            </w:pPr>
          </w:p>
        </w:tc>
        <w:tc>
          <w:tcPr>
            <w:tcW w:w="590" w:type="pct"/>
            <w:noWrap w:val="0"/>
            <w:vAlign w:val="center"/>
          </w:tcPr>
          <w:p>
            <w:pPr>
              <w:pStyle w:val="8"/>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eastAsia="MS Mincho" w:cs="Times New Roman"/>
                <w:color w:val="auto"/>
                <w:sz w:val="21"/>
                <w:szCs w:val="21"/>
                <w:highlight w:val="none"/>
              </w:rPr>
              <w:t>⋮</w:t>
            </w:r>
          </w:p>
        </w:tc>
        <w:tc>
          <w:tcPr>
            <w:tcW w:w="741" w:type="pct"/>
            <w:noWrap w:val="0"/>
            <w:vAlign w:val="center"/>
          </w:tcPr>
          <w:p>
            <w:pPr>
              <w:pStyle w:val="8"/>
              <w:jc w:val="center"/>
              <w:rPr>
                <w:rFonts w:hint="default" w:ascii="Times New Roman" w:hAnsi="Times New Roman" w:cs="Times New Roman"/>
                <w:color w:val="auto"/>
                <w:sz w:val="21"/>
                <w:szCs w:val="21"/>
                <w:highlight w:val="none"/>
              </w:rPr>
            </w:pPr>
          </w:p>
        </w:tc>
        <w:tc>
          <w:tcPr>
            <w:tcW w:w="494" w:type="pct"/>
            <w:noWrap w:val="0"/>
            <w:vAlign w:val="center"/>
          </w:tcPr>
          <w:p>
            <w:pPr>
              <w:pStyle w:val="8"/>
              <w:jc w:val="center"/>
              <w:rPr>
                <w:rFonts w:hint="default" w:ascii="Times New Roman" w:hAnsi="Times New Roman" w:cs="Times New Roman"/>
                <w:color w:val="auto"/>
                <w:sz w:val="21"/>
                <w:szCs w:val="21"/>
                <w:highlight w:val="none"/>
              </w:rPr>
            </w:pPr>
          </w:p>
        </w:tc>
        <w:tc>
          <w:tcPr>
            <w:tcW w:w="494" w:type="pct"/>
            <w:noWrap w:val="0"/>
            <w:vAlign w:val="center"/>
          </w:tcPr>
          <w:p>
            <w:pPr>
              <w:pStyle w:val="8"/>
              <w:jc w:val="center"/>
              <w:rPr>
                <w:rFonts w:hint="default" w:ascii="Times New Roman" w:hAnsi="Times New Roman" w:cs="Times New Roman"/>
                <w:color w:val="auto"/>
                <w:sz w:val="21"/>
                <w:szCs w:val="21"/>
                <w:highlight w:val="none"/>
              </w:rPr>
            </w:pPr>
          </w:p>
        </w:tc>
        <w:tc>
          <w:tcPr>
            <w:tcW w:w="493" w:type="pct"/>
            <w:noWrap w:val="0"/>
            <w:vAlign w:val="center"/>
          </w:tcPr>
          <w:p>
            <w:pPr>
              <w:pStyle w:val="8"/>
              <w:jc w:val="center"/>
              <w:rPr>
                <w:rFonts w:hint="default" w:ascii="Times New Roman" w:hAnsi="Times New Roman" w:cs="Times New Roman"/>
                <w:color w:val="auto"/>
                <w:sz w:val="21"/>
                <w:szCs w:val="21"/>
                <w:highlight w:val="none"/>
              </w:rPr>
            </w:pPr>
          </w:p>
        </w:tc>
        <w:tc>
          <w:tcPr>
            <w:tcW w:w="328" w:type="pct"/>
            <w:noWrap w:val="0"/>
            <w:vAlign w:val="center"/>
          </w:tcPr>
          <w:p>
            <w:pPr>
              <w:pStyle w:val="8"/>
              <w:jc w:val="center"/>
              <w:rPr>
                <w:rFonts w:hint="default" w:ascii="Times New Roman" w:hAnsi="Times New Roman" w:cs="Times New Roman"/>
                <w:color w:val="auto"/>
                <w:sz w:val="21"/>
                <w:szCs w:val="21"/>
                <w:highlight w:val="none"/>
              </w:rPr>
            </w:pPr>
          </w:p>
        </w:tc>
        <w:tc>
          <w:tcPr>
            <w:tcW w:w="614" w:type="pct"/>
            <w:noWrap w:val="0"/>
            <w:vAlign w:val="center"/>
          </w:tcPr>
          <w:p>
            <w:pPr>
              <w:pStyle w:val="8"/>
              <w:jc w:val="center"/>
              <w:rPr>
                <w:rFonts w:hint="default" w:ascii="Times New Roman" w:hAnsi="Times New Roman" w:cs="Times New Roman"/>
                <w:color w:val="auto"/>
                <w:sz w:val="21"/>
                <w:szCs w:val="21"/>
                <w:highlight w:val="none"/>
              </w:rPr>
            </w:pPr>
          </w:p>
        </w:tc>
        <w:tc>
          <w:tcPr>
            <w:tcW w:w="688" w:type="pct"/>
            <w:noWrap w:val="0"/>
            <w:vAlign w:val="center"/>
          </w:tcPr>
          <w:p>
            <w:pPr>
              <w:pStyle w:val="8"/>
              <w:jc w:val="center"/>
              <w:rPr>
                <w:rFonts w:hint="default" w:ascii="Times New Roman" w:hAnsi="Times New Roman" w:cs="Times New Roman"/>
                <w:color w:val="auto"/>
                <w:sz w:val="21"/>
                <w:szCs w:val="21"/>
                <w:highlight w:val="none"/>
              </w:rPr>
            </w:pPr>
          </w:p>
        </w:tc>
        <w:tc>
          <w:tcPr>
            <w:tcW w:w="590" w:type="pct"/>
            <w:noWrap w:val="0"/>
            <w:vAlign w:val="center"/>
          </w:tcPr>
          <w:p>
            <w:pPr>
              <w:pStyle w:val="8"/>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pct"/>
            <w:gridSpan w:val="2"/>
            <w:noWrap w:val="0"/>
            <w:vAlign w:val="center"/>
          </w:tcPr>
          <w:p>
            <w:pPr>
              <w:pStyle w:val="8"/>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备品备件(包括专用工具等)</w:t>
            </w:r>
          </w:p>
        </w:tc>
        <w:tc>
          <w:tcPr>
            <w:tcW w:w="494" w:type="pct"/>
            <w:noWrap w:val="0"/>
            <w:vAlign w:val="center"/>
          </w:tcPr>
          <w:p>
            <w:pPr>
              <w:pStyle w:val="8"/>
              <w:jc w:val="center"/>
              <w:rPr>
                <w:rFonts w:hint="default" w:ascii="Times New Roman" w:hAnsi="Times New Roman" w:cs="Times New Roman"/>
                <w:color w:val="auto"/>
                <w:sz w:val="21"/>
                <w:szCs w:val="21"/>
                <w:highlight w:val="none"/>
              </w:rPr>
            </w:pPr>
          </w:p>
        </w:tc>
        <w:tc>
          <w:tcPr>
            <w:tcW w:w="494" w:type="pct"/>
            <w:noWrap w:val="0"/>
            <w:vAlign w:val="center"/>
          </w:tcPr>
          <w:p>
            <w:pPr>
              <w:pStyle w:val="8"/>
              <w:jc w:val="center"/>
              <w:rPr>
                <w:rFonts w:hint="default" w:ascii="Times New Roman" w:hAnsi="Times New Roman" w:cs="Times New Roman"/>
                <w:color w:val="auto"/>
                <w:sz w:val="21"/>
                <w:szCs w:val="21"/>
                <w:highlight w:val="none"/>
              </w:rPr>
            </w:pPr>
          </w:p>
        </w:tc>
        <w:tc>
          <w:tcPr>
            <w:tcW w:w="493" w:type="pct"/>
            <w:noWrap w:val="0"/>
            <w:vAlign w:val="center"/>
          </w:tcPr>
          <w:p>
            <w:pPr>
              <w:pStyle w:val="8"/>
              <w:jc w:val="center"/>
              <w:rPr>
                <w:rFonts w:hint="default" w:ascii="Times New Roman" w:hAnsi="Times New Roman" w:cs="Times New Roman"/>
                <w:color w:val="auto"/>
                <w:sz w:val="21"/>
                <w:szCs w:val="21"/>
                <w:highlight w:val="none"/>
              </w:rPr>
            </w:pPr>
          </w:p>
        </w:tc>
        <w:tc>
          <w:tcPr>
            <w:tcW w:w="328" w:type="pct"/>
            <w:noWrap w:val="0"/>
            <w:vAlign w:val="center"/>
          </w:tcPr>
          <w:p>
            <w:pPr>
              <w:pStyle w:val="8"/>
              <w:jc w:val="center"/>
              <w:rPr>
                <w:rFonts w:hint="default" w:ascii="Times New Roman" w:hAnsi="Times New Roman" w:cs="Times New Roman"/>
                <w:color w:val="auto"/>
                <w:sz w:val="21"/>
                <w:szCs w:val="21"/>
                <w:highlight w:val="none"/>
              </w:rPr>
            </w:pPr>
          </w:p>
        </w:tc>
        <w:tc>
          <w:tcPr>
            <w:tcW w:w="614" w:type="pct"/>
            <w:noWrap w:val="0"/>
            <w:vAlign w:val="center"/>
          </w:tcPr>
          <w:p>
            <w:pPr>
              <w:pStyle w:val="8"/>
              <w:jc w:val="center"/>
              <w:rPr>
                <w:rFonts w:hint="default" w:ascii="Times New Roman" w:hAnsi="Times New Roman" w:cs="Times New Roman"/>
                <w:color w:val="auto"/>
                <w:sz w:val="21"/>
                <w:szCs w:val="21"/>
                <w:highlight w:val="none"/>
              </w:rPr>
            </w:pPr>
          </w:p>
        </w:tc>
        <w:tc>
          <w:tcPr>
            <w:tcW w:w="688" w:type="pct"/>
            <w:noWrap w:val="0"/>
            <w:vAlign w:val="center"/>
          </w:tcPr>
          <w:p>
            <w:pPr>
              <w:pStyle w:val="8"/>
              <w:jc w:val="center"/>
              <w:rPr>
                <w:rFonts w:hint="default" w:ascii="Times New Roman" w:hAnsi="Times New Roman" w:cs="Times New Roman"/>
                <w:color w:val="auto"/>
                <w:sz w:val="21"/>
                <w:szCs w:val="21"/>
                <w:highlight w:val="none"/>
              </w:rPr>
            </w:pPr>
          </w:p>
        </w:tc>
        <w:tc>
          <w:tcPr>
            <w:tcW w:w="590" w:type="pct"/>
            <w:noWrap w:val="0"/>
            <w:vAlign w:val="center"/>
          </w:tcPr>
          <w:p>
            <w:pPr>
              <w:pStyle w:val="8"/>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pct"/>
            <w:gridSpan w:val="2"/>
            <w:noWrap w:val="0"/>
            <w:vAlign w:val="center"/>
          </w:tcPr>
          <w:p>
            <w:pPr>
              <w:pStyle w:val="8"/>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耗材</w:t>
            </w:r>
          </w:p>
        </w:tc>
        <w:tc>
          <w:tcPr>
            <w:tcW w:w="494" w:type="pct"/>
            <w:noWrap w:val="0"/>
            <w:vAlign w:val="center"/>
          </w:tcPr>
          <w:p>
            <w:pPr>
              <w:pStyle w:val="8"/>
              <w:jc w:val="center"/>
              <w:rPr>
                <w:rFonts w:hint="default" w:ascii="Times New Roman" w:hAnsi="Times New Roman" w:cs="Times New Roman"/>
                <w:color w:val="auto"/>
                <w:sz w:val="21"/>
                <w:szCs w:val="21"/>
                <w:highlight w:val="none"/>
              </w:rPr>
            </w:pPr>
          </w:p>
        </w:tc>
        <w:tc>
          <w:tcPr>
            <w:tcW w:w="494" w:type="pct"/>
            <w:noWrap w:val="0"/>
            <w:vAlign w:val="center"/>
          </w:tcPr>
          <w:p>
            <w:pPr>
              <w:pStyle w:val="8"/>
              <w:jc w:val="center"/>
              <w:rPr>
                <w:rFonts w:hint="default" w:ascii="Times New Roman" w:hAnsi="Times New Roman" w:cs="Times New Roman"/>
                <w:color w:val="auto"/>
                <w:sz w:val="21"/>
                <w:szCs w:val="21"/>
                <w:highlight w:val="none"/>
              </w:rPr>
            </w:pPr>
          </w:p>
        </w:tc>
        <w:tc>
          <w:tcPr>
            <w:tcW w:w="493" w:type="pct"/>
            <w:noWrap w:val="0"/>
            <w:vAlign w:val="center"/>
          </w:tcPr>
          <w:p>
            <w:pPr>
              <w:pStyle w:val="8"/>
              <w:jc w:val="center"/>
              <w:rPr>
                <w:rFonts w:hint="default" w:ascii="Times New Roman" w:hAnsi="Times New Roman" w:cs="Times New Roman"/>
                <w:color w:val="auto"/>
                <w:sz w:val="21"/>
                <w:szCs w:val="21"/>
                <w:highlight w:val="none"/>
              </w:rPr>
            </w:pPr>
          </w:p>
        </w:tc>
        <w:tc>
          <w:tcPr>
            <w:tcW w:w="328" w:type="pct"/>
            <w:noWrap w:val="0"/>
            <w:vAlign w:val="center"/>
          </w:tcPr>
          <w:p>
            <w:pPr>
              <w:pStyle w:val="8"/>
              <w:jc w:val="center"/>
              <w:rPr>
                <w:rFonts w:hint="default" w:ascii="Times New Roman" w:hAnsi="Times New Roman" w:cs="Times New Roman"/>
                <w:color w:val="auto"/>
                <w:sz w:val="21"/>
                <w:szCs w:val="21"/>
                <w:highlight w:val="none"/>
              </w:rPr>
            </w:pPr>
          </w:p>
        </w:tc>
        <w:tc>
          <w:tcPr>
            <w:tcW w:w="614" w:type="pct"/>
            <w:noWrap w:val="0"/>
            <w:vAlign w:val="center"/>
          </w:tcPr>
          <w:p>
            <w:pPr>
              <w:pStyle w:val="8"/>
              <w:jc w:val="center"/>
              <w:rPr>
                <w:rFonts w:hint="default" w:ascii="Times New Roman" w:hAnsi="Times New Roman" w:cs="Times New Roman"/>
                <w:color w:val="auto"/>
                <w:sz w:val="21"/>
                <w:szCs w:val="21"/>
                <w:highlight w:val="none"/>
              </w:rPr>
            </w:pPr>
          </w:p>
        </w:tc>
        <w:tc>
          <w:tcPr>
            <w:tcW w:w="688" w:type="pct"/>
            <w:noWrap w:val="0"/>
            <w:vAlign w:val="center"/>
          </w:tcPr>
          <w:p>
            <w:pPr>
              <w:pStyle w:val="8"/>
              <w:jc w:val="center"/>
              <w:rPr>
                <w:rFonts w:hint="default" w:ascii="Times New Roman" w:hAnsi="Times New Roman" w:cs="Times New Roman"/>
                <w:color w:val="auto"/>
                <w:sz w:val="21"/>
                <w:szCs w:val="21"/>
                <w:highlight w:val="none"/>
              </w:rPr>
            </w:pPr>
          </w:p>
        </w:tc>
        <w:tc>
          <w:tcPr>
            <w:tcW w:w="590" w:type="pct"/>
            <w:noWrap w:val="0"/>
            <w:vAlign w:val="center"/>
          </w:tcPr>
          <w:p>
            <w:pPr>
              <w:pStyle w:val="8"/>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pct"/>
            <w:gridSpan w:val="2"/>
            <w:noWrap w:val="0"/>
            <w:vAlign w:val="center"/>
          </w:tcPr>
          <w:p>
            <w:pPr>
              <w:pStyle w:val="8"/>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货物费合计</w:t>
            </w:r>
          </w:p>
        </w:tc>
        <w:tc>
          <w:tcPr>
            <w:tcW w:w="3701" w:type="pct"/>
            <w:gridSpan w:val="7"/>
            <w:noWrap w:val="0"/>
            <w:vAlign w:val="center"/>
          </w:tcPr>
          <w:p>
            <w:pPr>
              <w:pStyle w:val="8"/>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restar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包装</w:t>
            </w:r>
          </w:p>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运输</w:t>
            </w:r>
          </w:p>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费</w:t>
            </w:r>
          </w:p>
        </w:tc>
        <w:tc>
          <w:tcPr>
            <w:tcW w:w="1235"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包装费</w:t>
            </w:r>
          </w:p>
        </w:tc>
        <w:tc>
          <w:tcPr>
            <w:tcW w:w="987" w:type="pct"/>
            <w:gridSpan w:val="2"/>
            <w:noWrap w:val="0"/>
            <w:vAlign w:val="center"/>
          </w:tcPr>
          <w:p>
            <w:pPr>
              <w:pStyle w:val="8"/>
              <w:jc w:val="center"/>
              <w:rPr>
                <w:rFonts w:hint="default" w:ascii="Times New Roman" w:hAnsi="Times New Roman" w:cs="Times New Roman"/>
                <w:color w:val="auto"/>
                <w:sz w:val="21"/>
                <w:szCs w:val="21"/>
                <w:highlight w:val="none"/>
              </w:rPr>
            </w:pPr>
          </w:p>
        </w:tc>
        <w:tc>
          <w:tcPr>
            <w:tcW w:w="328" w:type="pct"/>
            <w:vMerge w:val="restar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安装调试费</w:t>
            </w:r>
          </w:p>
        </w:tc>
        <w:tc>
          <w:tcPr>
            <w:tcW w:w="1302"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安装费</w:t>
            </w:r>
          </w:p>
        </w:tc>
        <w:tc>
          <w:tcPr>
            <w:tcW w:w="590" w:type="pct"/>
            <w:noWrap w:val="0"/>
            <w:vAlign w:val="center"/>
          </w:tcPr>
          <w:p>
            <w:pPr>
              <w:pStyle w:val="8"/>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noWrap w:val="0"/>
            <w:vAlign w:val="center"/>
          </w:tcPr>
          <w:p>
            <w:pPr>
              <w:pStyle w:val="8"/>
              <w:jc w:val="center"/>
              <w:rPr>
                <w:rFonts w:hint="default" w:ascii="Times New Roman" w:hAnsi="Times New Roman" w:cs="Times New Roman"/>
                <w:color w:val="auto"/>
                <w:sz w:val="21"/>
                <w:szCs w:val="21"/>
                <w:highlight w:val="none"/>
              </w:rPr>
            </w:pPr>
          </w:p>
        </w:tc>
        <w:tc>
          <w:tcPr>
            <w:tcW w:w="1235"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运输费</w:t>
            </w:r>
          </w:p>
        </w:tc>
        <w:tc>
          <w:tcPr>
            <w:tcW w:w="987" w:type="pct"/>
            <w:gridSpan w:val="2"/>
            <w:noWrap w:val="0"/>
            <w:vAlign w:val="center"/>
          </w:tcPr>
          <w:p>
            <w:pPr>
              <w:pStyle w:val="8"/>
              <w:jc w:val="center"/>
              <w:rPr>
                <w:rFonts w:hint="default" w:ascii="Times New Roman" w:hAnsi="Times New Roman" w:cs="Times New Roman"/>
                <w:color w:val="auto"/>
                <w:sz w:val="21"/>
                <w:szCs w:val="21"/>
                <w:highlight w:val="none"/>
              </w:rPr>
            </w:pPr>
          </w:p>
        </w:tc>
        <w:tc>
          <w:tcPr>
            <w:tcW w:w="328" w:type="pct"/>
            <w:vMerge w:val="continue"/>
            <w:noWrap w:val="0"/>
            <w:vAlign w:val="center"/>
          </w:tcPr>
          <w:p>
            <w:pPr>
              <w:pStyle w:val="8"/>
              <w:jc w:val="center"/>
              <w:rPr>
                <w:rFonts w:hint="default" w:ascii="Times New Roman" w:hAnsi="Times New Roman" w:cs="Times New Roman"/>
                <w:color w:val="auto"/>
                <w:sz w:val="21"/>
                <w:szCs w:val="21"/>
                <w:highlight w:val="none"/>
              </w:rPr>
            </w:pPr>
          </w:p>
        </w:tc>
        <w:tc>
          <w:tcPr>
            <w:tcW w:w="1302"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调试费</w:t>
            </w:r>
          </w:p>
        </w:tc>
        <w:tc>
          <w:tcPr>
            <w:tcW w:w="590" w:type="pct"/>
            <w:noWrap w:val="0"/>
            <w:vAlign w:val="center"/>
          </w:tcPr>
          <w:p>
            <w:pPr>
              <w:pStyle w:val="8"/>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noWrap w:val="0"/>
            <w:vAlign w:val="center"/>
          </w:tcPr>
          <w:p>
            <w:pPr>
              <w:pStyle w:val="8"/>
              <w:jc w:val="center"/>
              <w:rPr>
                <w:rFonts w:hint="default" w:ascii="Times New Roman" w:hAnsi="Times New Roman" w:cs="Times New Roman"/>
                <w:color w:val="auto"/>
                <w:sz w:val="21"/>
                <w:szCs w:val="21"/>
                <w:highlight w:val="none"/>
              </w:rPr>
            </w:pPr>
          </w:p>
        </w:tc>
        <w:tc>
          <w:tcPr>
            <w:tcW w:w="1235"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装卸费</w:t>
            </w:r>
          </w:p>
        </w:tc>
        <w:tc>
          <w:tcPr>
            <w:tcW w:w="987" w:type="pct"/>
            <w:gridSpan w:val="2"/>
            <w:noWrap w:val="0"/>
            <w:vAlign w:val="center"/>
          </w:tcPr>
          <w:p>
            <w:pPr>
              <w:pStyle w:val="8"/>
              <w:jc w:val="center"/>
              <w:rPr>
                <w:rFonts w:hint="default" w:ascii="Times New Roman" w:hAnsi="Times New Roman" w:cs="Times New Roman"/>
                <w:color w:val="auto"/>
                <w:sz w:val="21"/>
                <w:szCs w:val="21"/>
                <w:highlight w:val="none"/>
              </w:rPr>
            </w:pPr>
          </w:p>
        </w:tc>
        <w:tc>
          <w:tcPr>
            <w:tcW w:w="328" w:type="pct"/>
            <w:vMerge w:val="continue"/>
            <w:noWrap w:val="0"/>
            <w:vAlign w:val="center"/>
          </w:tcPr>
          <w:p>
            <w:pPr>
              <w:pStyle w:val="8"/>
              <w:jc w:val="center"/>
              <w:rPr>
                <w:rFonts w:hint="default" w:ascii="Times New Roman" w:hAnsi="Times New Roman" w:cs="Times New Roman"/>
                <w:color w:val="auto"/>
                <w:sz w:val="21"/>
                <w:szCs w:val="21"/>
                <w:highlight w:val="none"/>
              </w:rPr>
            </w:pPr>
          </w:p>
        </w:tc>
        <w:tc>
          <w:tcPr>
            <w:tcW w:w="1302"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590" w:type="pct"/>
            <w:noWrap w:val="0"/>
            <w:vAlign w:val="center"/>
          </w:tcPr>
          <w:p>
            <w:pPr>
              <w:pStyle w:val="8"/>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noWrap w:val="0"/>
            <w:vAlign w:val="center"/>
          </w:tcPr>
          <w:p>
            <w:pPr>
              <w:pStyle w:val="8"/>
              <w:jc w:val="center"/>
              <w:rPr>
                <w:rFonts w:hint="default" w:ascii="Times New Roman" w:hAnsi="Times New Roman" w:cs="Times New Roman"/>
                <w:color w:val="auto"/>
                <w:sz w:val="21"/>
                <w:szCs w:val="21"/>
                <w:highlight w:val="none"/>
              </w:rPr>
            </w:pPr>
          </w:p>
        </w:tc>
        <w:tc>
          <w:tcPr>
            <w:tcW w:w="1235"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保险费</w:t>
            </w:r>
          </w:p>
        </w:tc>
        <w:tc>
          <w:tcPr>
            <w:tcW w:w="987" w:type="pct"/>
            <w:gridSpan w:val="2"/>
            <w:noWrap w:val="0"/>
            <w:vAlign w:val="center"/>
          </w:tcPr>
          <w:p>
            <w:pPr>
              <w:pStyle w:val="8"/>
              <w:jc w:val="center"/>
              <w:rPr>
                <w:rFonts w:hint="default" w:ascii="Times New Roman" w:hAnsi="Times New Roman" w:cs="Times New Roman"/>
                <w:color w:val="auto"/>
                <w:sz w:val="21"/>
                <w:szCs w:val="21"/>
                <w:highlight w:val="none"/>
              </w:rPr>
            </w:pPr>
          </w:p>
        </w:tc>
        <w:tc>
          <w:tcPr>
            <w:tcW w:w="328" w:type="pct"/>
            <w:vMerge w:val="continue"/>
            <w:noWrap w:val="0"/>
            <w:vAlign w:val="center"/>
          </w:tcPr>
          <w:p>
            <w:pPr>
              <w:pStyle w:val="8"/>
              <w:jc w:val="center"/>
              <w:rPr>
                <w:rFonts w:hint="default" w:ascii="Times New Roman" w:hAnsi="Times New Roman" w:cs="Times New Roman"/>
                <w:color w:val="auto"/>
                <w:sz w:val="21"/>
                <w:szCs w:val="21"/>
                <w:highlight w:val="none"/>
              </w:rPr>
            </w:pPr>
          </w:p>
        </w:tc>
        <w:tc>
          <w:tcPr>
            <w:tcW w:w="1302"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小计</w:t>
            </w:r>
          </w:p>
        </w:tc>
        <w:tc>
          <w:tcPr>
            <w:tcW w:w="590" w:type="pct"/>
            <w:noWrap w:val="0"/>
            <w:vAlign w:val="center"/>
          </w:tcPr>
          <w:p>
            <w:pPr>
              <w:pStyle w:val="8"/>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noWrap w:val="0"/>
            <w:vAlign w:val="center"/>
          </w:tcPr>
          <w:p>
            <w:pPr>
              <w:pStyle w:val="8"/>
              <w:jc w:val="center"/>
              <w:rPr>
                <w:rFonts w:hint="default" w:ascii="Times New Roman" w:hAnsi="Times New Roman" w:cs="Times New Roman"/>
                <w:color w:val="auto"/>
                <w:sz w:val="21"/>
                <w:szCs w:val="21"/>
                <w:highlight w:val="none"/>
              </w:rPr>
            </w:pPr>
          </w:p>
        </w:tc>
        <w:tc>
          <w:tcPr>
            <w:tcW w:w="1235"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987" w:type="pct"/>
            <w:gridSpan w:val="2"/>
            <w:noWrap w:val="0"/>
            <w:vAlign w:val="center"/>
          </w:tcPr>
          <w:p>
            <w:pPr>
              <w:pStyle w:val="8"/>
              <w:jc w:val="center"/>
              <w:rPr>
                <w:rFonts w:hint="default" w:ascii="Times New Roman" w:hAnsi="Times New Roman" w:cs="Times New Roman"/>
                <w:color w:val="auto"/>
                <w:sz w:val="21"/>
                <w:szCs w:val="21"/>
                <w:highlight w:val="none"/>
              </w:rPr>
            </w:pPr>
          </w:p>
        </w:tc>
        <w:tc>
          <w:tcPr>
            <w:tcW w:w="328" w:type="pct"/>
            <w:vMerge w:val="restar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售后服务费</w:t>
            </w:r>
          </w:p>
        </w:tc>
        <w:tc>
          <w:tcPr>
            <w:tcW w:w="1302"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培训费</w:t>
            </w:r>
          </w:p>
        </w:tc>
        <w:tc>
          <w:tcPr>
            <w:tcW w:w="590" w:type="pct"/>
            <w:noWrap w:val="0"/>
            <w:vAlign w:val="center"/>
          </w:tcPr>
          <w:p>
            <w:pPr>
              <w:pStyle w:val="8"/>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noWrap w:val="0"/>
            <w:vAlign w:val="center"/>
          </w:tcPr>
          <w:p>
            <w:pPr>
              <w:pStyle w:val="8"/>
              <w:jc w:val="center"/>
              <w:rPr>
                <w:rFonts w:hint="default" w:ascii="Times New Roman" w:hAnsi="Times New Roman" w:cs="Times New Roman"/>
                <w:color w:val="auto"/>
                <w:sz w:val="21"/>
                <w:szCs w:val="21"/>
                <w:highlight w:val="none"/>
              </w:rPr>
            </w:pPr>
          </w:p>
        </w:tc>
        <w:tc>
          <w:tcPr>
            <w:tcW w:w="1235"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小计</w:t>
            </w:r>
          </w:p>
        </w:tc>
        <w:tc>
          <w:tcPr>
            <w:tcW w:w="987" w:type="pct"/>
            <w:gridSpan w:val="2"/>
            <w:noWrap w:val="0"/>
            <w:vAlign w:val="center"/>
          </w:tcPr>
          <w:p>
            <w:pPr>
              <w:pStyle w:val="8"/>
              <w:jc w:val="center"/>
              <w:rPr>
                <w:rFonts w:hint="default" w:ascii="Times New Roman" w:hAnsi="Times New Roman" w:cs="Times New Roman"/>
                <w:color w:val="auto"/>
                <w:sz w:val="21"/>
                <w:szCs w:val="21"/>
                <w:highlight w:val="none"/>
              </w:rPr>
            </w:pPr>
          </w:p>
        </w:tc>
        <w:tc>
          <w:tcPr>
            <w:tcW w:w="328" w:type="pct"/>
            <w:vMerge w:val="continue"/>
            <w:noWrap w:val="0"/>
            <w:vAlign w:val="center"/>
          </w:tcPr>
          <w:p>
            <w:pPr>
              <w:pStyle w:val="8"/>
              <w:jc w:val="center"/>
              <w:rPr>
                <w:rFonts w:hint="default" w:ascii="Times New Roman" w:hAnsi="Times New Roman" w:cs="Times New Roman"/>
                <w:color w:val="auto"/>
                <w:sz w:val="21"/>
                <w:szCs w:val="21"/>
                <w:highlight w:val="none"/>
              </w:rPr>
            </w:pPr>
          </w:p>
        </w:tc>
        <w:tc>
          <w:tcPr>
            <w:tcW w:w="1302"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技术服务费</w:t>
            </w:r>
          </w:p>
        </w:tc>
        <w:tc>
          <w:tcPr>
            <w:tcW w:w="590" w:type="pct"/>
            <w:noWrap w:val="0"/>
            <w:vAlign w:val="center"/>
          </w:tcPr>
          <w:p>
            <w:pPr>
              <w:pStyle w:val="8"/>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restart"/>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其他</w:t>
            </w:r>
          </w:p>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费用</w:t>
            </w:r>
          </w:p>
        </w:tc>
        <w:tc>
          <w:tcPr>
            <w:tcW w:w="1235"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代理费</w:t>
            </w:r>
          </w:p>
        </w:tc>
        <w:tc>
          <w:tcPr>
            <w:tcW w:w="987" w:type="pct"/>
            <w:gridSpan w:val="2"/>
            <w:noWrap w:val="0"/>
            <w:vAlign w:val="center"/>
          </w:tcPr>
          <w:p>
            <w:pPr>
              <w:pStyle w:val="8"/>
              <w:jc w:val="center"/>
              <w:rPr>
                <w:rFonts w:hint="default" w:ascii="Times New Roman" w:hAnsi="Times New Roman" w:cs="Times New Roman"/>
                <w:color w:val="auto"/>
                <w:sz w:val="21"/>
                <w:szCs w:val="21"/>
                <w:highlight w:val="none"/>
              </w:rPr>
            </w:pPr>
          </w:p>
        </w:tc>
        <w:tc>
          <w:tcPr>
            <w:tcW w:w="328" w:type="pct"/>
            <w:vMerge w:val="continue"/>
            <w:noWrap w:val="0"/>
            <w:vAlign w:val="center"/>
          </w:tcPr>
          <w:p>
            <w:pPr>
              <w:pStyle w:val="8"/>
              <w:jc w:val="center"/>
              <w:rPr>
                <w:rFonts w:hint="default" w:ascii="Times New Roman" w:hAnsi="Times New Roman" w:cs="Times New Roman"/>
                <w:color w:val="auto"/>
                <w:sz w:val="21"/>
                <w:szCs w:val="21"/>
                <w:highlight w:val="none"/>
              </w:rPr>
            </w:pPr>
          </w:p>
        </w:tc>
        <w:tc>
          <w:tcPr>
            <w:tcW w:w="1302"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590" w:type="pct"/>
            <w:noWrap w:val="0"/>
            <w:vAlign w:val="center"/>
          </w:tcPr>
          <w:p>
            <w:pPr>
              <w:pStyle w:val="8"/>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noWrap w:val="0"/>
            <w:vAlign w:val="center"/>
          </w:tcPr>
          <w:p>
            <w:pPr>
              <w:pStyle w:val="8"/>
              <w:jc w:val="center"/>
              <w:rPr>
                <w:rFonts w:hint="default" w:ascii="Times New Roman" w:hAnsi="Times New Roman" w:cs="Times New Roman"/>
                <w:color w:val="auto"/>
                <w:sz w:val="21"/>
                <w:szCs w:val="21"/>
                <w:highlight w:val="none"/>
              </w:rPr>
            </w:pPr>
          </w:p>
        </w:tc>
        <w:tc>
          <w:tcPr>
            <w:tcW w:w="1235"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987" w:type="pct"/>
            <w:gridSpan w:val="2"/>
            <w:noWrap w:val="0"/>
            <w:vAlign w:val="center"/>
          </w:tcPr>
          <w:p>
            <w:pPr>
              <w:pStyle w:val="8"/>
              <w:jc w:val="center"/>
              <w:rPr>
                <w:rFonts w:hint="default" w:ascii="Times New Roman" w:hAnsi="Times New Roman" w:cs="Times New Roman"/>
                <w:color w:val="auto"/>
                <w:sz w:val="21"/>
                <w:szCs w:val="21"/>
                <w:highlight w:val="none"/>
              </w:rPr>
            </w:pPr>
          </w:p>
        </w:tc>
        <w:tc>
          <w:tcPr>
            <w:tcW w:w="328" w:type="pct"/>
            <w:vMerge w:val="continue"/>
            <w:noWrap w:val="0"/>
            <w:vAlign w:val="center"/>
          </w:tcPr>
          <w:p>
            <w:pPr>
              <w:pStyle w:val="8"/>
              <w:jc w:val="center"/>
              <w:rPr>
                <w:rFonts w:hint="default" w:ascii="Times New Roman" w:hAnsi="Times New Roman" w:cs="Times New Roman"/>
                <w:color w:val="auto"/>
                <w:sz w:val="21"/>
                <w:szCs w:val="21"/>
                <w:highlight w:val="none"/>
              </w:rPr>
            </w:pPr>
          </w:p>
        </w:tc>
        <w:tc>
          <w:tcPr>
            <w:tcW w:w="1302" w:type="pct"/>
            <w:gridSpan w:val="2"/>
            <w:noWrap w:val="0"/>
            <w:vAlign w:val="center"/>
          </w:tcPr>
          <w:p>
            <w:pPr>
              <w:pStyle w:val="8"/>
              <w:jc w:val="center"/>
              <w:rPr>
                <w:rFonts w:hint="default" w:ascii="Times New Roman" w:hAnsi="Times New Roman" w:cs="Times New Roman"/>
                <w:color w:val="auto"/>
                <w:sz w:val="21"/>
                <w:szCs w:val="21"/>
                <w:highlight w:val="none"/>
              </w:rPr>
            </w:pPr>
          </w:p>
        </w:tc>
        <w:tc>
          <w:tcPr>
            <w:tcW w:w="590" w:type="pct"/>
            <w:noWrap w:val="0"/>
            <w:vAlign w:val="center"/>
          </w:tcPr>
          <w:p>
            <w:pPr>
              <w:pStyle w:val="8"/>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noWrap w:val="0"/>
            <w:vAlign w:val="center"/>
          </w:tcPr>
          <w:p>
            <w:pPr>
              <w:pStyle w:val="8"/>
              <w:jc w:val="center"/>
              <w:rPr>
                <w:rFonts w:hint="default" w:ascii="Times New Roman" w:hAnsi="Times New Roman" w:cs="Times New Roman"/>
                <w:color w:val="auto"/>
                <w:sz w:val="21"/>
                <w:szCs w:val="21"/>
                <w:highlight w:val="none"/>
              </w:rPr>
            </w:pPr>
          </w:p>
        </w:tc>
        <w:tc>
          <w:tcPr>
            <w:tcW w:w="1235"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小计</w:t>
            </w:r>
          </w:p>
        </w:tc>
        <w:tc>
          <w:tcPr>
            <w:tcW w:w="987" w:type="pct"/>
            <w:gridSpan w:val="2"/>
            <w:noWrap w:val="0"/>
            <w:vAlign w:val="center"/>
          </w:tcPr>
          <w:p>
            <w:pPr>
              <w:pStyle w:val="8"/>
              <w:jc w:val="center"/>
              <w:rPr>
                <w:rFonts w:hint="default" w:ascii="Times New Roman" w:hAnsi="Times New Roman" w:cs="Times New Roman"/>
                <w:color w:val="auto"/>
                <w:sz w:val="21"/>
                <w:szCs w:val="21"/>
                <w:highlight w:val="none"/>
              </w:rPr>
            </w:pPr>
          </w:p>
        </w:tc>
        <w:tc>
          <w:tcPr>
            <w:tcW w:w="328" w:type="pct"/>
            <w:vMerge w:val="continue"/>
            <w:noWrap w:val="0"/>
            <w:vAlign w:val="center"/>
          </w:tcPr>
          <w:p>
            <w:pPr>
              <w:pStyle w:val="8"/>
              <w:jc w:val="center"/>
              <w:rPr>
                <w:rFonts w:hint="default" w:ascii="Times New Roman" w:hAnsi="Times New Roman" w:cs="Times New Roman"/>
                <w:color w:val="auto"/>
                <w:sz w:val="21"/>
                <w:szCs w:val="21"/>
                <w:highlight w:val="none"/>
              </w:rPr>
            </w:pPr>
          </w:p>
        </w:tc>
        <w:tc>
          <w:tcPr>
            <w:tcW w:w="1302" w:type="pct"/>
            <w:gridSpan w:val="2"/>
            <w:noWrap w:val="0"/>
            <w:vAlign w:val="center"/>
          </w:tcPr>
          <w:p>
            <w:pPr>
              <w:pStyle w:val="8"/>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小计</w:t>
            </w:r>
          </w:p>
        </w:tc>
        <w:tc>
          <w:tcPr>
            <w:tcW w:w="590" w:type="pct"/>
            <w:noWrap w:val="0"/>
            <w:vAlign w:val="center"/>
          </w:tcPr>
          <w:p>
            <w:pPr>
              <w:pStyle w:val="8"/>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1.本项目总价及分项报价均不接受任何形式的赠送、“零”报价和折扣报价。</w:t>
      </w:r>
    </w:p>
    <w:p>
      <w:pPr>
        <w:topLinePunct/>
        <w:autoSpaceDE w:val="0"/>
        <w:autoSpaceDN w:val="0"/>
        <w:spacing w:after="0" w:line="360" w:lineRule="auto"/>
        <w:ind w:firstLine="420" w:firstLineChars="200"/>
        <w:outlineLvl w:val="1"/>
        <w:rPr>
          <w:rFonts w:ascii="宋体" w:hAnsi="宋体" w:cs="宋体"/>
          <w:color w:val="auto"/>
          <w:szCs w:val="21"/>
          <w:highlight w:val="none"/>
        </w:rPr>
      </w:pPr>
      <w:r>
        <w:rPr>
          <w:rFonts w:hint="default" w:ascii="Times New Roman" w:hAnsi="Times New Roman" w:cs="Times New Roman"/>
          <w:color w:val="auto"/>
          <w:szCs w:val="21"/>
          <w:highlight w:val="none"/>
        </w:rPr>
        <w:t>2.本</w:t>
      </w:r>
      <w:r>
        <w:rPr>
          <w:rFonts w:hint="eastAsia" w:ascii="宋体" w:hAnsi="宋体" w:cs="宋体"/>
          <w:color w:val="auto"/>
          <w:szCs w:val="21"/>
          <w:highlight w:val="none"/>
        </w:rPr>
        <w:t>表仅供参考，可扩展。</w:t>
      </w:r>
    </w:p>
    <w:p>
      <w:pPr>
        <w:pStyle w:val="8"/>
        <w:ind w:firstLine="420" w:firstLineChars="200"/>
        <w:rPr>
          <w:rFonts w:ascii="Times New Roman" w:hAnsi="Times New Roman"/>
          <w:color w:val="auto"/>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授权代表（签字或盖章）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pPr>
        <w:widowControl/>
        <w:spacing w:after="0" w:line="240" w:lineRule="auto"/>
        <w:jc w:val="center"/>
        <w:outlineLvl w:val="2"/>
        <w:rPr>
          <w:rFonts w:ascii="宋体" w:hAnsi="宋体" w:cs="宋体"/>
          <w:b/>
          <w:color w:val="auto"/>
          <w:sz w:val="28"/>
          <w:highlight w:val="none"/>
        </w:rPr>
      </w:pPr>
      <w:r>
        <w:rPr>
          <w:rFonts w:ascii="宋体" w:hAnsi="宋体" w:cs="宋体"/>
          <w:b/>
          <w:color w:val="auto"/>
          <w:sz w:val="28"/>
          <w:highlight w:val="none"/>
        </w:rPr>
        <w:br w:type="page"/>
      </w:r>
      <w:r>
        <w:rPr>
          <w:rFonts w:ascii="宋体" w:hAnsi="宋体" w:cs="宋体"/>
          <w:b/>
          <w:color w:val="auto"/>
          <w:sz w:val="28"/>
          <w:highlight w:val="none"/>
        </w:rPr>
        <w:t xml:space="preserve">2.1 </w:t>
      </w:r>
      <w:r>
        <w:rPr>
          <w:rFonts w:hint="eastAsia" w:ascii="宋体" w:hAnsi="宋体" w:cs="宋体"/>
          <w:b/>
          <w:color w:val="auto"/>
          <w:sz w:val="28"/>
          <w:highlight w:val="none"/>
        </w:rPr>
        <w:t>分项报价表</w:t>
      </w:r>
    </w:p>
    <w:p>
      <w:pPr>
        <w:pStyle w:val="8"/>
        <w:topLinePunct/>
        <w:autoSpaceDE w:val="0"/>
        <w:autoSpaceDN w:val="0"/>
        <w:adjustRightInd w:val="0"/>
        <w:snapToGrid w:val="0"/>
        <w:spacing w:line="360" w:lineRule="auto"/>
        <w:ind w:left="2"/>
        <w:jc w:val="center"/>
        <w:rPr>
          <w:rFonts w:hAnsi="宋体" w:cs="宋体"/>
          <w:b w:val="0"/>
          <w:bCs w:val="0"/>
          <w:color w:val="auto"/>
          <w:kern w:val="2"/>
          <w:sz w:val="21"/>
          <w:highlight w:val="none"/>
        </w:rPr>
      </w:pPr>
      <w:r>
        <w:rPr>
          <w:rFonts w:hint="eastAsia" w:hAnsi="宋体" w:cs="宋体"/>
          <w:b w:val="0"/>
          <w:bCs w:val="0"/>
          <w:color w:val="auto"/>
          <w:kern w:val="2"/>
          <w:sz w:val="21"/>
          <w:highlight w:val="none"/>
        </w:rPr>
        <w:t>（服务类项目适用)</w:t>
      </w:r>
    </w:p>
    <w:p>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after="0" w:line="360" w:lineRule="auto"/>
        <w:ind w:right="840"/>
        <w:rPr>
          <w:rFonts w:ascii="宋体" w:hAnsi="宋体" w:cs="宋体"/>
          <w:bCs/>
          <w:color w:val="auto"/>
          <w:w w:val="150"/>
          <w:szCs w:val="21"/>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   元</w:t>
      </w:r>
    </w:p>
    <w:tbl>
      <w:tblPr>
        <w:tblStyle w:val="12"/>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tblPrEx>
          <w:tblCellMar>
            <w:top w:w="0" w:type="dxa"/>
            <w:left w:w="108" w:type="dxa"/>
            <w:bottom w:w="0" w:type="dxa"/>
            <w:right w:w="108" w:type="dxa"/>
          </w:tblCellMar>
        </w:tblPrEx>
        <w:trPr>
          <w:trHeight w:val="409"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692" w:type="dxa"/>
            <w:tcBorders>
              <w:top w:val="single" w:color="auto" w:sz="4" w:space="0"/>
              <w:left w:val="nil"/>
              <w:bottom w:val="single" w:color="auto" w:sz="4" w:space="0"/>
              <w:right w:val="single" w:color="auto" w:sz="4" w:space="0"/>
            </w:tcBorders>
            <w:noWrap w:val="0"/>
            <w:vAlign w:val="center"/>
          </w:tcPr>
          <w:p>
            <w:pPr>
              <w:widowControl/>
              <w:spacing w:after="0" w:line="240" w:lineRule="auto"/>
              <w:ind w:left="-84" w:leftChars="-40" w:firstLine="82" w:firstLineChars="39"/>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项目名称</w:t>
            </w:r>
          </w:p>
        </w:tc>
        <w:tc>
          <w:tcPr>
            <w:tcW w:w="2332" w:type="dxa"/>
            <w:tcBorders>
              <w:top w:val="single" w:color="auto" w:sz="4" w:space="0"/>
              <w:left w:val="nil"/>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内容描述</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…费用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…费用</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小计</w:t>
            </w:r>
          </w:p>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（元）</w:t>
            </w:r>
          </w:p>
        </w:tc>
        <w:tc>
          <w:tcPr>
            <w:tcW w:w="643"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692"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692"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692"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08" w:hRule="atLeast"/>
          <w:tblHeader/>
          <w:jc w:val="center"/>
        </w:trPr>
        <w:tc>
          <w:tcPr>
            <w:tcW w:w="644"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692" w:type="dxa"/>
            <w:tcBorders>
              <w:top w:val="nil"/>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color w:val="auto"/>
                <w:sz w:val="21"/>
                <w:szCs w:val="21"/>
                <w:highlight w:val="none"/>
              </w:rPr>
            </w:pPr>
          </w:p>
        </w:tc>
        <w:tc>
          <w:tcPr>
            <w:tcW w:w="2332" w:type="dxa"/>
            <w:tcBorders>
              <w:top w:val="nil"/>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16"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69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69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10" w:hRule="atLeast"/>
          <w:tblHeader/>
          <w:jc w:val="center"/>
        </w:trPr>
        <w:tc>
          <w:tcPr>
            <w:tcW w:w="466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   计</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1.本项目总价及分项报价均不接受任何形式的赠送、“零”报价和折扣报价。</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2.本表中小计=数量×单价。</w:t>
      </w:r>
    </w:p>
    <w:p>
      <w:pPr>
        <w:topLinePunct/>
        <w:autoSpaceDE w:val="0"/>
        <w:autoSpaceDN w:val="0"/>
        <w:spacing w:after="0" w:line="360" w:lineRule="auto"/>
        <w:ind w:firstLine="420" w:firstLineChars="200"/>
        <w:rPr>
          <w:rFonts w:ascii="宋体" w:hAnsi="宋体" w:cs="宋体"/>
          <w:color w:val="auto"/>
          <w:szCs w:val="21"/>
          <w:highlight w:val="none"/>
        </w:rPr>
      </w:pPr>
      <w:r>
        <w:rPr>
          <w:rFonts w:hint="default" w:ascii="Times New Roman" w:hAnsi="Times New Roman" w:cs="Times New Roman"/>
          <w:color w:val="auto"/>
          <w:szCs w:val="21"/>
          <w:highlight w:val="none"/>
        </w:rPr>
        <w:t>3.本</w:t>
      </w:r>
      <w:r>
        <w:rPr>
          <w:rFonts w:hint="eastAsia" w:ascii="宋体" w:hAnsi="宋体" w:cs="宋体"/>
          <w:color w:val="auto"/>
          <w:szCs w:val="21"/>
          <w:highlight w:val="none"/>
        </w:rPr>
        <w:t>表仅供参考，可扩展。</w:t>
      </w:r>
    </w:p>
    <w:p>
      <w:pPr>
        <w:pStyle w:val="8"/>
        <w:ind w:firstLine="420" w:firstLineChars="200"/>
        <w:rPr>
          <w:rFonts w:ascii="Times New Roman" w:hAnsi="Times New Roman"/>
          <w:color w:val="auto"/>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授权代表（签字或盖章）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pPr>
        <w:spacing w:line="360" w:lineRule="auto"/>
        <w:jc w:val="center"/>
        <w:outlineLvl w:val="2"/>
        <w:rPr>
          <w:rFonts w:ascii="宋体" w:hAnsi="宋体" w:cs="宋体"/>
          <w:b/>
          <w:color w:val="auto"/>
          <w:sz w:val="28"/>
          <w:highlight w:val="none"/>
        </w:rPr>
      </w:pPr>
      <w:r>
        <w:rPr>
          <w:rFonts w:ascii="宋体" w:hAnsi="宋体" w:cs="宋体"/>
          <w:b/>
          <w:bCs/>
          <w:color w:val="auto"/>
          <w:sz w:val="21"/>
          <w:szCs w:val="21"/>
          <w:highlight w:val="none"/>
        </w:rPr>
        <w:br w:type="page"/>
      </w:r>
      <w:r>
        <w:rPr>
          <w:rFonts w:ascii="宋体" w:hAnsi="宋体" w:cs="宋体"/>
          <w:b/>
          <w:color w:val="auto"/>
          <w:sz w:val="28"/>
          <w:highlight w:val="none"/>
        </w:rPr>
        <w:t xml:space="preserve">2.1 </w:t>
      </w:r>
      <w:r>
        <w:rPr>
          <w:rFonts w:hint="eastAsia" w:ascii="宋体" w:hAnsi="宋体" w:cs="宋体"/>
          <w:b/>
          <w:color w:val="auto"/>
          <w:sz w:val="28"/>
          <w:highlight w:val="none"/>
        </w:rPr>
        <w:t>分项报价表</w:t>
      </w:r>
    </w:p>
    <w:p>
      <w:pPr>
        <w:pStyle w:val="8"/>
        <w:topLinePunct/>
        <w:autoSpaceDE w:val="0"/>
        <w:autoSpaceDN w:val="0"/>
        <w:adjustRightInd w:val="0"/>
        <w:snapToGrid w:val="0"/>
        <w:spacing w:line="360" w:lineRule="auto"/>
        <w:ind w:left="2"/>
        <w:jc w:val="center"/>
        <w:rPr>
          <w:rFonts w:hAnsi="宋体" w:cs="宋体"/>
          <w:b w:val="0"/>
          <w:bCs w:val="0"/>
          <w:color w:val="auto"/>
          <w:kern w:val="2"/>
          <w:sz w:val="21"/>
          <w:highlight w:val="none"/>
        </w:rPr>
      </w:pPr>
      <w:r>
        <w:rPr>
          <w:rFonts w:hint="eastAsia" w:hAnsi="宋体" w:cs="宋体"/>
          <w:b w:val="0"/>
          <w:bCs w:val="0"/>
          <w:color w:val="auto"/>
          <w:kern w:val="2"/>
          <w:sz w:val="21"/>
          <w:highlight w:val="none"/>
        </w:rPr>
        <w:t>(工程类项目适用)</w:t>
      </w:r>
    </w:p>
    <w:p>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after="0" w:line="360" w:lineRule="auto"/>
        <w:ind w:right="840"/>
        <w:rPr>
          <w:rFonts w:ascii="宋体" w:hAnsi="宋体" w:cs="宋体"/>
          <w:bCs/>
          <w:color w:val="auto"/>
          <w:w w:val="150"/>
          <w:szCs w:val="21"/>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   元</w:t>
      </w:r>
    </w:p>
    <w:p>
      <w:pPr>
        <w:topLinePunct/>
        <w:autoSpaceDE w:val="0"/>
        <w:autoSpaceDN w:val="0"/>
        <w:adjustRightInd w:val="0"/>
        <w:snapToGrid w:val="0"/>
        <w:spacing w:after="0" w:line="360" w:lineRule="auto"/>
        <w:jc w:val="center"/>
        <w:rPr>
          <w:rFonts w:ascii="宋体" w:hAnsi="宋体" w:cs="宋体"/>
          <w:color w:val="auto"/>
          <w:highlight w:val="none"/>
        </w:rPr>
      </w:pPr>
      <w:r>
        <w:rPr>
          <w:rFonts w:hint="eastAsia" w:ascii="宋体" w:hAnsi="宋体" w:cs="宋体"/>
          <w:color w:val="auto"/>
          <w:highlight w:val="none"/>
        </w:rPr>
        <w:t>根据工程量清单格式进行报价。</w:t>
      </w:r>
    </w:p>
    <w:p>
      <w:pPr>
        <w:pStyle w:val="8"/>
        <w:ind w:firstLine="420" w:firstLineChars="200"/>
        <w:rPr>
          <w:rFonts w:ascii="Times New Roman" w:hAnsi="Times New Roman"/>
          <w:color w:val="auto"/>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授权代表（签字或盖章）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pPr>
        <w:widowControl/>
        <w:spacing w:after="0" w:line="240" w:lineRule="auto"/>
        <w:jc w:val="center"/>
        <w:rPr>
          <w:rFonts w:ascii="宋体" w:hAnsi="宋体" w:cs="宋体"/>
          <w:b/>
          <w:bCs/>
          <w:color w:val="auto"/>
          <w:sz w:val="36"/>
          <w:szCs w:val="36"/>
          <w:highlight w:val="none"/>
        </w:rPr>
      </w:pPr>
      <w:r>
        <w:rPr>
          <w:rFonts w:ascii="宋体" w:hAnsi="宋体" w:cs="宋体"/>
          <w:b/>
          <w:color w:val="auto"/>
          <w:sz w:val="28"/>
          <w:highlight w:val="none"/>
        </w:rPr>
        <w:br w:type="page"/>
      </w:r>
      <w:r>
        <w:rPr>
          <w:rFonts w:hint="eastAsia" w:ascii="宋体" w:hAnsi="宋体" w:cs="宋体"/>
          <w:b/>
          <w:bCs/>
          <w:color w:val="auto"/>
          <w:sz w:val="28"/>
          <w:szCs w:val="28"/>
          <w:highlight w:val="none"/>
        </w:rPr>
        <w:t>格式4  商务条款偏离表</w:t>
      </w:r>
    </w:p>
    <w:tbl>
      <w:tblPr>
        <w:tblStyle w:val="12"/>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99"/>
        <w:gridCol w:w="1575"/>
        <w:gridCol w:w="1575"/>
        <w:gridCol w:w="1749"/>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99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采购文件条目号</w:t>
            </w:r>
          </w:p>
        </w:tc>
        <w:tc>
          <w:tcPr>
            <w:tcW w:w="15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采购文件</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商务条款</w:t>
            </w:r>
          </w:p>
        </w:tc>
        <w:tc>
          <w:tcPr>
            <w:tcW w:w="15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响应文件</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商务条款</w:t>
            </w:r>
          </w:p>
        </w:tc>
        <w:tc>
          <w:tcPr>
            <w:tcW w:w="174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偏离</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（无/正/负）</w:t>
            </w:r>
          </w:p>
        </w:tc>
        <w:tc>
          <w:tcPr>
            <w:tcW w:w="125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9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99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99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99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99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default" w:ascii="Times New Roman" w:hAnsi="Times New Roman" w:cs="Times New Roman"/>
                <w:b/>
                <w:bCs/>
                <w:color w:val="auto"/>
                <w:sz w:val="21"/>
                <w:szCs w:val="21"/>
                <w:highlight w:val="none"/>
              </w:rPr>
            </w:pPr>
          </w:p>
        </w:tc>
      </w:tr>
    </w:tbl>
    <w:p>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1.商务条款无需条对条应答，如无偏离，请在此表中填写“无偏离”；如有偏离，请在此表中应答为“正/负偏离”并说明偏离情况。</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2.如《采购文件-商务部分》中有标注★号的，则为实质性要求，必须满足，如应答为“负偏离”，将导致响应无效。</w:t>
      </w:r>
    </w:p>
    <w:p>
      <w:pPr>
        <w:topLinePunct/>
        <w:autoSpaceDE w:val="0"/>
        <w:autoSpaceDN w:val="0"/>
        <w:spacing w:after="0" w:line="360" w:lineRule="auto"/>
        <w:ind w:firstLine="420" w:firstLineChars="200"/>
        <w:outlineLvl w:val="1"/>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3.本表可扩展。</w:t>
      </w:r>
    </w:p>
    <w:p>
      <w:pPr>
        <w:topLinePunct/>
        <w:autoSpaceDE w:val="0"/>
        <w:autoSpaceDN w:val="0"/>
        <w:spacing w:line="500" w:lineRule="exact"/>
        <w:rPr>
          <w:rFonts w:hint="default" w:ascii="Times New Roman" w:hAnsi="Times New Roman" w:cs="Times New Roman"/>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授权代表（签字或盖章）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rPr>
          <w:rFonts w:hAnsi="宋体" w:cs="宋体"/>
          <w:b/>
          <w:bCs/>
          <w:color w:val="auto"/>
          <w:sz w:val="21"/>
          <w:szCs w:val="21"/>
          <w:highlight w:val="none"/>
        </w:rPr>
      </w:pPr>
    </w:p>
    <w:p>
      <w:pPr>
        <w:snapToGrid w:val="0"/>
        <w:spacing w:after="0" w:line="360" w:lineRule="auto"/>
        <w:jc w:val="center"/>
        <w:outlineLvl w:val="2"/>
        <w:rPr>
          <w:rFonts w:hint="default" w:ascii="Times New Roman" w:hAnsi="Times New Roman" w:cs="Times New Roman"/>
          <w:b/>
          <w:bCs/>
          <w:color w:val="auto"/>
          <w:sz w:val="28"/>
          <w:szCs w:val="28"/>
          <w:highlight w:val="none"/>
        </w:rPr>
      </w:pPr>
      <w:r>
        <w:rPr>
          <w:rFonts w:hAnsi="宋体" w:cs="宋体"/>
          <w:b/>
          <w:bCs/>
          <w:color w:val="auto"/>
          <w:sz w:val="28"/>
          <w:szCs w:val="28"/>
          <w:highlight w:val="none"/>
        </w:rPr>
        <w:br w:type="page"/>
      </w:r>
      <w:r>
        <w:rPr>
          <w:rFonts w:hint="default" w:ascii="Times New Roman" w:hAnsi="Times New Roman" w:cs="Times New Roman"/>
          <w:b/>
          <w:bCs/>
          <w:color w:val="auto"/>
          <w:sz w:val="28"/>
          <w:szCs w:val="28"/>
          <w:highlight w:val="none"/>
        </w:rPr>
        <w:t>格式5  供应商具备资格证明文件</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5-1供应商基本情况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567"/>
        <w:gridCol w:w="1560"/>
        <w:gridCol w:w="1701"/>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供应商名称</w:t>
            </w:r>
          </w:p>
        </w:tc>
        <w:tc>
          <w:tcPr>
            <w:tcW w:w="1234" w:type="pct"/>
            <w:gridSpan w:val="2"/>
            <w:noWrap w:val="0"/>
            <w:vAlign w:val="center"/>
          </w:tcPr>
          <w:p>
            <w:pPr>
              <w:pStyle w:val="8"/>
              <w:spacing w:line="360" w:lineRule="auto"/>
              <w:jc w:val="center"/>
              <w:rPr>
                <w:rFonts w:ascii="Times New Roman" w:hAnsi="Times New Roman"/>
                <w:color w:val="auto"/>
                <w:sz w:val="21"/>
                <w:szCs w:val="21"/>
                <w:highlight w:val="none"/>
              </w:rPr>
            </w:pPr>
          </w:p>
        </w:tc>
        <w:tc>
          <w:tcPr>
            <w:tcW w:w="987" w:type="pct"/>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法定代表人</w:t>
            </w:r>
          </w:p>
        </w:tc>
        <w:tc>
          <w:tcPr>
            <w:tcW w:w="1564" w:type="pct"/>
            <w:noWrap w:val="0"/>
            <w:vAlign w:val="center"/>
          </w:tcPr>
          <w:p>
            <w:pPr>
              <w:pStyle w:val="8"/>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统一社会信用代码</w:t>
            </w:r>
          </w:p>
        </w:tc>
        <w:tc>
          <w:tcPr>
            <w:tcW w:w="1234" w:type="pct"/>
            <w:gridSpan w:val="2"/>
            <w:noWrap w:val="0"/>
            <w:vAlign w:val="center"/>
          </w:tcPr>
          <w:p>
            <w:pPr>
              <w:pStyle w:val="8"/>
              <w:spacing w:line="360" w:lineRule="auto"/>
              <w:jc w:val="center"/>
              <w:rPr>
                <w:rFonts w:ascii="Times New Roman" w:hAnsi="Times New Roman"/>
                <w:color w:val="auto"/>
                <w:sz w:val="21"/>
                <w:szCs w:val="21"/>
                <w:highlight w:val="none"/>
              </w:rPr>
            </w:pPr>
          </w:p>
        </w:tc>
        <w:tc>
          <w:tcPr>
            <w:tcW w:w="987" w:type="pct"/>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邮政编码</w:t>
            </w:r>
          </w:p>
        </w:tc>
        <w:tc>
          <w:tcPr>
            <w:tcW w:w="1564" w:type="pct"/>
            <w:noWrap w:val="0"/>
            <w:vAlign w:val="center"/>
          </w:tcPr>
          <w:p>
            <w:pPr>
              <w:pStyle w:val="8"/>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授权代表</w:t>
            </w:r>
          </w:p>
        </w:tc>
        <w:tc>
          <w:tcPr>
            <w:tcW w:w="1234" w:type="pct"/>
            <w:gridSpan w:val="2"/>
            <w:noWrap w:val="0"/>
            <w:vAlign w:val="center"/>
          </w:tcPr>
          <w:p>
            <w:pPr>
              <w:pStyle w:val="8"/>
              <w:spacing w:line="360" w:lineRule="auto"/>
              <w:jc w:val="center"/>
              <w:rPr>
                <w:rFonts w:ascii="Times New Roman" w:hAnsi="Times New Roman"/>
                <w:color w:val="auto"/>
                <w:sz w:val="21"/>
                <w:szCs w:val="21"/>
                <w:highlight w:val="none"/>
              </w:rPr>
            </w:pPr>
          </w:p>
        </w:tc>
        <w:tc>
          <w:tcPr>
            <w:tcW w:w="987" w:type="pct"/>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联系电话</w:t>
            </w:r>
          </w:p>
        </w:tc>
        <w:tc>
          <w:tcPr>
            <w:tcW w:w="1564" w:type="pct"/>
            <w:noWrap w:val="0"/>
            <w:vAlign w:val="center"/>
          </w:tcPr>
          <w:p>
            <w:pPr>
              <w:pStyle w:val="8"/>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电子邮箱</w:t>
            </w:r>
          </w:p>
        </w:tc>
        <w:tc>
          <w:tcPr>
            <w:tcW w:w="1234" w:type="pct"/>
            <w:gridSpan w:val="2"/>
            <w:noWrap w:val="0"/>
            <w:vAlign w:val="center"/>
          </w:tcPr>
          <w:p>
            <w:pPr>
              <w:pStyle w:val="8"/>
              <w:spacing w:line="360" w:lineRule="auto"/>
              <w:jc w:val="center"/>
              <w:rPr>
                <w:rFonts w:ascii="Times New Roman" w:hAnsi="Times New Roman"/>
                <w:color w:val="auto"/>
                <w:sz w:val="21"/>
                <w:szCs w:val="21"/>
                <w:highlight w:val="none"/>
              </w:rPr>
            </w:pPr>
          </w:p>
        </w:tc>
        <w:tc>
          <w:tcPr>
            <w:tcW w:w="987" w:type="pct"/>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传真</w:t>
            </w:r>
          </w:p>
        </w:tc>
        <w:tc>
          <w:tcPr>
            <w:tcW w:w="1564" w:type="pct"/>
            <w:noWrap w:val="0"/>
            <w:vAlign w:val="center"/>
          </w:tcPr>
          <w:p>
            <w:pPr>
              <w:pStyle w:val="8"/>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上年营业收入</w:t>
            </w:r>
          </w:p>
        </w:tc>
        <w:tc>
          <w:tcPr>
            <w:tcW w:w="1234" w:type="pct"/>
            <w:gridSpan w:val="2"/>
            <w:noWrap w:val="0"/>
            <w:vAlign w:val="center"/>
          </w:tcPr>
          <w:p>
            <w:pPr>
              <w:pStyle w:val="8"/>
              <w:spacing w:line="360" w:lineRule="auto"/>
              <w:jc w:val="center"/>
              <w:rPr>
                <w:rFonts w:ascii="Times New Roman" w:hAnsi="Times New Roman"/>
                <w:color w:val="auto"/>
                <w:sz w:val="21"/>
                <w:szCs w:val="21"/>
                <w:highlight w:val="none"/>
              </w:rPr>
            </w:pPr>
          </w:p>
        </w:tc>
        <w:tc>
          <w:tcPr>
            <w:tcW w:w="987" w:type="pct"/>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员工总人数</w:t>
            </w:r>
          </w:p>
        </w:tc>
        <w:tc>
          <w:tcPr>
            <w:tcW w:w="1564" w:type="pct"/>
            <w:noWrap w:val="0"/>
            <w:vAlign w:val="center"/>
          </w:tcPr>
          <w:p>
            <w:pPr>
              <w:pStyle w:val="8"/>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基本账户开户行及账号</w:t>
            </w:r>
          </w:p>
        </w:tc>
        <w:tc>
          <w:tcPr>
            <w:tcW w:w="3456" w:type="pct"/>
            <w:gridSpan w:val="3"/>
            <w:noWrap w:val="0"/>
            <w:vAlign w:val="center"/>
          </w:tcPr>
          <w:p>
            <w:pPr>
              <w:pStyle w:val="8"/>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税务登记机关</w:t>
            </w:r>
          </w:p>
        </w:tc>
        <w:tc>
          <w:tcPr>
            <w:tcW w:w="3456" w:type="pct"/>
            <w:gridSpan w:val="3"/>
            <w:noWrap w:val="0"/>
            <w:vAlign w:val="center"/>
          </w:tcPr>
          <w:p>
            <w:pPr>
              <w:pStyle w:val="8"/>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资质名称</w:t>
            </w:r>
          </w:p>
        </w:tc>
        <w:tc>
          <w:tcPr>
            <w:tcW w:w="905" w:type="pct"/>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等级</w:t>
            </w:r>
          </w:p>
        </w:tc>
        <w:tc>
          <w:tcPr>
            <w:tcW w:w="987" w:type="pct"/>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发证机关</w:t>
            </w:r>
          </w:p>
        </w:tc>
        <w:tc>
          <w:tcPr>
            <w:tcW w:w="1564" w:type="pct"/>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8"/>
              <w:spacing w:line="360" w:lineRule="auto"/>
              <w:jc w:val="center"/>
              <w:rPr>
                <w:rFonts w:ascii="Times New Roman" w:hAnsi="Times New Roman"/>
                <w:color w:val="auto"/>
                <w:sz w:val="21"/>
                <w:szCs w:val="21"/>
                <w:highlight w:val="none"/>
              </w:rPr>
            </w:pPr>
          </w:p>
        </w:tc>
        <w:tc>
          <w:tcPr>
            <w:tcW w:w="905" w:type="pct"/>
            <w:noWrap w:val="0"/>
            <w:vAlign w:val="center"/>
          </w:tcPr>
          <w:p>
            <w:pPr>
              <w:pStyle w:val="8"/>
              <w:spacing w:line="360" w:lineRule="auto"/>
              <w:jc w:val="center"/>
              <w:rPr>
                <w:rFonts w:ascii="Times New Roman" w:hAnsi="Times New Roman"/>
                <w:color w:val="auto"/>
                <w:sz w:val="21"/>
                <w:szCs w:val="21"/>
                <w:highlight w:val="none"/>
              </w:rPr>
            </w:pPr>
          </w:p>
        </w:tc>
        <w:tc>
          <w:tcPr>
            <w:tcW w:w="987" w:type="pct"/>
            <w:noWrap w:val="0"/>
            <w:vAlign w:val="center"/>
          </w:tcPr>
          <w:p>
            <w:pPr>
              <w:pStyle w:val="8"/>
              <w:spacing w:line="360" w:lineRule="auto"/>
              <w:jc w:val="center"/>
              <w:rPr>
                <w:rFonts w:ascii="Times New Roman" w:hAnsi="Times New Roman"/>
                <w:color w:val="auto"/>
                <w:sz w:val="21"/>
                <w:szCs w:val="21"/>
                <w:highlight w:val="none"/>
              </w:rPr>
            </w:pPr>
          </w:p>
        </w:tc>
        <w:tc>
          <w:tcPr>
            <w:tcW w:w="1564" w:type="pct"/>
            <w:noWrap w:val="0"/>
            <w:vAlign w:val="center"/>
          </w:tcPr>
          <w:p>
            <w:pPr>
              <w:pStyle w:val="8"/>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8"/>
              <w:spacing w:line="360" w:lineRule="auto"/>
              <w:jc w:val="center"/>
              <w:rPr>
                <w:rFonts w:ascii="Times New Roman" w:hAnsi="Times New Roman"/>
                <w:color w:val="auto"/>
                <w:sz w:val="21"/>
                <w:szCs w:val="21"/>
                <w:highlight w:val="none"/>
              </w:rPr>
            </w:pPr>
          </w:p>
        </w:tc>
        <w:tc>
          <w:tcPr>
            <w:tcW w:w="905" w:type="pct"/>
            <w:noWrap w:val="0"/>
            <w:vAlign w:val="center"/>
          </w:tcPr>
          <w:p>
            <w:pPr>
              <w:pStyle w:val="8"/>
              <w:spacing w:line="360" w:lineRule="auto"/>
              <w:jc w:val="center"/>
              <w:rPr>
                <w:rFonts w:ascii="Times New Roman" w:hAnsi="Times New Roman"/>
                <w:color w:val="auto"/>
                <w:sz w:val="21"/>
                <w:szCs w:val="21"/>
                <w:highlight w:val="none"/>
              </w:rPr>
            </w:pPr>
          </w:p>
        </w:tc>
        <w:tc>
          <w:tcPr>
            <w:tcW w:w="987" w:type="pct"/>
            <w:noWrap w:val="0"/>
            <w:vAlign w:val="center"/>
          </w:tcPr>
          <w:p>
            <w:pPr>
              <w:pStyle w:val="8"/>
              <w:spacing w:line="360" w:lineRule="auto"/>
              <w:jc w:val="center"/>
              <w:rPr>
                <w:rFonts w:ascii="Times New Roman" w:hAnsi="Times New Roman"/>
                <w:color w:val="auto"/>
                <w:sz w:val="21"/>
                <w:szCs w:val="21"/>
                <w:highlight w:val="none"/>
              </w:rPr>
            </w:pPr>
          </w:p>
        </w:tc>
        <w:tc>
          <w:tcPr>
            <w:tcW w:w="1564" w:type="pct"/>
            <w:noWrap w:val="0"/>
            <w:vAlign w:val="center"/>
          </w:tcPr>
          <w:p>
            <w:pPr>
              <w:pStyle w:val="8"/>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8"/>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备注</w:t>
            </w:r>
          </w:p>
        </w:tc>
        <w:tc>
          <w:tcPr>
            <w:tcW w:w="3785" w:type="pct"/>
            <w:gridSpan w:val="4"/>
            <w:noWrap w:val="0"/>
            <w:vAlign w:val="center"/>
          </w:tcPr>
          <w:p>
            <w:pPr>
              <w:pStyle w:val="8"/>
              <w:spacing w:line="360" w:lineRule="auto"/>
              <w:jc w:val="center"/>
              <w:rPr>
                <w:rFonts w:ascii="Times New Roman" w:hAnsi="Times New Roman"/>
                <w:color w:val="auto"/>
                <w:sz w:val="21"/>
                <w:szCs w:val="21"/>
                <w:highlight w:val="none"/>
              </w:rPr>
            </w:pPr>
          </w:p>
        </w:tc>
      </w:tr>
    </w:tbl>
    <w:p>
      <w:pPr>
        <w:topLinePunct/>
        <w:autoSpaceDE w:val="0"/>
        <w:autoSpaceDN w:val="0"/>
        <w:spacing w:line="500" w:lineRule="exact"/>
        <w:rPr>
          <w:rFonts w:hAnsi="宋体"/>
          <w:color w:val="auto"/>
          <w:sz w:val="24"/>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授权代表（签字或盖章）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pStyle w:val="8"/>
        <w:ind w:firstLine="420" w:firstLineChars="200"/>
        <w:rPr>
          <w:rFonts w:ascii="Times New Roman" w:hAnsi="Times New Roman"/>
          <w:color w:val="auto"/>
          <w:highlight w:val="none"/>
        </w:rPr>
      </w:pPr>
    </w:p>
    <w:p>
      <w:pPr>
        <w:widowControl/>
        <w:spacing w:after="0" w:line="24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5-</w:t>
      </w:r>
      <w:r>
        <w:rPr>
          <w:rFonts w:hint="default" w:ascii="Times New Roman" w:hAnsi="Times New Roman" w:cs="Times New Roman"/>
          <w:b/>
          <w:bCs/>
          <w:color w:val="auto"/>
          <w:sz w:val="28"/>
          <w:szCs w:val="28"/>
          <w:highlight w:val="none"/>
          <w:lang w:val="en-US" w:eastAsia="zh-CN"/>
        </w:rPr>
        <w:t>2</w:t>
      </w:r>
      <w:r>
        <w:rPr>
          <w:rFonts w:hint="default" w:ascii="Times New Roman" w:hAnsi="Times New Roman" w:cs="Times New Roman"/>
          <w:b/>
          <w:bCs/>
          <w:color w:val="auto"/>
          <w:sz w:val="28"/>
          <w:szCs w:val="28"/>
          <w:highlight w:val="none"/>
        </w:rPr>
        <w:t xml:space="preserve"> 财务状况报告</w:t>
      </w:r>
    </w:p>
    <w:p>
      <w:pPr>
        <w:spacing w:line="360" w:lineRule="auto"/>
        <w:ind w:firstLine="420" w:firstLineChars="200"/>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根据资格条件要求提供相应材料。</w:t>
      </w: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default" w:ascii="Times New Roman" w:hAnsi="Times New Roman" w:cs="Times New Roman"/>
          <w:b/>
          <w:bCs/>
          <w:color w:val="auto"/>
          <w:sz w:val="28"/>
          <w:szCs w:val="28"/>
          <w:highlight w:val="none"/>
          <w:lang w:val="en-US" w:eastAsia="zh-CN"/>
        </w:rPr>
        <w:t>3</w:t>
      </w:r>
      <w:r>
        <w:rPr>
          <w:rFonts w:hint="default" w:ascii="Times New Roman" w:hAnsi="Times New Roman" w:cs="Times New Roman"/>
          <w:b/>
          <w:bCs/>
          <w:color w:val="auto"/>
          <w:sz w:val="28"/>
          <w:szCs w:val="28"/>
          <w:highlight w:val="none"/>
        </w:rPr>
        <w:t>依法缴纳税收的相关材料</w:t>
      </w:r>
    </w:p>
    <w:p>
      <w:pPr>
        <w:spacing w:line="360" w:lineRule="auto"/>
        <w:ind w:firstLine="420" w:firstLineChars="200"/>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根据资格条件要求提供相应材料。</w:t>
      </w: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default" w:ascii="Times New Roman" w:hAnsi="Times New Roman" w:cs="Times New Roman"/>
          <w:b/>
          <w:bCs/>
          <w:color w:val="auto"/>
          <w:sz w:val="28"/>
          <w:szCs w:val="28"/>
          <w:highlight w:val="none"/>
          <w:lang w:val="en-US" w:eastAsia="zh-CN"/>
        </w:rPr>
        <w:t>4</w:t>
      </w:r>
      <w:r>
        <w:rPr>
          <w:rFonts w:hint="default" w:ascii="Times New Roman" w:hAnsi="Times New Roman" w:cs="Times New Roman"/>
          <w:b/>
          <w:bCs/>
          <w:color w:val="auto"/>
          <w:sz w:val="28"/>
          <w:szCs w:val="28"/>
          <w:highlight w:val="none"/>
        </w:rPr>
        <w:t>依法缴纳社会保障资金的相关材料</w:t>
      </w:r>
    </w:p>
    <w:p>
      <w:pPr>
        <w:spacing w:line="360" w:lineRule="auto"/>
        <w:ind w:firstLine="420" w:firstLineChars="200"/>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根据资格条件要求提供相应材料。</w:t>
      </w: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default" w:ascii="Times New Roman" w:hAnsi="Times New Roman" w:cs="Times New Roman"/>
          <w:b/>
          <w:bCs/>
          <w:color w:val="auto"/>
          <w:sz w:val="28"/>
          <w:szCs w:val="28"/>
          <w:highlight w:val="none"/>
          <w:lang w:val="en-US" w:eastAsia="zh-CN"/>
        </w:rPr>
        <w:t>5</w:t>
      </w:r>
      <w:r>
        <w:rPr>
          <w:rFonts w:hint="default" w:ascii="Times New Roman" w:hAnsi="Times New Roman" w:cs="Times New Roman"/>
          <w:b/>
          <w:bCs/>
          <w:color w:val="auto"/>
          <w:sz w:val="28"/>
          <w:szCs w:val="28"/>
          <w:highlight w:val="none"/>
        </w:rPr>
        <w:t>具备履行合同所必需的设备和专业技术能力的证明材料</w:t>
      </w:r>
    </w:p>
    <w:p>
      <w:pPr>
        <w:spacing w:line="360" w:lineRule="auto"/>
        <w:ind w:firstLine="420" w:firstLineChars="200"/>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根据资格条件要求提供相应材料。</w:t>
      </w:r>
    </w:p>
    <w:p>
      <w:pPr>
        <w:adjustRightInd w:val="0"/>
        <w:snapToGrid w:val="0"/>
        <w:spacing w:after="0" w:line="360" w:lineRule="auto"/>
        <w:jc w:val="center"/>
        <w:rPr>
          <w:rFonts w:ascii="宋体" w:hAnsi="宋体" w:cs="宋体"/>
          <w:b/>
          <w:bCs/>
          <w:color w:val="auto"/>
          <w:sz w:val="28"/>
          <w:szCs w:val="28"/>
          <w:highlight w:val="none"/>
        </w:rPr>
      </w:pPr>
      <w:r>
        <w:rPr>
          <w:rFonts w:hint="default" w:ascii="Times New Roman" w:hAnsi="Times New Roman" w:cs="Times New Roman"/>
          <w:b/>
          <w:bCs/>
          <w:color w:val="auto"/>
          <w:sz w:val="36"/>
          <w:szCs w:val="36"/>
          <w:highlight w:val="none"/>
        </w:rPr>
        <w:br w:type="page"/>
      </w:r>
      <w:r>
        <w:rPr>
          <w:rFonts w:hint="default" w:ascii="Times New Roman" w:hAnsi="Times New Roman" w:cs="Times New Roman"/>
          <w:b/>
          <w:bCs/>
          <w:color w:val="auto"/>
          <w:sz w:val="28"/>
          <w:szCs w:val="28"/>
          <w:highlight w:val="none"/>
        </w:rPr>
        <w:t>5-</w:t>
      </w:r>
      <w:r>
        <w:rPr>
          <w:rFonts w:hint="default" w:ascii="Times New Roman" w:hAnsi="Times New Roman" w:cs="Times New Roman"/>
          <w:b/>
          <w:bCs/>
          <w:color w:val="auto"/>
          <w:sz w:val="28"/>
          <w:szCs w:val="28"/>
          <w:highlight w:val="none"/>
          <w:lang w:val="en-US" w:eastAsia="zh-CN"/>
        </w:rPr>
        <w:t>6</w:t>
      </w:r>
      <w:r>
        <w:rPr>
          <w:rFonts w:hint="eastAsia" w:ascii="宋体" w:hAnsi="宋体" w:cs="宋体"/>
          <w:b/>
          <w:bCs/>
          <w:color w:val="auto"/>
          <w:sz w:val="28"/>
          <w:szCs w:val="28"/>
          <w:highlight w:val="none"/>
        </w:rPr>
        <w:t>参加本次政府采购活动前三年内在经营活动中</w:t>
      </w:r>
    </w:p>
    <w:p>
      <w:pPr>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没有重大违法记录的书面声明</w:t>
      </w:r>
    </w:p>
    <w:p>
      <w:pPr>
        <w:pStyle w:val="8"/>
        <w:topLinePunct/>
        <w:autoSpaceDE w:val="0"/>
        <w:autoSpaceDN w:val="0"/>
        <w:snapToGrid w:val="0"/>
        <w:spacing w:line="360" w:lineRule="auto"/>
        <w:jc w:val="center"/>
        <w:rPr>
          <w:rFonts w:hAnsi="宋体" w:cs="宋体"/>
          <w:b/>
          <w:color w:val="auto"/>
          <w:w w:val="150"/>
          <w:sz w:val="21"/>
          <w:szCs w:val="21"/>
          <w:highlight w:val="none"/>
        </w:rPr>
      </w:pPr>
    </w:p>
    <w:p>
      <w:pPr>
        <w:pStyle w:val="8"/>
        <w:snapToGrid w:val="0"/>
        <w:spacing w:line="360" w:lineRule="auto"/>
        <w:rPr>
          <w:rFonts w:hAnsi="宋体" w:cs="宋体"/>
          <w:color w:val="auto"/>
          <w:sz w:val="21"/>
          <w:szCs w:val="21"/>
          <w:highlight w:val="none"/>
        </w:rPr>
      </w:pPr>
      <w:r>
        <w:rPr>
          <w:rFonts w:hint="eastAsia" w:hAnsi="宋体" w:cs="宋体"/>
          <w:color w:val="auto"/>
          <w:sz w:val="21"/>
          <w:szCs w:val="21"/>
          <w:highlight w:val="none"/>
        </w:rPr>
        <w:t>致________（采购人或采购代理机构）：</w:t>
      </w:r>
    </w:p>
    <w:p>
      <w:pPr>
        <w:pStyle w:val="8"/>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我单位在参加本次采购活动前三年内在经营活动中没有《政府采购法》第二十二条第一款第（五）项所称重大违法记录，包括：</w:t>
      </w:r>
    </w:p>
    <w:p>
      <w:pPr>
        <w:pStyle w:val="8"/>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我单位未因经营活动中的违法行为受到刑事处罚或者责令停产停业、吊销许可证或者执照、较大数额罚款等行政处罚。</w:t>
      </w:r>
    </w:p>
    <w:p>
      <w:pPr>
        <w:pStyle w:val="8"/>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特此声明！</w:t>
      </w:r>
    </w:p>
    <w:p>
      <w:pPr>
        <w:snapToGrid w:val="0"/>
        <w:spacing w:after="0" w:line="360" w:lineRule="auto"/>
        <w:ind w:firstLine="420" w:firstLineChars="200"/>
        <w:rPr>
          <w:rFonts w:hAnsi="宋体"/>
          <w:color w:val="auto"/>
          <w:sz w:val="21"/>
          <w:szCs w:val="21"/>
          <w:highlight w:val="none"/>
        </w:rPr>
      </w:pPr>
    </w:p>
    <w:p>
      <w:pPr>
        <w:snapToGrid w:val="0"/>
        <w:spacing w:after="0" w:line="360" w:lineRule="auto"/>
        <w:ind w:firstLine="420" w:firstLineChars="200"/>
        <w:rPr>
          <w:rFonts w:hAnsi="宋体"/>
          <w:color w:val="auto"/>
          <w:sz w:val="21"/>
          <w:szCs w:val="21"/>
          <w:highlight w:val="none"/>
        </w:rPr>
      </w:pPr>
      <w:r>
        <w:rPr>
          <w:rFonts w:hint="eastAsia" w:hAnsi="宋体"/>
          <w:color w:val="auto"/>
          <w:sz w:val="21"/>
          <w:szCs w:val="21"/>
          <w:highlight w:val="none"/>
        </w:rPr>
        <w:t>（请供应商根据实际情况如实声明，否则视为提供虚假材料。）</w:t>
      </w:r>
    </w:p>
    <w:p>
      <w:pPr>
        <w:snapToGrid w:val="0"/>
        <w:spacing w:after="0" w:line="360" w:lineRule="auto"/>
        <w:ind w:firstLine="420" w:firstLineChars="200"/>
        <w:rPr>
          <w:rFonts w:hAnsi="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授权代表（签字或盖章）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widowControl/>
        <w:spacing w:after="0" w:line="240" w:lineRule="auto"/>
        <w:jc w:val="center"/>
        <w:rPr>
          <w:rFonts w:ascii="宋体" w:hAnsi="宋体" w:cs="宋体"/>
          <w:b/>
          <w:bCs/>
          <w:color w:val="auto"/>
          <w:sz w:val="36"/>
          <w:szCs w:val="36"/>
          <w:highlight w:val="none"/>
        </w:rPr>
      </w:pPr>
      <w:r>
        <w:rPr>
          <w:rFonts w:hAnsi="宋体" w:cs="宋体"/>
          <w:color w:val="auto"/>
          <w:sz w:val="24"/>
          <w:highlight w:val="none"/>
        </w:rPr>
        <w:br w:type="page"/>
      </w:r>
      <w:r>
        <w:rPr>
          <w:rFonts w:hint="default" w:ascii="Times New Roman" w:hAnsi="Times New Roman" w:cs="Times New Roman"/>
          <w:b/>
          <w:bCs/>
          <w:color w:val="auto"/>
          <w:sz w:val="28"/>
          <w:szCs w:val="28"/>
          <w:highlight w:val="none"/>
        </w:rPr>
        <w:t>5-</w:t>
      </w:r>
      <w:r>
        <w:rPr>
          <w:rFonts w:hint="default" w:ascii="Times New Roman" w:hAnsi="Times New Roman" w:cs="Times New Roman"/>
          <w:b/>
          <w:bCs/>
          <w:color w:val="auto"/>
          <w:sz w:val="28"/>
          <w:szCs w:val="28"/>
          <w:highlight w:val="none"/>
          <w:lang w:val="en-US" w:eastAsia="zh-CN"/>
        </w:rPr>
        <w:t>7</w:t>
      </w:r>
      <w:r>
        <w:rPr>
          <w:rFonts w:hint="eastAsia" w:ascii="宋体" w:hAnsi="宋体" w:cs="宋体"/>
          <w:b/>
          <w:bCs/>
          <w:color w:val="auto"/>
          <w:sz w:val="28"/>
          <w:szCs w:val="28"/>
          <w:highlight w:val="none"/>
        </w:rPr>
        <w:t>具备法律、行政法规规定的其他条件的证明材料</w:t>
      </w:r>
    </w:p>
    <w:p>
      <w:pPr>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根据资格条件要求提供相应材料。</w:t>
      </w:r>
    </w:p>
    <w:p>
      <w:pPr>
        <w:widowControl/>
        <w:spacing w:after="0" w:line="240" w:lineRule="auto"/>
        <w:jc w:val="center"/>
        <w:rPr>
          <w:rFonts w:hint="default" w:ascii="Times New Roman" w:hAnsi="Times New Roman" w:cs="Times New Roman"/>
          <w:b/>
          <w:bCs/>
          <w:color w:val="auto"/>
          <w:sz w:val="36"/>
          <w:szCs w:val="36"/>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5-</w:t>
      </w:r>
      <w:r>
        <w:rPr>
          <w:rFonts w:hint="default" w:ascii="Times New Roman" w:hAnsi="Times New Roman" w:cs="Times New Roman"/>
          <w:b/>
          <w:bCs/>
          <w:color w:val="auto"/>
          <w:sz w:val="28"/>
          <w:szCs w:val="28"/>
          <w:highlight w:val="none"/>
          <w:lang w:val="en-US" w:eastAsia="zh-CN"/>
        </w:rPr>
        <w:t>8</w:t>
      </w:r>
      <w:r>
        <w:rPr>
          <w:rFonts w:hint="default" w:ascii="Times New Roman" w:hAnsi="Times New Roman" w:cs="Times New Roman"/>
          <w:b/>
          <w:bCs/>
          <w:color w:val="auto"/>
          <w:sz w:val="28"/>
          <w:szCs w:val="28"/>
          <w:highlight w:val="none"/>
        </w:rPr>
        <w:t>联合体协议（若有）</w:t>
      </w:r>
    </w:p>
    <w:p>
      <w:pPr>
        <w:pStyle w:val="8"/>
        <w:topLinePunct/>
        <w:autoSpaceDE w:val="0"/>
        <w:autoSpaceDN w:val="0"/>
        <w:snapToGrid w:val="0"/>
        <w:spacing w:line="360" w:lineRule="auto"/>
        <w:jc w:val="center"/>
        <w:rPr>
          <w:rFonts w:hint="default" w:ascii="Times New Roman" w:hAnsi="Times New Roman" w:cs="Times New Roman"/>
          <w:b/>
          <w:color w:val="auto"/>
          <w:w w:val="150"/>
          <w:sz w:val="24"/>
          <w:highlight w:val="none"/>
        </w:rPr>
      </w:pPr>
    </w:p>
    <w:p>
      <w:pPr>
        <w:pStyle w:val="8"/>
        <w:keepNext w:val="0"/>
        <w:keepLines w:val="0"/>
        <w:pageBreakBefore w:val="0"/>
        <w:kinsoku/>
        <w:wordWrap/>
        <w:overflowPunct/>
        <w:topLinePunct w:val="0"/>
        <w:autoSpaceDE/>
        <w:autoSpaceDN/>
        <w:bidi w:val="0"/>
        <w:adjustRightInd/>
        <w:snapToGrid w:val="0"/>
        <w:spacing w:line="36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致________（采购人或采购代理机构）：</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经研究，我方决定自愿组成联合体共同参加____________(项目名称、项目编号)项目的磋商。</w:t>
      </w:r>
      <w:r>
        <w:rPr>
          <w:rFonts w:hint="default" w:ascii="Times New Roman" w:hAnsi="Times New Roman" w:cs="Times New Roman"/>
          <w:color w:val="auto"/>
          <w:kern w:val="0"/>
          <w:sz w:val="21"/>
          <w:szCs w:val="21"/>
          <w:highlight w:val="none"/>
        </w:rPr>
        <w:t>现就联合体参加本项目磋商的有关</w:t>
      </w:r>
      <w:r>
        <w:rPr>
          <w:rFonts w:hint="default" w:ascii="Times New Roman" w:hAnsi="Times New Roman" w:eastAsia="宋体" w:cs="Times New Roman"/>
          <w:color w:val="auto"/>
          <w:sz w:val="21"/>
          <w:szCs w:val="21"/>
          <w:highlight w:val="none"/>
        </w:rPr>
        <w:t>事宜订立如下协议：</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outlineLvl w:val="2"/>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一、联合体成员：</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1.____________________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2.____________________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3.____________________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二、____________(某成员单位名称)为____________(联合体名称)牵头人。</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联合体牵头人合法代表联合体各成员负责本项目响应文件编制活动，代表联合体提交和接收相关的资料、信息及指示，并处理与磋商有关的一切事务；联合体成交后，联合体牵头人负责合同订立和实施阶段的主办、组织和协调工作。</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四、联合体将严格按照采购文件的各项要求，递交响应文件，参加磋商，履行成交义务和成交后的合同，并向采购人承担连带责任。</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五、联合体各成员单位内部的职责分工如下：____________。按照本条上述分工，联合体成员单位各自所承担的合同工作量比例如下：____________。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六、本协议书自签署之日起生效，合同履行完毕后自动失效。</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七、本协议书一式______份，联合体成员和采购人各执一份。</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default" w:ascii="Times New Roman" w:hAnsi="Times New Roman" w:eastAsia="宋体" w:cs="Times New Roman"/>
          <w:color w:val="auto"/>
          <w:sz w:val="21"/>
          <w:szCs w:val="21"/>
          <w:highlight w:val="none"/>
        </w:rPr>
      </w:pP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牵头人名称(公章)：____________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法定代表人或其授权代表(签字或盖章)：____________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成员名称(公章)：____________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法定代表人或其授权代表(签字或盖章)：____________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ascii="宋体" w:hAnsi="宋体" w:eastAsia="宋体"/>
          <w:color w:val="auto"/>
          <w:sz w:val="21"/>
          <w:szCs w:val="21"/>
          <w:highlight w:val="none"/>
        </w:rPr>
      </w:pPr>
    </w:p>
    <w:p>
      <w:pPr>
        <w:keepNext w:val="0"/>
        <w:keepLines w:val="0"/>
        <w:pageBreakBefore w:val="0"/>
        <w:kinsoku/>
        <w:wordWrap/>
        <w:overflowPunct/>
        <w:topLinePunct w:val="0"/>
        <w:autoSpaceDE/>
        <w:autoSpaceDN/>
        <w:bidi w:val="0"/>
        <w:adjustRightInd/>
        <w:spacing w:after="0" w:line="360" w:lineRule="auto"/>
        <w:ind w:firstLine="420" w:firstLineChars="200"/>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______年____月____日</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ascii="宋体" w:hAnsi="宋体" w:eastAsia="宋体"/>
          <w:color w:val="auto"/>
          <w:sz w:val="21"/>
          <w:szCs w:val="21"/>
          <w:highlight w:val="none"/>
        </w:rPr>
      </w:pP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备注：本协议书由授权代表签字的，应附法定代表人签字的授权委托书。</w:t>
      </w:r>
    </w:p>
    <w:p>
      <w:pPr>
        <w:keepNext w:val="0"/>
        <w:keepLines w:val="0"/>
        <w:pageBreakBefore w:val="0"/>
        <w:widowControl/>
        <w:kinsoku/>
        <w:wordWrap/>
        <w:overflowPunct/>
        <w:topLinePunct w:val="0"/>
        <w:autoSpaceDE/>
        <w:autoSpaceDN/>
        <w:bidi w:val="0"/>
        <w:adjustRightInd/>
        <w:spacing w:after="0" w:line="360" w:lineRule="auto"/>
        <w:jc w:val="center"/>
        <w:textAlignment w:val="auto"/>
        <w:rPr>
          <w:rFonts w:ascii="宋体" w:hAnsi="宋体" w:cs="宋体"/>
          <w:b/>
          <w:bCs/>
          <w:color w:val="auto"/>
          <w:sz w:val="28"/>
          <w:szCs w:val="28"/>
          <w:highlight w:val="none"/>
        </w:rPr>
      </w:pPr>
      <w:r>
        <w:rPr>
          <w:rFonts w:hAnsi="宋体" w:cs="宋体"/>
          <w:color w:val="auto"/>
          <w:sz w:val="21"/>
          <w:szCs w:val="21"/>
          <w:highlight w:val="none"/>
        </w:rPr>
        <w:br w:type="page"/>
      </w:r>
      <w:r>
        <w:rPr>
          <w:rFonts w:hint="default" w:ascii="Times New Roman" w:hAnsi="Times New Roman" w:cs="Times New Roman"/>
          <w:b/>
          <w:bCs/>
          <w:color w:val="auto"/>
          <w:sz w:val="28"/>
          <w:szCs w:val="28"/>
          <w:highlight w:val="none"/>
        </w:rPr>
        <w:t>5-</w:t>
      </w:r>
      <w:r>
        <w:rPr>
          <w:rFonts w:hint="default" w:ascii="Times New Roman" w:hAnsi="Times New Roman" w:cs="Times New Roman"/>
          <w:b/>
          <w:bCs/>
          <w:color w:val="auto"/>
          <w:sz w:val="28"/>
          <w:szCs w:val="28"/>
          <w:highlight w:val="none"/>
          <w:lang w:val="en-US" w:eastAsia="zh-CN"/>
        </w:rPr>
        <w:t>9</w:t>
      </w:r>
      <w:r>
        <w:rPr>
          <w:rFonts w:ascii="宋体" w:hAnsi="宋体" w:cs="宋体"/>
          <w:b/>
          <w:bCs/>
          <w:color w:val="auto"/>
          <w:sz w:val="28"/>
          <w:szCs w:val="28"/>
          <w:highlight w:val="none"/>
        </w:rPr>
        <w:t>其他资格证明文件（若有）</w:t>
      </w:r>
    </w:p>
    <w:p>
      <w:pPr>
        <w:rPr>
          <w:color w:val="auto"/>
          <w:highlight w:val="none"/>
        </w:rPr>
      </w:pPr>
    </w:p>
    <w:p>
      <w:pPr>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根据资格条件要求提供相应材料。</w:t>
      </w:r>
    </w:p>
    <w:p>
      <w:pPr>
        <w:rPr>
          <w:rFonts w:ascii="宋体" w:hAnsi="宋体" w:cs="宋体"/>
          <w:color w:val="auto"/>
          <w:sz w:val="24"/>
          <w:highlight w:val="none"/>
        </w:rPr>
      </w:pPr>
    </w:p>
    <w:p>
      <w:pPr>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28"/>
          <w:szCs w:val="28"/>
          <w:highlight w:val="none"/>
        </w:rPr>
        <w:t>格式6  中小企业声明函</w:t>
      </w:r>
    </w:p>
    <w:p>
      <w:pPr>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中小企业声明函（工程、服务）</w:t>
      </w:r>
    </w:p>
    <w:p>
      <w:pPr>
        <w:widowControl/>
        <w:spacing w:after="0" w:line="360" w:lineRule="auto"/>
        <w:ind w:firstLine="420" w:firstLineChars="200"/>
        <w:jc w:val="left"/>
        <w:rPr>
          <w:rFonts w:hint="default" w:ascii="Times New Roman" w:hAnsi="Times New Roman" w:cs="Times New Roman"/>
          <w:color w:val="auto"/>
          <w:kern w:val="0"/>
          <w:sz w:val="21"/>
          <w:szCs w:val="21"/>
          <w:highlight w:val="none"/>
        </w:rPr>
      </w:pPr>
    </w:p>
    <w:p>
      <w:pPr>
        <w:pStyle w:val="8"/>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本公司（联合体）郑重声明，根据《政府采购促进中小企业发展管理办法》（财库﹝2020﹞46 号）的规定，本公司（联合体）参加</w:t>
      </w:r>
      <w:r>
        <w:rPr>
          <w:rFonts w:hint="default" w:ascii="Times New Roman" w:hAnsi="Times New Roman" w:cs="Times New Roman"/>
          <w:i/>
          <w:iCs/>
          <w:color w:val="auto"/>
          <w:sz w:val="21"/>
          <w:szCs w:val="21"/>
          <w:highlight w:val="none"/>
          <w:u w:val="single"/>
        </w:rPr>
        <w:t>（单位名称）</w:t>
      </w:r>
      <w:r>
        <w:rPr>
          <w:rFonts w:hint="default" w:ascii="Times New Roman" w:hAnsi="Times New Roman" w:cs="Times New Roman"/>
          <w:color w:val="auto"/>
          <w:sz w:val="21"/>
          <w:szCs w:val="21"/>
          <w:highlight w:val="none"/>
        </w:rPr>
        <w:t>的</w:t>
      </w:r>
      <w:r>
        <w:rPr>
          <w:rFonts w:hint="default" w:ascii="Times New Roman" w:hAnsi="Times New Roman" w:cs="Times New Roman"/>
          <w:i/>
          <w:iCs/>
          <w:color w:val="auto"/>
          <w:sz w:val="21"/>
          <w:szCs w:val="21"/>
          <w:highlight w:val="none"/>
          <w:u w:val="single"/>
        </w:rPr>
        <w:t>（项目名称）</w:t>
      </w:r>
      <w:r>
        <w:rPr>
          <w:rFonts w:hint="default" w:ascii="Times New Roman" w:hAnsi="Times New Roman" w:cs="Times New Roman"/>
          <w:color w:val="auto"/>
          <w:sz w:val="21"/>
          <w:szCs w:val="21"/>
          <w:highlight w:val="none"/>
        </w:rPr>
        <w:t>采购活动，服务全部由符合政策要求的中小企业承接。相关企业（含联合体中的中小企业、签订分包意向协议的中小企业）的具体情况如下：</w:t>
      </w:r>
    </w:p>
    <w:p>
      <w:pPr>
        <w:pStyle w:val="8"/>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i/>
          <w:iCs/>
          <w:color w:val="auto"/>
          <w:sz w:val="21"/>
          <w:szCs w:val="21"/>
          <w:highlight w:val="none"/>
          <w:u w:val="single"/>
        </w:rPr>
        <w:t xml:space="preserve"> （标的名称） </w:t>
      </w:r>
      <w:r>
        <w:rPr>
          <w:rFonts w:hint="default" w:ascii="Times New Roman" w:hAnsi="Times New Roman" w:cs="Times New Roman"/>
          <w:color w:val="auto"/>
          <w:sz w:val="21"/>
          <w:szCs w:val="21"/>
          <w:highlight w:val="none"/>
        </w:rPr>
        <w:t>，属于</w:t>
      </w:r>
      <w:r>
        <w:rPr>
          <w:rFonts w:hint="default" w:ascii="Times New Roman" w:hAnsi="Times New Roman" w:cs="Times New Roman"/>
          <w:i/>
          <w:iCs/>
          <w:color w:val="auto"/>
          <w:sz w:val="21"/>
          <w:szCs w:val="21"/>
          <w:highlight w:val="none"/>
          <w:u w:val="single"/>
        </w:rPr>
        <w:t>（采购文件中明确的所属行业）</w:t>
      </w:r>
      <w:r>
        <w:rPr>
          <w:rFonts w:hint="default" w:ascii="Times New Roman" w:hAnsi="Times New Roman" w:cs="Times New Roman"/>
          <w:color w:val="auto"/>
          <w:sz w:val="21"/>
          <w:szCs w:val="21"/>
          <w:highlight w:val="none"/>
        </w:rPr>
        <w:t>；承建（承接）企业为</w:t>
      </w:r>
      <w:r>
        <w:rPr>
          <w:rFonts w:hint="default" w:ascii="Times New Roman" w:hAnsi="Times New Roman" w:cs="Times New Roman"/>
          <w:i/>
          <w:iCs/>
          <w:color w:val="auto"/>
          <w:sz w:val="21"/>
          <w:szCs w:val="21"/>
          <w:highlight w:val="none"/>
          <w:u w:val="single"/>
        </w:rPr>
        <w:t>（企业名称）</w:t>
      </w:r>
      <w:r>
        <w:rPr>
          <w:rFonts w:hint="default" w:ascii="Times New Roman" w:hAnsi="Times New Roman" w:cs="Times New Roman"/>
          <w:color w:val="auto"/>
          <w:sz w:val="21"/>
          <w:szCs w:val="21"/>
          <w:highlight w:val="none"/>
        </w:rPr>
        <w:t>，从业人员</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人，营业收入为</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万元，资产总额为</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万元</w:t>
      </w:r>
      <w:r>
        <w:rPr>
          <w:rFonts w:hint="default" w:ascii="Times New Roman" w:hAnsi="Times New Roman" w:cs="Times New Roman"/>
          <w:color w:val="auto"/>
          <w:sz w:val="21"/>
          <w:szCs w:val="21"/>
          <w:highlight w:val="none"/>
          <w:vertAlign w:val="superscript"/>
        </w:rPr>
        <w:t>1</w:t>
      </w:r>
      <w:r>
        <w:rPr>
          <w:rFonts w:hint="default" w:ascii="Times New Roman" w:hAnsi="Times New Roman" w:cs="Times New Roman"/>
          <w:color w:val="auto"/>
          <w:sz w:val="21"/>
          <w:szCs w:val="21"/>
          <w:highlight w:val="none"/>
        </w:rPr>
        <w:t>，属于</w:t>
      </w:r>
      <w:r>
        <w:rPr>
          <w:rFonts w:hint="default" w:ascii="Times New Roman" w:hAnsi="Times New Roman" w:cs="Times New Roman"/>
          <w:i/>
          <w:iCs/>
          <w:color w:val="auto"/>
          <w:sz w:val="21"/>
          <w:szCs w:val="21"/>
          <w:highlight w:val="none"/>
          <w:u w:val="single"/>
        </w:rPr>
        <w:t>（中型企业、小型企业、微型企业）</w:t>
      </w:r>
      <w:r>
        <w:rPr>
          <w:rFonts w:hint="default" w:ascii="Times New Roman" w:hAnsi="Times New Roman" w:cs="Times New Roman"/>
          <w:color w:val="auto"/>
          <w:sz w:val="21"/>
          <w:szCs w:val="21"/>
          <w:highlight w:val="none"/>
        </w:rPr>
        <w:t xml:space="preserve">； </w:t>
      </w:r>
    </w:p>
    <w:p>
      <w:pPr>
        <w:pStyle w:val="8"/>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r>
        <w:rPr>
          <w:rFonts w:hint="default" w:ascii="Times New Roman" w:hAnsi="Times New Roman" w:cs="Times New Roman"/>
          <w:i/>
          <w:iCs/>
          <w:color w:val="auto"/>
          <w:sz w:val="21"/>
          <w:szCs w:val="21"/>
          <w:highlight w:val="none"/>
          <w:u w:val="single"/>
        </w:rPr>
        <w:t xml:space="preserve"> （标的名称） </w:t>
      </w:r>
      <w:r>
        <w:rPr>
          <w:rFonts w:hint="default" w:ascii="Times New Roman" w:hAnsi="Times New Roman" w:cs="Times New Roman"/>
          <w:color w:val="auto"/>
          <w:sz w:val="21"/>
          <w:szCs w:val="21"/>
          <w:highlight w:val="none"/>
        </w:rPr>
        <w:t>，属于</w:t>
      </w:r>
      <w:r>
        <w:rPr>
          <w:rFonts w:hint="default" w:ascii="Times New Roman" w:hAnsi="Times New Roman" w:cs="Times New Roman"/>
          <w:i/>
          <w:iCs/>
          <w:color w:val="auto"/>
          <w:sz w:val="21"/>
          <w:szCs w:val="21"/>
          <w:highlight w:val="none"/>
          <w:u w:val="single"/>
        </w:rPr>
        <w:t>（采购文件中明确的所属行业）</w:t>
      </w:r>
      <w:r>
        <w:rPr>
          <w:rFonts w:hint="default" w:ascii="Times New Roman" w:hAnsi="Times New Roman" w:cs="Times New Roman"/>
          <w:color w:val="auto"/>
          <w:sz w:val="21"/>
          <w:szCs w:val="21"/>
          <w:highlight w:val="none"/>
        </w:rPr>
        <w:t>；承建（承接）企业为</w:t>
      </w:r>
      <w:r>
        <w:rPr>
          <w:rFonts w:hint="default" w:ascii="Times New Roman" w:hAnsi="Times New Roman" w:cs="Times New Roman"/>
          <w:i/>
          <w:iCs/>
          <w:color w:val="auto"/>
          <w:sz w:val="21"/>
          <w:szCs w:val="21"/>
          <w:highlight w:val="none"/>
          <w:u w:val="single"/>
        </w:rPr>
        <w:t>（企业名称）</w:t>
      </w:r>
      <w:r>
        <w:rPr>
          <w:rFonts w:hint="default" w:ascii="Times New Roman" w:hAnsi="Times New Roman" w:cs="Times New Roman"/>
          <w:color w:val="auto"/>
          <w:sz w:val="21"/>
          <w:szCs w:val="21"/>
          <w:highlight w:val="none"/>
        </w:rPr>
        <w:t>，从业人员</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人，营业收入为</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万元，资产总额为</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万元</w:t>
      </w:r>
      <w:r>
        <w:rPr>
          <w:rFonts w:hint="default" w:ascii="Times New Roman" w:hAnsi="Times New Roman" w:cs="Times New Roman"/>
          <w:color w:val="auto"/>
          <w:sz w:val="21"/>
          <w:szCs w:val="21"/>
          <w:highlight w:val="none"/>
          <w:vertAlign w:val="superscript"/>
        </w:rPr>
        <w:t>1</w:t>
      </w:r>
      <w:r>
        <w:rPr>
          <w:rFonts w:hint="default" w:ascii="Times New Roman" w:hAnsi="Times New Roman" w:cs="Times New Roman"/>
          <w:color w:val="auto"/>
          <w:sz w:val="21"/>
          <w:szCs w:val="21"/>
          <w:highlight w:val="none"/>
        </w:rPr>
        <w:t>，属于</w:t>
      </w:r>
      <w:r>
        <w:rPr>
          <w:rFonts w:hint="default" w:ascii="Times New Roman" w:hAnsi="Times New Roman" w:cs="Times New Roman"/>
          <w:i/>
          <w:iCs/>
          <w:color w:val="auto"/>
          <w:sz w:val="21"/>
          <w:szCs w:val="21"/>
          <w:highlight w:val="none"/>
          <w:u w:val="single"/>
        </w:rPr>
        <w:t>（中型企业、小型企业、微型企业）</w:t>
      </w:r>
      <w:r>
        <w:rPr>
          <w:rFonts w:hint="default" w:ascii="Times New Roman" w:hAnsi="Times New Roman" w:cs="Times New Roman"/>
          <w:color w:val="auto"/>
          <w:sz w:val="21"/>
          <w:szCs w:val="21"/>
          <w:highlight w:val="none"/>
        </w:rPr>
        <w:t xml:space="preserve">； </w:t>
      </w:r>
    </w:p>
    <w:p>
      <w:pPr>
        <w:pStyle w:val="8"/>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p>
      <w:pPr>
        <w:pStyle w:val="8"/>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以上企业，不属于大企业的分支机构，不存在控股股东为大企业的情形，也不存在与大企业的负责人为同一人的情形。</w:t>
      </w:r>
    </w:p>
    <w:p>
      <w:pPr>
        <w:pStyle w:val="8"/>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本企业对上述声明内容的真实性负责。如有虚假，将依法承担相应责任。 </w:t>
      </w:r>
    </w:p>
    <w:p>
      <w:pPr>
        <w:pStyle w:val="8"/>
        <w:snapToGrid w:val="0"/>
        <w:spacing w:line="360" w:lineRule="auto"/>
        <w:ind w:firstLine="420" w:firstLineChars="200"/>
        <w:rPr>
          <w:rFonts w:hint="default" w:ascii="Times New Roman" w:hAnsi="Times New Roman" w:cs="Times New Roman"/>
          <w:color w:val="auto"/>
          <w:sz w:val="21"/>
          <w:szCs w:val="21"/>
          <w:highlight w:val="none"/>
        </w:rPr>
      </w:pPr>
    </w:p>
    <w:p>
      <w:pPr>
        <w:pStyle w:val="8"/>
        <w:snapToGrid w:val="0"/>
        <w:spacing w:line="360" w:lineRule="auto"/>
        <w:ind w:firstLine="420" w:firstLineChars="200"/>
        <w:rPr>
          <w:rFonts w:hint="default" w:ascii="Times New Roman" w:hAnsi="Times New Roman" w:cs="Times New Roman"/>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供应商</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pStyle w:val="8"/>
        <w:snapToGrid w:val="0"/>
        <w:spacing w:line="360" w:lineRule="auto"/>
        <w:ind w:firstLine="420" w:firstLineChars="200"/>
        <w:rPr>
          <w:rFonts w:hint="default" w:ascii="Times New Roman" w:hAnsi="Times New Roman" w:cs="Times New Roman"/>
          <w:color w:val="auto"/>
          <w:sz w:val="21"/>
          <w:szCs w:val="21"/>
          <w:highlight w:val="none"/>
        </w:rPr>
      </w:pPr>
    </w:p>
    <w:p>
      <w:pPr>
        <w:pStyle w:val="8"/>
        <w:snapToGrid w:val="0"/>
        <w:spacing w:line="360" w:lineRule="auto"/>
        <w:ind w:firstLine="420" w:firstLineChars="200"/>
        <w:rPr>
          <w:rFonts w:hint="default" w:ascii="Times New Roman" w:hAnsi="Times New Roman" w:cs="Times New Roman"/>
          <w:color w:val="auto"/>
          <w:sz w:val="21"/>
          <w:szCs w:val="21"/>
          <w:highlight w:val="none"/>
        </w:rPr>
      </w:pPr>
    </w:p>
    <w:p>
      <w:pPr>
        <w:widowControl/>
        <w:rPr>
          <w:color w:val="auto"/>
          <w:highlight w:val="none"/>
        </w:rPr>
      </w:pPr>
    </w:p>
    <w:p>
      <w:pPr>
        <w:widowControl/>
        <w:jc w:val="left"/>
        <w:rPr>
          <w:color w:val="auto"/>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从业人员、营业收入、资产总额填报上一年度数据，无上一年度数据的新成立企业可不填报。</w:t>
      </w:r>
    </w:p>
    <w:p>
      <w:pPr>
        <w:pStyle w:val="8"/>
        <w:snapToGrid w:val="0"/>
        <w:spacing w:line="360" w:lineRule="auto"/>
        <w:ind w:firstLine="480" w:firstLineChars="200"/>
        <w:rPr>
          <w:rFonts w:hAnsi="宋体" w:cs="宋体"/>
          <w:color w:val="auto"/>
          <w:sz w:val="24"/>
          <w:szCs w:val="24"/>
          <w:highlight w:val="none"/>
        </w:rPr>
      </w:pPr>
    </w:p>
    <w:p>
      <w:pPr>
        <w:topLinePunct/>
        <w:autoSpaceDE w:val="0"/>
        <w:autoSpaceDN w:val="0"/>
        <w:spacing w:line="460" w:lineRule="exact"/>
        <w:jc w:val="center"/>
        <w:outlineLvl w:val="0"/>
        <w:rPr>
          <w:rFonts w:ascii="宋体" w:hAnsi="宋体" w:cs="宋体"/>
          <w:b/>
          <w:bCs/>
          <w:color w:val="auto"/>
          <w:sz w:val="28"/>
          <w:szCs w:val="28"/>
          <w:highlight w:val="none"/>
        </w:rPr>
      </w:pPr>
      <w:r>
        <w:rPr>
          <w:rFonts w:hint="eastAsia"/>
          <w:color w:val="auto"/>
          <w:sz w:val="24"/>
          <w:highlight w:val="none"/>
        </w:rPr>
        <w:br w:type="page"/>
      </w:r>
      <w:r>
        <w:rPr>
          <w:rFonts w:hint="eastAsia" w:ascii="宋体" w:hAnsi="宋体" w:cs="宋体"/>
          <w:b/>
          <w:bCs/>
          <w:color w:val="auto"/>
          <w:sz w:val="28"/>
          <w:szCs w:val="28"/>
          <w:highlight w:val="none"/>
        </w:rPr>
        <w:t>中小企业声明函（货物）</w:t>
      </w:r>
    </w:p>
    <w:p>
      <w:pPr>
        <w:rPr>
          <w:color w:val="auto"/>
          <w:highlight w:val="none"/>
        </w:rPr>
      </w:pPr>
    </w:p>
    <w:p>
      <w:pPr>
        <w:pStyle w:val="8"/>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本公司（联合体）郑重声明，根据《政府采购促进中小企业发展管理办法》（财库﹝2020﹞46 号）的规定，本公司（联合体）参加</w:t>
      </w:r>
      <w:r>
        <w:rPr>
          <w:rFonts w:hint="default" w:ascii="Times New Roman" w:hAnsi="Times New Roman" w:cs="Times New Roman"/>
          <w:i/>
          <w:iCs/>
          <w:color w:val="auto"/>
          <w:sz w:val="21"/>
          <w:szCs w:val="21"/>
          <w:highlight w:val="none"/>
          <w:u w:val="single"/>
        </w:rPr>
        <w:t>（单位名称）</w:t>
      </w:r>
      <w:r>
        <w:rPr>
          <w:rFonts w:hint="default" w:ascii="Times New Roman" w:hAnsi="Times New Roman" w:cs="Times New Roman"/>
          <w:color w:val="auto"/>
          <w:sz w:val="21"/>
          <w:szCs w:val="21"/>
          <w:highlight w:val="none"/>
        </w:rPr>
        <w:t>的</w:t>
      </w:r>
      <w:r>
        <w:rPr>
          <w:rFonts w:hint="default" w:ascii="Times New Roman" w:hAnsi="Times New Roman" w:cs="Times New Roman"/>
          <w:i/>
          <w:iCs/>
          <w:color w:val="auto"/>
          <w:sz w:val="21"/>
          <w:szCs w:val="21"/>
          <w:highlight w:val="none"/>
          <w:u w:val="single"/>
        </w:rPr>
        <w:t>（项目名称）</w:t>
      </w:r>
      <w:r>
        <w:rPr>
          <w:rFonts w:hint="default" w:ascii="Times New Roman" w:hAnsi="Times New Roman" w:cs="Times New Roman"/>
          <w:color w:val="auto"/>
          <w:sz w:val="21"/>
          <w:szCs w:val="21"/>
          <w:highlight w:val="none"/>
        </w:rPr>
        <w:t>采购活动，提供的货物全部由符合政策要求的中小企业制造。相关企业（含联合体中的中小企业、签订分包意向协议的中小企业）的具体情况如下：</w:t>
      </w:r>
    </w:p>
    <w:p>
      <w:pPr>
        <w:pStyle w:val="8"/>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1. </w:t>
      </w:r>
      <w:r>
        <w:rPr>
          <w:rFonts w:hint="default" w:ascii="Times New Roman" w:hAnsi="Times New Roman" w:cs="Times New Roman"/>
          <w:i/>
          <w:iCs/>
          <w:color w:val="auto"/>
          <w:sz w:val="21"/>
          <w:szCs w:val="21"/>
          <w:highlight w:val="none"/>
          <w:u w:val="single"/>
        </w:rPr>
        <w:t xml:space="preserve">（标的名称） </w:t>
      </w:r>
      <w:r>
        <w:rPr>
          <w:rFonts w:hint="default" w:ascii="Times New Roman" w:hAnsi="Times New Roman" w:cs="Times New Roman"/>
          <w:color w:val="auto"/>
          <w:sz w:val="21"/>
          <w:szCs w:val="21"/>
          <w:highlight w:val="none"/>
        </w:rPr>
        <w:t>，属于</w:t>
      </w:r>
      <w:r>
        <w:rPr>
          <w:rFonts w:hint="default" w:ascii="Times New Roman" w:hAnsi="Times New Roman" w:cs="Times New Roman"/>
          <w:i/>
          <w:iCs/>
          <w:color w:val="auto"/>
          <w:sz w:val="21"/>
          <w:szCs w:val="21"/>
          <w:highlight w:val="none"/>
          <w:u w:val="single"/>
        </w:rPr>
        <w:t>（采购文件中明确的所属行业）</w:t>
      </w:r>
      <w:r>
        <w:rPr>
          <w:rFonts w:hint="default" w:ascii="Times New Roman" w:hAnsi="Times New Roman" w:cs="Times New Roman"/>
          <w:color w:val="auto"/>
          <w:sz w:val="21"/>
          <w:szCs w:val="21"/>
          <w:highlight w:val="none"/>
        </w:rPr>
        <w:t>行业；制造商为</w:t>
      </w:r>
      <w:r>
        <w:rPr>
          <w:rFonts w:hint="default" w:ascii="Times New Roman" w:hAnsi="Times New Roman" w:cs="Times New Roman"/>
          <w:i/>
          <w:iCs/>
          <w:color w:val="auto"/>
          <w:sz w:val="21"/>
          <w:szCs w:val="21"/>
          <w:highlight w:val="none"/>
          <w:u w:val="single"/>
        </w:rPr>
        <w:t>（企业名称）</w:t>
      </w:r>
      <w:r>
        <w:rPr>
          <w:rFonts w:hint="default" w:ascii="Times New Roman" w:hAnsi="Times New Roman" w:cs="Times New Roman"/>
          <w:color w:val="auto"/>
          <w:sz w:val="21"/>
          <w:szCs w:val="21"/>
          <w:highlight w:val="none"/>
        </w:rPr>
        <w:t>，从业人员</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人，营业收入为</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万元，资产总额为</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万元</w:t>
      </w:r>
      <w:r>
        <w:rPr>
          <w:rFonts w:hint="default" w:ascii="Times New Roman" w:hAnsi="Times New Roman" w:cs="Times New Roman"/>
          <w:color w:val="auto"/>
          <w:sz w:val="21"/>
          <w:szCs w:val="21"/>
          <w:highlight w:val="none"/>
          <w:vertAlign w:val="superscript"/>
        </w:rPr>
        <w:t>1</w:t>
      </w:r>
      <w:r>
        <w:rPr>
          <w:rFonts w:hint="default" w:ascii="Times New Roman" w:hAnsi="Times New Roman" w:cs="Times New Roman"/>
          <w:color w:val="auto"/>
          <w:sz w:val="21"/>
          <w:szCs w:val="21"/>
          <w:highlight w:val="none"/>
        </w:rPr>
        <w:t>，属于</w:t>
      </w:r>
      <w:r>
        <w:rPr>
          <w:rFonts w:hint="default" w:ascii="Times New Roman" w:hAnsi="Times New Roman" w:cs="Times New Roman"/>
          <w:i/>
          <w:iCs/>
          <w:color w:val="auto"/>
          <w:sz w:val="21"/>
          <w:szCs w:val="21"/>
          <w:highlight w:val="none"/>
          <w:u w:val="single"/>
        </w:rPr>
        <w:t>（中型企业、小型企业、微型企业）</w:t>
      </w:r>
      <w:r>
        <w:rPr>
          <w:rFonts w:hint="default" w:ascii="Times New Roman" w:hAnsi="Times New Roman" w:cs="Times New Roman"/>
          <w:color w:val="auto"/>
          <w:sz w:val="21"/>
          <w:szCs w:val="21"/>
          <w:highlight w:val="none"/>
        </w:rPr>
        <w:t xml:space="preserve">； </w:t>
      </w:r>
    </w:p>
    <w:p>
      <w:pPr>
        <w:pStyle w:val="8"/>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 </w:t>
      </w:r>
      <w:r>
        <w:rPr>
          <w:rFonts w:hint="default" w:ascii="Times New Roman" w:hAnsi="Times New Roman" w:cs="Times New Roman"/>
          <w:i/>
          <w:iCs/>
          <w:color w:val="auto"/>
          <w:sz w:val="21"/>
          <w:szCs w:val="21"/>
          <w:highlight w:val="none"/>
          <w:u w:val="single"/>
        </w:rPr>
        <w:t>（标的名称）</w:t>
      </w:r>
      <w:r>
        <w:rPr>
          <w:rFonts w:hint="default" w:ascii="Times New Roman" w:hAnsi="Times New Roman" w:cs="Times New Roman"/>
          <w:color w:val="auto"/>
          <w:sz w:val="21"/>
          <w:szCs w:val="21"/>
          <w:highlight w:val="none"/>
        </w:rPr>
        <w:t>，属于</w:t>
      </w:r>
      <w:r>
        <w:rPr>
          <w:rFonts w:hint="default" w:ascii="Times New Roman" w:hAnsi="Times New Roman" w:cs="Times New Roman"/>
          <w:i/>
          <w:iCs/>
          <w:color w:val="auto"/>
          <w:sz w:val="21"/>
          <w:szCs w:val="21"/>
          <w:highlight w:val="none"/>
          <w:u w:val="single"/>
        </w:rPr>
        <w:t>（采购文件中明确的所属行业）</w:t>
      </w:r>
      <w:r>
        <w:rPr>
          <w:rFonts w:hint="default" w:ascii="Times New Roman" w:hAnsi="Times New Roman" w:cs="Times New Roman"/>
          <w:color w:val="auto"/>
          <w:sz w:val="21"/>
          <w:szCs w:val="21"/>
          <w:highlight w:val="none"/>
        </w:rPr>
        <w:t>行业；制造商为</w:t>
      </w:r>
      <w:r>
        <w:rPr>
          <w:rFonts w:hint="default" w:ascii="Times New Roman" w:hAnsi="Times New Roman" w:cs="Times New Roman"/>
          <w:i/>
          <w:iCs/>
          <w:color w:val="auto"/>
          <w:sz w:val="21"/>
          <w:szCs w:val="21"/>
          <w:highlight w:val="none"/>
          <w:u w:val="single"/>
        </w:rPr>
        <w:t>（企业名称）</w:t>
      </w:r>
      <w:r>
        <w:rPr>
          <w:rFonts w:hint="default" w:ascii="Times New Roman" w:hAnsi="Times New Roman" w:cs="Times New Roman"/>
          <w:color w:val="auto"/>
          <w:sz w:val="21"/>
          <w:szCs w:val="21"/>
          <w:highlight w:val="none"/>
        </w:rPr>
        <w:t>，从业人员</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人，营业收入为</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万元，资产总额为</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万元</w:t>
      </w:r>
      <w:r>
        <w:rPr>
          <w:rFonts w:hint="default" w:ascii="Times New Roman" w:hAnsi="Times New Roman" w:cs="Times New Roman"/>
          <w:color w:val="auto"/>
          <w:sz w:val="21"/>
          <w:szCs w:val="21"/>
          <w:highlight w:val="none"/>
          <w:vertAlign w:val="superscript"/>
        </w:rPr>
        <w:t>1</w:t>
      </w:r>
      <w:r>
        <w:rPr>
          <w:rFonts w:hint="default" w:ascii="Times New Roman" w:hAnsi="Times New Roman" w:cs="Times New Roman"/>
          <w:color w:val="auto"/>
          <w:sz w:val="21"/>
          <w:szCs w:val="21"/>
          <w:highlight w:val="none"/>
        </w:rPr>
        <w:t>，属于</w:t>
      </w:r>
      <w:r>
        <w:rPr>
          <w:rFonts w:hint="default" w:ascii="Times New Roman" w:hAnsi="Times New Roman" w:cs="Times New Roman"/>
          <w:i/>
          <w:iCs/>
          <w:color w:val="auto"/>
          <w:sz w:val="21"/>
          <w:szCs w:val="21"/>
          <w:highlight w:val="none"/>
          <w:u w:val="single"/>
        </w:rPr>
        <w:t>（中型企业、小型企业、微型企业）</w:t>
      </w:r>
      <w:r>
        <w:rPr>
          <w:rFonts w:hint="default" w:ascii="Times New Roman" w:hAnsi="Times New Roman" w:cs="Times New Roman"/>
          <w:color w:val="auto"/>
          <w:sz w:val="21"/>
          <w:szCs w:val="21"/>
          <w:highlight w:val="none"/>
        </w:rPr>
        <w:t xml:space="preserve">； </w:t>
      </w:r>
    </w:p>
    <w:p>
      <w:pPr>
        <w:pStyle w:val="8"/>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p>
      <w:pPr>
        <w:widowControl/>
        <w:spacing w:after="0" w:line="36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以上企业，不属于大企业的分支机构，不存在控股股东为大企业的情形，也不存在与大企业的负责人为同一人的情形。</w:t>
      </w:r>
    </w:p>
    <w:p>
      <w:pPr>
        <w:widowControl/>
        <w:spacing w:after="0" w:line="36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 xml:space="preserve">本企业对上述声明内容的真实性负责。如有虚假，将依法承担相应责任。 </w:t>
      </w:r>
    </w:p>
    <w:p>
      <w:pPr>
        <w:widowControl/>
        <w:spacing w:after="0" w:line="360" w:lineRule="auto"/>
        <w:ind w:firstLine="1680" w:firstLineChars="800"/>
        <w:jc w:val="left"/>
        <w:rPr>
          <w:rFonts w:hint="default" w:ascii="Times New Roman" w:hAnsi="Times New Roman" w:cs="Times New Roman"/>
          <w:color w:val="auto"/>
          <w:kern w:val="0"/>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供应商</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widowControl/>
        <w:ind w:firstLine="2730" w:firstLineChars="1300"/>
        <w:rPr>
          <w:rFonts w:hint="default" w:ascii="Times New Roman" w:hAnsi="Times New Roman" w:cs="Times New Roman"/>
          <w:color w:val="auto"/>
          <w:sz w:val="21"/>
          <w:szCs w:val="21"/>
          <w:highlight w:val="none"/>
        </w:rPr>
      </w:pPr>
    </w:p>
    <w:p>
      <w:pPr>
        <w:widowControl/>
        <w:rPr>
          <w:rFonts w:hint="default" w:ascii="Times New Roman" w:hAnsi="Times New Roman" w:cs="Times New Roman"/>
          <w:color w:val="auto"/>
          <w:sz w:val="21"/>
          <w:szCs w:val="21"/>
          <w:highlight w:val="none"/>
        </w:rPr>
      </w:pPr>
    </w:p>
    <w:p>
      <w:pPr>
        <w:widowControl/>
        <w:jc w:val="left"/>
        <w:rPr>
          <w:color w:val="auto"/>
          <w:highlight w:val="none"/>
        </w:rPr>
      </w:pPr>
      <w:r>
        <w:rPr>
          <w:rFonts w:ascii="宋体" w:hAnsi="宋体" w:cs="宋体"/>
          <w:color w:val="auto"/>
          <w:kern w:val="0"/>
          <w:sz w:val="18"/>
          <w:szCs w:val="18"/>
          <w:highlight w:val="none"/>
        </w:rPr>
        <w:t xml:space="preserve">1 </w:t>
      </w:r>
      <w:r>
        <w:rPr>
          <w:rFonts w:hint="eastAsia" w:ascii="宋体" w:hAnsi="宋体" w:cs="宋体"/>
          <w:color w:val="auto"/>
          <w:kern w:val="0"/>
          <w:sz w:val="18"/>
          <w:szCs w:val="18"/>
          <w:highlight w:val="none"/>
        </w:rPr>
        <w:t>从业人员、营业收入、资产总额填报上一年度数据，无上一年度数据的新成立企业可不填报。</w:t>
      </w:r>
    </w:p>
    <w:p>
      <w:pPr>
        <w:widowControl/>
        <w:ind w:firstLine="540" w:firstLineChars="300"/>
        <w:jc w:val="left"/>
        <w:rPr>
          <w:rFonts w:ascii="宋体" w:hAnsi="宋体" w:cs="宋体"/>
          <w:color w:val="auto"/>
          <w:kern w:val="0"/>
          <w:sz w:val="18"/>
          <w:szCs w:val="18"/>
          <w:highlight w:val="none"/>
        </w:rPr>
      </w:pPr>
    </w:p>
    <w:p>
      <w:pPr>
        <w:pStyle w:val="8"/>
        <w:topLinePunct/>
        <w:autoSpaceDE w:val="0"/>
        <w:autoSpaceDN w:val="0"/>
        <w:spacing w:line="460" w:lineRule="exact"/>
        <w:jc w:val="center"/>
        <w:rPr>
          <w:rFonts w:hAnsi="宋体" w:cs="宋体"/>
          <w:b/>
          <w:bCs/>
          <w:color w:val="auto"/>
          <w:sz w:val="28"/>
          <w:szCs w:val="28"/>
          <w:highlight w:val="none"/>
        </w:rPr>
      </w:pPr>
      <w:r>
        <w:rPr>
          <w:rFonts w:hint="eastAsia"/>
          <w:color w:val="auto"/>
          <w:sz w:val="24"/>
          <w:highlight w:val="none"/>
        </w:rPr>
        <w:br w:type="page"/>
      </w:r>
      <w:r>
        <w:rPr>
          <w:rFonts w:hint="eastAsia" w:hAnsi="宋体" w:cs="宋体"/>
          <w:b/>
          <w:bCs/>
          <w:color w:val="auto"/>
          <w:sz w:val="28"/>
          <w:szCs w:val="28"/>
          <w:highlight w:val="none"/>
        </w:rPr>
        <w:t>格式7  残疾人福利性单位声明函</w:t>
      </w:r>
    </w:p>
    <w:p>
      <w:pPr>
        <w:spacing w:line="588" w:lineRule="exact"/>
        <w:rPr>
          <w:rFonts w:ascii="宋体" w:hAnsi="宋体" w:cs="宋体"/>
          <w:b/>
          <w:color w:val="auto"/>
          <w:spacing w:val="6"/>
          <w:sz w:val="30"/>
          <w:szCs w:val="30"/>
          <w:highlight w:val="none"/>
        </w:rPr>
      </w:pPr>
    </w:p>
    <w:p>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本单位对上述声明的真实性负责。如有虚假，将依法承担相应责任。</w:t>
      </w:r>
    </w:p>
    <w:p>
      <w:pPr>
        <w:spacing w:line="588" w:lineRule="exact"/>
        <w:ind w:firstLine="444" w:firstLineChars="200"/>
        <w:rPr>
          <w:rFonts w:hint="default" w:ascii="Times New Roman" w:hAnsi="Times New Roman" w:cs="Times New Roman"/>
          <w:color w:val="auto"/>
          <w:spacing w:val="6"/>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供应商</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topLinePunct/>
        <w:autoSpaceDE w:val="0"/>
        <w:autoSpaceDN w:val="0"/>
        <w:spacing w:line="460" w:lineRule="exact"/>
        <w:jc w:val="center"/>
        <w:rPr>
          <w:rFonts w:hint="default" w:ascii="Times New Roman" w:hAnsi="Times New Roman" w:cs="Times New Roman"/>
          <w:color w:val="auto"/>
          <w:spacing w:val="6"/>
          <w:sz w:val="21"/>
          <w:szCs w:val="21"/>
          <w:highlight w:val="none"/>
        </w:rPr>
      </w:pPr>
    </w:p>
    <w:p>
      <w:pPr>
        <w:rPr>
          <w:rFonts w:hAnsi="宋体" w:cs="宋体"/>
          <w:b/>
          <w:bCs/>
          <w:color w:val="auto"/>
          <w:sz w:val="28"/>
          <w:szCs w:val="28"/>
          <w:highlight w:val="none"/>
        </w:rPr>
      </w:pPr>
    </w:p>
    <w:p>
      <w:pPr>
        <w:pStyle w:val="20"/>
        <w:numPr>
          <w:ilvl w:val="0"/>
          <w:numId w:val="0"/>
        </w:numPr>
        <w:tabs>
          <w:tab w:val="left" w:pos="420"/>
        </w:tabs>
        <w:snapToGrid w:val="0"/>
        <w:spacing w:line="460" w:lineRule="atLeast"/>
        <w:jc w:val="center"/>
        <w:rPr>
          <w:rFonts w:cs="宋体"/>
          <w:b/>
          <w:bCs/>
          <w:color w:val="auto"/>
          <w:kern w:val="44"/>
          <w:sz w:val="28"/>
          <w:szCs w:val="28"/>
          <w:highlight w:val="none"/>
        </w:rPr>
      </w:pPr>
      <w:r>
        <w:rPr>
          <w:rFonts w:hint="eastAsia" w:cs="宋体"/>
          <w:color w:val="auto"/>
          <w:kern w:val="2"/>
          <w:sz w:val="28"/>
          <w:szCs w:val="28"/>
          <w:highlight w:val="none"/>
        </w:rPr>
        <w:br w:type="page"/>
      </w:r>
      <w:r>
        <w:rPr>
          <w:rFonts w:hint="eastAsia" w:cs="宋体"/>
          <w:b/>
          <w:bCs/>
          <w:color w:val="auto"/>
          <w:kern w:val="44"/>
          <w:sz w:val="28"/>
          <w:szCs w:val="28"/>
          <w:highlight w:val="none"/>
        </w:rPr>
        <w:t>格式8 成功案例一览表</w:t>
      </w:r>
    </w:p>
    <w:p>
      <w:pPr>
        <w:pStyle w:val="8"/>
        <w:topLinePunct/>
        <w:autoSpaceDE w:val="0"/>
        <w:autoSpaceDN w:val="0"/>
        <w:adjustRightInd w:val="0"/>
        <w:snapToGrid w:val="0"/>
        <w:spacing w:line="360" w:lineRule="auto"/>
        <w:ind w:left="2"/>
        <w:jc w:val="center"/>
        <w:rPr>
          <w:rFonts w:hAnsi="宋体" w:cs="宋体"/>
          <w:b w:val="0"/>
          <w:bCs w:val="0"/>
          <w:color w:val="auto"/>
          <w:kern w:val="2"/>
          <w:sz w:val="21"/>
          <w:highlight w:val="none"/>
        </w:rPr>
      </w:pPr>
      <w:r>
        <w:rPr>
          <w:rFonts w:hint="eastAsia" w:hAnsi="宋体" w:cs="宋体"/>
          <w:b w:val="0"/>
          <w:bCs w:val="0"/>
          <w:color w:val="auto"/>
          <w:kern w:val="2"/>
          <w:sz w:val="21"/>
          <w:highlight w:val="none"/>
        </w:rPr>
        <w:t>（</w:t>
      </w:r>
      <w:r>
        <w:rPr>
          <w:rFonts w:hint="eastAsia" w:hAnsi="宋体" w:cs="宋体"/>
          <w:b w:val="0"/>
          <w:bCs w:val="0"/>
          <w:i/>
          <w:color w:val="auto"/>
          <w:kern w:val="2"/>
          <w:sz w:val="21"/>
          <w:highlight w:val="none"/>
        </w:rPr>
        <w:t>根据采购文件要求调整</w:t>
      </w:r>
      <w:r>
        <w:rPr>
          <w:rFonts w:hint="eastAsia" w:hAnsi="宋体" w:cs="宋体"/>
          <w:b w:val="0"/>
          <w:bCs w:val="0"/>
          <w:color w:val="auto"/>
          <w:kern w:val="2"/>
          <w:sz w:val="21"/>
          <w:highlight w:val="none"/>
        </w:rPr>
        <w:t>）</w:t>
      </w:r>
    </w:p>
    <w:tbl>
      <w:tblPr>
        <w:tblStyle w:val="12"/>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合同主要</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用  户</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用户联</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系电话</w:t>
            </w: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1.提供20XX年1月1日以来（以合同签订日期为准），供应商独立承担的XXXX的项目案例。</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2.应提供合同复印件（线上采购项目提供扫描件，下同）。合同复印件应能清晰体现合同甲乙双方、合同时间、合同金额、合同主要内容等，并提供对方联系人及联系方式，否则不能获得相应分值。</w:t>
      </w:r>
    </w:p>
    <w:p>
      <w:pPr>
        <w:pStyle w:val="8"/>
        <w:topLinePunct/>
        <w:autoSpaceDE w:val="0"/>
        <w:autoSpaceDN w:val="0"/>
        <w:spacing w:line="460" w:lineRule="exact"/>
        <w:jc w:val="center"/>
        <w:rPr>
          <w:rFonts w:hAnsi="宋体" w:cs="宋体"/>
          <w:b/>
          <w:bCs/>
          <w:color w:val="auto"/>
          <w:sz w:val="36"/>
          <w:szCs w:val="36"/>
          <w:highlight w:val="none"/>
        </w:rPr>
      </w:pPr>
      <w:bookmarkStart w:id="14" w:name="_Toc315564887"/>
      <w:bookmarkStart w:id="15" w:name="_Toc1093498656"/>
      <w:bookmarkStart w:id="16" w:name="_Toc240142232"/>
      <w:bookmarkStart w:id="17" w:name="_Toc989815653"/>
      <w:bookmarkStart w:id="18" w:name="_Toc579775874"/>
      <w:bookmarkStart w:id="19" w:name="_Toc18814"/>
      <w:bookmarkStart w:id="20" w:name="_Toc2129800646"/>
      <w:bookmarkStart w:id="21" w:name="_Toc1062827402"/>
      <w:bookmarkStart w:id="22" w:name="_Toc1229686241"/>
      <w:bookmarkStart w:id="23" w:name="_Toc665197788"/>
    </w:p>
    <w:p>
      <w:pPr>
        <w:rPr>
          <w:rFonts w:hAnsi="宋体" w:cs="宋体"/>
          <w:b/>
          <w:bCs/>
          <w:color w:val="auto"/>
          <w:sz w:val="36"/>
          <w:szCs w:val="36"/>
          <w:highlight w:val="none"/>
        </w:rPr>
      </w:pPr>
      <w:r>
        <w:rPr>
          <w:rFonts w:hint="eastAsia" w:hAnsi="宋体" w:cs="宋体"/>
          <w:b/>
          <w:bCs/>
          <w:color w:val="auto"/>
          <w:sz w:val="36"/>
          <w:szCs w:val="36"/>
          <w:highlight w:val="none"/>
        </w:rPr>
        <w:br w:type="page"/>
      </w:r>
    </w:p>
    <w:p>
      <w:pPr>
        <w:spacing w:line="600" w:lineRule="auto"/>
        <w:jc w:val="center"/>
        <w:rPr>
          <w:rFonts w:ascii="宋体" w:hAnsi="宋体"/>
          <w:b/>
          <w:color w:val="auto"/>
          <w:kern w:val="0"/>
          <w:sz w:val="44"/>
          <w:szCs w:val="44"/>
          <w:highlight w:val="none"/>
        </w:rPr>
      </w:pPr>
    </w:p>
    <w:p>
      <w:pPr>
        <w:pStyle w:val="2"/>
        <w:rPr>
          <w:rFonts w:ascii="宋体" w:hAnsi="宋体"/>
          <w:b/>
          <w:color w:val="auto"/>
          <w:kern w:val="0"/>
          <w:sz w:val="44"/>
          <w:szCs w:val="44"/>
          <w:highlight w:val="none"/>
        </w:rPr>
      </w:pPr>
    </w:p>
    <w:p>
      <w:pPr>
        <w:rPr>
          <w:color w:val="auto"/>
          <w:highlight w:val="none"/>
        </w:rPr>
      </w:pPr>
    </w:p>
    <w:p>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响  应  文  件</w:t>
      </w:r>
    </w:p>
    <w:p>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技术部分</w:t>
      </w:r>
    </w:p>
    <w:p>
      <w:pPr>
        <w:spacing w:line="360" w:lineRule="auto"/>
        <w:ind w:firstLine="640" w:firstLineChars="200"/>
        <w:jc w:val="center"/>
        <w:rPr>
          <w:rFonts w:ascii="宋体" w:hAnsi="宋体"/>
          <w:color w:val="auto"/>
          <w:kern w:val="0"/>
          <w:sz w:val="32"/>
          <w:szCs w:val="32"/>
          <w:highlight w:val="none"/>
        </w:rPr>
      </w:pPr>
    </w:p>
    <w:p>
      <w:pPr>
        <w:spacing w:line="360" w:lineRule="auto"/>
        <w:jc w:val="center"/>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（填写正本或副本）</w:t>
      </w:r>
    </w:p>
    <w:p>
      <w:pPr>
        <w:spacing w:line="360" w:lineRule="auto"/>
        <w:ind w:firstLine="480" w:firstLineChars="200"/>
        <w:jc w:val="center"/>
        <w:rPr>
          <w:rFonts w:hint="eastAsia" w:ascii="方正小标宋简体" w:hAnsi="方正小标宋简体" w:eastAsia="方正小标宋简体" w:cs="方正小标宋简体"/>
          <w:b w:val="0"/>
          <w:bCs/>
          <w:color w:val="auto"/>
          <w:kern w:val="0"/>
          <w:sz w:val="24"/>
          <w:szCs w:val="24"/>
          <w:highlight w:val="none"/>
        </w:rPr>
      </w:pPr>
    </w:p>
    <w:p>
      <w:pPr>
        <w:pStyle w:val="2"/>
        <w:rPr>
          <w:rFonts w:hint="eastAsia" w:ascii="方正小标宋简体" w:hAnsi="方正小标宋简体" w:eastAsia="方正小标宋简体" w:cs="方正小标宋简体"/>
          <w:b w:val="0"/>
          <w:bCs/>
          <w:color w:val="auto"/>
          <w:kern w:val="0"/>
          <w:sz w:val="24"/>
          <w:szCs w:val="24"/>
          <w:highlight w:val="none"/>
        </w:rPr>
      </w:pPr>
    </w:p>
    <w:p>
      <w:pPr>
        <w:rPr>
          <w:rFonts w:hint="eastAsia" w:ascii="方正小标宋简体" w:hAnsi="方正小标宋简体" w:eastAsia="方正小标宋简体" w:cs="方正小标宋简体"/>
          <w:b w:val="0"/>
          <w:bCs/>
          <w:color w:val="auto"/>
          <w:kern w:val="0"/>
          <w:sz w:val="24"/>
          <w:szCs w:val="24"/>
          <w:highlight w:val="none"/>
        </w:rPr>
      </w:pPr>
    </w:p>
    <w:p>
      <w:pPr>
        <w:pStyle w:val="2"/>
        <w:rPr>
          <w:rFonts w:hint="eastAsia" w:ascii="方正小标宋简体" w:hAnsi="方正小标宋简体" w:eastAsia="方正小标宋简体" w:cs="方正小标宋简体"/>
          <w:b w:val="0"/>
          <w:bCs/>
          <w:color w:val="auto"/>
          <w:kern w:val="0"/>
          <w:sz w:val="24"/>
          <w:szCs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项目名称：</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项目编号：</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所投采购包：</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供应商：</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日  期：</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widowControl/>
        <w:spacing w:after="0" w:line="240" w:lineRule="auto"/>
        <w:jc w:val="center"/>
        <w:rPr>
          <w:rFonts w:ascii="宋体" w:hAnsi="宋体" w:cs="宋体"/>
          <w:b/>
          <w:bCs/>
          <w:color w:val="auto"/>
          <w:sz w:val="28"/>
          <w:szCs w:val="28"/>
          <w:highlight w:val="none"/>
        </w:rPr>
      </w:pPr>
      <w:r>
        <w:rPr>
          <w:rFonts w:ascii="宋体" w:hAnsi="宋体" w:cs="宋体"/>
          <w:b/>
          <w:bCs/>
          <w:color w:val="auto"/>
          <w:sz w:val="36"/>
          <w:szCs w:val="36"/>
          <w:highlight w:val="none"/>
        </w:rPr>
        <w:br w:type="page"/>
      </w:r>
      <w:bookmarkEnd w:id="14"/>
      <w:bookmarkEnd w:id="15"/>
      <w:bookmarkEnd w:id="16"/>
      <w:bookmarkEnd w:id="17"/>
      <w:bookmarkEnd w:id="18"/>
      <w:bookmarkEnd w:id="19"/>
      <w:bookmarkEnd w:id="20"/>
      <w:bookmarkEnd w:id="21"/>
      <w:bookmarkEnd w:id="22"/>
      <w:bookmarkEnd w:id="23"/>
      <w:r>
        <w:rPr>
          <w:rFonts w:hint="eastAsia" w:ascii="宋体" w:hAnsi="宋体" w:cs="宋体"/>
          <w:b/>
          <w:bCs/>
          <w:color w:val="auto"/>
          <w:sz w:val="28"/>
          <w:szCs w:val="28"/>
          <w:highlight w:val="none"/>
        </w:rPr>
        <w:t>格式9 技术条款偏离表</w:t>
      </w:r>
    </w:p>
    <w:tbl>
      <w:tblPr>
        <w:tblStyle w:val="12"/>
        <w:tblW w:w="91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8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516" w:type="dxa"/>
            <w:noWrap/>
            <w:vAlign w:val="top"/>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采购文件</w:t>
            </w:r>
          </w:p>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技术部分序号</w:t>
            </w:r>
          </w:p>
        </w:tc>
        <w:tc>
          <w:tcPr>
            <w:tcW w:w="2116"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采购文件</w:t>
            </w:r>
          </w:p>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技术部分内容要求</w:t>
            </w:r>
          </w:p>
        </w:tc>
        <w:tc>
          <w:tcPr>
            <w:tcW w:w="1684"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响应文件</w:t>
            </w:r>
          </w:p>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应答情况</w:t>
            </w:r>
          </w:p>
        </w:tc>
        <w:tc>
          <w:tcPr>
            <w:tcW w:w="2090"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偏离（无/正/负）</w:t>
            </w:r>
          </w:p>
        </w:tc>
        <w:tc>
          <w:tcPr>
            <w:tcW w:w="832"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5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32"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5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32"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5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32"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5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32"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516"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32"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516"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32"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1.按照《采购文件-技术部分》内容要求，一一对应填写。如果对《采购文件-技术部分》内容不做一一响应，而将“响应文件应答情况”简单笼统描述为“无偏离”，则视为无效应答。</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2.《采购文件-技术部分》内容须条对条应答，不得遗漏；如有遗漏，则视为无效应答。如无偏离，请在此表中填写“无偏离”。如有偏离，请在此表中应答为“正/负偏离”并说明偏离情况；</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3.如《采购文件-技术部分》中有标注★号的，则为实质性要求，必须满足，如应答为“负偏离”，将导致响应无效。</w:t>
      </w:r>
    </w:p>
    <w:p>
      <w:pPr>
        <w:adjustRightInd w:val="0"/>
        <w:snapToGrid w:val="0"/>
        <w:spacing w:line="360" w:lineRule="auto"/>
        <w:ind w:firstLine="480" w:firstLineChars="200"/>
        <w:rPr>
          <w:rFonts w:hAnsi="宋体" w:cs="宋体"/>
          <w:color w:val="auto"/>
          <w:sz w:val="24"/>
          <w:highlight w:val="none"/>
        </w:rPr>
      </w:pPr>
    </w:p>
    <w:p>
      <w:pPr>
        <w:pStyle w:val="21"/>
        <w:spacing w:after="156"/>
        <w:ind w:firstLine="400"/>
        <w:rPr>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授权代表（签字或盖章）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jc w:val="center"/>
        <w:rPr>
          <w:rFonts w:hAnsi="宋体" w:cs="宋体"/>
          <w:color w:val="auto"/>
          <w:sz w:val="24"/>
          <w:highlight w:val="none"/>
        </w:rPr>
        <w:sectPr>
          <w:pgSz w:w="11906" w:h="16838"/>
          <w:pgMar w:top="1440" w:right="1752" w:bottom="1440" w:left="1752" w:header="851" w:footer="992" w:gutter="0"/>
          <w:pgNumType w:fmt="decimal"/>
          <w:cols w:space="720" w:num="1"/>
          <w:titlePg/>
          <w:docGrid w:type="lines" w:linePitch="312" w:charSpace="0"/>
        </w:sectPr>
      </w:pPr>
    </w:p>
    <w:p>
      <w:pPr>
        <w:jc w:val="center"/>
        <w:rPr>
          <w:b/>
          <w:bCs/>
          <w:color w:val="auto"/>
          <w:sz w:val="28"/>
          <w:szCs w:val="28"/>
          <w:highlight w:val="none"/>
        </w:rPr>
      </w:pPr>
      <w:r>
        <w:rPr>
          <w:rFonts w:hint="eastAsia" w:ascii="宋体" w:hAnsi="宋体" w:eastAsia="宋体"/>
          <w:b/>
          <w:bCs/>
          <w:color w:val="auto"/>
          <w:sz w:val="28"/>
          <w:szCs w:val="28"/>
          <w:highlight w:val="none"/>
        </w:rPr>
        <w:t>格式</w:t>
      </w:r>
      <w:r>
        <w:rPr>
          <w:rFonts w:ascii="宋体" w:hAnsi="宋体" w:eastAsia="宋体"/>
          <w:b/>
          <w:bCs/>
          <w:color w:val="auto"/>
          <w:sz w:val="28"/>
          <w:szCs w:val="28"/>
          <w:highlight w:val="none"/>
        </w:rPr>
        <w:t>10</w:t>
      </w:r>
      <w:r>
        <w:rPr>
          <w:rFonts w:hint="eastAsia" w:ascii="宋体" w:hAnsi="宋体" w:eastAsia="宋体"/>
          <w:b/>
          <w:bCs/>
          <w:color w:val="auto"/>
          <w:sz w:val="28"/>
          <w:szCs w:val="28"/>
          <w:highlight w:val="none"/>
        </w:rPr>
        <w:t>货</w:t>
      </w:r>
      <w:r>
        <w:rPr>
          <w:rFonts w:hint="eastAsia"/>
          <w:b/>
          <w:bCs/>
          <w:color w:val="auto"/>
          <w:sz w:val="28"/>
          <w:szCs w:val="28"/>
          <w:highlight w:val="none"/>
        </w:rPr>
        <w:t>物说明一览表、服务方案、实施方案及技术方案</w:t>
      </w:r>
    </w:p>
    <w:p>
      <w:pPr>
        <w:spacing w:after="0" w:line="240" w:lineRule="auto"/>
        <w:ind w:firstLine="560" w:firstLineChars="200"/>
        <w:rPr>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货物说明一览表</w:t>
      </w:r>
    </w:p>
    <w:p>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after="0" w:line="360" w:lineRule="auto"/>
        <w:ind w:right="840"/>
        <w:rPr>
          <w:rFonts w:ascii="宋体" w:hAnsi="宋体" w:cs="宋体"/>
          <w:bCs/>
          <w:color w:val="auto"/>
          <w:w w:val="150"/>
          <w:szCs w:val="21"/>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   元</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91"/>
        <w:gridCol w:w="1510"/>
        <w:gridCol w:w="1291"/>
        <w:gridCol w:w="282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pct"/>
            <w:noWrap w:val="0"/>
            <w:vAlign w:val="center"/>
          </w:tcPr>
          <w:p>
            <w:pPr>
              <w:spacing w:after="0" w:line="360" w:lineRule="auto"/>
              <w:jc w:val="center"/>
              <w:rPr>
                <w:color w:val="auto"/>
                <w:sz w:val="21"/>
                <w:szCs w:val="21"/>
                <w:highlight w:val="none"/>
              </w:rPr>
            </w:pPr>
            <w:r>
              <w:rPr>
                <w:rFonts w:hint="eastAsia"/>
                <w:color w:val="auto"/>
                <w:sz w:val="21"/>
                <w:szCs w:val="21"/>
                <w:highlight w:val="none"/>
              </w:rPr>
              <w:t>序号</w:t>
            </w:r>
          </w:p>
        </w:tc>
        <w:tc>
          <w:tcPr>
            <w:tcW w:w="749" w:type="pct"/>
            <w:noWrap w:val="0"/>
            <w:vAlign w:val="center"/>
          </w:tcPr>
          <w:p>
            <w:pPr>
              <w:spacing w:after="0" w:line="360" w:lineRule="auto"/>
              <w:jc w:val="center"/>
              <w:rPr>
                <w:color w:val="auto"/>
                <w:sz w:val="21"/>
                <w:szCs w:val="21"/>
                <w:highlight w:val="none"/>
              </w:rPr>
            </w:pPr>
            <w:r>
              <w:rPr>
                <w:rFonts w:hint="eastAsia"/>
                <w:color w:val="auto"/>
                <w:sz w:val="21"/>
                <w:szCs w:val="21"/>
                <w:highlight w:val="none"/>
              </w:rPr>
              <w:t>货物名称</w:t>
            </w:r>
          </w:p>
        </w:tc>
        <w:tc>
          <w:tcPr>
            <w:tcW w:w="876" w:type="pct"/>
            <w:noWrap w:val="0"/>
            <w:vAlign w:val="center"/>
          </w:tcPr>
          <w:p>
            <w:pPr>
              <w:spacing w:after="0" w:line="360" w:lineRule="auto"/>
              <w:jc w:val="center"/>
              <w:rPr>
                <w:color w:val="auto"/>
                <w:sz w:val="21"/>
                <w:szCs w:val="21"/>
                <w:highlight w:val="none"/>
              </w:rPr>
            </w:pPr>
            <w:r>
              <w:rPr>
                <w:rFonts w:hint="eastAsia"/>
                <w:color w:val="auto"/>
                <w:sz w:val="21"/>
                <w:szCs w:val="21"/>
                <w:highlight w:val="none"/>
              </w:rPr>
              <w:t>制造商名称</w:t>
            </w:r>
          </w:p>
        </w:tc>
        <w:tc>
          <w:tcPr>
            <w:tcW w:w="749" w:type="pct"/>
            <w:noWrap w:val="0"/>
            <w:vAlign w:val="center"/>
          </w:tcPr>
          <w:p>
            <w:pPr>
              <w:spacing w:after="0" w:line="360" w:lineRule="auto"/>
              <w:jc w:val="center"/>
              <w:rPr>
                <w:color w:val="auto"/>
                <w:sz w:val="21"/>
                <w:szCs w:val="21"/>
                <w:highlight w:val="none"/>
              </w:rPr>
            </w:pPr>
            <w:r>
              <w:rPr>
                <w:rFonts w:hint="eastAsia"/>
                <w:color w:val="auto"/>
                <w:sz w:val="21"/>
                <w:szCs w:val="21"/>
                <w:highlight w:val="none"/>
              </w:rPr>
              <w:t>型号规格</w:t>
            </w:r>
          </w:p>
        </w:tc>
        <w:tc>
          <w:tcPr>
            <w:tcW w:w="1639" w:type="pct"/>
            <w:noWrap w:val="0"/>
            <w:vAlign w:val="center"/>
          </w:tcPr>
          <w:p>
            <w:pPr>
              <w:spacing w:after="0" w:line="360" w:lineRule="auto"/>
              <w:jc w:val="center"/>
              <w:rPr>
                <w:color w:val="auto"/>
                <w:sz w:val="21"/>
                <w:szCs w:val="21"/>
                <w:highlight w:val="none"/>
              </w:rPr>
            </w:pPr>
            <w:r>
              <w:rPr>
                <w:rFonts w:hint="eastAsia"/>
                <w:color w:val="auto"/>
                <w:sz w:val="21"/>
                <w:szCs w:val="21"/>
                <w:highlight w:val="none"/>
              </w:rPr>
              <w:t>主要技术参数和技术指标</w:t>
            </w:r>
          </w:p>
        </w:tc>
        <w:tc>
          <w:tcPr>
            <w:tcW w:w="493" w:type="pct"/>
            <w:noWrap w:val="0"/>
            <w:vAlign w:val="center"/>
          </w:tcPr>
          <w:p>
            <w:pPr>
              <w:spacing w:after="0" w:line="360" w:lineRule="auto"/>
              <w:jc w:val="center"/>
              <w:rPr>
                <w:color w:val="auto"/>
                <w:sz w:val="21"/>
                <w:szCs w:val="21"/>
                <w:highlight w:val="none"/>
              </w:rPr>
            </w:pPr>
            <w:r>
              <w:rPr>
                <w:rFonts w:hint="eastAsia"/>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pct"/>
            <w:noWrap w:val="0"/>
            <w:vAlign w:val="center"/>
          </w:tcPr>
          <w:p>
            <w:pPr>
              <w:spacing w:after="0" w:line="360" w:lineRule="auto"/>
              <w:jc w:val="center"/>
              <w:rPr>
                <w:color w:val="auto"/>
                <w:sz w:val="21"/>
                <w:szCs w:val="21"/>
                <w:highlight w:val="none"/>
              </w:rPr>
            </w:pPr>
          </w:p>
        </w:tc>
        <w:tc>
          <w:tcPr>
            <w:tcW w:w="749" w:type="pct"/>
            <w:noWrap w:val="0"/>
            <w:vAlign w:val="center"/>
          </w:tcPr>
          <w:p>
            <w:pPr>
              <w:spacing w:after="0" w:line="360" w:lineRule="auto"/>
              <w:jc w:val="center"/>
              <w:rPr>
                <w:color w:val="auto"/>
                <w:sz w:val="21"/>
                <w:szCs w:val="21"/>
                <w:highlight w:val="none"/>
              </w:rPr>
            </w:pPr>
          </w:p>
        </w:tc>
        <w:tc>
          <w:tcPr>
            <w:tcW w:w="876" w:type="pct"/>
            <w:noWrap w:val="0"/>
            <w:vAlign w:val="center"/>
          </w:tcPr>
          <w:p>
            <w:pPr>
              <w:spacing w:after="0" w:line="360" w:lineRule="auto"/>
              <w:jc w:val="center"/>
              <w:rPr>
                <w:color w:val="auto"/>
                <w:sz w:val="21"/>
                <w:szCs w:val="21"/>
                <w:highlight w:val="none"/>
              </w:rPr>
            </w:pPr>
          </w:p>
        </w:tc>
        <w:tc>
          <w:tcPr>
            <w:tcW w:w="749" w:type="pct"/>
            <w:noWrap w:val="0"/>
            <w:vAlign w:val="center"/>
          </w:tcPr>
          <w:p>
            <w:pPr>
              <w:spacing w:after="0" w:line="360" w:lineRule="auto"/>
              <w:jc w:val="center"/>
              <w:rPr>
                <w:color w:val="auto"/>
                <w:sz w:val="21"/>
                <w:szCs w:val="21"/>
                <w:highlight w:val="none"/>
              </w:rPr>
            </w:pPr>
          </w:p>
        </w:tc>
        <w:tc>
          <w:tcPr>
            <w:tcW w:w="1639" w:type="pct"/>
            <w:noWrap w:val="0"/>
            <w:vAlign w:val="center"/>
          </w:tcPr>
          <w:p>
            <w:pPr>
              <w:spacing w:after="0" w:line="360" w:lineRule="auto"/>
              <w:jc w:val="center"/>
              <w:rPr>
                <w:color w:val="auto"/>
                <w:sz w:val="21"/>
                <w:szCs w:val="21"/>
                <w:highlight w:val="none"/>
              </w:rPr>
            </w:pPr>
          </w:p>
        </w:tc>
        <w:tc>
          <w:tcPr>
            <w:tcW w:w="493" w:type="pct"/>
            <w:noWrap w:val="0"/>
            <w:vAlign w:val="center"/>
          </w:tcPr>
          <w:p>
            <w:pPr>
              <w:spacing w:after="0" w:line="360"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pct"/>
            <w:noWrap w:val="0"/>
            <w:vAlign w:val="center"/>
          </w:tcPr>
          <w:p>
            <w:pPr>
              <w:spacing w:after="0" w:line="360" w:lineRule="auto"/>
              <w:jc w:val="center"/>
              <w:rPr>
                <w:color w:val="auto"/>
                <w:sz w:val="21"/>
                <w:szCs w:val="21"/>
                <w:highlight w:val="none"/>
              </w:rPr>
            </w:pPr>
          </w:p>
        </w:tc>
        <w:tc>
          <w:tcPr>
            <w:tcW w:w="749" w:type="pct"/>
            <w:noWrap w:val="0"/>
            <w:vAlign w:val="center"/>
          </w:tcPr>
          <w:p>
            <w:pPr>
              <w:spacing w:after="0" w:line="360" w:lineRule="auto"/>
              <w:jc w:val="center"/>
              <w:rPr>
                <w:color w:val="auto"/>
                <w:sz w:val="21"/>
                <w:szCs w:val="21"/>
                <w:highlight w:val="none"/>
              </w:rPr>
            </w:pPr>
          </w:p>
        </w:tc>
        <w:tc>
          <w:tcPr>
            <w:tcW w:w="876" w:type="pct"/>
            <w:noWrap w:val="0"/>
            <w:vAlign w:val="center"/>
          </w:tcPr>
          <w:p>
            <w:pPr>
              <w:spacing w:after="0" w:line="360" w:lineRule="auto"/>
              <w:jc w:val="center"/>
              <w:rPr>
                <w:color w:val="auto"/>
                <w:sz w:val="21"/>
                <w:szCs w:val="21"/>
                <w:highlight w:val="none"/>
              </w:rPr>
            </w:pPr>
          </w:p>
        </w:tc>
        <w:tc>
          <w:tcPr>
            <w:tcW w:w="749" w:type="pct"/>
            <w:noWrap w:val="0"/>
            <w:vAlign w:val="center"/>
          </w:tcPr>
          <w:p>
            <w:pPr>
              <w:spacing w:after="0" w:line="360" w:lineRule="auto"/>
              <w:jc w:val="center"/>
              <w:rPr>
                <w:color w:val="auto"/>
                <w:sz w:val="21"/>
                <w:szCs w:val="21"/>
                <w:highlight w:val="none"/>
              </w:rPr>
            </w:pPr>
          </w:p>
        </w:tc>
        <w:tc>
          <w:tcPr>
            <w:tcW w:w="1639" w:type="pct"/>
            <w:noWrap w:val="0"/>
            <w:vAlign w:val="center"/>
          </w:tcPr>
          <w:p>
            <w:pPr>
              <w:spacing w:after="0" w:line="360" w:lineRule="auto"/>
              <w:jc w:val="center"/>
              <w:rPr>
                <w:color w:val="auto"/>
                <w:sz w:val="21"/>
                <w:szCs w:val="21"/>
                <w:highlight w:val="none"/>
              </w:rPr>
            </w:pPr>
          </w:p>
        </w:tc>
        <w:tc>
          <w:tcPr>
            <w:tcW w:w="493" w:type="pct"/>
            <w:noWrap w:val="0"/>
            <w:vAlign w:val="center"/>
          </w:tcPr>
          <w:p>
            <w:pPr>
              <w:spacing w:after="0" w:line="360"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pct"/>
            <w:noWrap w:val="0"/>
            <w:vAlign w:val="center"/>
          </w:tcPr>
          <w:p>
            <w:pPr>
              <w:spacing w:after="0" w:line="360" w:lineRule="auto"/>
              <w:jc w:val="center"/>
              <w:rPr>
                <w:color w:val="auto"/>
                <w:sz w:val="21"/>
                <w:szCs w:val="21"/>
                <w:highlight w:val="none"/>
              </w:rPr>
            </w:pPr>
          </w:p>
        </w:tc>
        <w:tc>
          <w:tcPr>
            <w:tcW w:w="749" w:type="pct"/>
            <w:noWrap w:val="0"/>
            <w:vAlign w:val="center"/>
          </w:tcPr>
          <w:p>
            <w:pPr>
              <w:spacing w:after="0" w:line="360" w:lineRule="auto"/>
              <w:jc w:val="center"/>
              <w:rPr>
                <w:color w:val="auto"/>
                <w:sz w:val="21"/>
                <w:szCs w:val="21"/>
                <w:highlight w:val="none"/>
              </w:rPr>
            </w:pPr>
          </w:p>
        </w:tc>
        <w:tc>
          <w:tcPr>
            <w:tcW w:w="876" w:type="pct"/>
            <w:noWrap w:val="0"/>
            <w:vAlign w:val="center"/>
          </w:tcPr>
          <w:p>
            <w:pPr>
              <w:spacing w:after="0" w:line="360" w:lineRule="auto"/>
              <w:jc w:val="center"/>
              <w:rPr>
                <w:color w:val="auto"/>
                <w:sz w:val="21"/>
                <w:szCs w:val="21"/>
                <w:highlight w:val="none"/>
              </w:rPr>
            </w:pPr>
          </w:p>
        </w:tc>
        <w:tc>
          <w:tcPr>
            <w:tcW w:w="749" w:type="pct"/>
            <w:noWrap w:val="0"/>
            <w:vAlign w:val="center"/>
          </w:tcPr>
          <w:p>
            <w:pPr>
              <w:spacing w:after="0" w:line="360" w:lineRule="auto"/>
              <w:jc w:val="center"/>
              <w:rPr>
                <w:color w:val="auto"/>
                <w:sz w:val="21"/>
                <w:szCs w:val="21"/>
                <w:highlight w:val="none"/>
              </w:rPr>
            </w:pPr>
          </w:p>
        </w:tc>
        <w:tc>
          <w:tcPr>
            <w:tcW w:w="1639" w:type="pct"/>
            <w:noWrap w:val="0"/>
            <w:vAlign w:val="center"/>
          </w:tcPr>
          <w:p>
            <w:pPr>
              <w:spacing w:after="0" w:line="360" w:lineRule="auto"/>
              <w:jc w:val="center"/>
              <w:rPr>
                <w:color w:val="auto"/>
                <w:sz w:val="21"/>
                <w:szCs w:val="21"/>
                <w:highlight w:val="none"/>
              </w:rPr>
            </w:pPr>
          </w:p>
        </w:tc>
        <w:tc>
          <w:tcPr>
            <w:tcW w:w="493" w:type="pct"/>
            <w:noWrap w:val="0"/>
            <w:vAlign w:val="center"/>
          </w:tcPr>
          <w:p>
            <w:pPr>
              <w:spacing w:after="0" w:line="360"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pct"/>
            <w:noWrap w:val="0"/>
            <w:vAlign w:val="center"/>
          </w:tcPr>
          <w:p>
            <w:pPr>
              <w:spacing w:after="0" w:line="360" w:lineRule="auto"/>
              <w:jc w:val="center"/>
              <w:rPr>
                <w:color w:val="auto"/>
                <w:sz w:val="21"/>
                <w:szCs w:val="21"/>
                <w:highlight w:val="none"/>
              </w:rPr>
            </w:pPr>
          </w:p>
        </w:tc>
        <w:tc>
          <w:tcPr>
            <w:tcW w:w="749" w:type="pct"/>
            <w:noWrap w:val="0"/>
            <w:vAlign w:val="center"/>
          </w:tcPr>
          <w:p>
            <w:pPr>
              <w:spacing w:after="0" w:line="360" w:lineRule="auto"/>
              <w:jc w:val="center"/>
              <w:rPr>
                <w:color w:val="auto"/>
                <w:sz w:val="21"/>
                <w:szCs w:val="21"/>
                <w:highlight w:val="none"/>
              </w:rPr>
            </w:pPr>
          </w:p>
        </w:tc>
        <w:tc>
          <w:tcPr>
            <w:tcW w:w="876" w:type="pct"/>
            <w:noWrap w:val="0"/>
            <w:vAlign w:val="center"/>
          </w:tcPr>
          <w:p>
            <w:pPr>
              <w:spacing w:after="0" w:line="360" w:lineRule="auto"/>
              <w:jc w:val="center"/>
              <w:rPr>
                <w:color w:val="auto"/>
                <w:sz w:val="21"/>
                <w:szCs w:val="21"/>
                <w:highlight w:val="none"/>
              </w:rPr>
            </w:pPr>
          </w:p>
        </w:tc>
        <w:tc>
          <w:tcPr>
            <w:tcW w:w="749" w:type="pct"/>
            <w:noWrap w:val="0"/>
            <w:vAlign w:val="center"/>
          </w:tcPr>
          <w:p>
            <w:pPr>
              <w:spacing w:after="0" w:line="360" w:lineRule="auto"/>
              <w:jc w:val="center"/>
              <w:rPr>
                <w:color w:val="auto"/>
                <w:sz w:val="21"/>
                <w:szCs w:val="21"/>
                <w:highlight w:val="none"/>
              </w:rPr>
            </w:pPr>
          </w:p>
        </w:tc>
        <w:tc>
          <w:tcPr>
            <w:tcW w:w="1639" w:type="pct"/>
            <w:noWrap w:val="0"/>
            <w:vAlign w:val="center"/>
          </w:tcPr>
          <w:p>
            <w:pPr>
              <w:spacing w:after="0" w:line="360" w:lineRule="auto"/>
              <w:jc w:val="center"/>
              <w:rPr>
                <w:color w:val="auto"/>
                <w:sz w:val="21"/>
                <w:szCs w:val="21"/>
                <w:highlight w:val="none"/>
              </w:rPr>
            </w:pPr>
          </w:p>
        </w:tc>
        <w:tc>
          <w:tcPr>
            <w:tcW w:w="493" w:type="pct"/>
            <w:noWrap w:val="0"/>
            <w:vAlign w:val="center"/>
          </w:tcPr>
          <w:p>
            <w:pPr>
              <w:spacing w:after="0" w:line="360" w:lineRule="auto"/>
              <w:jc w:val="center"/>
              <w:rPr>
                <w:color w:val="auto"/>
                <w:sz w:val="21"/>
                <w:szCs w:val="21"/>
                <w:highlight w:val="none"/>
              </w:rPr>
            </w:pPr>
          </w:p>
        </w:tc>
      </w:tr>
    </w:tbl>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备注：货物的主要技术参数和技术指标可另页描述。</w:t>
      </w:r>
    </w:p>
    <w:p>
      <w:pPr>
        <w:spacing w:after="0" w:line="240" w:lineRule="auto"/>
        <w:ind w:firstLine="420" w:firstLineChars="200"/>
        <w:rPr>
          <w:color w:val="auto"/>
          <w:szCs w:val="21"/>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授权代表（签字或盖章）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eastAsia="黑体"/>
          <w:color w:val="auto"/>
          <w:szCs w:val="21"/>
          <w:highlight w:val="none"/>
        </w:rPr>
      </w:pPr>
      <w:r>
        <w:rPr>
          <w:rFonts w:eastAsia="仿宋_GB2312"/>
          <w:color w:val="auto"/>
          <w:sz w:val="21"/>
          <w:szCs w:val="21"/>
          <w:highlight w:val="none"/>
        </w:rPr>
        <w:br w:type="page"/>
      </w:r>
      <w:r>
        <w:rPr>
          <w:rFonts w:hint="eastAsia" w:ascii="宋体" w:hAnsi="宋体" w:cs="宋体"/>
          <w:b/>
          <w:bCs/>
          <w:color w:val="auto"/>
          <w:sz w:val="28"/>
          <w:szCs w:val="28"/>
          <w:highlight w:val="none"/>
        </w:rPr>
        <w:t>服务方案说明</w:t>
      </w:r>
    </w:p>
    <w:p>
      <w:pPr>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服务类项目供应商应根据第六章规定编写服务方案说明。服务方案说明包括但不限于：</w:t>
      </w:r>
    </w:p>
    <w:p>
      <w:pPr>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(1)服务目标、范围和任务；</w:t>
      </w:r>
    </w:p>
    <w:p>
      <w:pPr>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(2)服务方案；</w:t>
      </w:r>
    </w:p>
    <w:p>
      <w:pPr>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(3)服务团队组织安排计划；</w:t>
      </w:r>
    </w:p>
    <w:p>
      <w:pPr>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(4)工作流程；</w:t>
      </w:r>
    </w:p>
    <w:p>
      <w:pPr>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(5)进度计划及保证措施；</w:t>
      </w:r>
    </w:p>
    <w:p>
      <w:pPr>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(6)质量保证措施；</w:t>
      </w:r>
    </w:p>
    <w:p>
      <w:pPr>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(7)合理化建议；</w:t>
      </w:r>
    </w:p>
    <w:p>
      <w:pPr>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(8)其他。</w:t>
      </w:r>
    </w:p>
    <w:p>
      <w:pPr>
        <w:spacing w:after="0" w:line="240" w:lineRule="auto"/>
        <w:ind w:firstLine="420" w:firstLineChars="200"/>
        <w:rPr>
          <w:rFonts w:eastAsia="仿宋_GB2312"/>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实施方案</w:t>
      </w:r>
    </w:p>
    <w:p>
      <w:pPr>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(示例略)</w:t>
      </w:r>
    </w:p>
    <w:p>
      <w:pPr>
        <w:spacing w:after="0" w:line="240" w:lineRule="auto"/>
        <w:ind w:firstLine="420" w:firstLineChars="200"/>
        <w:rPr>
          <w:rFonts w:eastAsia="仿宋_GB2312"/>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技术方案</w:t>
      </w:r>
    </w:p>
    <w:p>
      <w:pPr>
        <w:spacing w:line="360" w:lineRule="auto"/>
        <w:ind w:firstLine="420" w:firstLineChars="200"/>
        <w:jc w:val="left"/>
        <w:rPr>
          <w:rFonts w:ascii="宋体" w:hAnsi="宋体"/>
          <w:color w:val="auto"/>
          <w:kern w:val="0"/>
          <w:sz w:val="21"/>
          <w:szCs w:val="21"/>
          <w:highlight w:val="none"/>
        </w:rPr>
      </w:pPr>
      <w:r>
        <w:rPr>
          <w:rFonts w:ascii="宋体" w:hAnsi="宋体"/>
          <w:color w:val="auto"/>
          <w:kern w:val="0"/>
          <w:sz w:val="21"/>
          <w:szCs w:val="21"/>
          <w:highlight w:val="none"/>
        </w:rPr>
        <w:t>(</w:t>
      </w:r>
      <w:r>
        <w:rPr>
          <w:rFonts w:hint="eastAsia" w:ascii="宋体" w:hAnsi="宋体"/>
          <w:color w:val="auto"/>
          <w:kern w:val="0"/>
          <w:sz w:val="21"/>
          <w:szCs w:val="21"/>
          <w:highlight w:val="none"/>
        </w:rPr>
        <w:t>示例略</w:t>
      </w:r>
      <w:r>
        <w:rPr>
          <w:rFonts w:ascii="宋体" w:hAnsi="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auto"/>
          <w:sz w:val="28"/>
          <w:szCs w:val="28"/>
          <w:highlight w:val="none"/>
        </w:rPr>
      </w:pPr>
      <w:r>
        <w:rPr>
          <w:rFonts w:ascii="宋体" w:hAnsi="宋体"/>
          <w:color w:val="auto"/>
          <w:kern w:val="0"/>
          <w:sz w:val="24"/>
          <w:highlight w:val="none"/>
        </w:rPr>
        <w:br w:type="page"/>
      </w:r>
      <w:r>
        <w:rPr>
          <w:rFonts w:hint="eastAsia" w:ascii="宋体" w:hAnsi="宋体" w:cs="宋体"/>
          <w:b/>
          <w:bCs/>
          <w:color w:val="auto"/>
          <w:sz w:val="28"/>
          <w:szCs w:val="28"/>
          <w:highlight w:val="none"/>
        </w:rPr>
        <w:t>格式11 技术力量一览表</w:t>
      </w:r>
    </w:p>
    <w:tbl>
      <w:tblPr>
        <w:tblStyle w:val="1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技术职称</w:t>
            </w: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人员级别</w:t>
            </w: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工作年限</w:t>
            </w: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本项目中担任职务</w:t>
            </w: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noWrap/>
            <w:vAlign w:val="center"/>
          </w:tcPr>
          <w:p>
            <w:pPr>
              <w:numPr>
                <w:ilvl w:val="0"/>
                <w:numId w:val="0"/>
              </w:numPr>
              <w:adjustRightInd w:val="0"/>
              <w:spacing w:after="0" w:line="24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lang w:eastAsia="zh-CN"/>
              </w:rPr>
              <w:t>一、</w:t>
            </w:r>
            <w:r>
              <w:rPr>
                <w:rFonts w:hint="default" w:ascii="Times New Roman" w:hAnsi="Times New Roman" w:cs="Times New Roman"/>
                <w:b w:val="0"/>
                <w:bCs w:val="0"/>
                <w:color w:val="auto"/>
                <w:sz w:val="21"/>
                <w:szCs w:val="21"/>
                <w:highlight w:val="none"/>
              </w:rPr>
              <w:t>项目管理人员</w:t>
            </w:r>
          </w:p>
          <w:p>
            <w:pPr>
              <w:adjustRightInd w:val="0"/>
              <w:spacing w:after="0" w:line="24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5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5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35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ascii="宋体" w:hAnsi="宋体" w:cs="宋体"/>
          <w:color w:val="auto"/>
          <w:szCs w:val="21"/>
          <w:highlight w:val="none"/>
        </w:rPr>
      </w:pPr>
      <w:r>
        <w:rPr>
          <w:rFonts w:ascii="宋体" w:hAnsi="宋体" w:cs="宋体"/>
          <w:color w:val="auto"/>
          <w:szCs w:val="21"/>
          <w:highlight w:val="none"/>
        </w:rPr>
        <w:t>特别说明：</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供应商须按照上述格式填写投入本项目所有人员的相关信息。</w:t>
      </w:r>
    </w:p>
    <w:p>
      <w:pPr>
        <w:topLinePunct/>
        <w:autoSpaceDE w:val="0"/>
        <w:autoSpaceDN w:val="0"/>
        <w:spacing w:line="460" w:lineRule="exact"/>
        <w:rPr>
          <w:rFonts w:ascii="宋体" w:hAnsi="宋体" w:cs="宋体"/>
          <w:bCs/>
          <w:color w:val="auto"/>
          <w:w w:val="150"/>
          <w:sz w:val="24"/>
          <w:highlight w:val="none"/>
          <w:shd w:val="clear" w:color="auto" w:fill="FFFF00"/>
        </w:rPr>
      </w:pPr>
    </w:p>
    <w:p>
      <w:pPr>
        <w:topLinePunct/>
        <w:autoSpaceDE w:val="0"/>
        <w:autoSpaceDN w:val="0"/>
        <w:spacing w:line="460" w:lineRule="exact"/>
        <w:jc w:val="center"/>
        <w:rPr>
          <w:rFonts w:ascii="宋体" w:hAnsi="宋体" w:cs="宋体"/>
          <w:b/>
          <w:bCs/>
          <w:color w:val="auto"/>
          <w:sz w:val="28"/>
          <w:szCs w:val="28"/>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8"/>
          <w:szCs w:val="28"/>
          <w:highlight w:val="none"/>
        </w:rPr>
        <w:t>格式12 技术人员简历表</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r>
              <w:rPr>
                <w:rFonts w:hint="eastAsia" w:ascii="宋体" w:hAnsi="宋体" w:cs="宋体"/>
                <w:color w:val="auto"/>
                <w:highlight w:val="none"/>
              </w:rPr>
              <w:t>姓   名</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r>
              <w:rPr>
                <w:rFonts w:hint="eastAsia" w:ascii="宋体" w:hAnsi="宋体" w:cs="宋体"/>
                <w:color w:val="auto"/>
                <w:highlight w:val="none"/>
              </w:rPr>
              <w:t>性    别</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r>
              <w:rPr>
                <w:rFonts w:hint="eastAsia" w:ascii="宋体" w:hAnsi="宋体" w:cs="宋体"/>
                <w:color w:val="auto"/>
                <w:highlight w:val="none"/>
              </w:rPr>
              <w:t>出生日期</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r>
              <w:rPr>
                <w:rFonts w:hint="eastAsia" w:ascii="宋体" w:hAnsi="宋体" w:cs="宋体"/>
                <w:color w:val="auto"/>
                <w:highlight w:val="none"/>
              </w:rPr>
              <w:t>学   历</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r>
              <w:rPr>
                <w:rFonts w:hint="eastAsia" w:ascii="宋体" w:hAnsi="宋体" w:cs="宋体"/>
                <w:color w:val="auto"/>
                <w:highlight w:val="none"/>
              </w:rPr>
              <w:t>毕业学校</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r>
              <w:rPr>
                <w:rFonts w:hint="eastAsia" w:ascii="宋体" w:hAnsi="宋体" w:cs="宋体"/>
                <w:color w:val="auto"/>
                <w:highlight w:val="none"/>
              </w:rPr>
              <w:t>技术职称</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r>
              <w:rPr>
                <w:rFonts w:hint="eastAsia" w:ascii="宋体" w:hAnsi="宋体" w:cs="宋体"/>
                <w:color w:val="auto"/>
                <w:highlight w:val="none"/>
              </w:rPr>
              <w:t>公司职务</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r>
              <w:rPr>
                <w:rFonts w:hint="eastAsia" w:ascii="宋体" w:hAnsi="宋体" w:cs="宋体"/>
                <w:color w:val="auto"/>
                <w:highlight w:val="none"/>
              </w:rPr>
              <w:t>任职时间</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r>
              <w:rPr>
                <w:rFonts w:hint="eastAsia" w:ascii="宋体" w:hAnsi="宋体" w:cs="宋体"/>
                <w:color w:val="auto"/>
                <w:highlight w:val="none"/>
              </w:rPr>
              <w:t>本项目任职</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r>
              <w:rPr>
                <w:rFonts w:hint="eastAsia" w:ascii="宋体" w:hAnsi="宋体" w:cs="宋体"/>
                <w:color w:val="auto"/>
                <w:highlight w:val="none"/>
              </w:rPr>
              <w:t>人员级别</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Cs w:val="21"/>
                <w:highlight w:val="none"/>
              </w:rPr>
            </w:pPr>
            <w:r>
              <w:rPr>
                <w:rFonts w:hint="eastAsia" w:ascii="宋体" w:hAnsi="宋体" w:cs="宋体"/>
                <w:color w:val="auto"/>
                <w:szCs w:val="21"/>
                <w:highlight w:val="none"/>
              </w:rPr>
              <w:t>从事XXX工作年限</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r>
              <w:rPr>
                <w:rFonts w:hint="eastAsia" w:ascii="宋体" w:hAnsi="宋体" w:cs="宋体"/>
                <w:color w:val="auto"/>
                <w:szCs w:val="21"/>
                <w:highlight w:val="none"/>
              </w:rPr>
              <w:t>从事XXXX年限</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highlight w:val="none"/>
              </w:rPr>
            </w:pPr>
            <w:r>
              <w:rPr>
                <w:rFonts w:hint="eastAsia" w:ascii="宋体" w:hAnsi="宋体" w:cs="宋体"/>
                <w:color w:val="auto"/>
                <w:highlight w:val="none"/>
              </w:rPr>
              <w:t>认证证书</w:t>
            </w:r>
          </w:p>
        </w:tc>
        <w:tc>
          <w:tcPr>
            <w:tcW w:w="766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宋体" w:hAnsi="宋体" w:cs="宋体"/>
                <w:color w:val="auto"/>
                <w:sz w:val="24"/>
                <w:highlight w:val="none"/>
              </w:rPr>
            </w:pPr>
            <w:r>
              <w:rPr>
                <w:rFonts w:hint="eastAsia" w:ascii="宋体" w:hAnsi="宋体" w:cs="宋体"/>
                <w:color w:val="auto"/>
                <w:highlight w:val="none"/>
              </w:rPr>
              <w:t>工作简历及主要业绩</w:t>
            </w:r>
          </w:p>
          <w:p>
            <w:pPr>
              <w:adjustRightInd w:val="0"/>
              <w:spacing w:after="0" w:line="240" w:lineRule="auto"/>
              <w:rPr>
                <w:rFonts w:ascii="宋体" w:hAnsi="宋体" w:cs="宋体"/>
                <w:color w:val="auto"/>
                <w:sz w:val="24"/>
                <w:highlight w:val="none"/>
              </w:rPr>
            </w:pPr>
          </w:p>
        </w:tc>
      </w:tr>
    </w:tbl>
    <w:p>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1.供应商应提供投入本项目所有人员的简历。</w:t>
      </w:r>
    </w:p>
    <w:p>
      <w:pPr>
        <w:topLinePunct/>
        <w:autoSpaceDE w:val="0"/>
        <w:autoSpaceDN w:val="0"/>
        <w:spacing w:after="0"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等人员应提供</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复印件。 </w:t>
      </w:r>
    </w:p>
    <w:p>
      <w:pPr>
        <w:widowControl/>
        <w:spacing w:after="0" w:line="240" w:lineRule="auto"/>
        <w:jc w:val="left"/>
        <w:rPr>
          <w:color w:val="auto"/>
          <w:highlight w:val="none"/>
        </w:rPr>
      </w:pPr>
    </w:p>
    <w:p>
      <w:pPr>
        <w:widowControl/>
        <w:spacing w:after="0" w:line="240" w:lineRule="auto"/>
        <w:jc w:val="center"/>
        <w:rPr>
          <w:b/>
          <w:bCs/>
          <w:color w:val="auto"/>
          <w:sz w:val="28"/>
          <w:szCs w:val="28"/>
          <w:highlight w:val="none"/>
        </w:rPr>
      </w:pPr>
      <w:r>
        <w:rPr>
          <w:rFonts w:ascii="宋体" w:hAnsi="宋体" w:eastAsia="宋体"/>
          <w:b/>
          <w:bCs/>
          <w:color w:val="auto"/>
          <w:sz w:val="36"/>
          <w:szCs w:val="36"/>
          <w:highlight w:val="none"/>
        </w:rPr>
        <w:br w:type="page"/>
      </w:r>
      <w:r>
        <w:rPr>
          <w:rFonts w:hint="eastAsia" w:ascii="宋体" w:hAnsi="宋体" w:eastAsia="宋体"/>
          <w:b/>
          <w:bCs/>
          <w:color w:val="auto"/>
          <w:sz w:val="28"/>
          <w:szCs w:val="28"/>
          <w:highlight w:val="none"/>
        </w:rPr>
        <w:t>格式13 供应商售后服务承诺</w:t>
      </w:r>
    </w:p>
    <w:p>
      <w:pPr>
        <w:spacing w:after="0" w:line="240" w:lineRule="auto"/>
        <w:ind w:firstLine="420" w:firstLineChars="200"/>
        <w:rPr>
          <w:color w:val="auto"/>
          <w:szCs w:val="21"/>
          <w:highlight w:val="none"/>
        </w:rPr>
      </w:pPr>
    </w:p>
    <w:p>
      <w:pPr>
        <w:spacing w:line="360" w:lineRule="auto"/>
        <w:ind w:firstLine="420" w:firstLineChars="200"/>
        <w:jc w:val="left"/>
        <w:rPr>
          <w:rFonts w:ascii="宋体" w:hAnsi="宋体"/>
          <w:color w:val="auto"/>
          <w:kern w:val="0"/>
          <w:sz w:val="21"/>
          <w:szCs w:val="21"/>
          <w:highlight w:val="none"/>
        </w:rPr>
      </w:pPr>
      <w:r>
        <w:rPr>
          <w:rFonts w:ascii="宋体" w:hAnsi="宋体"/>
          <w:color w:val="auto"/>
          <w:kern w:val="0"/>
          <w:sz w:val="21"/>
          <w:szCs w:val="21"/>
          <w:highlight w:val="none"/>
        </w:rPr>
        <w:t>(示例略)</w:t>
      </w:r>
    </w:p>
    <w:p>
      <w:pPr>
        <w:rPr>
          <w:color w:val="auto"/>
          <w:highlight w:val="none"/>
        </w:rPr>
        <w:sectPr>
          <w:pgSz w:w="11906" w:h="16838"/>
          <w:pgMar w:top="1440" w:right="1752" w:bottom="1440" w:left="1752" w:header="851" w:footer="992" w:gutter="0"/>
          <w:pgNumType w:fmt="decimal"/>
          <w:cols w:space="720" w:num="1"/>
          <w:titlePg/>
          <w:docGrid w:type="lines" w:linePitch="312" w:charSpace="0"/>
        </w:sectPr>
      </w:pPr>
    </w:p>
    <w:p>
      <w:pPr>
        <w:pStyle w:val="2"/>
        <w:rPr>
          <w:rFonts w:hint="eastAsia"/>
          <w:color w:val="auto"/>
          <w:highlight w:val="none"/>
        </w:rPr>
      </w:pPr>
    </w:p>
    <w:p>
      <w:pPr>
        <w:pStyle w:val="2"/>
        <w:rPr>
          <w:rFonts w:hint="eastAsia"/>
          <w:color w:val="auto"/>
          <w:highlight w:val="none"/>
        </w:rPr>
      </w:pPr>
    </w:p>
    <w:p>
      <w:pPr>
        <w:keepNext w:val="0"/>
        <w:keepLines w:val="0"/>
        <w:pageBreakBefore w:val="0"/>
        <w:widowControl w:val="0"/>
        <w:kinsoku/>
        <w:wordWrap/>
        <w:overflowPunct/>
        <w:topLinePunct/>
        <w:autoSpaceDE w:val="0"/>
        <w:autoSpaceDN w:val="0"/>
        <w:bidi w:val="0"/>
        <w:adjustRightInd/>
        <w:spacing w:line="360" w:lineRule="auto"/>
        <w:jc w:val="center"/>
        <w:textAlignment w:val="auto"/>
        <w:rPr>
          <w:rFonts w:hint="eastAsia" w:ascii="华文中宋" w:hAnsi="华文中宋" w:eastAsia="华文中宋" w:cs="华文中宋"/>
          <w:b/>
          <w:bCs w:val="0"/>
          <w:color w:val="auto"/>
          <w:sz w:val="56"/>
          <w:szCs w:val="56"/>
          <w:highlight w:val="none"/>
        </w:rPr>
      </w:pPr>
    </w:p>
    <w:p>
      <w:pPr>
        <w:keepNext w:val="0"/>
        <w:keepLines w:val="0"/>
        <w:pageBreakBefore w:val="0"/>
        <w:widowControl w:val="0"/>
        <w:kinsoku/>
        <w:wordWrap/>
        <w:overflowPunct/>
        <w:topLinePunct/>
        <w:autoSpaceDE w:val="0"/>
        <w:autoSpaceDN w:val="0"/>
        <w:bidi w:val="0"/>
        <w:adjustRightInd/>
        <w:spacing w:line="360" w:lineRule="auto"/>
        <w:jc w:val="center"/>
        <w:textAlignment w:val="auto"/>
        <w:rPr>
          <w:rFonts w:hint="eastAsia" w:ascii="华文中宋" w:hAnsi="华文中宋" w:eastAsia="华文中宋" w:cs="华文中宋"/>
          <w:b/>
          <w:bCs w:val="0"/>
          <w:color w:val="auto"/>
          <w:sz w:val="56"/>
          <w:szCs w:val="56"/>
          <w:highlight w:val="none"/>
        </w:rPr>
      </w:pPr>
      <w:r>
        <w:rPr>
          <w:rFonts w:hint="eastAsia" w:ascii="华文中宋" w:hAnsi="华文中宋" w:eastAsia="华文中宋" w:cs="华文中宋"/>
          <w:b/>
          <w:bCs w:val="0"/>
          <w:color w:val="auto"/>
          <w:sz w:val="56"/>
          <w:szCs w:val="56"/>
          <w:highlight w:val="none"/>
          <w:lang w:eastAsia="zh-CN"/>
        </w:rPr>
        <w:t>竞争磋商</w:t>
      </w:r>
      <w:r>
        <w:rPr>
          <w:rFonts w:hint="eastAsia" w:ascii="华文中宋" w:hAnsi="华文中宋" w:eastAsia="华文中宋" w:cs="华文中宋"/>
          <w:b/>
          <w:bCs w:val="0"/>
          <w:color w:val="auto"/>
          <w:sz w:val="56"/>
          <w:szCs w:val="56"/>
          <w:highlight w:val="none"/>
        </w:rPr>
        <w:t>文件</w:t>
      </w:r>
    </w:p>
    <w:p>
      <w:pPr>
        <w:keepNext w:val="0"/>
        <w:keepLines w:val="0"/>
        <w:pageBreakBefore w:val="0"/>
        <w:widowControl w:val="0"/>
        <w:kinsoku/>
        <w:wordWrap/>
        <w:overflowPunct/>
        <w:topLinePunct/>
        <w:autoSpaceDE w:val="0"/>
        <w:autoSpaceDN w:val="0"/>
        <w:bidi w:val="0"/>
        <w:adjustRightInd/>
        <w:spacing w:line="360" w:lineRule="auto"/>
        <w:jc w:val="center"/>
        <w:textAlignment w:val="auto"/>
        <w:rPr>
          <w:rFonts w:hint="eastAsia" w:ascii="华文中宋" w:hAnsi="华文中宋" w:eastAsia="华文中宋" w:cs="华文中宋"/>
          <w:b w:val="0"/>
          <w:bCs/>
          <w:color w:val="auto"/>
          <w:sz w:val="32"/>
          <w:szCs w:val="32"/>
          <w:highlight w:val="none"/>
        </w:rPr>
      </w:pPr>
    </w:p>
    <w:p>
      <w:pPr>
        <w:keepNext w:val="0"/>
        <w:keepLines w:val="0"/>
        <w:pageBreakBefore w:val="0"/>
        <w:widowControl w:val="0"/>
        <w:kinsoku/>
        <w:wordWrap/>
        <w:overflowPunct/>
        <w:topLinePunct/>
        <w:autoSpaceDE w:val="0"/>
        <w:autoSpaceDN w:val="0"/>
        <w:bidi w:val="0"/>
        <w:adjustRightInd/>
        <w:snapToGrid w:val="0"/>
        <w:spacing w:line="360" w:lineRule="auto"/>
        <w:jc w:val="center"/>
        <w:textAlignment w:val="auto"/>
        <w:rPr>
          <w:rFonts w:hint="eastAsia" w:ascii="华文中宋" w:hAnsi="华文中宋" w:eastAsia="华文中宋" w:cs="华文中宋"/>
          <w:b w:val="0"/>
          <w:bCs/>
          <w:color w:val="auto"/>
          <w:sz w:val="36"/>
          <w:szCs w:val="36"/>
          <w:highlight w:val="none"/>
        </w:rPr>
      </w:pPr>
      <w:r>
        <w:rPr>
          <w:rFonts w:hint="eastAsia" w:ascii="华文中宋" w:hAnsi="华文中宋" w:eastAsia="华文中宋" w:cs="华文中宋"/>
          <w:b w:val="0"/>
          <w:bCs/>
          <w:color w:val="auto"/>
          <w:sz w:val="36"/>
          <w:szCs w:val="36"/>
          <w:highlight w:val="none"/>
        </w:rPr>
        <w:t>（技术部分）</w:t>
      </w:r>
    </w:p>
    <w:p>
      <w:pPr>
        <w:topLinePunct/>
        <w:autoSpaceDE w:val="0"/>
        <w:autoSpaceDN w:val="0"/>
        <w:snapToGrid w:val="0"/>
        <w:rPr>
          <w:rFonts w:ascii="宋体" w:hAnsi="宋体"/>
          <w:color w:val="auto"/>
          <w:sz w:val="44"/>
          <w:szCs w:val="44"/>
          <w:highlight w:val="none"/>
        </w:rPr>
      </w:pPr>
    </w:p>
    <w:p>
      <w:pPr>
        <w:pStyle w:val="2"/>
        <w:rPr>
          <w:rFonts w:ascii="宋体" w:hAnsi="宋体"/>
          <w:color w:val="auto"/>
          <w:sz w:val="44"/>
          <w:szCs w:val="44"/>
          <w:highlight w:val="none"/>
        </w:rPr>
      </w:pPr>
    </w:p>
    <w:p>
      <w:pPr>
        <w:rPr>
          <w:rFonts w:ascii="宋体" w:hAnsi="宋体"/>
          <w:color w:val="auto"/>
          <w:sz w:val="44"/>
          <w:szCs w:val="44"/>
          <w:highlight w:val="none"/>
        </w:rPr>
      </w:pPr>
    </w:p>
    <w:p>
      <w:pPr>
        <w:rPr>
          <w:rFonts w:ascii="宋体" w:hAnsi="宋体"/>
          <w:color w:val="auto"/>
          <w:sz w:val="44"/>
          <w:szCs w:val="44"/>
          <w:highlight w:val="none"/>
        </w:rPr>
      </w:pPr>
    </w:p>
    <w:p>
      <w:pPr>
        <w:pStyle w:val="2"/>
        <w:rPr>
          <w:color w:val="auto"/>
          <w:highlight w:val="none"/>
        </w:rPr>
      </w:pPr>
    </w:p>
    <w:p>
      <w:pPr>
        <w:jc w:val="center"/>
        <w:rPr>
          <w:rFonts w:hint="eastAsia" w:ascii="方正小标宋简体" w:hAnsi="方正小标宋简体" w:eastAsia="方正小标宋简体" w:cs="方正小标宋简体"/>
          <w:color w:val="auto"/>
          <w:sz w:val="32"/>
          <w:szCs w:val="32"/>
          <w:highlight w:val="none"/>
          <w:u w:val="single"/>
          <w:lang w:eastAsia="zh-CN"/>
        </w:rPr>
      </w:pPr>
      <w:r>
        <w:rPr>
          <w:rFonts w:hint="eastAsia" w:ascii="方正小标宋简体" w:hAnsi="方正小标宋简体" w:eastAsia="方正小标宋简体" w:cs="方正小标宋简体"/>
          <w:color w:val="auto"/>
          <w:sz w:val="32"/>
          <w:szCs w:val="32"/>
          <w:highlight w:val="none"/>
        </w:rPr>
        <w:t>项目名称：</w:t>
      </w:r>
      <w:r>
        <w:rPr>
          <w:rFonts w:hint="eastAsia" w:ascii="方正小标宋简体" w:hAnsi="方正小标宋简体" w:eastAsia="方正小标宋简体" w:cs="方正小标宋简体"/>
          <w:color w:val="auto"/>
          <w:sz w:val="32"/>
          <w:szCs w:val="32"/>
          <w:highlight w:val="none"/>
          <w:u w:val="single"/>
          <w:lang w:eastAsia="zh-CN"/>
        </w:rPr>
        <w:t>国家税务总局宁德市税务局12366服务外包项目</w:t>
      </w:r>
    </w:p>
    <w:p>
      <w:pPr>
        <w:ind w:firstLine="1600" w:firstLineChars="500"/>
        <w:jc w:val="both"/>
        <w:rPr>
          <w:rFonts w:hint="default" w:ascii="方正小标宋简体" w:hAnsi="方正小标宋简体" w:eastAsia="方正小标宋简体" w:cs="方正小标宋简体"/>
          <w:color w:val="auto"/>
          <w:sz w:val="32"/>
          <w:szCs w:val="32"/>
          <w:highlight w:val="none"/>
          <w:u w:val="single"/>
          <w:lang w:val="en-US" w:eastAsia="zh-CN"/>
        </w:rPr>
      </w:pPr>
      <w:r>
        <w:rPr>
          <w:rFonts w:hint="eastAsia" w:ascii="方正小标宋简体" w:hAnsi="方正小标宋简体" w:eastAsia="方正小标宋简体" w:cs="方正小标宋简体"/>
          <w:color w:val="auto"/>
          <w:sz w:val="32"/>
          <w:szCs w:val="32"/>
          <w:highlight w:val="none"/>
        </w:rPr>
        <w:t>项目编号：</w:t>
      </w:r>
      <w:r>
        <w:rPr>
          <w:rFonts w:hint="eastAsia" w:ascii="方正小标宋简体" w:hAnsi="方正小标宋简体" w:eastAsia="方正小标宋简体" w:cs="方正小标宋简体"/>
          <w:color w:val="auto"/>
          <w:sz w:val="32"/>
          <w:szCs w:val="32"/>
          <w:highlight w:val="none"/>
          <w:u w:val="single"/>
          <w:lang w:val="en-US" w:eastAsia="zh-CN"/>
        </w:rPr>
        <w:t xml:space="preserve">  0622-0524003   </w:t>
      </w:r>
    </w:p>
    <w:p>
      <w:pPr>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采 购 人：</w:t>
      </w:r>
      <w:r>
        <w:rPr>
          <w:rFonts w:hint="eastAsia" w:ascii="方正小标宋简体" w:hAnsi="方正小标宋简体" w:eastAsia="方正小标宋简体" w:cs="方正小标宋简体"/>
          <w:color w:val="auto"/>
          <w:sz w:val="32"/>
          <w:szCs w:val="32"/>
          <w:highlight w:val="none"/>
          <w:u w:val="single"/>
        </w:rPr>
        <w:t>国家税务总局宁德市税务局</w:t>
      </w:r>
    </w:p>
    <w:p>
      <w:pPr>
        <w:jc w:val="center"/>
        <w:rPr>
          <w:rFonts w:hint="default" w:ascii="方正小标宋简体" w:hAnsi="方正小标宋简体" w:eastAsia="方正小标宋简体" w:cs="方正小标宋简体"/>
          <w:color w:val="auto"/>
          <w:sz w:val="32"/>
          <w:szCs w:val="32"/>
          <w:highlight w:val="none"/>
          <w:u w:val="none"/>
          <w:lang w:val="en-US" w:eastAsia="zh-CN"/>
        </w:rPr>
      </w:pPr>
      <w:r>
        <w:rPr>
          <w:rFonts w:hint="eastAsia" w:ascii="方正小标宋简体" w:hAnsi="方正小标宋简体" w:eastAsia="方正小标宋简体" w:cs="方正小标宋简体"/>
          <w:color w:val="auto"/>
          <w:sz w:val="32"/>
          <w:szCs w:val="32"/>
          <w:highlight w:val="none"/>
        </w:rPr>
        <w:t>采购代理机构：</w:t>
      </w:r>
      <w:r>
        <w:rPr>
          <w:rFonts w:hint="eastAsia" w:ascii="方正小标宋简体" w:hAnsi="方正小标宋简体" w:eastAsia="方正小标宋简体" w:cs="方正小标宋简体"/>
          <w:color w:val="auto"/>
          <w:sz w:val="32"/>
          <w:szCs w:val="32"/>
          <w:highlight w:val="none"/>
          <w:u w:val="single"/>
          <w:lang w:val="en-US" w:eastAsia="zh-CN"/>
        </w:rPr>
        <w:t>福建天合招标有限公司</w:t>
      </w:r>
    </w:p>
    <w:p>
      <w:pPr>
        <w:topLinePunct/>
        <w:autoSpaceDE w:val="0"/>
        <w:autoSpaceDN w:val="0"/>
        <w:spacing w:line="460" w:lineRule="exact"/>
        <w:rPr>
          <w:rFonts w:hint="eastAsia" w:ascii="方正小标宋简体" w:hAnsi="方正小标宋简体" w:eastAsia="方正小标宋简体" w:cs="方正小标宋简体"/>
          <w:b/>
          <w:color w:val="auto"/>
          <w:sz w:val="32"/>
          <w:szCs w:val="32"/>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color w:val="auto"/>
          <w:sz w:val="32"/>
          <w:szCs w:val="32"/>
          <w:highlight w:val="none"/>
        </w:rPr>
      </w:pPr>
    </w:p>
    <w:p>
      <w:pPr>
        <w:pStyle w:val="5"/>
        <w:numPr>
          <w:ilvl w:val="0"/>
          <w:numId w:val="0"/>
        </w:numPr>
        <w:ind w:leftChars="200"/>
        <w:rPr>
          <w:rFonts w:hint="eastAsia"/>
          <w:color w:val="auto"/>
        </w:rPr>
      </w:pPr>
    </w:p>
    <w:p>
      <w:pPr>
        <w:topLinePunct/>
        <w:autoSpaceDE w:val="0"/>
        <w:autoSpaceDN w:val="0"/>
        <w:spacing w:line="46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国家税务总局宁德市税务局</w:t>
      </w:r>
    </w:p>
    <w:p>
      <w:pPr>
        <w:topLinePunct/>
        <w:autoSpaceDE w:val="0"/>
        <w:autoSpaceDN w:val="0"/>
        <w:spacing w:line="160" w:lineRule="exact"/>
        <w:jc w:val="center"/>
        <w:rPr>
          <w:rFonts w:hint="eastAsia" w:ascii="方正小标宋简体" w:hAnsi="方正小标宋简体" w:eastAsia="方正小标宋简体" w:cs="方正小标宋简体"/>
          <w:color w:val="auto"/>
          <w:sz w:val="32"/>
          <w:szCs w:val="32"/>
          <w:highlight w:val="none"/>
        </w:rPr>
      </w:pPr>
    </w:p>
    <w:p>
      <w:pPr>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u w:val="single"/>
          <w:lang w:val="en-US" w:eastAsia="zh-CN"/>
        </w:rPr>
        <w:t>2024</w:t>
      </w:r>
      <w:r>
        <w:rPr>
          <w:rFonts w:hint="eastAsia" w:ascii="方正小标宋简体" w:hAnsi="方正小标宋简体" w:eastAsia="方正小标宋简体" w:cs="方正小标宋简体"/>
          <w:color w:val="auto"/>
          <w:sz w:val="32"/>
          <w:szCs w:val="32"/>
          <w:highlight w:val="none"/>
        </w:rPr>
        <w:t>年</w:t>
      </w:r>
      <w:r>
        <w:rPr>
          <w:rFonts w:hint="eastAsia" w:ascii="方正小标宋简体" w:hAnsi="方正小标宋简体" w:eastAsia="方正小标宋简体" w:cs="方正小标宋简体"/>
          <w:color w:val="auto"/>
          <w:sz w:val="32"/>
          <w:szCs w:val="32"/>
          <w:highlight w:val="none"/>
          <w:u w:val="single"/>
          <w:lang w:val="en-US" w:eastAsia="zh-CN"/>
        </w:rPr>
        <w:t>01</w:t>
      </w:r>
      <w:r>
        <w:rPr>
          <w:rFonts w:hint="eastAsia" w:ascii="方正小标宋简体" w:hAnsi="方正小标宋简体" w:eastAsia="方正小标宋简体" w:cs="方正小标宋简体"/>
          <w:color w:val="auto"/>
          <w:sz w:val="32"/>
          <w:szCs w:val="32"/>
          <w:highlight w:val="none"/>
        </w:rPr>
        <w:t>月</w:t>
      </w:r>
      <w:r>
        <w:rPr>
          <w:rFonts w:hint="eastAsia" w:ascii="方正小标宋简体" w:hAnsi="方正小标宋简体" w:eastAsia="方正小标宋简体" w:cs="方正小标宋简体"/>
          <w:color w:val="auto"/>
          <w:sz w:val="32"/>
          <w:szCs w:val="32"/>
          <w:highlight w:val="none"/>
          <w:u w:val="single"/>
          <w:lang w:val="en-US" w:eastAsia="zh-CN"/>
        </w:rPr>
        <w:t xml:space="preserve"> 23</w:t>
      </w:r>
      <w:r>
        <w:rPr>
          <w:rFonts w:hint="eastAsia" w:ascii="方正小标宋简体" w:hAnsi="方正小标宋简体" w:eastAsia="方正小标宋简体" w:cs="方正小标宋简体"/>
          <w:color w:val="auto"/>
          <w:sz w:val="32"/>
          <w:szCs w:val="32"/>
          <w:highlight w:val="none"/>
        </w:rPr>
        <w:t>日</w:t>
      </w:r>
    </w:p>
    <w:p>
      <w:pPr>
        <w:rPr>
          <w:color w:val="FF0000"/>
          <w:highlight w:val="none"/>
        </w:rPr>
      </w:pPr>
    </w:p>
    <w:p>
      <w:pPr>
        <w:rPr>
          <w:color w:val="FF0000"/>
          <w:highlight w:val="none"/>
        </w:rPr>
      </w:pPr>
    </w:p>
    <w:p>
      <w:pPr>
        <w:rPr>
          <w:color w:val="FF0000"/>
          <w:highlight w:val="none"/>
        </w:rPr>
        <w:sectPr>
          <w:footerReference r:id="rId8" w:type="default"/>
          <w:pgSz w:w="11906" w:h="16838"/>
          <w:pgMar w:top="1440" w:right="1418" w:bottom="1440" w:left="1752" w:header="851" w:footer="992" w:gutter="0"/>
          <w:pgNumType w:fmt="decimal"/>
          <w:cols w:space="720" w:num="1"/>
          <w:docGrid w:type="lines" w:linePitch="312" w:charSpace="0"/>
        </w:sectPr>
      </w:pPr>
    </w:p>
    <w:p>
      <w:pPr>
        <w:widowControl/>
        <w:spacing w:after="0" w:line="240" w:lineRule="auto"/>
        <w:jc w:val="center"/>
        <w:outlineLvl w:val="0"/>
        <w:rPr>
          <w:rFonts w:hint="eastAsia" w:ascii="华文中宋" w:hAnsi="华文中宋" w:eastAsia="华文中宋" w:cs="华文中宋"/>
          <w:b/>
          <w:bCs/>
          <w:color w:val="auto"/>
          <w:sz w:val="28"/>
          <w:szCs w:val="28"/>
          <w:highlight w:val="none"/>
        </w:rPr>
      </w:pPr>
      <w:bookmarkStart w:id="24" w:name="_Toc132880669"/>
      <w:r>
        <w:rPr>
          <w:rFonts w:hint="eastAsia" w:ascii="华文中宋" w:hAnsi="华文中宋" w:eastAsia="华文中宋" w:cs="华文中宋"/>
          <w:b/>
          <w:bCs/>
          <w:color w:val="auto"/>
          <w:sz w:val="28"/>
          <w:szCs w:val="28"/>
          <w:highlight w:val="none"/>
        </w:rPr>
        <w:t>第六章  项目采购需求</w:t>
      </w:r>
      <w:bookmarkEnd w:id="24"/>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bookmarkStart w:id="25" w:name="_Toc132880670"/>
      <w:r>
        <w:rPr>
          <w:rFonts w:hint="eastAsia" w:ascii="宋体" w:hAnsi="宋体" w:eastAsia="宋体" w:cs="宋体"/>
          <w:b/>
          <w:bCs/>
          <w:color w:val="auto"/>
          <w:szCs w:val="21"/>
          <w:highlight w:val="none"/>
        </w:rPr>
        <w:t>一、项目概况</w:t>
      </w:r>
      <w:bookmarkEnd w:id="25"/>
    </w:p>
    <w:tbl>
      <w:tblPr>
        <w:tblStyle w:val="13"/>
        <w:tblW w:w="8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5"/>
        <w:gridCol w:w="2998"/>
        <w:gridCol w:w="1695"/>
        <w:gridCol w:w="2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noWrap w:val="0"/>
            <w:vAlign w:val="center"/>
          </w:tcPr>
          <w:p>
            <w:pPr>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w:t>
            </w:r>
          </w:p>
        </w:tc>
        <w:tc>
          <w:tcPr>
            <w:tcW w:w="2998" w:type="dxa"/>
            <w:noWrap w:val="0"/>
            <w:vAlign w:val="center"/>
          </w:tcPr>
          <w:p>
            <w:pPr>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w:t>
            </w:r>
          </w:p>
        </w:tc>
        <w:tc>
          <w:tcPr>
            <w:tcW w:w="1695" w:type="dxa"/>
            <w:noWrap w:val="0"/>
            <w:vAlign w:val="center"/>
          </w:tcPr>
          <w:p>
            <w:pPr>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最高限价</w:t>
            </w:r>
          </w:p>
        </w:tc>
        <w:tc>
          <w:tcPr>
            <w:tcW w:w="2692" w:type="dxa"/>
            <w:noWrap w:val="0"/>
            <w:vAlign w:val="top"/>
          </w:tcPr>
          <w:p>
            <w:pPr>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noWrap w:val="0"/>
            <w:vAlign w:val="center"/>
          </w:tcPr>
          <w:p>
            <w:pPr>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998" w:type="dxa"/>
            <w:noWrap w:val="0"/>
            <w:vAlign w:val="center"/>
          </w:tcPr>
          <w:p>
            <w:pPr>
              <w:spacing w:after="0" w:line="360" w:lineRule="auto"/>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国家税务总局宁德市税务局12366服务外包</w:t>
            </w:r>
            <w:r>
              <w:rPr>
                <w:rFonts w:hint="eastAsia" w:ascii="Times New Roman" w:hAnsi="Times New Roman" w:cs="Times New Roman"/>
                <w:color w:val="auto"/>
                <w:sz w:val="21"/>
                <w:szCs w:val="21"/>
                <w:highlight w:val="none"/>
                <w:lang w:val="en-US" w:eastAsia="zh-CN"/>
              </w:rPr>
              <w:t>项目</w:t>
            </w:r>
          </w:p>
        </w:tc>
        <w:tc>
          <w:tcPr>
            <w:tcW w:w="1695" w:type="dxa"/>
            <w:noWrap w:val="0"/>
            <w:vAlign w:val="center"/>
          </w:tcPr>
          <w:p>
            <w:pPr>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98.5万元</w:t>
            </w:r>
          </w:p>
        </w:tc>
        <w:tc>
          <w:tcPr>
            <w:tcW w:w="2692" w:type="dxa"/>
            <w:noWrap w:val="0"/>
            <w:vAlign w:val="top"/>
          </w:tcPr>
          <w:p>
            <w:pPr>
              <w:spacing w:after="0" w:line="360" w:lineRule="auto"/>
              <w:jc w:val="center"/>
              <w:rPr>
                <w:rFonts w:hint="eastAsia" w:ascii="Times New Roman" w:hAnsi="Times New Roman" w:cs="Times New Roman"/>
                <w:color w:val="auto"/>
                <w:sz w:val="21"/>
                <w:szCs w:val="21"/>
                <w:highlight w:val="none"/>
                <w:lang w:val="en-US" w:eastAsia="zh-CN"/>
              </w:rPr>
            </w:pPr>
          </w:p>
          <w:p>
            <w:pPr>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其他未列明行业</w:t>
            </w:r>
          </w:p>
        </w:tc>
      </w:tr>
    </w:tbl>
    <w:p>
      <w:pPr>
        <w:topLinePunct/>
        <w:autoSpaceDE w:val="0"/>
        <w:autoSpaceDN w:val="0"/>
        <w:spacing w:after="0" w:line="360" w:lineRule="auto"/>
        <w:ind w:firstLine="420" w:firstLineChars="200"/>
        <w:rPr>
          <w:rFonts w:hint="eastAsia" w:ascii="宋体" w:hAnsi="宋体" w:eastAsia="宋体" w:cs="宋体"/>
          <w:color w:val="auto"/>
          <w:szCs w:val="21"/>
          <w:highlight w:val="none"/>
        </w:rPr>
      </w:pPr>
      <w:bookmarkStart w:id="26" w:name="_Toc132880671"/>
      <w:r>
        <w:rPr>
          <w:rFonts w:hint="eastAsia" w:ascii="宋体" w:hAnsi="宋体" w:eastAsia="宋体" w:cs="宋体"/>
          <w:color w:val="auto"/>
          <w:szCs w:val="21"/>
          <w:highlight w:val="none"/>
        </w:rPr>
        <w:t>国家税务总局宁德市税务局纳税服务中心12366纳税缴费服务热线(以下简称“12366热线”),以省局12366咨询服务热线为基础支撑、省市两级运行架构的热线服务模式，统一使用国家信息产业部核批的全国税务机关特服号12366开展语音(包括自动语音咨询和人工坐席咨询)和网络咨询。自动语音咨询提供全天候24小时服务，人工坐席和网络咨询在正常工作时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小时)提供人工接听和网络咨询服务。主要功能为：</w:t>
      </w:r>
      <w:r>
        <w:rPr>
          <w:rFonts w:hint="eastAsia" w:ascii="宋体" w:hAnsi="宋体" w:cs="宋体"/>
          <w:color w:val="auto"/>
          <w:szCs w:val="21"/>
          <w:highlight w:val="none"/>
          <w:lang w:eastAsia="zh-CN"/>
        </w:rPr>
        <w:t>政策</w:t>
      </w:r>
      <w:r>
        <w:rPr>
          <w:rFonts w:hint="eastAsia" w:ascii="宋体" w:hAnsi="宋体" w:eastAsia="宋体" w:cs="宋体"/>
          <w:color w:val="auto"/>
          <w:szCs w:val="21"/>
          <w:highlight w:val="none"/>
        </w:rPr>
        <w:t>咨询、</w:t>
      </w:r>
      <w:r>
        <w:rPr>
          <w:rFonts w:hint="eastAsia" w:ascii="宋体" w:hAnsi="宋体" w:cs="宋体"/>
          <w:color w:val="auto"/>
          <w:szCs w:val="21"/>
          <w:highlight w:val="none"/>
          <w:lang w:eastAsia="zh-CN"/>
        </w:rPr>
        <w:t>办税（费）指引、投诉和涉税违法举报接收和转办、</w:t>
      </w:r>
      <w:r>
        <w:rPr>
          <w:rFonts w:hint="eastAsia" w:ascii="宋体" w:hAnsi="宋体" w:eastAsia="宋体" w:cs="宋体"/>
          <w:color w:val="auto"/>
          <w:szCs w:val="21"/>
          <w:highlight w:val="none"/>
        </w:rPr>
        <w:t>意见建议</w:t>
      </w:r>
      <w:r>
        <w:rPr>
          <w:rFonts w:hint="eastAsia" w:ascii="宋体" w:hAnsi="宋体" w:cs="宋体"/>
          <w:color w:val="auto"/>
          <w:szCs w:val="21"/>
          <w:highlight w:val="none"/>
          <w:lang w:eastAsia="zh-CN"/>
        </w:rPr>
        <w:t>、涉税（费）查询</w:t>
      </w:r>
      <w:r>
        <w:rPr>
          <w:rFonts w:hint="eastAsia" w:ascii="宋体" w:hAnsi="宋体" w:eastAsia="宋体" w:cs="宋体"/>
          <w:color w:val="auto"/>
          <w:szCs w:val="21"/>
          <w:highlight w:val="none"/>
        </w:rPr>
        <w:t>等。</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本次服务外包项目共设1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个坐席岗位，实行以成交人为主、宁德市税务局为辅的管理模式，服务期限自合同签订起一年。因工作量的不确定性，采购人可以要求成交人对坐席人员的配备数量依据工作量的变化进行合理调整，并通过双方协商签订补充协议进行约定。</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该项目立足于将宁德市税务局12366热线打造成税务机关连接纳税人的桥梁纽带，实时了解纳税人需求、给予纳税人及时准确服务，展现税务机关为纳税人优质服务的精神风貌。</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二、技术要求</w:t>
      </w:r>
      <w:bookmarkEnd w:id="26"/>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bookmarkStart w:id="27" w:name="_Toc132880672"/>
      <w:r>
        <w:rPr>
          <w:rFonts w:hint="eastAsia" w:ascii="宋体" w:hAnsi="宋体" w:eastAsia="宋体" w:cs="宋体"/>
          <w:b/>
          <w:bCs/>
          <w:color w:val="auto"/>
          <w:szCs w:val="21"/>
          <w:highlight w:val="none"/>
        </w:rPr>
        <w:t>（一）总体要求</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德市12366热线为纳税人缴费人提供优质高效的专业化服务，包括12366纳税缴费服务热线、12366网站咨询等多种服务渠道。纳税人缴费人能够通过电话、传真、留言、互联网等方式向12366热线请求服务，可选择采取自动语音、人工坐席、传真回复、短信、留言、电子邮件、互联网等服务方式，向纳税人缴费提供自动或人工的应答服务。</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本次服务外包坐席岗位1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个，成交人负责对服务外包人员进行人事和业务流程的全面管理，保证服务外包人员出勤率，协助宁德市税务局对12366热线服务外包的管理工作，协助制定业务考核办法等系统建设工作，负责招聘服务、岗前培训(目前主要含基本礼仪培训、基本服务技能培训、税收基础和会计基础培训、各税、费基础政策培训、财会知识以及12366系统操作培训等专业培训)、日常培训(包括税收业务新政策、典型案例分析、沟通技巧学习等)成交人负责服务外包人员的日常管理、薪资福利管理、质量监测、绩效考核、团建活动等，为服务外包人员提供采购人认为必要的工作电脑、话务设备、打印机，并提供统一的税务着装，依照劳动合同对服务外包人员进行管理。</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德市税务局负责对合同约定的工作进行督促检查，并协助成交人对服务外包人员进行质量监测，提供招聘条件、岗位职责标准、考核指标要求、薪酬和考核建议、工作环境和部分工作用品、提供12366热线话务系统和业务支持。</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（二）服务外包人员要求</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成交人根据采购人的要求，在全社会公开招聘服务外包坐席人员1</w:t>
      </w:r>
      <w:r>
        <w:rPr>
          <w:rFonts w:hint="eastAsia" w:ascii="宋体" w:hAnsi="宋体" w:eastAsia="宋体" w:cs="宋体"/>
          <w:color w:val="auto"/>
          <w:szCs w:val="21"/>
          <w:highlight w:val="none"/>
          <w:lang w:val="en-US" w:eastAsia="zh-CN"/>
        </w:rPr>
        <w:t>1人</w:t>
      </w:r>
      <w:r>
        <w:rPr>
          <w:rFonts w:hint="eastAsia" w:ascii="宋体" w:hAnsi="宋体" w:eastAsia="宋体" w:cs="宋体"/>
          <w:color w:val="auto"/>
          <w:szCs w:val="21"/>
          <w:highlight w:val="none"/>
        </w:rPr>
        <w:t>。</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1.人员要求</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坐席人员1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人，负责为纳税人提供以电话、传真、留言或网上咨询的形式发起的政策咨询、办税指引、投诉举报和意见建议等热线呼入呼出、在线网络咨询等服务，以及工单转办、热点难点问题及案例的整理等事项。</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人员应具备以下条件：</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(1)大专学历及以上，财务会计类、税收、管理、计算机、法律相关专业(其中财会、税收类人员不少于70%)；年龄不超过35岁(截止202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年01月31日)，以上条件适用于新招录人员，有税务话务热线工作经历人员适当放宽；</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(2)普通话达二级甲等以上优先考虑；</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(3)汉字录入速度不低于80字/分钟；</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(4)具备较强的服务意识和语言表达能力、良好的沟通能力、记忆能力、心理承受能力和学习能力；</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(5)身体健康：</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坐席人员上岗前由采购人组织培训，经采购人测试合格后方能上岗。成交人应安排人员对坐席进行日常管理、录音监听、提供针对性辅导，提高坐席应答能力及服务品质；负责每月将坐席整体工作情况书面反馈至采购人管理层。</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2.人才储备</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人制定人才储备计划，建立人才需求库。成交人需按本项目要求，针对本项目坐席人员需求的波动及12366热线正常的人员流失率等情况，制订人员管理规范，保障有充分的人员补充渠道，确保人员出勤率，满足项目用人需求。</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3.人员到位</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(1)服务外包招录人员经采购人确认符合条件后，要在签订合同后15天内完成；</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(2)服务外包人员要组织20天及以上的岗前业务培训；</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(3)服务外包人员变动或因连续超过一个月的假期需要补充人员的，要在接到采购人通知的7日内完成。</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4.人员管理</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人应按规定支付服务外包人员工资薪金、五险一金、伙食补助、防暑降温、加班补助。服务外包人员工资水平应符合相关法律法规规定，参照同行业水平计算标准，用于坐席人员的劳务报酬总额占合同总价不低于</w:t>
      </w:r>
      <w:r>
        <w:rPr>
          <w:rFonts w:hint="eastAsia" w:ascii="宋体" w:hAnsi="宋体" w:cs="宋体"/>
          <w:color w:val="auto"/>
          <w:szCs w:val="21"/>
          <w:highlight w:val="none"/>
          <w:lang w:val="en-US" w:eastAsia="zh-CN"/>
        </w:rPr>
        <w:t>83</w:t>
      </w:r>
      <w:r>
        <w:rPr>
          <w:rFonts w:hint="eastAsia" w:ascii="宋体" w:hAnsi="宋体" w:eastAsia="宋体" w:cs="宋体"/>
          <w:color w:val="auto"/>
          <w:szCs w:val="21"/>
          <w:highlight w:val="none"/>
        </w:rPr>
        <w:t>%,用于教育培训费用总额不低于合同总价3%。</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(2)采购人对以下几种情形，有提出撤换人员的权利。成交人应按采购人要求进行撤换，并在采购人指定时间内完成。</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一是对于考核成绩长期位于服务外包人员考核成绩中倒数第一名的；</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二是违反宁德市税务局机关管理和12366中心管理规定，拒不接受教育的；</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三是严重影响税务形象，被有关部门通报的；</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四是在一个工作年度内，被投诉三次以上的(含三次)；</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五是经过岗前测试不合格、补考后仍旧不符合岗位要求的；</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六是因个人身体原因，不适合服务外包岗位的。</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(3)成交人需配置1名负责本项目现场管理，管理人员有从事呼叫中心服务项目二年以上(含)的管理工作经验的优先。</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（三）设备要求</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人需提供采购人认为必要的工作设备，包括工作电脑、话务设备、打印机，成交人需对工作电脑、话务设备和打印机进行维护和响应，保证设备的稳定和服务不间断，工作电脑和话务设备的可用率不低于95%,对于故障设备的更换，时间不超过1天。</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(四)统一着装要求</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服务外包人员上岗时应统一按规范着工作装，包括夏装短袖、夏装衬衫、春秋装和冬装。服装的颜色款式和质量要求按采购方要求。</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（五）运营管理</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1、成交人与采购人的沟通协调机制</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障本项目有效运作，成交人与采购人应建立有效的沟通机制，成交人每月须根据双方确定的要求，提供周报、月度运营分析报告、薪酬支付情况、月度热点问题专题分析等运营分析材料给采购人，并根据运营的情况，及时发现存在的问题，提出完善和解决方案。采购人对成交人的坐席忙闲情况、话务情况进行实时监控，对外包坐席实施实时监听及录音质检，调取成交人的各类话务统计报表等，成交人应当予以配合，并按时将资料准备好，随时接受采购人的查阅，避免事后准备的情况出现。</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2、工作流程</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成交人在采购人的指导和要求下，以12366中心行业标准为基础，按照宁德市税务局12366业务规范及流程操作。</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人以拨打电话、传真、留言或网上咨询的形式，呼叫12366中心。接到纳税人的呼叫后，坐席人员根据呼叫内容(涉税查询、咨询、投诉、举报、建议以及其他),予以相应的处理。对查询、咨询类的呼叫，坐席人员根据知识库、征管系统等支持系统信息给予解答，无法立即解决的复杂政策问题人工坐席可以先记录，通过派工单转给相应的后台管理人员，由后台人员在规定的时间转派相关部门处理，工单处理完毕后，反馈给12366中心以人工呼叫的方式给纳税人回复或直接反馈给纳税人。对于投诉举报的呼叫，坐席人员应记录后转交给相应的部门处理，涉税违法举报转交给税务征管部门、稽查部门或者督察内审部门处理，投诉建议转交给纳税服务部门处理，税务机关及工作人员违纪举报由监察部门处理；相关部门处理完毕后，通过12366中心将结果反馈给呼叫人或直接反馈给呼叫人。</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3、工作要求</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为了确保话务外包之后，12366热线对外提供的服务水平和服务质量能达到预期的目标，需要对成交人提供的服务行为进行规范，主要需求点如下：</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（1）成交人需配合采购人做好专项工作保障。对于领导接访日、纳税人开放日等重要专项工作，成交人应根据采购人要求提供人员支持与保障。</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（2）人工坐席和网络咨询在正常工作时间(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小时)提供人工接听和网络咨询服务。</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因为税务总局、福建省税务局、宁德市税务局特别业务需求，需要临时在正常工作时间之外提供人工接听和网络在线服务的，由成交人通过排班调整等方式，安排人员提供人工接听和网络在线服务，不另外收费。</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若确因特殊需求，需要成交人提供额外人工接听和网络在线服务而增加费用的，由采购人和成交人双方磋商确定。</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（3）成交人需配备具备两年及以上税收知识及实操经验的自有培训师资，师资人员占总坐席人数的20%及以上，一月至少2次专项培训(其中包括服务规范培训),每月制定培训方案和情况记录。</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（4）成交人需制定坐席人员的话务质检方案，且每月抽取监听有效样本总量不低于人工服务总量的2%(含)。</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（5）成交人应严格要求服务外包人员遵守宁德市税务局机关和12366中心各项管理规定，包括保密制度、门禁制度、信息安全管理规定、环境卫生制度及12366中心运行管理制度规定。</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4、运营质量要求</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（1）人工接通率：达到</w:t>
      </w:r>
      <w:r>
        <w:rPr>
          <w:rFonts w:hint="eastAsia" w:ascii="宋体" w:hAnsi="宋体" w:cs="宋体"/>
          <w:color w:val="auto"/>
          <w:szCs w:val="21"/>
          <w:highlight w:val="none"/>
          <w:lang w:val="en-US" w:eastAsia="zh-CN"/>
        </w:rPr>
        <w:t>98</w:t>
      </w:r>
      <w:r>
        <w:rPr>
          <w:rFonts w:hint="eastAsia" w:ascii="宋体" w:hAnsi="宋体" w:eastAsia="宋体" w:cs="宋体"/>
          <w:color w:val="auto"/>
          <w:szCs w:val="21"/>
          <w:highlight w:val="none"/>
        </w:rPr>
        <w:t>%以上；</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（2）业务处理时间：平均6分钟以内；</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（3）服务满意率：转满意度评价达100%,满意率达到98%以上；</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（4）答复准确率：平均90%以上(含)；</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（5）员工出勤率：平均90%以上(含)；</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（6）服务投诉：对服务外包人员的服务投诉，月均不得超过2次；</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（7）员工培训情况：每月至少组织2次专项培训，每月制定培训方案和情况记录；</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上述七项指标为按月运营质量要求。</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（8）员工的稳定性：合同期累计员工流失率小于20%(含)；</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（9）原则上，人工坐席和网络咨询的正常工作时间为(</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小时)；若因税务总局、福建省税务局、宁德市税务局临时性特殊工作需求，要在正常工作时间以外提供12366人工坐席和网络咨询的，成交人应积极配合，合理调整坐席排班并予以满足。</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商务要求</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（一）服务期限</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1、合同期限为一年(自签订合同起计算)。实际到岗的服务外包人员的1年为一个服务周期，对于实际到岗不足1年的服务外包人员，扣减相应服务外包费用(按该人员在一个服务年度内平均薪资计算)。</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服务期延期：为保证合同服务期到期后交接的顺利进行及12366热线服务不中断，若新的成交人在合同期服务期满后未入驻，原成交人需继续延期服务（最多延期3个月），服务费根据实际延长期限按原服务年度费用平均计算。</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（二）费用支付方式</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成交人每个考核期(每三个月为一个考核周期)履行合同相关条款情况，分期支付合同价款。自合同生效之日起，每满一个考核期支付25%的合同价款。付款时间为考核期结束后15日内，凭服务质量评审报告和成交人提供的正式发票，支付相应合同款项。服务质量评审报告的考核内容如下：</w:t>
      </w:r>
    </w:p>
    <w:p>
      <w:pPr>
        <w:numPr>
          <w:ilvl w:val="0"/>
          <w:numId w:val="2"/>
        </w:num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考核指标及内容</w:t>
      </w:r>
    </w:p>
    <w:p>
      <w:pPr>
        <w:pStyle w:val="17"/>
        <w:widowControl w:val="0"/>
        <w:numPr>
          <w:ilvl w:val="0"/>
          <w:numId w:val="0"/>
        </w:numPr>
        <w:jc w:val="both"/>
        <w:rPr>
          <w:rFonts w:hint="eastAsia"/>
        </w:rPr>
      </w:pPr>
    </w:p>
    <w:p>
      <w:pPr>
        <w:pStyle w:val="17"/>
        <w:widowControl w:val="0"/>
        <w:numPr>
          <w:ilvl w:val="0"/>
          <w:numId w:val="0"/>
        </w:numPr>
        <w:jc w:val="both"/>
        <w:rPr>
          <w:rFonts w:hint="eastAsia"/>
        </w:rPr>
      </w:pPr>
    </w:p>
    <w:p>
      <w:pPr>
        <w:pStyle w:val="17"/>
        <w:widowControl w:val="0"/>
        <w:numPr>
          <w:ilvl w:val="0"/>
          <w:numId w:val="0"/>
        </w:numPr>
        <w:jc w:val="both"/>
        <w:rPr>
          <w:rFonts w:hint="eastAsia"/>
        </w:rPr>
      </w:pPr>
    </w:p>
    <w:tbl>
      <w:tblPr>
        <w:tblStyle w:val="22"/>
        <w:tblW w:w="83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9"/>
        <w:gridCol w:w="600"/>
        <w:gridCol w:w="3017"/>
        <w:gridCol w:w="1567"/>
        <w:gridCol w:w="2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89"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指标名称</w:t>
            </w:r>
          </w:p>
        </w:tc>
        <w:tc>
          <w:tcPr>
            <w:tcW w:w="600"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3017" w:type="dxa"/>
          </w:tcPr>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计算方法</w:t>
            </w:r>
          </w:p>
        </w:tc>
        <w:tc>
          <w:tcPr>
            <w:tcW w:w="1567" w:type="dxa"/>
          </w:tcPr>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目标区间值</w:t>
            </w:r>
          </w:p>
        </w:tc>
        <w:tc>
          <w:tcPr>
            <w:tcW w:w="2038" w:type="dxa"/>
          </w:tcPr>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考核细则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1089" w:type="dxa"/>
          </w:tcPr>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人工接通率</w:t>
            </w:r>
          </w:p>
        </w:tc>
        <w:tc>
          <w:tcPr>
            <w:tcW w:w="600" w:type="dxa"/>
          </w:tcPr>
          <w:p>
            <w:pPr>
              <w:topLinePunct/>
              <w:autoSpaceDE w:val="0"/>
              <w:autoSpaceDN w:val="0"/>
              <w:spacing w:after="0" w:line="360" w:lineRule="auto"/>
              <w:ind w:firstLine="420" w:firstLineChars="200"/>
              <w:jc w:val="center"/>
              <w:rPr>
                <w:rFonts w:hint="eastAsia" w:ascii="宋体" w:hAnsi="宋体" w:eastAsia="宋体" w:cs="宋体"/>
                <w:color w:val="auto"/>
                <w:szCs w:val="21"/>
                <w:highlight w:val="none"/>
              </w:rPr>
            </w:pPr>
          </w:p>
          <w:p>
            <w:pPr>
              <w:topLinePunct/>
              <w:autoSpaceDE w:val="0"/>
              <w:autoSpaceDN w:val="0"/>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3017"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接</w:t>
            </w:r>
            <w:r>
              <w:rPr>
                <w:rFonts w:hint="eastAsia" w:ascii="宋体" w:hAnsi="宋体" w:eastAsia="宋体" w:cs="宋体"/>
                <w:color w:val="auto"/>
                <w:szCs w:val="21"/>
                <w:highlight w:val="none"/>
              </w:rPr>
              <w:t>通率=【接通话务数÷(呼入话务量*服务外包人工坐席数/中心月平均实际上岗人数)】*100%</w:t>
            </w:r>
          </w:p>
        </w:tc>
        <w:tc>
          <w:tcPr>
            <w:tcW w:w="1567" w:type="dxa"/>
          </w:tcPr>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不低于</w:t>
            </w:r>
            <w:r>
              <w:rPr>
                <w:rFonts w:hint="eastAsia" w:ascii="宋体" w:hAnsi="宋体" w:cs="宋体"/>
                <w:color w:val="auto"/>
                <w:szCs w:val="21"/>
                <w:highlight w:val="none"/>
                <w:lang w:val="en-US" w:eastAsia="zh-CN"/>
              </w:rPr>
              <w:t>98</w:t>
            </w:r>
            <w:r>
              <w:rPr>
                <w:rFonts w:hint="eastAsia" w:ascii="宋体" w:hAnsi="宋体" w:eastAsia="宋体" w:cs="宋体"/>
                <w:color w:val="auto"/>
                <w:szCs w:val="21"/>
                <w:highlight w:val="none"/>
              </w:rPr>
              <w:t>%</w:t>
            </w:r>
          </w:p>
        </w:tc>
        <w:tc>
          <w:tcPr>
            <w:tcW w:w="2038"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人工接通率较目标值每下 降1%扣2分；接通率低于9</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089"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业务处理时间</w:t>
            </w:r>
          </w:p>
        </w:tc>
        <w:tc>
          <w:tcPr>
            <w:tcW w:w="600" w:type="dxa"/>
          </w:tcPr>
          <w:p>
            <w:pPr>
              <w:topLinePunct/>
              <w:autoSpaceDE w:val="0"/>
              <w:autoSpaceDN w:val="0"/>
              <w:spacing w:after="0" w:line="360" w:lineRule="auto"/>
              <w:ind w:firstLine="420" w:firstLineChars="200"/>
              <w:jc w:val="center"/>
              <w:rPr>
                <w:rFonts w:hint="eastAsia" w:ascii="宋体" w:hAnsi="宋体" w:eastAsia="宋体" w:cs="宋体"/>
                <w:color w:val="auto"/>
                <w:szCs w:val="21"/>
                <w:highlight w:val="none"/>
              </w:rPr>
            </w:pPr>
          </w:p>
          <w:p>
            <w:pPr>
              <w:topLinePunct/>
              <w:autoSpaceDE w:val="0"/>
              <w:autoSpaceDN w:val="0"/>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017" w:type="dxa"/>
          </w:tcPr>
          <w:p>
            <w:pPr>
              <w:topLinePunct/>
              <w:autoSpaceDE w:val="0"/>
              <w:autoSpaceDN w:val="0"/>
              <w:spacing w:after="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业务处理时间=通话时长+整理态时长</w:t>
            </w:r>
          </w:p>
        </w:tc>
        <w:tc>
          <w:tcPr>
            <w:tcW w:w="1567" w:type="dxa"/>
          </w:tcPr>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平均不超过6分</w:t>
            </w:r>
          </w:p>
        </w:tc>
        <w:tc>
          <w:tcPr>
            <w:tcW w:w="2038"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业务处理时间较目标值每上升10秒扣1分；超过6分不得分。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1089" w:type="dxa"/>
          </w:tcPr>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服务满意率</w:t>
            </w:r>
          </w:p>
        </w:tc>
        <w:tc>
          <w:tcPr>
            <w:tcW w:w="600" w:type="dxa"/>
          </w:tcPr>
          <w:p>
            <w:pPr>
              <w:topLinePunct/>
              <w:autoSpaceDE w:val="0"/>
              <w:autoSpaceDN w:val="0"/>
              <w:spacing w:after="0" w:line="360" w:lineRule="auto"/>
              <w:ind w:firstLine="420" w:firstLineChars="200"/>
              <w:jc w:val="center"/>
              <w:rPr>
                <w:rFonts w:hint="eastAsia" w:ascii="宋体" w:hAnsi="宋体" w:eastAsia="宋体" w:cs="宋体"/>
                <w:color w:val="auto"/>
                <w:szCs w:val="21"/>
                <w:highlight w:val="none"/>
              </w:rPr>
            </w:pPr>
          </w:p>
          <w:p>
            <w:pPr>
              <w:topLinePunct/>
              <w:autoSpaceDE w:val="0"/>
              <w:autoSpaceDN w:val="0"/>
              <w:spacing w:after="0" w:line="360" w:lineRule="auto"/>
              <w:ind w:firstLine="420" w:firstLineChars="200"/>
              <w:jc w:val="center"/>
              <w:rPr>
                <w:rFonts w:hint="eastAsia" w:ascii="宋体" w:hAnsi="宋体" w:eastAsia="宋体" w:cs="宋体"/>
                <w:color w:val="auto"/>
                <w:szCs w:val="21"/>
                <w:highlight w:val="none"/>
              </w:rPr>
            </w:pPr>
          </w:p>
          <w:p>
            <w:pPr>
              <w:topLinePunct/>
              <w:autoSpaceDE w:val="0"/>
              <w:autoSpaceDN w:val="0"/>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3017"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转满意度评价=(转满意度评价数/接通电话数)*100%服务满意度=(IVR满意度调查满意客户数/参与调查客户总数)*100%</w:t>
            </w:r>
          </w:p>
        </w:tc>
        <w:tc>
          <w:tcPr>
            <w:tcW w:w="1567" w:type="dxa"/>
          </w:tcPr>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转满意度评价达100%,满意率达到98%以上；</w:t>
            </w:r>
          </w:p>
        </w:tc>
        <w:tc>
          <w:tcPr>
            <w:tcW w:w="2038"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转满意度评价较目标值每下降2%扣1分；服务满意度较目标值每下降1%扣1分。扣完为止。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089" w:type="dxa"/>
          </w:tcPr>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答复准确率</w:t>
            </w:r>
          </w:p>
        </w:tc>
        <w:tc>
          <w:tcPr>
            <w:tcW w:w="600" w:type="dxa"/>
          </w:tcPr>
          <w:p>
            <w:pPr>
              <w:topLinePunct/>
              <w:autoSpaceDE w:val="0"/>
              <w:autoSpaceDN w:val="0"/>
              <w:spacing w:after="0" w:line="360" w:lineRule="auto"/>
              <w:ind w:firstLine="420" w:firstLineChars="200"/>
              <w:jc w:val="center"/>
              <w:rPr>
                <w:rFonts w:hint="eastAsia" w:ascii="宋体" w:hAnsi="宋体" w:eastAsia="宋体" w:cs="宋体"/>
                <w:color w:val="auto"/>
                <w:szCs w:val="21"/>
                <w:highlight w:val="none"/>
              </w:rPr>
            </w:pPr>
          </w:p>
          <w:p>
            <w:pPr>
              <w:topLinePunct/>
              <w:autoSpaceDE w:val="0"/>
              <w:autoSpaceDN w:val="0"/>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3017"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答复准确率=(质检抽样准确数/质检抽样总数)*100%</w:t>
            </w:r>
          </w:p>
        </w:tc>
        <w:tc>
          <w:tcPr>
            <w:tcW w:w="1567" w:type="dxa"/>
          </w:tcPr>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平均90%以上(含)</w:t>
            </w:r>
          </w:p>
        </w:tc>
        <w:tc>
          <w:tcPr>
            <w:tcW w:w="2038"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答复准确率较目标值每下 降1%扣2分。扣完为止。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89" w:type="dxa"/>
          </w:tcPr>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员工出勤率</w:t>
            </w:r>
          </w:p>
        </w:tc>
        <w:tc>
          <w:tcPr>
            <w:tcW w:w="600" w:type="dxa"/>
          </w:tcPr>
          <w:p>
            <w:pPr>
              <w:topLinePunct/>
              <w:autoSpaceDE w:val="0"/>
              <w:autoSpaceDN w:val="0"/>
              <w:spacing w:after="0" w:line="360" w:lineRule="auto"/>
              <w:ind w:firstLine="420" w:firstLineChars="200"/>
              <w:jc w:val="center"/>
              <w:rPr>
                <w:rFonts w:hint="eastAsia" w:ascii="宋体" w:hAnsi="宋体" w:eastAsia="宋体" w:cs="宋体"/>
                <w:color w:val="auto"/>
                <w:szCs w:val="21"/>
                <w:highlight w:val="none"/>
              </w:rPr>
            </w:pPr>
          </w:p>
          <w:p>
            <w:pPr>
              <w:topLinePunct/>
              <w:autoSpaceDE w:val="0"/>
              <w:autoSpaceDN w:val="0"/>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017"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员工出勤率=(出勤天数/应出勤天数)*100%</w:t>
            </w:r>
          </w:p>
        </w:tc>
        <w:tc>
          <w:tcPr>
            <w:tcW w:w="1567" w:type="dxa"/>
          </w:tcPr>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平均90%以上(含)</w:t>
            </w:r>
          </w:p>
        </w:tc>
        <w:tc>
          <w:tcPr>
            <w:tcW w:w="2038"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员工出勤率较目标值每下 降1%扣1分。扣完为止。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089" w:type="dxa"/>
          </w:tcPr>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员工培训</w:t>
            </w:r>
          </w:p>
        </w:tc>
        <w:tc>
          <w:tcPr>
            <w:tcW w:w="600" w:type="dxa"/>
          </w:tcPr>
          <w:p>
            <w:pPr>
              <w:topLinePunct/>
              <w:autoSpaceDE w:val="0"/>
              <w:autoSpaceDN w:val="0"/>
              <w:spacing w:after="0" w:line="360" w:lineRule="auto"/>
              <w:ind w:firstLine="420" w:firstLineChars="200"/>
              <w:jc w:val="center"/>
              <w:rPr>
                <w:rFonts w:hint="eastAsia" w:ascii="宋体" w:hAnsi="宋体" w:eastAsia="宋体" w:cs="宋体"/>
                <w:color w:val="auto"/>
                <w:szCs w:val="21"/>
                <w:highlight w:val="none"/>
              </w:rPr>
            </w:pPr>
          </w:p>
          <w:p>
            <w:pPr>
              <w:topLinePunct/>
              <w:autoSpaceDE w:val="0"/>
              <w:autoSpaceDN w:val="0"/>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017"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每月至少组织2次专项培训，每月制定培训方案和情况记录</w:t>
            </w:r>
          </w:p>
        </w:tc>
        <w:tc>
          <w:tcPr>
            <w:tcW w:w="1567"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月均2次专项培训，并制定培训方案</w:t>
            </w:r>
          </w:p>
        </w:tc>
        <w:tc>
          <w:tcPr>
            <w:tcW w:w="2038"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每少一次培训扣1分，扣完为止。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9"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服务投诉</w:t>
            </w:r>
          </w:p>
        </w:tc>
        <w:tc>
          <w:tcPr>
            <w:tcW w:w="600" w:type="dxa"/>
          </w:tcPr>
          <w:p>
            <w:pPr>
              <w:topLinePunct/>
              <w:autoSpaceDE w:val="0"/>
              <w:autoSpaceDN w:val="0"/>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017"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纳税人通过热线、网站、邮箱等方式投诉，经调查属实的</w:t>
            </w:r>
          </w:p>
        </w:tc>
        <w:tc>
          <w:tcPr>
            <w:tcW w:w="1567"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月均不超过2次</w:t>
            </w:r>
          </w:p>
        </w:tc>
        <w:tc>
          <w:tcPr>
            <w:tcW w:w="2038"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服务投诉超过目标值的，每次扣5分。扣完为止。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1089" w:type="dxa"/>
          </w:tcPr>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员工的稳定性</w:t>
            </w:r>
          </w:p>
        </w:tc>
        <w:tc>
          <w:tcPr>
            <w:tcW w:w="600" w:type="dxa"/>
          </w:tcPr>
          <w:p>
            <w:pPr>
              <w:topLinePunct/>
              <w:autoSpaceDE w:val="0"/>
              <w:autoSpaceDN w:val="0"/>
              <w:spacing w:after="0" w:line="360" w:lineRule="auto"/>
              <w:ind w:firstLine="420" w:firstLineChars="200"/>
              <w:jc w:val="center"/>
              <w:rPr>
                <w:rFonts w:hint="eastAsia" w:ascii="宋体" w:hAnsi="宋体" w:eastAsia="宋体" w:cs="宋体"/>
                <w:color w:val="auto"/>
                <w:szCs w:val="21"/>
                <w:highlight w:val="none"/>
              </w:rPr>
            </w:pPr>
          </w:p>
          <w:p>
            <w:pPr>
              <w:topLinePunct/>
              <w:autoSpaceDE w:val="0"/>
              <w:autoSpaceDN w:val="0"/>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017"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员工的稳定性=咨询员变动数(离职)/[(咨询员期初总数+咨询员期末总数)/2]</w:t>
            </w:r>
          </w:p>
        </w:tc>
        <w:tc>
          <w:tcPr>
            <w:tcW w:w="1567"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合同期累计员工流失率小于20%(含)</w:t>
            </w:r>
          </w:p>
        </w:tc>
        <w:tc>
          <w:tcPr>
            <w:tcW w:w="2038" w:type="dxa"/>
          </w:tcPr>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员工的稳定性较目标值每上升10%扣2分。扣完为止。</w:t>
            </w:r>
          </w:p>
        </w:tc>
      </w:tr>
    </w:tbl>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、流失人员定义统计不含内部岗位调动人员，不含正式上岗后试用期内离职人员；2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、话务接通率、满意度、业务处理时间通过呼叫中心系统采集，分析计算；3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、当期答复准确率以上级和本级抽测结果计算；4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、每三个月作为一个考核周期。</w:t>
      </w: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、考核标准</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（1）每个考核周期内，未达到上述(一)考核标准的，总分值每扣5分的，采购方核扣支付价款的2%；</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（2）服务外包人员在工作中出现影响宁德市税务局形象的舆情事件被通报的，经调查属实的，每次扣支付价款的1%；</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（3）服务外包人员在工作中出现违反管理制度和工作纪律，导致被上级和地方政府部门通报的，经调查属实的，每次扣支付价款的1%。</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四、其他事项</w:t>
      </w:r>
    </w:p>
    <w:p>
      <w:pPr>
        <w:topLinePunct/>
        <w:autoSpaceDE w:val="0"/>
        <w:autoSpaceDN w:val="0"/>
        <w:spacing w:after="0" w:line="360" w:lineRule="auto"/>
        <w:ind w:firstLine="420" w:firstLineChars="200"/>
        <w:rPr>
          <w:rFonts w:hint="default" w:ascii="宋体" w:hAnsi="宋体" w:eastAsia="宋体" w:cs="宋体"/>
          <w:color w:val="auto"/>
          <w:szCs w:val="21"/>
          <w:highlight w:val="none"/>
          <w:lang w:val="en-US" w:eastAsia="zh-CN"/>
        </w:rPr>
      </w:pPr>
    </w:p>
    <w:bookmarkEnd w:id="27"/>
    <w:p>
      <w:pPr>
        <w:topLinePunct/>
        <w:autoSpaceDE w:val="0"/>
        <w:autoSpaceDN w:val="0"/>
        <w:spacing w:after="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注：本章内容为不允许负偏离的实质性要求。</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pStyle w:val="7"/>
      </w:pPr>
    </w:p>
    <w:p>
      <w:pPr>
        <w:pStyle w:val="2"/>
        <w:keepNext w:val="0"/>
        <w:keepLines w:val="0"/>
        <w:pageBreakBefore w:val="0"/>
        <w:widowControl w:val="0"/>
        <w:kinsoku/>
        <w:wordWrap/>
        <w:overflowPunct/>
        <w:topLinePunct w:val="0"/>
        <w:autoSpaceDE/>
        <w:autoSpaceDN/>
        <w:bidi w:val="0"/>
        <w:adjustRightInd/>
        <w:snapToGrid/>
        <w:textAlignment w:val="auto"/>
        <w:outlineLvl w:val="9"/>
        <w:rPr>
          <w:rStyle w:val="18"/>
          <w:rFonts w:hint="eastAsia" w:ascii="Times New Roman" w:hAnsi="Times New Roman" w:eastAsia="黑体" w:cs="Times New Roman"/>
          <w:b w:val="0"/>
          <w:bCs/>
          <w:color w:val="auto"/>
          <w:kern w:val="2"/>
          <w:szCs w:val="21"/>
          <w:highlight w:val="none"/>
          <w:lang w:val="en-US" w:eastAsia="zh-CN" w:bidi="ar-SA"/>
        </w:rPr>
      </w:pPr>
      <w:bookmarkStart w:id="28" w:name="_Toc1844079782"/>
      <w:bookmarkStart w:id="29" w:name="_Toc15361"/>
    </w:p>
    <w:p>
      <w:pPr>
        <w:pStyle w:val="2"/>
        <w:keepNext w:val="0"/>
        <w:keepLines w:val="0"/>
        <w:pageBreakBefore w:val="0"/>
        <w:widowControl w:val="0"/>
        <w:kinsoku/>
        <w:wordWrap/>
        <w:overflowPunct/>
        <w:topLinePunct w:val="0"/>
        <w:autoSpaceDE/>
        <w:autoSpaceDN/>
        <w:bidi w:val="0"/>
        <w:adjustRightInd/>
        <w:snapToGrid/>
        <w:textAlignment w:val="auto"/>
        <w:outlineLvl w:val="9"/>
        <w:rPr>
          <w:rStyle w:val="18"/>
          <w:rFonts w:hint="eastAsia" w:ascii="Times New Roman" w:hAnsi="Times New Roman" w:eastAsia="黑体" w:cs="Times New Roman"/>
          <w:b w:val="0"/>
          <w:bCs/>
          <w:color w:val="auto"/>
          <w:kern w:val="2"/>
          <w:szCs w:val="21"/>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Style w:val="18"/>
          <w:rFonts w:hint="eastAsia" w:ascii="Times New Roman" w:hAnsi="Times New Roman" w:eastAsia="黑体" w:cs="Times New Roman"/>
          <w:b w:val="0"/>
          <w:bCs/>
          <w:color w:val="auto"/>
          <w:kern w:val="2"/>
          <w:szCs w:val="21"/>
          <w:highlight w:val="none"/>
          <w:lang w:val="en-US" w:eastAsia="zh-CN" w:bidi="ar-SA"/>
        </w:rPr>
      </w:pPr>
    </w:p>
    <w:bookmarkEnd w:id="28"/>
    <w:bookmarkEnd w:id="29"/>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FangSong_GB2312">
    <w:altName w:val="仿宋_GB2312"/>
    <w:panose1 w:val="02010609030101010101"/>
    <w:charset w:val="86"/>
    <w:family w:val="roma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p/>
  <w:p/>
  <w:p/>
  <w:p/>
  <w:p/>
  <w:p/>
  <w:p/>
  <w:p/>
  <w:p/>
  <w:p/>
  <w:p/>
  <w:p/>
  <w:p/>
  <w:p/>
  <w:p/>
  <w:p/>
  <w:p/>
  <w:p/>
  <w:p/>
  <w:p/>
  <w:p/>
  <w:p/>
  <w:p/>
  <w:p/>
  <w:p/>
  <w:p/>
  <w:p/>
  <w:p/>
  <w:p/>
  <w:p/>
  <w:p/>
  <w:p/>
  <w:p/>
  <w:p/>
  <w:p/>
  <w:p/>
  <w:p/>
  <w:p/>
  <w:p/>
  <w:p/>
  <w:p/>
  <w:p/>
  <w:p/>
  <w:p/>
  <w:p/>
  <w:p/>
  <w:p/>
  <w:p/>
  <w:p/>
  <w:p/>
  <w:p/>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5C1E3"/>
    <w:multiLevelType w:val="singleLevel"/>
    <w:tmpl w:val="9D25C1E3"/>
    <w:lvl w:ilvl="0" w:tentative="0">
      <w:start w:val="1"/>
      <w:numFmt w:val="decimal"/>
      <w:pStyle w:val="6"/>
      <w:lvlText w:val="%1."/>
      <w:lvlJc w:val="left"/>
      <w:pPr>
        <w:tabs>
          <w:tab w:val="left" w:pos="780"/>
        </w:tabs>
        <w:ind w:left="780" w:hanging="360"/>
      </w:pPr>
    </w:lvl>
  </w:abstractNum>
  <w:abstractNum w:abstractNumId="1">
    <w:nsid w:val="E5FC3261"/>
    <w:multiLevelType w:val="singleLevel"/>
    <w:tmpl w:val="E5FC326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GNkYjU5NmFhYzY1M2E0NzU3OGNkMDEwM2JkMDQifQ=="/>
  </w:docVars>
  <w:rsids>
    <w:rsidRoot w:val="38E93D05"/>
    <w:rsid w:val="01E767C0"/>
    <w:rsid w:val="099B398A"/>
    <w:rsid w:val="1416120E"/>
    <w:rsid w:val="192F30AE"/>
    <w:rsid w:val="1FBB2005"/>
    <w:rsid w:val="24F56110"/>
    <w:rsid w:val="28311135"/>
    <w:rsid w:val="291E39E9"/>
    <w:rsid w:val="2BE13DCB"/>
    <w:rsid w:val="2E6D3E38"/>
    <w:rsid w:val="34551C58"/>
    <w:rsid w:val="38E93D05"/>
    <w:rsid w:val="3B7F7C8E"/>
    <w:rsid w:val="41151B3C"/>
    <w:rsid w:val="41644722"/>
    <w:rsid w:val="42B256AC"/>
    <w:rsid w:val="472C7FF3"/>
    <w:rsid w:val="4CB413AD"/>
    <w:rsid w:val="4E680079"/>
    <w:rsid w:val="4E6B4AAB"/>
    <w:rsid w:val="53C02C8B"/>
    <w:rsid w:val="5C5D53F6"/>
    <w:rsid w:val="60B55898"/>
    <w:rsid w:val="60B75B28"/>
    <w:rsid w:val="653B2201"/>
    <w:rsid w:val="6724482A"/>
    <w:rsid w:val="6A194932"/>
    <w:rsid w:val="6BA0747F"/>
    <w:rsid w:val="70AE3A04"/>
    <w:rsid w:val="78BA2397"/>
    <w:rsid w:val="79922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
    <w:pPr>
      <w:keepNext/>
      <w:keepLines/>
      <w:spacing w:before="260" w:after="260" w:line="360" w:lineRule="auto"/>
      <w:jc w:val="left"/>
      <w:outlineLvl w:val="1"/>
    </w:pPr>
    <w:rPr>
      <w:rFonts w:ascii="Cambria" w:hAnsi="Cambria" w:eastAsia="方正大标宋简体"/>
      <w:bCs/>
      <w:sz w:val="36"/>
      <w:szCs w:val="32"/>
    </w:rPr>
  </w:style>
  <w:style w:type="paragraph" w:styleId="4">
    <w:name w:val="heading 3"/>
    <w:basedOn w:val="1"/>
    <w:next w:val="1"/>
    <w:link w:val="18"/>
    <w:qFormat/>
    <w:uiPriority w:val="9"/>
    <w:pPr>
      <w:keepNext/>
      <w:keepLines/>
      <w:adjustRightInd w:val="0"/>
      <w:spacing w:before="260" w:after="260" w:line="360" w:lineRule="auto"/>
      <w:ind w:firstLine="0" w:firstLineChars="0"/>
      <w:jc w:val="left"/>
      <w:outlineLvl w:val="2"/>
    </w:pPr>
    <w:rPr>
      <w:rFonts w:eastAsia="黑体"/>
      <w:bCs/>
      <w:sz w:val="32"/>
      <w:szCs w:val="32"/>
    </w:rPr>
  </w:style>
  <w:style w:type="paragraph" w:styleId="5">
    <w:name w:val="heading 5"/>
    <w:basedOn w:val="6"/>
    <w:next w:val="7"/>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b/>
      <w:szCs w:val="24"/>
    </w:rPr>
  </w:style>
  <w:style w:type="paragraph" w:styleId="6">
    <w:name w:val="List Number 2"/>
    <w:basedOn w:val="1"/>
    <w:qFormat/>
    <w:uiPriority w:val="0"/>
    <w:pPr>
      <w:numPr>
        <w:ilvl w:val="0"/>
        <w:numId w:val="1"/>
      </w:numPr>
    </w:p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Plain Text"/>
    <w:basedOn w:val="1"/>
    <w:unhideWhenUsed/>
    <w:qFormat/>
    <w:uiPriority w:val="99"/>
    <w:rPr>
      <w:rFonts w:ascii="宋体" w:hAnsi="Courier New" w:eastAsia="宋体" w:cs="Courier New"/>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table" w:styleId="13">
    <w:name w:val="Table Grid"/>
    <w:basedOn w:val="1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style>
  <w:style w:type="character" w:styleId="16">
    <w:name w:val="Hyperlink"/>
    <w:unhideWhenUsed/>
    <w:qFormat/>
    <w:uiPriority w:val="99"/>
    <w:rPr>
      <w:color w:val="0000FF"/>
      <w:u w:val="single"/>
    </w:rPr>
  </w:style>
  <w:style w:type="paragraph" w:customStyle="1" w:styleId="17">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
    <w:name w:val="标题 3 Char"/>
    <w:link w:val="4"/>
    <w:qFormat/>
    <w:uiPriority w:val="0"/>
    <w:rPr>
      <w:rFonts w:eastAsia="黑体"/>
      <w:bCs/>
      <w:sz w:val="32"/>
      <w:szCs w:val="32"/>
    </w:rPr>
  </w:style>
  <w:style w:type="paragraph" w:customStyle="1" w:styleId="19">
    <w:name w:val="null3"/>
    <w:qFormat/>
    <w:uiPriority w:val="0"/>
    <w:rPr>
      <w:rFonts w:hint="eastAsia" w:ascii="Calibri" w:hAnsi="Calibri" w:eastAsia="宋体" w:cs="Times New Roman"/>
      <w:lang w:val="en-US" w:eastAsia="zh-CN" w:bidi="ar-SA"/>
    </w:rPr>
  </w:style>
  <w:style w:type="paragraph" w:customStyle="1" w:styleId="20">
    <w:name w:val="样式1"/>
    <w:basedOn w:val="1"/>
    <w:qFormat/>
    <w:uiPriority w:val="0"/>
    <w:pPr>
      <w:jc w:val="center"/>
    </w:pPr>
    <w:rPr>
      <w:rFonts w:eastAsia="方正大标宋简体"/>
      <w:sz w:val="52"/>
    </w:rPr>
  </w:style>
  <w:style w:type="paragraph" w:customStyle="1" w:styleId="21">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37118</Words>
  <Characters>39737</Characters>
  <Lines>0</Lines>
  <Paragraphs>0</Paragraphs>
  <TotalTime>19</TotalTime>
  <ScaleCrop>false</ScaleCrop>
  <LinksUpToDate>false</LinksUpToDate>
  <CharactersWithSpaces>42635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2024-01-15T02:59:00Z</dcterms:created>
  <dc:creator>宵夜</dc:creator>
  <cp:lastModifiedBy>魏煌健</cp:lastModifiedBy>
  <cp:lastPrinted>2024-02-22T07:47:00Z</cp:lastPrinted>
  <dcterms:modified xsi:type="dcterms:W3CDTF">2025-05-09T01:24:39Z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99FCF17EB95C4418AC9DC7CA380FD144_13</vt:lpwstr>
  </property>
</Properties>
</file>