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360" w:lineRule="auto"/>
        <w:jc w:val="center"/>
        <w:outlineLvl w:val="0"/>
        <w:rPr>
          <w:rFonts w:hint="eastAsia" w:hAnsi="宋体" w:eastAsia="宋体" w:cs="方正小标宋简体"/>
          <w:b/>
          <w:bCs/>
          <w:color w:val="auto"/>
          <w:sz w:val="44"/>
          <w:szCs w:val="44"/>
          <w:lang w:val="en-US" w:eastAsia="zh-CN"/>
        </w:rPr>
      </w:pPr>
      <w:r>
        <w:rPr>
          <w:rFonts w:hint="eastAsia" w:hAnsi="宋体" w:eastAsia="宋体" w:cs="方正小标宋简体"/>
          <w:b/>
          <w:bCs/>
          <w:color w:val="auto"/>
          <w:sz w:val="44"/>
          <w:szCs w:val="44"/>
          <w:lang w:val="en-US" w:eastAsia="zh-CN"/>
        </w:rPr>
        <w:t xml:space="preserve">       </w:t>
      </w:r>
    </w:p>
    <w:p>
      <w:pPr>
        <w:pStyle w:val="8"/>
        <w:spacing w:line="360" w:lineRule="auto"/>
        <w:jc w:val="center"/>
        <w:outlineLvl w:val="0"/>
        <w:rPr>
          <w:rFonts w:hint="default" w:hAnsi="宋体" w:eastAsia="宋体" w:cs="方正小标宋简体"/>
          <w:b/>
          <w:bCs/>
          <w:color w:val="auto"/>
          <w:sz w:val="44"/>
          <w:szCs w:val="44"/>
          <w:highlight w:val="none"/>
          <w:lang w:val="en-US" w:eastAsia="zh-CN"/>
        </w:rPr>
      </w:pPr>
    </w:p>
    <w:p>
      <w:pPr>
        <w:pStyle w:val="8"/>
        <w:spacing w:line="360" w:lineRule="auto"/>
        <w:jc w:val="center"/>
        <w:outlineLvl w:val="0"/>
        <w:rPr>
          <w:rFonts w:hint="eastAsia" w:hAnsi="宋体" w:cs="方正小标宋简体"/>
          <w:b/>
          <w:bCs/>
          <w:color w:val="auto"/>
          <w:sz w:val="44"/>
          <w:szCs w:val="44"/>
          <w:highlight w:val="none"/>
        </w:rPr>
      </w:pPr>
    </w:p>
    <w:p>
      <w:pPr>
        <w:pStyle w:val="8"/>
        <w:spacing w:line="360" w:lineRule="auto"/>
        <w:jc w:val="center"/>
        <w:outlineLvl w:val="0"/>
        <w:rPr>
          <w:rFonts w:hint="eastAsia" w:hAnsi="宋体" w:cs="方正小标宋简体"/>
          <w:b/>
          <w:bCs/>
          <w:color w:val="auto"/>
          <w:sz w:val="44"/>
          <w:szCs w:val="44"/>
          <w:highlight w:val="none"/>
        </w:rPr>
      </w:pPr>
    </w:p>
    <w:p>
      <w:pPr>
        <w:pStyle w:val="8"/>
        <w:spacing w:line="360" w:lineRule="auto"/>
        <w:jc w:val="center"/>
        <w:outlineLvl w:val="0"/>
        <w:rPr>
          <w:rFonts w:hint="eastAsia" w:hAnsi="宋体" w:cs="方正小标宋简体"/>
          <w:b/>
          <w:bCs/>
          <w:color w:val="auto"/>
          <w:sz w:val="44"/>
          <w:szCs w:val="44"/>
          <w:highlight w:val="none"/>
        </w:rPr>
      </w:pPr>
    </w:p>
    <w:p>
      <w:pPr>
        <w:pStyle w:val="8"/>
        <w:spacing w:line="360" w:lineRule="auto"/>
        <w:jc w:val="center"/>
        <w:outlineLvl w:val="0"/>
        <w:rPr>
          <w:rFonts w:hint="eastAsia" w:hAnsi="宋体" w:cs="方正小标宋简体"/>
          <w:b/>
          <w:bCs/>
          <w:color w:val="auto"/>
          <w:sz w:val="44"/>
          <w:szCs w:val="44"/>
          <w:highlight w:val="none"/>
        </w:rPr>
      </w:pPr>
    </w:p>
    <w:p>
      <w:pPr>
        <w:pStyle w:val="8"/>
        <w:spacing w:line="360" w:lineRule="auto"/>
        <w:jc w:val="center"/>
        <w:outlineLvl w:val="0"/>
        <w:rPr>
          <w:rFonts w:hint="eastAsia" w:hAnsi="宋体" w:cs="方正小标宋简体"/>
          <w:b/>
          <w:bCs/>
          <w:color w:val="auto"/>
          <w:sz w:val="44"/>
          <w:szCs w:val="44"/>
          <w:highlight w:val="none"/>
        </w:rPr>
      </w:pPr>
    </w:p>
    <w:p>
      <w:pPr>
        <w:pStyle w:val="8"/>
        <w:spacing w:line="360" w:lineRule="auto"/>
        <w:jc w:val="center"/>
        <w:outlineLvl w:val="0"/>
        <w:rPr>
          <w:rFonts w:hint="eastAsia" w:hAnsi="宋体" w:cs="方正小标宋简体"/>
          <w:b/>
          <w:bCs/>
          <w:color w:val="auto"/>
          <w:sz w:val="44"/>
          <w:szCs w:val="44"/>
          <w:highlight w:val="none"/>
        </w:rPr>
      </w:pPr>
      <w:r>
        <w:rPr>
          <w:rFonts w:hint="eastAsia" w:hAnsi="宋体" w:cs="方正小标宋简体"/>
          <w:b/>
          <w:bCs/>
          <w:color w:val="auto"/>
          <w:sz w:val="44"/>
          <w:szCs w:val="44"/>
          <w:highlight w:val="none"/>
        </w:rPr>
        <w:t>国家税务总局</w:t>
      </w:r>
      <w:r>
        <w:rPr>
          <w:rFonts w:hint="eastAsia" w:hAnsi="宋体" w:eastAsia="宋体" w:cs="方正小标宋简体"/>
          <w:b/>
          <w:bCs/>
          <w:color w:val="auto"/>
          <w:sz w:val="44"/>
          <w:szCs w:val="44"/>
          <w:highlight w:val="none"/>
          <w:lang w:eastAsia="zh-CN"/>
        </w:rPr>
        <w:t>宁德</w:t>
      </w:r>
      <w:r>
        <w:rPr>
          <w:rFonts w:hint="eastAsia" w:hAnsi="宋体" w:cs="方正小标宋简体"/>
          <w:b/>
          <w:bCs/>
          <w:color w:val="auto"/>
          <w:sz w:val="44"/>
          <w:szCs w:val="44"/>
          <w:highlight w:val="none"/>
        </w:rPr>
        <w:t>市税务局12366服务外包</w:t>
      </w:r>
    </w:p>
    <w:p>
      <w:pPr>
        <w:pStyle w:val="8"/>
        <w:spacing w:line="360" w:lineRule="auto"/>
        <w:jc w:val="center"/>
        <w:outlineLvl w:val="0"/>
        <w:rPr>
          <w:rFonts w:hint="eastAsia" w:hAnsi="宋体" w:cs="方正小标宋简体"/>
          <w:color w:val="auto"/>
          <w:sz w:val="44"/>
          <w:szCs w:val="44"/>
          <w:highlight w:val="none"/>
        </w:rPr>
      </w:pPr>
      <w:r>
        <w:rPr>
          <w:rFonts w:hint="eastAsia" w:hAnsi="宋体" w:cs="方正小标宋简体"/>
          <w:b/>
          <w:bCs/>
          <w:color w:val="auto"/>
          <w:sz w:val="44"/>
          <w:szCs w:val="44"/>
          <w:highlight w:val="none"/>
        </w:rPr>
        <w:t>项目采购需求（征求意见稿）</w:t>
      </w:r>
    </w:p>
    <w:p>
      <w:pPr>
        <w:widowControl w:val="0"/>
        <w:topLinePunct/>
        <w:autoSpaceDE w:val="0"/>
        <w:autoSpaceDN w:val="0"/>
        <w:spacing w:before="0" w:after="0" w:line="360" w:lineRule="auto"/>
        <w:jc w:val="center"/>
        <w:rPr>
          <w:rFonts w:hint="eastAsia" w:ascii="宋体" w:hAnsi="宋体" w:eastAsia="宋体" w:cs="宋体"/>
          <w:b/>
          <w:color w:val="auto"/>
          <w:sz w:val="30"/>
          <w:szCs w:val="30"/>
          <w:highlight w:val="none"/>
          <w:lang w:eastAsia="zh-CN"/>
        </w:rPr>
      </w:pPr>
    </w:p>
    <w:p>
      <w:pPr>
        <w:widowControl w:val="0"/>
        <w:spacing w:before="0" w:after="0" w:line="360" w:lineRule="auto"/>
        <w:jc w:val="both"/>
        <w:rPr>
          <w:rFonts w:hint="eastAsia" w:ascii="宋体" w:hAnsi="宋体" w:eastAsia="宋体" w:cs="宋体"/>
          <w:color w:val="auto"/>
          <w:kern w:val="2"/>
          <w:sz w:val="32"/>
          <w:szCs w:val="32"/>
          <w:highlight w:val="none"/>
          <w:lang w:eastAsia="zh-CN"/>
        </w:rPr>
      </w:pPr>
    </w:p>
    <w:p>
      <w:pPr>
        <w:widowControl w:val="0"/>
        <w:spacing w:before="0" w:after="0" w:line="360" w:lineRule="auto"/>
        <w:jc w:val="both"/>
        <w:rPr>
          <w:rFonts w:ascii="宋体" w:hAnsi="宋体" w:eastAsia="宋体" w:cs="宋体"/>
          <w:color w:val="auto"/>
          <w:kern w:val="2"/>
          <w:sz w:val="32"/>
          <w:szCs w:val="32"/>
          <w:highlight w:val="none"/>
          <w:lang w:eastAsia="zh-CN"/>
        </w:rPr>
      </w:pPr>
    </w:p>
    <w:p>
      <w:pPr>
        <w:widowControl w:val="0"/>
        <w:spacing w:before="0" w:after="0" w:line="360" w:lineRule="auto"/>
        <w:jc w:val="both"/>
        <w:rPr>
          <w:rFonts w:hint="eastAsia" w:ascii="宋体" w:hAnsi="宋体" w:eastAsia="宋体" w:cs="宋体"/>
          <w:color w:val="auto"/>
          <w:kern w:val="2"/>
          <w:sz w:val="32"/>
          <w:szCs w:val="32"/>
          <w:highlight w:val="none"/>
          <w:lang w:eastAsia="zh-CN"/>
        </w:rPr>
      </w:pPr>
    </w:p>
    <w:p>
      <w:pPr>
        <w:widowControl w:val="0"/>
        <w:topLinePunct/>
        <w:autoSpaceDE w:val="0"/>
        <w:autoSpaceDN w:val="0"/>
        <w:spacing w:before="0" w:after="0" w:line="360" w:lineRule="auto"/>
        <w:jc w:val="both"/>
        <w:rPr>
          <w:rFonts w:hint="eastAsia" w:ascii="宋体" w:hAnsi="宋体" w:eastAsia="宋体" w:cs="宋体"/>
          <w:color w:val="auto"/>
          <w:sz w:val="32"/>
          <w:szCs w:val="32"/>
          <w:highlight w:val="none"/>
          <w:lang w:eastAsia="zh-CN"/>
        </w:rPr>
      </w:pPr>
    </w:p>
    <w:p>
      <w:pPr>
        <w:spacing w:before="0" w:after="0" w:line="360" w:lineRule="auto"/>
        <w:jc w:val="center"/>
        <w:rPr>
          <w:rFonts w:ascii="宋体" w:hAnsi="宋体" w:eastAsia="宋体" w:cs="宋体"/>
          <w:color w:val="auto"/>
          <w:sz w:val="32"/>
          <w:highlight w:val="none"/>
        </w:rPr>
      </w:pPr>
      <w:r>
        <w:rPr>
          <w:color w:val="auto"/>
          <w:highlight w:val="none"/>
        </w:rPr>
        <w:br w:type="page"/>
      </w:r>
      <w:r>
        <w:rPr>
          <w:rFonts w:ascii="宋体" w:hAnsi="宋体" w:eastAsia="宋体" w:cs="宋体"/>
          <w:color w:val="auto"/>
          <w:sz w:val="32"/>
          <w:highlight w:val="none"/>
        </w:rPr>
        <w:t>目 录</w:t>
      </w:r>
    </w:p>
    <w:p>
      <w:pPr>
        <w:pStyle w:val="9"/>
        <w:tabs>
          <w:tab w:val="right" w:leader="dot" w:pos="9016"/>
        </w:tabs>
        <w:spacing w:before="0" w:after="0" w:line="360" w:lineRule="auto"/>
        <w:rPr>
          <w:rFonts w:asciiTheme="minorHAnsi" w:hAnsiTheme="minorHAnsi"/>
          <w:color w:val="auto"/>
          <w:sz w:val="22"/>
          <w:highlight w:val="none"/>
        </w:rPr>
      </w:pPr>
      <w:r>
        <w:rPr>
          <w:rFonts w:ascii="宋体" w:hAnsi="宋体" w:eastAsia="宋体" w:cs="宋体"/>
          <w:color w:val="auto"/>
          <w:sz w:val="32"/>
          <w:highlight w:val="none"/>
        </w:rPr>
        <w:fldChar w:fldCharType="begin"/>
      </w:r>
      <w:r>
        <w:rPr>
          <w:rFonts w:ascii="宋体" w:hAnsi="宋体" w:eastAsia="宋体" w:cs="宋体"/>
          <w:color w:val="auto"/>
          <w:sz w:val="32"/>
          <w:highlight w:val="none"/>
        </w:rPr>
        <w:instrText xml:space="preserve">TOC \o "1-3" \h \z \u</w:instrText>
      </w:r>
      <w:r>
        <w:rPr>
          <w:rFonts w:ascii="宋体" w:hAnsi="宋体" w:eastAsia="宋体" w:cs="宋体"/>
          <w:color w:val="auto"/>
          <w:sz w:val="32"/>
          <w:highlight w:val="none"/>
        </w:rPr>
        <w:fldChar w:fldCharType="separate"/>
      </w:r>
      <w:r>
        <w:rPr>
          <w:color w:val="auto"/>
          <w:highlight w:val="none"/>
        </w:rPr>
        <w:fldChar w:fldCharType="begin"/>
      </w:r>
      <w:r>
        <w:rPr>
          <w:color w:val="auto"/>
          <w:highlight w:val="none"/>
        </w:rPr>
        <w:instrText xml:space="preserve"> HYPERLINK \l "_Toc256000000" </w:instrText>
      </w:r>
      <w:r>
        <w:rPr>
          <w:color w:val="auto"/>
          <w:highlight w:val="none"/>
        </w:rPr>
        <w:fldChar w:fldCharType="separate"/>
      </w:r>
      <w:r>
        <w:rPr>
          <w:rStyle w:val="13"/>
          <w:rFonts w:ascii="仿宋_GB2312" w:hAnsi="仿宋_GB2312" w:eastAsia="仿宋_GB2312" w:cs="仿宋_GB2312"/>
          <w:color w:val="auto"/>
          <w:kern w:val="36"/>
          <w:highlight w:val="none"/>
        </w:rPr>
        <w:t>1项目概述</w:t>
      </w:r>
      <w:r>
        <w:rPr>
          <w:color w:val="auto"/>
          <w:highlight w:val="none"/>
        </w:rPr>
        <w:tab/>
      </w:r>
      <w:r>
        <w:rPr>
          <w:color w:val="auto"/>
          <w:highlight w:val="none"/>
        </w:rPr>
        <w:fldChar w:fldCharType="begin"/>
      </w:r>
      <w:r>
        <w:rPr>
          <w:color w:val="auto"/>
          <w:highlight w:val="none"/>
        </w:rPr>
        <w:instrText xml:space="preserve"> PAGEREF _Toc256000000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0"/>
        <w:tabs>
          <w:tab w:val="right" w:leader="dot" w:pos="9016"/>
        </w:tabs>
        <w:spacing w:before="0" w:after="0" w:line="360" w:lineRule="auto"/>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"_Toc256000001" </w:instrText>
      </w:r>
      <w:r>
        <w:rPr>
          <w:color w:val="auto"/>
          <w:highlight w:val="none"/>
        </w:rPr>
        <w:fldChar w:fldCharType="separate"/>
      </w:r>
      <w:r>
        <w:rPr>
          <w:rStyle w:val="13"/>
          <w:rFonts w:ascii="仿宋_GB2312" w:hAnsi="仿宋_GB2312" w:eastAsia="仿宋_GB2312" w:cs="仿宋_GB2312"/>
          <w:color w:val="auto"/>
          <w:highlight w:val="none"/>
        </w:rPr>
        <w:t>1.1项目背景</w:t>
      </w:r>
      <w:r>
        <w:rPr>
          <w:color w:val="auto"/>
          <w:highlight w:val="none"/>
        </w:rPr>
        <w:tab/>
      </w:r>
      <w:r>
        <w:rPr>
          <w:color w:val="auto"/>
          <w:highlight w:val="none"/>
        </w:rPr>
        <w:fldChar w:fldCharType="begin"/>
      </w:r>
      <w:r>
        <w:rPr>
          <w:color w:val="auto"/>
          <w:highlight w:val="none"/>
        </w:rPr>
        <w:instrText xml:space="preserve"> PAGEREF _Toc256000001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7"/>
        <w:tabs>
          <w:tab w:val="right" w:leader="dot" w:pos="9016"/>
        </w:tabs>
        <w:spacing w:before="0" w:after="0" w:line="360" w:lineRule="auto"/>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"_Toc256000002" </w:instrText>
      </w:r>
      <w:r>
        <w:rPr>
          <w:color w:val="auto"/>
          <w:highlight w:val="none"/>
        </w:rPr>
        <w:fldChar w:fldCharType="separate"/>
      </w:r>
      <w:r>
        <w:rPr>
          <w:rStyle w:val="13"/>
          <w:rFonts w:ascii="仿宋_GB2312" w:hAnsi="仿宋_GB2312" w:eastAsia="仿宋_GB2312" w:cs="仿宋_GB2312"/>
          <w:color w:val="auto"/>
          <w:highlight w:val="none"/>
        </w:rPr>
        <w:t>1.1.1项目目的、意义及背景</w:t>
      </w:r>
      <w:r>
        <w:rPr>
          <w:color w:val="auto"/>
          <w:highlight w:val="none"/>
        </w:rPr>
        <w:tab/>
      </w:r>
      <w:r>
        <w:rPr>
          <w:color w:val="auto"/>
          <w:highlight w:val="none"/>
        </w:rPr>
        <w:fldChar w:fldCharType="begin"/>
      </w:r>
      <w:r>
        <w:rPr>
          <w:color w:val="auto"/>
          <w:highlight w:val="none"/>
        </w:rPr>
        <w:instrText xml:space="preserve"> PAGEREF _Toc256000002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0"/>
        <w:tabs>
          <w:tab w:val="right" w:leader="dot" w:pos="9016"/>
        </w:tabs>
        <w:spacing w:before="0" w:after="0" w:line="360" w:lineRule="auto"/>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"_Toc256000003" </w:instrText>
      </w:r>
      <w:r>
        <w:rPr>
          <w:color w:val="auto"/>
          <w:highlight w:val="none"/>
        </w:rPr>
        <w:fldChar w:fldCharType="separate"/>
      </w:r>
      <w:r>
        <w:rPr>
          <w:rStyle w:val="13"/>
          <w:rFonts w:ascii="仿宋_GB2312" w:hAnsi="仿宋_GB2312" w:eastAsia="仿宋_GB2312" w:cs="仿宋_GB2312"/>
          <w:color w:val="auto"/>
          <w:highlight w:val="none"/>
        </w:rPr>
        <w:t>1.2项目内容</w:t>
      </w:r>
      <w:r>
        <w:rPr>
          <w:color w:val="auto"/>
          <w:highlight w:val="none"/>
        </w:rPr>
        <w:tab/>
      </w:r>
      <w:r>
        <w:rPr>
          <w:color w:val="auto"/>
          <w:highlight w:val="none"/>
        </w:rPr>
        <w:fldChar w:fldCharType="begin"/>
      </w:r>
      <w:r>
        <w:rPr>
          <w:color w:val="auto"/>
          <w:highlight w:val="none"/>
        </w:rPr>
        <w:instrText xml:space="preserve"> PAGEREF _Toc256000003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7"/>
        <w:tabs>
          <w:tab w:val="right" w:leader="dot" w:pos="9016"/>
        </w:tabs>
        <w:spacing w:before="0" w:after="0" w:line="360" w:lineRule="auto"/>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"_Toc256000004" </w:instrText>
      </w:r>
      <w:r>
        <w:rPr>
          <w:color w:val="auto"/>
          <w:highlight w:val="none"/>
        </w:rPr>
        <w:fldChar w:fldCharType="separate"/>
      </w:r>
      <w:r>
        <w:rPr>
          <w:rStyle w:val="13"/>
          <w:rFonts w:ascii="仿宋_GB2312" w:hAnsi="仿宋_GB2312" w:eastAsia="仿宋_GB2312" w:cs="仿宋_GB2312"/>
          <w:color w:val="auto"/>
          <w:highlight w:val="none"/>
        </w:rPr>
        <w:t>1.2.1项目建设思路</w:t>
      </w:r>
      <w:r>
        <w:rPr>
          <w:color w:val="auto"/>
          <w:highlight w:val="none"/>
        </w:rPr>
        <w:tab/>
      </w:r>
      <w:r>
        <w:rPr>
          <w:color w:val="auto"/>
          <w:highlight w:val="none"/>
        </w:rPr>
        <w:fldChar w:fldCharType="begin"/>
      </w:r>
      <w:r>
        <w:rPr>
          <w:color w:val="auto"/>
          <w:highlight w:val="none"/>
        </w:rPr>
        <w:instrText xml:space="preserve"> PAGEREF _Toc256000004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7"/>
        <w:tabs>
          <w:tab w:val="right" w:leader="dot" w:pos="9016"/>
        </w:tabs>
        <w:spacing w:before="0" w:after="0" w:line="360" w:lineRule="auto"/>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"_Toc256000005" </w:instrText>
      </w:r>
      <w:r>
        <w:rPr>
          <w:color w:val="auto"/>
          <w:highlight w:val="none"/>
        </w:rPr>
        <w:fldChar w:fldCharType="separate"/>
      </w:r>
      <w:r>
        <w:rPr>
          <w:rStyle w:val="13"/>
          <w:rFonts w:ascii="仿宋_GB2312" w:hAnsi="仿宋_GB2312" w:eastAsia="仿宋_GB2312" w:cs="仿宋_GB2312"/>
          <w:color w:val="auto"/>
          <w:highlight w:val="none"/>
        </w:rPr>
        <w:t>1.2.2采购内容</w:t>
      </w:r>
      <w:r>
        <w:rPr>
          <w:color w:val="auto"/>
          <w:highlight w:val="none"/>
        </w:rPr>
        <w:tab/>
      </w:r>
      <w:r>
        <w:rPr>
          <w:color w:val="auto"/>
          <w:highlight w:val="none"/>
        </w:rPr>
        <w:fldChar w:fldCharType="begin"/>
      </w:r>
      <w:r>
        <w:rPr>
          <w:color w:val="auto"/>
          <w:highlight w:val="none"/>
        </w:rPr>
        <w:instrText xml:space="preserve"> PAGEREF _Toc256000005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7"/>
        <w:tabs>
          <w:tab w:val="right" w:leader="dot" w:pos="9016"/>
        </w:tabs>
        <w:spacing w:before="0" w:after="0" w:line="360" w:lineRule="auto"/>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"_Toc256000006" </w:instrText>
      </w:r>
      <w:r>
        <w:rPr>
          <w:color w:val="auto"/>
          <w:highlight w:val="none"/>
        </w:rPr>
        <w:fldChar w:fldCharType="separate"/>
      </w:r>
      <w:r>
        <w:rPr>
          <w:rStyle w:val="13"/>
          <w:rFonts w:ascii="仿宋_GB2312" w:hAnsi="仿宋_GB2312" w:eastAsia="仿宋_GB2312" w:cs="仿宋_GB2312"/>
          <w:color w:val="auto"/>
          <w:highlight w:val="none"/>
        </w:rPr>
        <w:t>1.2.3项目实施要求</w:t>
      </w:r>
      <w:r>
        <w:rPr>
          <w:color w:val="auto"/>
          <w:highlight w:val="none"/>
        </w:rPr>
        <w:tab/>
      </w:r>
      <w:r>
        <w:rPr>
          <w:color w:val="auto"/>
          <w:highlight w:val="none"/>
        </w:rPr>
        <w:fldChar w:fldCharType="begin"/>
      </w:r>
      <w:r>
        <w:rPr>
          <w:color w:val="auto"/>
          <w:highlight w:val="none"/>
        </w:rPr>
        <w:instrText xml:space="preserve"> PAGEREF _Toc256000006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9"/>
        <w:tabs>
          <w:tab w:val="right" w:leader="dot" w:pos="9016"/>
        </w:tabs>
        <w:spacing w:before="0" w:after="0" w:line="360" w:lineRule="auto"/>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"_Toc256000007" </w:instrText>
      </w:r>
      <w:r>
        <w:rPr>
          <w:color w:val="auto"/>
          <w:highlight w:val="none"/>
        </w:rPr>
        <w:fldChar w:fldCharType="separate"/>
      </w:r>
      <w:r>
        <w:rPr>
          <w:rStyle w:val="13"/>
          <w:rFonts w:ascii="仿宋_GB2312" w:hAnsi="仿宋_GB2312" w:eastAsia="仿宋_GB2312" w:cs="仿宋_GB2312"/>
          <w:color w:val="auto"/>
          <w:kern w:val="36"/>
          <w:highlight w:val="none"/>
        </w:rPr>
        <w:t>2投标/响应要求</w:t>
      </w:r>
      <w:r>
        <w:rPr>
          <w:color w:val="auto"/>
          <w:highlight w:val="none"/>
        </w:rPr>
        <w:tab/>
      </w:r>
      <w:r>
        <w:rPr>
          <w:color w:val="auto"/>
          <w:highlight w:val="none"/>
        </w:rPr>
        <w:fldChar w:fldCharType="begin"/>
      </w:r>
      <w:r>
        <w:rPr>
          <w:color w:val="auto"/>
          <w:highlight w:val="none"/>
        </w:rPr>
        <w:instrText xml:space="preserve"> PAGEREF _Toc256000007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10"/>
        <w:tabs>
          <w:tab w:val="right" w:leader="dot" w:pos="9016"/>
        </w:tabs>
        <w:spacing w:before="0" w:after="0" w:line="360" w:lineRule="auto"/>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"_Toc256000008" </w:instrText>
      </w:r>
      <w:r>
        <w:rPr>
          <w:color w:val="auto"/>
          <w:highlight w:val="none"/>
        </w:rPr>
        <w:fldChar w:fldCharType="separate"/>
      </w:r>
      <w:r>
        <w:rPr>
          <w:rStyle w:val="13"/>
          <w:rFonts w:ascii="仿宋_GB2312" w:hAnsi="仿宋_GB2312" w:eastAsia="仿宋_GB2312" w:cs="仿宋_GB2312"/>
          <w:color w:val="auto"/>
          <w:highlight w:val="none"/>
        </w:rPr>
        <w:t>2.1对供应商的要求</w:t>
      </w:r>
      <w:r>
        <w:rPr>
          <w:color w:val="auto"/>
          <w:highlight w:val="none"/>
        </w:rPr>
        <w:tab/>
      </w:r>
      <w:r>
        <w:rPr>
          <w:color w:val="auto"/>
          <w:highlight w:val="none"/>
        </w:rPr>
        <w:fldChar w:fldCharType="begin"/>
      </w:r>
      <w:r>
        <w:rPr>
          <w:color w:val="auto"/>
          <w:highlight w:val="none"/>
        </w:rPr>
        <w:instrText xml:space="preserve"> PAGEREF _Toc256000008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7"/>
        <w:tabs>
          <w:tab w:val="right" w:leader="dot" w:pos="9016"/>
        </w:tabs>
        <w:spacing w:before="0" w:after="0" w:line="360" w:lineRule="auto"/>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"_Toc256000009" </w:instrText>
      </w:r>
      <w:r>
        <w:rPr>
          <w:color w:val="auto"/>
          <w:highlight w:val="none"/>
        </w:rPr>
        <w:fldChar w:fldCharType="separate"/>
      </w:r>
      <w:r>
        <w:rPr>
          <w:rStyle w:val="13"/>
          <w:rFonts w:ascii="仿宋_GB2312" w:hAnsi="仿宋_GB2312" w:eastAsia="仿宋_GB2312" w:cs="仿宋_GB2312"/>
          <w:color w:val="auto"/>
          <w:highlight w:val="none"/>
        </w:rPr>
        <w:t>2.1.1必备资质</w:t>
      </w:r>
      <w:r>
        <w:rPr>
          <w:color w:val="auto"/>
          <w:highlight w:val="none"/>
        </w:rPr>
        <w:tab/>
      </w:r>
      <w:r>
        <w:rPr>
          <w:color w:val="auto"/>
          <w:highlight w:val="none"/>
        </w:rPr>
        <w:fldChar w:fldCharType="begin"/>
      </w:r>
      <w:r>
        <w:rPr>
          <w:color w:val="auto"/>
          <w:highlight w:val="none"/>
        </w:rPr>
        <w:instrText xml:space="preserve"> PAGEREF _Toc256000009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7"/>
        <w:tabs>
          <w:tab w:val="right" w:leader="dot" w:pos="9016"/>
        </w:tabs>
        <w:spacing w:before="0" w:after="0" w:line="360" w:lineRule="auto"/>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"_Toc256000010" </w:instrText>
      </w:r>
      <w:r>
        <w:rPr>
          <w:color w:val="auto"/>
          <w:highlight w:val="none"/>
        </w:rPr>
        <w:fldChar w:fldCharType="separate"/>
      </w:r>
      <w:r>
        <w:rPr>
          <w:rStyle w:val="13"/>
          <w:rFonts w:ascii="仿宋_GB2312" w:hAnsi="仿宋_GB2312" w:eastAsia="仿宋_GB2312" w:cs="仿宋_GB2312"/>
          <w:color w:val="auto"/>
          <w:highlight w:val="none"/>
        </w:rPr>
        <w:t>2.1.2是否允许联合体</w:t>
      </w:r>
      <w:r>
        <w:rPr>
          <w:color w:val="auto"/>
          <w:highlight w:val="none"/>
        </w:rPr>
        <w:tab/>
      </w:r>
      <w:r>
        <w:rPr>
          <w:color w:val="auto"/>
          <w:highlight w:val="none"/>
        </w:rPr>
        <w:fldChar w:fldCharType="begin"/>
      </w:r>
      <w:r>
        <w:rPr>
          <w:color w:val="auto"/>
          <w:highlight w:val="none"/>
        </w:rPr>
        <w:instrText xml:space="preserve"> PAGEREF _Toc256000010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7"/>
        <w:tabs>
          <w:tab w:val="right" w:leader="dot" w:pos="9016"/>
        </w:tabs>
        <w:spacing w:before="0" w:after="0" w:line="360" w:lineRule="auto"/>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"_Toc256000011" </w:instrText>
      </w:r>
      <w:r>
        <w:rPr>
          <w:color w:val="auto"/>
          <w:highlight w:val="none"/>
        </w:rPr>
        <w:fldChar w:fldCharType="separate"/>
      </w:r>
      <w:r>
        <w:rPr>
          <w:rStyle w:val="13"/>
          <w:rFonts w:ascii="仿宋_GB2312" w:hAnsi="仿宋_GB2312" w:eastAsia="仿宋_GB2312" w:cs="仿宋_GB2312"/>
          <w:color w:val="auto"/>
          <w:highlight w:val="none"/>
        </w:rPr>
        <w:t>2.1.3是否专门面向中小企业</w:t>
      </w:r>
      <w:r>
        <w:rPr>
          <w:color w:val="auto"/>
          <w:highlight w:val="none"/>
        </w:rPr>
        <w:tab/>
      </w:r>
      <w:r>
        <w:rPr>
          <w:color w:val="auto"/>
          <w:highlight w:val="none"/>
        </w:rPr>
        <w:fldChar w:fldCharType="begin"/>
      </w:r>
      <w:r>
        <w:rPr>
          <w:color w:val="auto"/>
          <w:highlight w:val="none"/>
        </w:rPr>
        <w:instrText xml:space="preserve"> PAGEREF _Toc256000011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10"/>
        <w:tabs>
          <w:tab w:val="right" w:leader="dot" w:pos="9016"/>
        </w:tabs>
        <w:spacing w:before="0" w:after="0" w:line="360" w:lineRule="auto"/>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"_Toc256000012" </w:instrText>
      </w:r>
      <w:r>
        <w:rPr>
          <w:color w:val="auto"/>
          <w:highlight w:val="none"/>
        </w:rPr>
        <w:fldChar w:fldCharType="separate"/>
      </w:r>
      <w:r>
        <w:rPr>
          <w:rStyle w:val="13"/>
          <w:rFonts w:ascii="仿宋_GB2312" w:hAnsi="仿宋_GB2312" w:eastAsia="仿宋_GB2312" w:cs="仿宋_GB2312"/>
          <w:color w:val="auto"/>
          <w:highlight w:val="none"/>
        </w:rPr>
        <w:t>2.2技术部分投标/响应内容</w:t>
      </w:r>
      <w:r>
        <w:rPr>
          <w:color w:val="auto"/>
          <w:highlight w:val="none"/>
        </w:rPr>
        <w:tab/>
      </w:r>
      <w:r>
        <w:rPr>
          <w:color w:val="auto"/>
          <w:highlight w:val="none"/>
        </w:rPr>
        <w:fldChar w:fldCharType="begin"/>
      </w:r>
      <w:r>
        <w:rPr>
          <w:color w:val="auto"/>
          <w:highlight w:val="none"/>
        </w:rPr>
        <w:instrText xml:space="preserve"> PAGEREF _Toc256000012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7"/>
        <w:tabs>
          <w:tab w:val="right" w:leader="dot" w:pos="9016"/>
        </w:tabs>
        <w:spacing w:before="0" w:after="0" w:line="360" w:lineRule="auto"/>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"_Toc256000013" </w:instrText>
      </w:r>
      <w:r>
        <w:rPr>
          <w:color w:val="auto"/>
          <w:highlight w:val="none"/>
        </w:rPr>
        <w:fldChar w:fldCharType="separate"/>
      </w:r>
      <w:r>
        <w:rPr>
          <w:rStyle w:val="13"/>
          <w:rFonts w:ascii="仿宋_GB2312" w:hAnsi="仿宋_GB2312" w:eastAsia="仿宋_GB2312" w:cs="仿宋_GB2312"/>
          <w:color w:val="auto"/>
          <w:highlight w:val="none"/>
        </w:rPr>
        <w:t>2.2.1技术投标/响应总要求</w:t>
      </w:r>
      <w:r>
        <w:rPr>
          <w:color w:val="auto"/>
          <w:highlight w:val="none"/>
        </w:rPr>
        <w:tab/>
      </w:r>
      <w:r>
        <w:rPr>
          <w:color w:val="auto"/>
          <w:highlight w:val="none"/>
        </w:rPr>
        <w:fldChar w:fldCharType="begin"/>
      </w:r>
      <w:r>
        <w:rPr>
          <w:color w:val="auto"/>
          <w:highlight w:val="none"/>
        </w:rPr>
        <w:instrText xml:space="preserve"> PAGEREF _Toc256000013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7"/>
        <w:tabs>
          <w:tab w:val="right" w:leader="dot" w:pos="9016"/>
        </w:tabs>
        <w:spacing w:before="0" w:after="0" w:line="360" w:lineRule="auto"/>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"_Toc256000014" </w:instrText>
      </w:r>
      <w:r>
        <w:rPr>
          <w:color w:val="auto"/>
          <w:highlight w:val="none"/>
        </w:rPr>
        <w:fldChar w:fldCharType="separate"/>
      </w:r>
      <w:r>
        <w:rPr>
          <w:rStyle w:val="13"/>
          <w:rFonts w:ascii="仿宋_GB2312" w:hAnsi="仿宋_GB2312" w:eastAsia="仿宋_GB2312" w:cs="仿宋_GB2312"/>
          <w:color w:val="auto"/>
          <w:highlight w:val="none"/>
        </w:rPr>
        <w:t>2.2.2投标/响应方案要求</w:t>
      </w:r>
      <w:r>
        <w:rPr>
          <w:color w:val="auto"/>
          <w:highlight w:val="none"/>
        </w:rPr>
        <w:tab/>
      </w:r>
      <w:r>
        <w:rPr>
          <w:color w:val="auto"/>
          <w:highlight w:val="none"/>
        </w:rPr>
        <w:fldChar w:fldCharType="begin"/>
      </w:r>
      <w:r>
        <w:rPr>
          <w:color w:val="auto"/>
          <w:highlight w:val="none"/>
        </w:rPr>
        <w:instrText xml:space="preserve"> PAGEREF _Toc256000014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9"/>
        <w:tabs>
          <w:tab w:val="right" w:leader="dot" w:pos="9016"/>
        </w:tabs>
        <w:spacing w:before="0" w:after="0" w:line="360" w:lineRule="auto"/>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"_Toc256000015" </w:instrText>
      </w:r>
      <w:r>
        <w:rPr>
          <w:color w:val="auto"/>
          <w:highlight w:val="none"/>
        </w:rPr>
        <w:fldChar w:fldCharType="separate"/>
      </w:r>
      <w:r>
        <w:rPr>
          <w:rStyle w:val="13"/>
          <w:rFonts w:ascii="仿宋_GB2312" w:hAnsi="仿宋_GB2312" w:eastAsia="仿宋_GB2312" w:cs="仿宋_GB2312"/>
          <w:color w:val="auto"/>
          <w:kern w:val="36"/>
          <w:highlight w:val="none"/>
        </w:rPr>
        <w:t>3项目需求</w:t>
      </w:r>
      <w:r>
        <w:rPr>
          <w:color w:val="auto"/>
          <w:highlight w:val="none"/>
        </w:rPr>
        <w:tab/>
      </w:r>
      <w:r>
        <w:rPr>
          <w:color w:val="auto"/>
          <w:highlight w:val="none"/>
        </w:rPr>
        <w:fldChar w:fldCharType="begin"/>
      </w:r>
      <w:r>
        <w:rPr>
          <w:color w:val="auto"/>
          <w:highlight w:val="none"/>
        </w:rPr>
        <w:instrText xml:space="preserve"> PAGEREF _Toc256000015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10"/>
        <w:tabs>
          <w:tab w:val="right" w:leader="dot" w:pos="9016"/>
        </w:tabs>
        <w:spacing w:before="0" w:after="0" w:line="360" w:lineRule="auto"/>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"_Toc256000016" </w:instrText>
      </w:r>
      <w:r>
        <w:rPr>
          <w:color w:val="auto"/>
          <w:highlight w:val="none"/>
        </w:rPr>
        <w:fldChar w:fldCharType="separate"/>
      </w:r>
      <w:r>
        <w:rPr>
          <w:rStyle w:val="13"/>
          <w:rFonts w:ascii="仿宋_GB2312" w:hAnsi="仿宋_GB2312" w:eastAsia="仿宋_GB2312" w:cs="仿宋_GB2312"/>
          <w:color w:val="auto"/>
          <w:highlight w:val="none"/>
        </w:rPr>
        <w:t>3.1总体要求</w:t>
      </w:r>
      <w:r>
        <w:rPr>
          <w:color w:val="auto"/>
          <w:highlight w:val="none"/>
        </w:rPr>
        <w:tab/>
      </w:r>
      <w:r>
        <w:rPr>
          <w:color w:val="auto"/>
          <w:highlight w:val="none"/>
        </w:rPr>
        <w:fldChar w:fldCharType="begin"/>
      </w:r>
      <w:r>
        <w:rPr>
          <w:color w:val="auto"/>
          <w:highlight w:val="none"/>
        </w:rPr>
        <w:instrText xml:space="preserve"> PAGEREF _Toc256000016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10"/>
        <w:tabs>
          <w:tab w:val="right" w:leader="dot" w:pos="9016"/>
        </w:tabs>
        <w:spacing w:before="0" w:after="0" w:line="360" w:lineRule="auto"/>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"_Toc256000017" </w:instrText>
      </w:r>
      <w:r>
        <w:rPr>
          <w:color w:val="auto"/>
          <w:highlight w:val="none"/>
        </w:rPr>
        <w:fldChar w:fldCharType="separate"/>
      </w:r>
      <w:r>
        <w:rPr>
          <w:rStyle w:val="13"/>
          <w:rFonts w:ascii="仿宋_GB2312" w:hAnsi="仿宋_GB2312" w:eastAsia="仿宋_GB2312" w:cs="仿宋_GB2312"/>
          <w:color w:val="auto"/>
          <w:highlight w:val="none"/>
        </w:rPr>
        <w:t>3.2服务内容和要求</w:t>
      </w:r>
      <w:r>
        <w:rPr>
          <w:color w:val="auto"/>
          <w:highlight w:val="none"/>
        </w:rPr>
        <w:tab/>
      </w:r>
      <w:r>
        <w:rPr>
          <w:color w:val="auto"/>
          <w:highlight w:val="none"/>
        </w:rPr>
        <w:fldChar w:fldCharType="begin"/>
      </w:r>
      <w:r>
        <w:rPr>
          <w:color w:val="auto"/>
          <w:highlight w:val="none"/>
        </w:rPr>
        <w:instrText xml:space="preserve"> PAGEREF _Toc256000017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7"/>
        <w:tabs>
          <w:tab w:val="right" w:leader="dot" w:pos="9016"/>
        </w:tabs>
        <w:spacing w:before="0" w:after="0" w:line="360" w:lineRule="auto"/>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"_Toc256000018" </w:instrText>
      </w:r>
      <w:r>
        <w:rPr>
          <w:color w:val="auto"/>
          <w:highlight w:val="none"/>
        </w:rPr>
        <w:fldChar w:fldCharType="separate"/>
      </w:r>
      <w:r>
        <w:rPr>
          <w:rStyle w:val="13"/>
          <w:rFonts w:ascii="仿宋_GB2312" w:hAnsi="仿宋_GB2312" w:eastAsia="仿宋_GB2312" w:cs="仿宋_GB2312"/>
          <w:color w:val="auto"/>
          <w:highlight w:val="none"/>
        </w:rPr>
        <w:t>3.2.1技术和服务客观指标</w:t>
      </w:r>
      <w:r>
        <w:rPr>
          <w:color w:val="auto"/>
          <w:highlight w:val="none"/>
        </w:rPr>
        <w:tab/>
      </w:r>
      <w:r>
        <w:rPr>
          <w:color w:val="auto"/>
          <w:highlight w:val="none"/>
        </w:rPr>
        <w:fldChar w:fldCharType="begin"/>
      </w:r>
      <w:r>
        <w:rPr>
          <w:color w:val="auto"/>
          <w:highlight w:val="none"/>
        </w:rPr>
        <w:instrText xml:space="preserve"> PAGEREF _Toc256000018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7"/>
        <w:tabs>
          <w:tab w:val="right" w:leader="dot" w:pos="9016"/>
        </w:tabs>
        <w:spacing w:before="0" w:after="0" w:line="360" w:lineRule="auto"/>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"_Toc256000019" </w:instrText>
      </w:r>
      <w:r>
        <w:rPr>
          <w:color w:val="auto"/>
          <w:highlight w:val="none"/>
        </w:rPr>
        <w:fldChar w:fldCharType="separate"/>
      </w:r>
      <w:r>
        <w:rPr>
          <w:rStyle w:val="13"/>
          <w:rFonts w:ascii="仿宋_GB2312" w:hAnsi="仿宋_GB2312" w:eastAsia="仿宋_GB2312" w:cs="仿宋_GB2312"/>
          <w:color w:val="auto"/>
          <w:highlight w:val="none"/>
        </w:rPr>
        <w:t>3.2.2技术和服务其他要求</w:t>
      </w:r>
      <w:r>
        <w:rPr>
          <w:color w:val="auto"/>
          <w:highlight w:val="none"/>
        </w:rPr>
        <w:tab/>
      </w:r>
      <w:r>
        <w:rPr>
          <w:color w:val="auto"/>
          <w:highlight w:val="none"/>
        </w:rPr>
        <w:fldChar w:fldCharType="begin"/>
      </w:r>
      <w:r>
        <w:rPr>
          <w:color w:val="auto"/>
          <w:highlight w:val="none"/>
        </w:rPr>
        <w:instrText xml:space="preserve"> PAGEREF _Toc256000019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9"/>
        <w:tabs>
          <w:tab w:val="right" w:leader="dot" w:pos="9016"/>
        </w:tabs>
        <w:spacing w:before="0" w:after="0" w:line="360" w:lineRule="auto"/>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"_Toc256000020" </w:instrText>
      </w:r>
      <w:r>
        <w:rPr>
          <w:color w:val="auto"/>
          <w:highlight w:val="none"/>
        </w:rPr>
        <w:fldChar w:fldCharType="separate"/>
      </w:r>
      <w:r>
        <w:rPr>
          <w:rStyle w:val="13"/>
          <w:rFonts w:ascii="仿宋_GB2312" w:hAnsi="仿宋_GB2312" w:eastAsia="仿宋_GB2312" w:cs="仿宋_GB2312"/>
          <w:color w:val="auto"/>
          <w:kern w:val="36"/>
          <w:highlight w:val="none"/>
        </w:rPr>
        <w:t>4人员要求</w:t>
      </w:r>
      <w:r>
        <w:rPr>
          <w:color w:val="auto"/>
          <w:highlight w:val="none"/>
        </w:rPr>
        <w:tab/>
      </w:r>
      <w:r>
        <w:rPr>
          <w:color w:val="auto"/>
          <w:highlight w:val="none"/>
        </w:rPr>
        <w:fldChar w:fldCharType="begin"/>
      </w:r>
      <w:r>
        <w:rPr>
          <w:color w:val="auto"/>
          <w:highlight w:val="none"/>
        </w:rPr>
        <w:instrText xml:space="preserve"> PAGEREF _Toc256000020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10"/>
        <w:tabs>
          <w:tab w:val="right" w:leader="dot" w:pos="9016"/>
        </w:tabs>
        <w:spacing w:before="0" w:after="0" w:line="360" w:lineRule="auto"/>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"_Toc256000021" </w:instrText>
      </w:r>
      <w:r>
        <w:rPr>
          <w:color w:val="auto"/>
          <w:highlight w:val="none"/>
        </w:rPr>
        <w:fldChar w:fldCharType="separate"/>
      </w:r>
      <w:r>
        <w:rPr>
          <w:rStyle w:val="13"/>
          <w:rFonts w:ascii="仿宋_GB2312" w:hAnsi="仿宋_GB2312" w:eastAsia="仿宋_GB2312" w:cs="仿宋_GB2312"/>
          <w:color w:val="auto"/>
          <w:highlight w:val="none"/>
        </w:rPr>
        <w:t>4.1总体要求</w:t>
      </w:r>
      <w:r>
        <w:rPr>
          <w:color w:val="auto"/>
          <w:highlight w:val="none"/>
        </w:rPr>
        <w:tab/>
      </w:r>
      <w:r>
        <w:rPr>
          <w:color w:val="auto"/>
          <w:highlight w:val="none"/>
        </w:rPr>
        <w:fldChar w:fldCharType="begin"/>
      </w:r>
      <w:r>
        <w:rPr>
          <w:color w:val="auto"/>
          <w:highlight w:val="none"/>
        </w:rPr>
        <w:instrText xml:space="preserve"> PAGEREF _Toc256000021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10"/>
        <w:tabs>
          <w:tab w:val="right" w:leader="dot" w:pos="9016"/>
        </w:tabs>
        <w:spacing w:before="0" w:after="0" w:line="360" w:lineRule="auto"/>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"_Toc256000022" </w:instrText>
      </w:r>
      <w:r>
        <w:rPr>
          <w:color w:val="auto"/>
          <w:highlight w:val="none"/>
        </w:rPr>
        <w:fldChar w:fldCharType="separate"/>
      </w:r>
      <w:r>
        <w:rPr>
          <w:rStyle w:val="13"/>
          <w:rFonts w:ascii="仿宋_GB2312" w:hAnsi="仿宋_GB2312" w:eastAsia="仿宋_GB2312" w:cs="仿宋_GB2312"/>
          <w:color w:val="auto"/>
          <w:highlight w:val="none"/>
        </w:rPr>
        <w:t>4.2管理团队</w:t>
      </w:r>
      <w:r>
        <w:rPr>
          <w:color w:val="auto"/>
          <w:highlight w:val="none"/>
        </w:rPr>
        <w:tab/>
      </w:r>
      <w:r>
        <w:rPr>
          <w:color w:val="auto"/>
          <w:highlight w:val="none"/>
        </w:rPr>
        <w:fldChar w:fldCharType="begin"/>
      </w:r>
      <w:r>
        <w:rPr>
          <w:color w:val="auto"/>
          <w:highlight w:val="none"/>
        </w:rPr>
        <w:instrText xml:space="preserve"> PAGEREF _Toc256000022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7"/>
        <w:tabs>
          <w:tab w:val="right" w:leader="dot" w:pos="9016"/>
        </w:tabs>
        <w:spacing w:before="0" w:after="0" w:line="360" w:lineRule="auto"/>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"_Toc256000023" </w:instrText>
      </w:r>
      <w:r>
        <w:rPr>
          <w:color w:val="auto"/>
          <w:highlight w:val="none"/>
        </w:rPr>
        <w:fldChar w:fldCharType="separate"/>
      </w:r>
      <w:r>
        <w:rPr>
          <w:rStyle w:val="13"/>
          <w:rFonts w:ascii="仿宋_GB2312" w:hAnsi="仿宋_GB2312" w:eastAsia="仿宋_GB2312" w:cs="仿宋_GB2312"/>
          <w:color w:val="auto"/>
          <w:highlight w:val="none"/>
        </w:rPr>
        <w:t>4.2.1项目经理</w:t>
      </w:r>
      <w:r>
        <w:rPr>
          <w:color w:val="auto"/>
          <w:highlight w:val="none"/>
        </w:rPr>
        <w:tab/>
      </w:r>
      <w:r>
        <w:rPr>
          <w:color w:val="auto"/>
          <w:highlight w:val="none"/>
        </w:rPr>
        <w:fldChar w:fldCharType="begin"/>
      </w:r>
      <w:r>
        <w:rPr>
          <w:color w:val="auto"/>
          <w:highlight w:val="none"/>
        </w:rPr>
        <w:instrText xml:space="preserve"> PAGEREF _Toc256000023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0"/>
        <w:tabs>
          <w:tab w:val="right" w:leader="dot" w:pos="9016"/>
        </w:tabs>
        <w:spacing w:before="0" w:after="0" w:line="360" w:lineRule="auto"/>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"_Toc256000024" </w:instrText>
      </w:r>
      <w:r>
        <w:rPr>
          <w:color w:val="auto"/>
          <w:highlight w:val="none"/>
        </w:rPr>
        <w:fldChar w:fldCharType="separate"/>
      </w:r>
      <w:r>
        <w:rPr>
          <w:rStyle w:val="13"/>
          <w:rFonts w:ascii="仿宋_GB2312" w:hAnsi="仿宋_GB2312" w:eastAsia="仿宋_GB2312" w:cs="仿宋_GB2312"/>
          <w:color w:val="auto"/>
          <w:highlight w:val="none"/>
        </w:rPr>
        <w:t>4.3技术团队</w:t>
      </w:r>
      <w:r>
        <w:rPr>
          <w:color w:val="auto"/>
          <w:highlight w:val="none"/>
        </w:rPr>
        <w:tab/>
      </w:r>
      <w:r>
        <w:rPr>
          <w:color w:val="auto"/>
          <w:highlight w:val="none"/>
        </w:rPr>
        <w:fldChar w:fldCharType="begin"/>
      </w:r>
      <w:r>
        <w:rPr>
          <w:color w:val="auto"/>
          <w:highlight w:val="none"/>
        </w:rPr>
        <w:instrText xml:space="preserve"> PAGEREF _Toc256000024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0"/>
        <w:tabs>
          <w:tab w:val="right" w:leader="dot" w:pos="9016"/>
        </w:tabs>
        <w:spacing w:before="0" w:after="0" w:line="360" w:lineRule="auto"/>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"_Toc256000025" </w:instrText>
      </w:r>
      <w:r>
        <w:rPr>
          <w:color w:val="auto"/>
          <w:highlight w:val="none"/>
        </w:rPr>
        <w:fldChar w:fldCharType="separate"/>
      </w:r>
      <w:r>
        <w:rPr>
          <w:rStyle w:val="13"/>
          <w:rFonts w:ascii="仿宋_GB2312" w:hAnsi="仿宋_GB2312" w:eastAsia="仿宋_GB2312" w:cs="仿宋_GB2312"/>
          <w:color w:val="auto"/>
          <w:highlight w:val="none"/>
        </w:rPr>
        <w:t>4.4优选资质/优选指标</w:t>
      </w:r>
      <w:r>
        <w:rPr>
          <w:color w:val="auto"/>
          <w:highlight w:val="none"/>
        </w:rPr>
        <w:tab/>
      </w:r>
      <w:r>
        <w:rPr>
          <w:color w:val="auto"/>
          <w:highlight w:val="none"/>
        </w:rPr>
        <w:fldChar w:fldCharType="begin"/>
      </w:r>
      <w:r>
        <w:rPr>
          <w:color w:val="auto"/>
          <w:highlight w:val="none"/>
        </w:rPr>
        <w:instrText xml:space="preserve"> PAGEREF _Toc256000025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9"/>
        <w:tabs>
          <w:tab w:val="right" w:leader="dot" w:pos="9016"/>
        </w:tabs>
        <w:spacing w:before="0" w:after="0" w:line="360" w:lineRule="auto"/>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"_Toc256000026" </w:instrText>
      </w:r>
      <w:r>
        <w:rPr>
          <w:color w:val="auto"/>
          <w:highlight w:val="none"/>
        </w:rPr>
        <w:fldChar w:fldCharType="separate"/>
      </w:r>
      <w:r>
        <w:rPr>
          <w:rStyle w:val="13"/>
          <w:rFonts w:ascii="仿宋_GB2312" w:hAnsi="仿宋_GB2312" w:eastAsia="仿宋_GB2312" w:cs="仿宋_GB2312"/>
          <w:color w:val="auto"/>
          <w:kern w:val="36"/>
          <w:highlight w:val="none"/>
        </w:rPr>
        <w:t>5管理实施要求</w:t>
      </w:r>
      <w:r>
        <w:rPr>
          <w:color w:val="auto"/>
          <w:highlight w:val="none"/>
        </w:rPr>
        <w:tab/>
      </w:r>
      <w:r>
        <w:rPr>
          <w:color w:val="auto"/>
          <w:highlight w:val="none"/>
        </w:rPr>
        <w:fldChar w:fldCharType="begin"/>
      </w:r>
      <w:r>
        <w:rPr>
          <w:color w:val="auto"/>
          <w:highlight w:val="none"/>
        </w:rPr>
        <w:instrText xml:space="preserve"> PAGEREF _Toc256000026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9"/>
        <w:tabs>
          <w:tab w:val="right" w:leader="dot" w:pos="9016"/>
        </w:tabs>
        <w:spacing w:before="0" w:after="0" w:line="360" w:lineRule="auto"/>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"_Toc256000027" </w:instrText>
      </w:r>
      <w:r>
        <w:rPr>
          <w:color w:val="auto"/>
          <w:highlight w:val="none"/>
        </w:rPr>
        <w:fldChar w:fldCharType="separate"/>
      </w:r>
      <w:r>
        <w:rPr>
          <w:rStyle w:val="13"/>
          <w:rFonts w:ascii="仿宋_GB2312" w:hAnsi="仿宋_GB2312" w:eastAsia="仿宋_GB2312" w:cs="仿宋_GB2312"/>
          <w:color w:val="auto"/>
          <w:kern w:val="36"/>
          <w:highlight w:val="none"/>
        </w:rPr>
        <w:t>6风险管控要求</w:t>
      </w:r>
      <w:r>
        <w:rPr>
          <w:color w:val="auto"/>
          <w:highlight w:val="none"/>
        </w:rPr>
        <w:tab/>
      </w:r>
      <w:r>
        <w:rPr>
          <w:color w:val="auto"/>
          <w:highlight w:val="none"/>
        </w:rPr>
        <w:fldChar w:fldCharType="begin"/>
      </w:r>
      <w:r>
        <w:rPr>
          <w:color w:val="auto"/>
          <w:highlight w:val="none"/>
        </w:rPr>
        <w:instrText xml:space="preserve"> PAGEREF _Toc256000027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9"/>
        <w:tabs>
          <w:tab w:val="right" w:leader="dot" w:pos="9016"/>
        </w:tabs>
        <w:spacing w:before="0" w:after="0" w:line="360" w:lineRule="auto"/>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"_Toc256000028" </w:instrText>
      </w:r>
      <w:r>
        <w:rPr>
          <w:color w:val="auto"/>
          <w:highlight w:val="none"/>
        </w:rPr>
        <w:fldChar w:fldCharType="separate"/>
      </w:r>
      <w:r>
        <w:rPr>
          <w:rStyle w:val="13"/>
          <w:rFonts w:ascii="仿宋_GB2312" w:hAnsi="仿宋_GB2312" w:eastAsia="仿宋_GB2312" w:cs="仿宋_GB2312"/>
          <w:color w:val="auto"/>
          <w:kern w:val="36"/>
          <w:highlight w:val="none"/>
        </w:rPr>
        <w:t>7履约验收要求</w:t>
      </w:r>
      <w:r>
        <w:rPr>
          <w:color w:val="auto"/>
          <w:highlight w:val="none"/>
        </w:rPr>
        <w:tab/>
      </w:r>
      <w:r>
        <w:rPr>
          <w:color w:val="auto"/>
          <w:highlight w:val="none"/>
        </w:rPr>
        <w:fldChar w:fldCharType="begin"/>
      </w:r>
      <w:r>
        <w:rPr>
          <w:color w:val="auto"/>
          <w:highlight w:val="none"/>
        </w:rPr>
        <w:instrText xml:space="preserve"> PAGEREF _Toc256000028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10"/>
        <w:tabs>
          <w:tab w:val="right" w:leader="dot" w:pos="9016"/>
        </w:tabs>
        <w:spacing w:before="0" w:after="0" w:line="360" w:lineRule="auto"/>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"_Toc256000029" </w:instrText>
      </w:r>
      <w:r>
        <w:rPr>
          <w:color w:val="auto"/>
          <w:highlight w:val="none"/>
        </w:rPr>
        <w:fldChar w:fldCharType="separate"/>
      </w:r>
      <w:r>
        <w:rPr>
          <w:rStyle w:val="13"/>
          <w:rFonts w:ascii="仿宋_GB2312" w:hAnsi="仿宋_GB2312" w:eastAsia="仿宋_GB2312" w:cs="仿宋_GB2312"/>
          <w:color w:val="auto"/>
          <w:highlight w:val="none"/>
        </w:rPr>
        <w:t>7.1总体要求</w:t>
      </w:r>
      <w:r>
        <w:rPr>
          <w:color w:val="auto"/>
          <w:highlight w:val="none"/>
        </w:rPr>
        <w:tab/>
      </w:r>
      <w:r>
        <w:rPr>
          <w:color w:val="auto"/>
          <w:highlight w:val="none"/>
        </w:rPr>
        <w:fldChar w:fldCharType="begin"/>
      </w:r>
      <w:r>
        <w:rPr>
          <w:color w:val="auto"/>
          <w:highlight w:val="none"/>
        </w:rPr>
        <w:instrText xml:space="preserve"> PAGEREF _Toc256000029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10"/>
        <w:tabs>
          <w:tab w:val="right" w:leader="dot" w:pos="9016"/>
        </w:tabs>
        <w:spacing w:before="0" w:after="0" w:line="360" w:lineRule="auto"/>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"_Toc256000030" </w:instrText>
      </w:r>
      <w:r>
        <w:rPr>
          <w:color w:val="auto"/>
          <w:highlight w:val="none"/>
        </w:rPr>
        <w:fldChar w:fldCharType="separate"/>
      </w:r>
      <w:r>
        <w:rPr>
          <w:rStyle w:val="13"/>
          <w:rFonts w:ascii="仿宋_GB2312" w:hAnsi="仿宋_GB2312" w:eastAsia="仿宋_GB2312" w:cs="仿宋_GB2312"/>
          <w:color w:val="auto"/>
          <w:highlight w:val="none"/>
        </w:rPr>
        <w:t>7.2具体要求</w:t>
      </w:r>
      <w:r>
        <w:rPr>
          <w:color w:val="auto"/>
          <w:highlight w:val="none"/>
        </w:rPr>
        <w:tab/>
      </w:r>
      <w:r>
        <w:rPr>
          <w:color w:val="auto"/>
          <w:highlight w:val="none"/>
        </w:rPr>
        <w:fldChar w:fldCharType="begin"/>
      </w:r>
      <w:r>
        <w:rPr>
          <w:color w:val="auto"/>
          <w:highlight w:val="none"/>
        </w:rPr>
        <w:instrText xml:space="preserve"> PAGEREF _Toc256000030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9"/>
        <w:tabs>
          <w:tab w:val="right" w:leader="dot" w:pos="9016"/>
        </w:tabs>
        <w:spacing w:before="0" w:after="0" w:line="360" w:lineRule="auto"/>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"_Toc256000031" </w:instrText>
      </w:r>
      <w:r>
        <w:rPr>
          <w:color w:val="auto"/>
          <w:highlight w:val="none"/>
        </w:rPr>
        <w:fldChar w:fldCharType="separate"/>
      </w:r>
      <w:r>
        <w:rPr>
          <w:rStyle w:val="13"/>
          <w:rFonts w:ascii="仿宋_GB2312" w:hAnsi="仿宋_GB2312" w:eastAsia="仿宋_GB2312" w:cs="仿宋_GB2312"/>
          <w:color w:val="auto"/>
          <w:kern w:val="36"/>
          <w:highlight w:val="none"/>
        </w:rPr>
        <w:t>8其他要求</w:t>
      </w:r>
      <w:r>
        <w:rPr>
          <w:color w:val="auto"/>
          <w:highlight w:val="none"/>
        </w:rPr>
        <w:tab/>
      </w:r>
      <w:r>
        <w:rPr>
          <w:color w:val="auto"/>
          <w:highlight w:val="none"/>
        </w:rPr>
        <w:fldChar w:fldCharType="begin"/>
      </w:r>
      <w:r>
        <w:rPr>
          <w:color w:val="auto"/>
          <w:highlight w:val="none"/>
        </w:rPr>
        <w:instrText xml:space="preserve"> PAGEREF _Toc256000031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10"/>
        <w:tabs>
          <w:tab w:val="right" w:leader="dot" w:pos="9016"/>
        </w:tabs>
        <w:spacing w:before="0" w:after="0" w:line="360" w:lineRule="auto"/>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"_Toc256000032" </w:instrText>
      </w:r>
      <w:r>
        <w:rPr>
          <w:color w:val="auto"/>
          <w:highlight w:val="none"/>
        </w:rPr>
        <w:fldChar w:fldCharType="separate"/>
      </w:r>
      <w:r>
        <w:rPr>
          <w:rStyle w:val="13"/>
          <w:rFonts w:ascii="仿宋_GB2312" w:hAnsi="仿宋_GB2312" w:eastAsia="仿宋_GB2312" w:cs="仿宋_GB2312"/>
          <w:color w:val="auto"/>
          <w:highlight w:val="none"/>
        </w:rPr>
        <w:t>8.1必备要求</w:t>
      </w:r>
      <w:r>
        <w:rPr>
          <w:color w:val="auto"/>
          <w:highlight w:val="none"/>
        </w:rPr>
        <w:tab/>
      </w:r>
      <w:r>
        <w:rPr>
          <w:color w:val="auto"/>
          <w:highlight w:val="none"/>
        </w:rPr>
        <w:fldChar w:fldCharType="begin"/>
      </w:r>
      <w:r>
        <w:rPr>
          <w:color w:val="auto"/>
          <w:highlight w:val="none"/>
        </w:rPr>
        <w:instrText xml:space="preserve"> PAGEREF _Toc256000032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7"/>
        <w:tabs>
          <w:tab w:val="right" w:leader="dot" w:pos="9016"/>
        </w:tabs>
        <w:spacing w:before="0" w:after="0" w:line="360" w:lineRule="auto"/>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"_Toc256000033" </w:instrText>
      </w:r>
      <w:r>
        <w:rPr>
          <w:color w:val="auto"/>
          <w:highlight w:val="none"/>
        </w:rPr>
        <w:fldChar w:fldCharType="separate"/>
      </w:r>
      <w:r>
        <w:rPr>
          <w:rStyle w:val="13"/>
          <w:rFonts w:ascii="仿宋_GB2312" w:hAnsi="仿宋_GB2312" w:eastAsia="仿宋_GB2312" w:cs="仿宋_GB2312"/>
          <w:color w:val="auto"/>
          <w:highlight w:val="none"/>
        </w:rPr>
        <w:t>8.1.1通用必备要求</w:t>
      </w:r>
      <w:r>
        <w:rPr>
          <w:color w:val="auto"/>
          <w:highlight w:val="none"/>
        </w:rPr>
        <w:tab/>
      </w:r>
      <w:r>
        <w:rPr>
          <w:color w:val="auto"/>
          <w:highlight w:val="none"/>
        </w:rPr>
        <w:fldChar w:fldCharType="begin"/>
      </w:r>
      <w:r>
        <w:rPr>
          <w:color w:val="auto"/>
          <w:highlight w:val="none"/>
        </w:rPr>
        <w:instrText xml:space="preserve"> PAGEREF _Toc256000033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10"/>
        <w:tabs>
          <w:tab w:val="right" w:leader="dot" w:pos="9016"/>
        </w:tabs>
        <w:spacing w:before="0" w:after="0" w:line="360" w:lineRule="auto"/>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"_Toc256000034" </w:instrText>
      </w:r>
      <w:r>
        <w:rPr>
          <w:color w:val="auto"/>
          <w:highlight w:val="none"/>
        </w:rPr>
        <w:fldChar w:fldCharType="separate"/>
      </w:r>
      <w:r>
        <w:rPr>
          <w:rStyle w:val="13"/>
          <w:rFonts w:ascii="仿宋_GB2312" w:hAnsi="仿宋_GB2312" w:eastAsia="仿宋_GB2312" w:cs="仿宋_GB2312"/>
          <w:color w:val="auto"/>
          <w:highlight w:val="none"/>
        </w:rPr>
        <w:t>8.2付款安排建议</w:t>
      </w:r>
      <w:r>
        <w:rPr>
          <w:color w:val="auto"/>
          <w:highlight w:val="none"/>
        </w:rPr>
        <w:tab/>
      </w:r>
      <w:r>
        <w:rPr>
          <w:color w:val="auto"/>
          <w:highlight w:val="none"/>
        </w:rPr>
        <w:fldChar w:fldCharType="begin"/>
      </w:r>
      <w:r>
        <w:rPr>
          <w:color w:val="auto"/>
          <w:highlight w:val="none"/>
        </w:rPr>
        <w:instrText xml:space="preserve"> PAGEREF _Toc256000034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10"/>
        <w:tabs>
          <w:tab w:val="right" w:leader="dot" w:pos="9016"/>
        </w:tabs>
        <w:spacing w:before="0" w:after="0" w:line="360" w:lineRule="auto"/>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"_Toc256000035" </w:instrText>
      </w:r>
      <w:r>
        <w:rPr>
          <w:color w:val="auto"/>
          <w:highlight w:val="none"/>
        </w:rPr>
        <w:fldChar w:fldCharType="separate"/>
      </w:r>
      <w:r>
        <w:rPr>
          <w:rStyle w:val="13"/>
          <w:rFonts w:ascii="仿宋_GB2312" w:hAnsi="仿宋_GB2312" w:eastAsia="仿宋_GB2312" w:cs="仿宋_GB2312"/>
          <w:color w:val="auto"/>
          <w:highlight w:val="none"/>
        </w:rPr>
        <w:t>8.3其他要求</w:t>
      </w:r>
      <w:r>
        <w:rPr>
          <w:color w:val="auto"/>
          <w:highlight w:val="none"/>
        </w:rPr>
        <w:tab/>
      </w:r>
      <w:r>
        <w:rPr>
          <w:color w:val="auto"/>
          <w:highlight w:val="none"/>
        </w:rPr>
        <w:fldChar w:fldCharType="begin"/>
      </w:r>
      <w:r>
        <w:rPr>
          <w:color w:val="auto"/>
          <w:highlight w:val="none"/>
        </w:rPr>
        <w:instrText xml:space="preserve"> PAGEREF _Toc256000035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7"/>
        <w:tabs>
          <w:tab w:val="right" w:leader="dot" w:pos="9016"/>
        </w:tabs>
        <w:spacing w:before="0" w:after="0" w:line="360" w:lineRule="auto"/>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"_Toc256000036" </w:instrText>
      </w:r>
      <w:r>
        <w:rPr>
          <w:color w:val="auto"/>
          <w:highlight w:val="none"/>
        </w:rPr>
        <w:fldChar w:fldCharType="separate"/>
      </w:r>
      <w:r>
        <w:rPr>
          <w:rStyle w:val="13"/>
          <w:rFonts w:ascii="仿宋_GB2312" w:hAnsi="仿宋_GB2312" w:eastAsia="仿宋_GB2312" w:cs="仿宋_GB2312"/>
          <w:color w:val="auto"/>
          <w:highlight w:val="none"/>
        </w:rPr>
        <w:t>8.3.1保密要求</w:t>
      </w:r>
      <w:r>
        <w:rPr>
          <w:color w:val="auto"/>
          <w:highlight w:val="none"/>
        </w:rPr>
        <w:tab/>
      </w:r>
      <w:r>
        <w:rPr>
          <w:color w:val="auto"/>
          <w:highlight w:val="none"/>
        </w:rPr>
        <w:fldChar w:fldCharType="begin"/>
      </w:r>
      <w:r>
        <w:rPr>
          <w:color w:val="auto"/>
          <w:highlight w:val="none"/>
        </w:rPr>
        <w:instrText xml:space="preserve"> PAGEREF _Toc256000036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7"/>
        <w:tabs>
          <w:tab w:val="right" w:leader="dot" w:pos="9016"/>
        </w:tabs>
        <w:spacing w:before="0" w:after="0" w:line="360" w:lineRule="auto"/>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"_Toc256000037" </w:instrText>
      </w:r>
      <w:r>
        <w:rPr>
          <w:color w:val="auto"/>
          <w:highlight w:val="none"/>
        </w:rPr>
        <w:fldChar w:fldCharType="separate"/>
      </w:r>
      <w:r>
        <w:rPr>
          <w:rStyle w:val="13"/>
          <w:rFonts w:ascii="仿宋_GB2312" w:hAnsi="仿宋_GB2312" w:eastAsia="仿宋_GB2312" w:cs="仿宋_GB2312"/>
          <w:color w:val="auto"/>
          <w:highlight w:val="none"/>
        </w:rPr>
        <w:t>8.3.2知识转移要求</w:t>
      </w:r>
      <w:r>
        <w:rPr>
          <w:color w:val="auto"/>
          <w:highlight w:val="none"/>
        </w:rPr>
        <w:tab/>
      </w:r>
      <w:r>
        <w:rPr>
          <w:color w:val="auto"/>
          <w:highlight w:val="none"/>
        </w:rPr>
        <w:fldChar w:fldCharType="begin"/>
      </w:r>
      <w:r>
        <w:rPr>
          <w:color w:val="auto"/>
          <w:highlight w:val="none"/>
        </w:rPr>
        <w:instrText xml:space="preserve"> PAGEREF _Toc256000037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7"/>
        <w:tabs>
          <w:tab w:val="right" w:leader="dot" w:pos="9016"/>
        </w:tabs>
        <w:spacing w:before="0" w:after="0" w:line="360" w:lineRule="auto"/>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"_Toc256000038" </w:instrText>
      </w:r>
      <w:r>
        <w:rPr>
          <w:color w:val="auto"/>
          <w:highlight w:val="none"/>
        </w:rPr>
        <w:fldChar w:fldCharType="separate"/>
      </w:r>
      <w:r>
        <w:rPr>
          <w:rStyle w:val="13"/>
          <w:rFonts w:ascii="仿宋_GB2312" w:hAnsi="仿宋_GB2312" w:eastAsia="仿宋_GB2312" w:cs="仿宋_GB2312"/>
          <w:color w:val="auto"/>
          <w:highlight w:val="none"/>
        </w:rPr>
        <w:t>8.3.3知识产权要求</w:t>
      </w:r>
      <w:r>
        <w:rPr>
          <w:color w:val="auto"/>
          <w:highlight w:val="none"/>
        </w:rPr>
        <w:tab/>
      </w:r>
      <w:r>
        <w:rPr>
          <w:color w:val="auto"/>
          <w:highlight w:val="none"/>
        </w:rPr>
        <w:fldChar w:fldCharType="begin"/>
      </w:r>
      <w:r>
        <w:rPr>
          <w:color w:val="auto"/>
          <w:highlight w:val="none"/>
        </w:rPr>
        <w:instrText xml:space="preserve"> PAGEREF _Toc256000038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spacing w:before="0" w:after="0" w:line="360" w:lineRule="auto"/>
        <w:jc w:val="left"/>
        <w:rPr>
          <w:color w:val="auto"/>
          <w:highlight w:val="none"/>
        </w:rPr>
      </w:pPr>
      <w:r>
        <w:rPr>
          <w:rFonts w:ascii="宋体" w:hAnsi="宋体" w:eastAsia="宋体" w:cs="宋体"/>
          <w:color w:val="auto"/>
          <w:sz w:val="32"/>
          <w:highlight w:val="none"/>
        </w:rPr>
        <w:fldChar w:fldCharType="end"/>
      </w:r>
      <w:r>
        <w:rPr>
          <w:color w:val="auto"/>
          <w:highlight w:val="none"/>
        </w:rPr>
        <w:br w:type="page"/>
      </w:r>
    </w:p>
    <w:p>
      <w:pPr>
        <w:pStyle w:val="3"/>
        <w:keepNext w:val="0"/>
        <w:spacing w:before="0" w:after="0" w:line="360" w:lineRule="auto"/>
        <w:jc w:val="center"/>
        <w:rPr>
          <w:rFonts w:ascii="仿宋_GB2312" w:hAnsi="仿宋_GB2312" w:eastAsia="仿宋_GB2312" w:cs="仿宋_GB2312"/>
          <w:b/>
          <w:bCs/>
          <w:color w:val="auto"/>
          <w:sz w:val="32"/>
          <w:szCs w:val="32"/>
          <w:highlight w:val="none"/>
        </w:rPr>
      </w:pPr>
      <w:bookmarkStart w:id="0" w:name="_Toc256000000"/>
      <w:r>
        <w:rPr>
          <w:rFonts w:ascii="仿宋_GB2312" w:hAnsi="仿宋_GB2312" w:eastAsia="仿宋_GB2312" w:cs="仿宋_GB2312"/>
          <w:color w:val="auto"/>
          <w:kern w:val="36"/>
          <w:highlight w:val="none"/>
        </w:rPr>
        <w:t>1项目概述</w:t>
      </w:r>
      <w:bookmarkEnd w:id="0"/>
    </w:p>
    <w:p>
      <w:pPr>
        <w:pStyle w:val="4"/>
        <w:keepNext w:val="0"/>
        <w:spacing w:before="0" w:after="0" w:line="360" w:lineRule="auto"/>
        <w:rPr>
          <w:rFonts w:ascii="仿宋_GB2312" w:hAnsi="仿宋_GB2312" w:eastAsia="仿宋_GB2312" w:cs="仿宋_GB2312"/>
          <w:b/>
          <w:bCs/>
          <w:color w:val="auto"/>
          <w:sz w:val="28"/>
          <w:szCs w:val="28"/>
          <w:highlight w:val="none"/>
        </w:rPr>
      </w:pPr>
      <w:bookmarkStart w:id="1" w:name="_Toc256000001"/>
      <w:r>
        <w:rPr>
          <w:rFonts w:ascii="仿宋_GB2312" w:hAnsi="仿宋_GB2312" w:eastAsia="仿宋_GB2312" w:cs="仿宋_GB2312"/>
          <w:i w:val="0"/>
          <w:iCs w:val="0"/>
          <w:color w:val="auto"/>
          <w:highlight w:val="none"/>
        </w:rPr>
        <w:t>1.1项目背景</w:t>
      </w:r>
      <w:bookmarkEnd w:id="1"/>
    </w:p>
    <w:p>
      <w:pPr>
        <w:pStyle w:val="5"/>
        <w:keepNext w:val="0"/>
        <w:spacing w:before="0" w:after="0" w:line="360" w:lineRule="auto"/>
        <w:rPr>
          <w:rFonts w:ascii="仿宋_GB2312" w:hAnsi="仿宋_GB2312" w:eastAsia="仿宋_GB2312" w:cs="仿宋_GB2312"/>
          <w:b/>
          <w:bCs/>
          <w:color w:val="auto"/>
          <w:sz w:val="28"/>
          <w:szCs w:val="28"/>
          <w:highlight w:val="none"/>
        </w:rPr>
      </w:pPr>
      <w:bookmarkStart w:id="2" w:name="_Toc256000002"/>
      <w:r>
        <w:rPr>
          <w:rFonts w:ascii="仿宋_GB2312" w:hAnsi="仿宋_GB2312" w:eastAsia="仿宋_GB2312" w:cs="仿宋_GB2312"/>
          <w:color w:val="auto"/>
          <w:sz w:val="28"/>
          <w:szCs w:val="28"/>
          <w:highlight w:val="none"/>
        </w:rPr>
        <w:t>1.1.1项目目的、意义及背景</w:t>
      </w:r>
      <w:bookmarkEnd w:id="2"/>
    </w:p>
    <w:p>
      <w:pPr>
        <w:spacing w:before="0" w:after="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为持续抓好中办、国办印发的《关于进一步深化税收征管改革的意见》落实，继续深入开展“便民办税春风行动”，本项目立足于将国家税务总局宁德市税务局纳税服务中心12366纳税缴费服务热线(以下简称“12366热线”）打造成税务机关连接纳税人的桥梁纽带，实时了解纳税人缴费人需求，给予纳税人缴费人及时准确服务，展现税务机关为纳税人缴费人提供优质服务的精神风貌。</w:t>
      </w:r>
    </w:p>
    <w:p>
      <w:pPr>
        <w:pStyle w:val="4"/>
        <w:keepNext w:val="0"/>
        <w:spacing w:before="0" w:after="0" w:line="360" w:lineRule="auto"/>
        <w:rPr>
          <w:rFonts w:ascii="仿宋_GB2312" w:hAnsi="仿宋_GB2312" w:eastAsia="仿宋_GB2312" w:cs="仿宋_GB2312"/>
          <w:b/>
          <w:bCs/>
          <w:color w:val="auto"/>
          <w:sz w:val="28"/>
          <w:szCs w:val="28"/>
          <w:highlight w:val="none"/>
        </w:rPr>
      </w:pPr>
      <w:bookmarkStart w:id="3" w:name="_Toc256000003"/>
      <w:r>
        <w:rPr>
          <w:rFonts w:ascii="仿宋_GB2312" w:hAnsi="仿宋_GB2312" w:eastAsia="仿宋_GB2312" w:cs="仿宋_GB2312"/>
          <w:i w:val="0"/>
          <w:iCs w:val="0"/>
          <w:color w:val="auto"/>
          <w:highlight w:val="none"/>
        </w:rPr>
        <w:t>1.2项目内容</w:t>
      </w:r>
      <w:bookmarkEnd w:id="3"/>
    </w:p>
    <w:p>
      <w:pPr>
        <w:pStyle w:val="5"/>
        <w:keepNext w:val="0"/>
        <w:spacing w:before="0" w:after="0" w:line="360" w:lineRule="auto"/>
        <w:rPr>
          <w:rFonts w:ascii="仿宋_GB2312" w:hAnsi="仿宋_GB2312" w:eastAsia="仿宋_GB2312" w:cs="仿宋_GB2312"/>
          <w:b/>
          <w:bCs/>
          <w:color w:val="auto"/>
          <w:sz w:val="28"/>
          <w:szCs w:val="28"/>
          <w:highlight w:val="none"/>
        </w:rPr>
      </w:pPr>
      <w:bookmarkStart w:id="4" w:name="_Toc256000004"/>
      <w:r>
        <w:rPr>
          <w:rFonts w:ascii="仿宋_GB2312" w:hAnsi="仿宋_GB2312" w:eastAsia="仿宋_GB2312" w:cs="仿宋_GB2312"/>
          <w:color w:val="auto"/>
          <w:sz w:val="28"/>
          <w:szCs w:val="28"/>
          <w:highlight w:val="none"/>
        </w:rPr>
        <w:t>1.2.1项目建设思路</w:t>
      </w:r>
      <w:bookmarkEnd w:id="4"/>
    </w:p>
    <w:p>
      <w:pPr>
        <w:spacing w:before="0" w:after="0" w:line="360" w:lineRule="auto"/>
        <w:ind w:firstLine="560" w:firstLineChars="200"/>
        <w:rPr>
          <w:rFonts w:ascii="仿宋_GB2312" w:hAnsi="仿宋_GB2312" w:eastAsia="仿宋_GB2312" w:cs="仿宋_GB2312"/>
          <w:color w:val="auto"/>
          <w:sz w:val="28"/>
          <w:szCs w:val="28"/>
          <w:highlight w:val="none"/>
        </w:rPr>
      </w:pPr>
      <w:r>
        <w:rPr>
          <w:rFonts w:hint="eastAsia" w:ascii="宋体" w:hAnsi="宋体" w:eastAsia="宋体" w:cs="宋体"/>
          <w:color w:val="auto"/>
          <w:sz w:val="28"/>
          <w:szCs w:val="28"/>
          <w:highlight w:val="none"/>
        </w:rPr>
        <w:t>以省局12366热线为基础支撑，省市两级运行架构的热线服务模式，统一使用国家信息产业部核批的全国税务机关特服号12366开展语音（包括自动语音咨询和人工坐席咨询）和网络咨询。自动语音咨询提供全天候24小时服务，人工坐席和网络咨询在工作日上午8点至下午17点30分提供人工咨询及网络咨询服务。主要功能为：政策咨询、办税（费）指引、投诉和涉税违法举报接收和转办、意见建议、涉税（费）查询等。</w:t>
      </w:r>
    </w:p>
    <w:p>
      <w:pPr>
        <w:pStyle w:val="5"/>
        <w:keepNext w:val="0"/>
        <w:spacing w:before="0" w:after="0" w:line="360" w:lineRule="auto"/>
        <w:rPr>
          <w:rFonts w:ascii="仿宋_GB2312" w:hAnsi="仿宋_GB2312" w:eastAsia="仿宋_GB2312" w:cs="仿宋_GB2312"/>
          <w:b/>
          <w:bCs/>
          <w:color w:val="auto"/>
          <w:sz w:val="28"/>
          <w:szCs w:val="28"/>
          <w:highlight w:val="none"/>
        </w:rPr>
      </w:pPr>
      <w:bookmarkStart w:id="5" w:name="_Toc256000005"/>
      <w:r>
        <w:rPr>
          <w:rFonts w:ascii="仿宋_GB2312" w:hAnsi="仿宋_GB2312" w:eastAsia="仿宋_GB2312" w:cs="仿宋_GB2312"/>
          <w:color w:val="auto"/>
          <w:sz w:val="28"/>
          <w:szCs w:val="28"/>
          <w:highlight w:val="none"/>
        </w:rPr>
        <w:t>1.2.2采购内容</w:t>
      </w:r>
      <w:bookmarkEnd w:id="5"/>
    </w:p>
    <w:p>
      <w:pPr>
        <w:spacing w:before="0" w:after="0" w:line="360" w:lineRule="auto"/>
        <w:ind w:firstLine="560" w:firstLineChars="200"/>
        <w:rPr>
          <w:rFonts w:ascii="FangSong_GB2312" w:hAnsi="FangSong_GB2312" w:eastAsia="FangSong_GB2312" w:cs="FangSong_GB2312"/>
          <w:color w:val="auto"/>
          <w:sz w:val="28"/>
          <w:szCs w:val="28"/>
          <w:highlight w:val="none"/>
        </w:rPr>
      </w:pPr>
      <w:r>
        <w:rPr>
          <w:rFonts w:hint="eastAsia" w:ascii="宋体" w:hAnsi="宋体" w:eastAsia="宋体" w:cs="宋体"/>
          <w:color w:val="auto"/>
          <w:sz w:val="28"/>
          <w:szCs w:val="28"/>
          <w:highlight w:val="none"/>
        </w:rPr>
        <w:t>本项目采购服务外包岗位15个，总预算预计为423.8万元，实行以服务商为主、宁德市税务局为辅的管理模式，服务期限自合同规定服务期限生效起三年，合同采用一年一签方式，根据每个合同年度合同履行情况进行验收考核，决定是否续签或重新采购。因工作量的不确定性，采购人可以要求服务商对坐席人员配备数量依据工作量的变化进行合理调整，并通过双方协商签订补充协议进行约定。</w:t>
      </w:r>
    </w:p>
    <w:p>
      <w:pPr>
        <w:pStyle w:val="14"/>
        <w:spacing w:before="0" w:after="0" w:line="360" w:lineRule="auto"/>
        <w:ind w:firstLine="424"/>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 </w:t>
      </w:r>
    </w:p>
    <w:p>
      <w:pPr>
        <w:pStyle w:val="5"/>
        <w:keepNext w:val="0"/>
        <w:spacing w:before="0" w:after="0" w:line="360" w:lineRule="auto"/>
        <w:rPr>
          <w:rFonts w:ascii="仿宋_GB2312" w:hAnsi="仿宋_GB2312" w:eastAsia="仿宋_GB2312" w:cs="仿宋_GB2312"/>
          <w:b/>
          <w:bCs/>
          <w:color w:val="auto"/>
          <w:sz w:val="28"/>
          <w:szCs w:val="28"/>
          <w:highlight w:val="none"/>
        </w:rPr>
      </w:pPr>
      <w:bookmarkStart w:id="6" w:name="_Toc256000006"/>
      <w:r>
        <w:rPr>
          <w:rFonts w:ascii="仿宋_GB2312" w:hAnsi="仿宋_GB2312" w:eastAsia="仿宋_GB2312" w:cs="仿宋_GB2312"/>
          <w:color w:val="auto"/>
          <w:sz w:val="28"/>
          <w:szCs w:val="28"/>
          <w:highlight w:val="none"/>
        </w:rPr>
        <w:t>1.2.3项目实施要求</w:t>
      </w:r>
      <w:bookmarkEnd w:id="6"/>
    </w:p>
    <w:p>
      <w:pPr>
        <w:pStyle w:val="6"/>
        <w:keepNext w:val="0"/>
        <w:spacing w:before="0" w:after="0" w:line="360" w:lineRule="auto"/>
        <w:rPr>
          <w:rFonts w:ascii="仿宋_GB2312" w:hAnsi="仿宋_GB2312" w:eastAsia="仿宋_GB2312" w:cs="仿宋_GB2312"/>
          <w:b/>
          <w:bCs/>
          <w:color w:val="auto"/>
          <w:sz w:val="28"/>
          <w:szCs w:val="28"/>
          <w:highlight w:val="none"/>
        </w:rPr>
      </w:pPr>
      <w:r>
        <w:rPr>
          <w:rFonts w:ascii="仿宋_GB2312" w:hAnsi="仿宋_GB2312" w:eastAsia="仿宋_GB2312" w:cs="仿宋_GB2312"/>
          <w:color w:val="auto"/>
          <w:highlight w:val="none"/>
        </w:rPr>
        <w:t>1.2.3.1实施范围要求</w:t>
      </w:r>
    </w:p>
    <w:p>
      <w:pPr>
        <w:spacing w:before="0" w:after="0" w:line="360" w:lineRule="auto"/>
        <w:ind w:firstLine="560"/>
        <w:rPr>
          <w:rFonts w:ascii="Times New Roman" w:hAnsi="Times New Roman" w:eastAsia="Times New Roman" w:cs="Times New Roman"/>
          <w:color w:val="auto"/>
          <w:highlight w:val="none"/>
        </w:rPr>
      </w:pPr>
      <w:r>
        <w:rPr>
          <w:rFonts w:hint="eastAsia" w:ascii="宋体" w:hAnsi="宋体" w:eastAsia="宋体" w:cs="宋体"/>
          <w:color w:val="auto"/>
          <w:sz w:val="28"/>
          <w:szCs w:val="28"/>
          <w:highlight w:val="none"/>
        </w:rPr>
        <w:t>政策咨询、办税（费）指引、投诉和涉税违法举报接收和转办、意见建议、涉税（费）查询等。</w:t>
      </w:r>
    </w:p>
    <w:p>
      <w:pPr>
        <w:pStyle w:val="6"/>
        <w:keepNext w:val="0"/>
        <w:spacing w:before="0" w:after="0" w:line="360" w:lineRule="auto"/>
        <w:rPr>
          <w:rFonts w:ascii="仿宋_GB2312" w:hAnsi="仿宋_GB2312" w:eastAsia="仿宋_GB2312" w:cs="仿宋_GB2312"/>
          <w:b/>
          <w:bCs/>
          <w:color w:val="auto"/>
          <w:sz w:val="28"/>
          <w:szCs w:val="28"/>
          <w:highlight w:val="none"/>
        </w:rPr>
      </w:pPr>
      <w:r>
        <w:rPr>
          <w:rFonts w:ascii="仿宋_GB2312" w:hAnsi="仿宋_GB2312" w:eastAsia="仿宋_GB2312" w:cs="仿宋_GB2312"/>
          <w:color w:val="auto"/>
          <w:highlight w:val="none"/>
        </w:rPr>
        <w:t>1.2.3.2实施时间要求</w:t>
      </w:r>
    </w:p>
    <w:p>
      <w:pPr>
        <w:spacing w:before="0" w:after="0" w:line="360" w:lineRule="auto"/>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外包服务期限为三年（自签订合同起计算）</w:t>
      </w:r>
    </w:p>
    <w:p>
      <w:pPr>
        <w:pStyle w:val="6"/>
        <w:keepNext w:val="0"/>
        <w:spacing w:before="0" w:after="0" w:line="360" w:lineRule="auto"/>
        <w:rPr>
          <w:rFonts w:ascii="仿宋_GB2312" w:hAnsi="仿宋_GB2312" w:eastAsia="仿宋_GB2312" w:cs="仿宋_GB2312"/>
          <w:b/>
          <w:bCs/>
          <w:color w:val="auto"/>
          <w:sz w:val="28"/>
          <w:szCs w:val="28"/>
          <w:highlight w:val="none"/>
        </w:rPr>
      </w:pPr>
      <w:r>
        <w:rPr>
          <w:rFonts w:ascii="仿宋_GB2312" w:hAnsi="仿宋_GB2312" w:eastAsia="仿宋_GB2312" w:cs="仿宋_GB2312"/>
          <w:color w:val="auto"/>
          <w:highlight w:val="none"/>
        </w:rPr>
        <w:t>1.2.3.3实施地点要求</w:t>
      </w:r>
    </w:p>
    <w:p>
      <w:pPr>
        <w:pStyle w:val="14"/>
        <w:spacing w:before="0" w:after="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12366热线办公场地由宁德市税务局提供。所有人员必须遵守宁德市税务局机关和12366各项管理规定，包括保密制度、门禁制度、信息安全管理规定及12366运行管理各项规定等。</w:t>
      </w:r>
    </w:p>
    <w:p>
      <w:pPr>
        <w:pStyle w:val="3"/>
        <w:keepNext w:val="0"/>
        <w:spacing w:before="0" w:after="0" w:line="360" w:lineRule="auto"/>
        <w:jc w:val="center"/>
        <w:rPr>
          <w:rFonts w:ascii="仿宋_GB2312" w:hAnsi="仿宋_GB2312" w:eastAsia="仿宋_GB2312" w:cs="仿宋_GB2312"/>
          <w:b/>
          <w:bCs/>
          <w:color w:val="auto"/>
          <w:sz w:val="32"/>
          <w:szCs w:val="32"/>
          <w:highlight w:val="none"/>
        </w:rPr>
      </w:pPr>
      <w:bookmarkStart w:id="7" w:name="_Toc256000007"/>
      <w:r>
        <w:rPr>
          <w:rFonts w:ascii="仿宋_GB2312" w:hAnsi="仿宋_GB2312" w:eastAsia="仿宋_GB2312" w:cs="仿宋_GB2312"/>
          <w:color w:val="auto"/>
          <w:kern w:val="36"/>
          <w:highlight w:val="none"/>
        </w:rPr>
        <w:t>2投标/响应要求</w:t>
      </w:r>
      <w:bookmarkEnd w:id="7"/>
    </w:p>
    <w:p>
      <w:pPr>
        <w:pStyle w:val="4"/>
        <w:keepNext w:val="0"/>
        <w:spacing w:before="0" w:after="0" w:line="360" w:lineRule="auto"/>
        <w:rPr>
          <w:rFonts w:ascii="仿宋_GB2312" w:hAnsi="仿宋_GB2312" w:eastAsia="仿宋_GB2312" w:cs="仿宋_GB2312"/>
          <w:b/>
          <w:bCs/>
          <w:color w:val="auto"/>
          <w:sz w:val="28"/>
          <w:szCs w:val="28"/>
          <w:highlight w:val="none"/>
        </w:rPr>
      </w:pPr>
      <w:bookmarkStart w:id="8" w:name="_Toc256000008"/>
      <w:r>
        <w:rPr>
          <w:rFonts w:ascii="仿宋_GB2312" w:hAnsi="仿宋_GB2312" w:eastAsia="仿宋_GB2312" w:cs="仿宋_GB2312"/>
          <w:i w:val="0"/>
          <w:iCs w:val="0"/>
          <w:color w:val="auto"/>
          <w:highlight w:val="none"/>
        </w:rPr>
        <w:t>2.1对供应商的要求</w:t>
      </w:r>
      <w:bookmarkEnd w:id="8"/>
    </w:p>
    <w:p>
      <w:pPr>
        <w:pStyle w:val="5"/>
        <w:keepNext w:val="0"/>
        <w:spacing w:before="0" w:after="0" w:line="360" w:lineRule="auto"/>
        <w:rPr>
          <w:rFonts w:ascii="仿宋_GB2312" w:hAnsi="仿宋_GB2312" w:eastAsia="仿宋_GB2312" w:cs="仿宋_GB2312"/>
          <w:b/>
          <w:bCs/>
          <w:color w:val="auto"/>
          <w:sz w:val="28"/>
          <w:szCs w:val="28"/>
          <w:highlight w:val="none"/>
        </w:rPr>
      </w:pPr>
      <w:bookmarkStart w:id="9" w:name="_Toc256000009"/>
      <w:r>
        <w:rPr>
          <w:rFonts w:ascii="仿宋_GB2312" w:hAnsi="仿宋_GB2312" w:eastAsia="仿宋_GB2312" w:cs="仿宋_GB2312"/>
          <w:color w:val="auto"/>
          <w:sz w:val="28"/>
          <w:szCs w:val="28"/>
          <w:highlight w:val="none"/>
        </w:rPr>
        <w:t>2.1.1必备资质</w:t>
      </w:r>
      <w:bookmarkEnd w:id="9"/>
    </w:p>
    <w:p>
      <w:pPr>
        <w:pStyle w:val="6"/>
        <w:keepNext w:val="0"/>
        <w:spacing w:before="0" w:after="0" w:line="360" w:lineRule="auto"/>
        <w:rPr>
          <w:rFonts w:ascii="仿宋_GB2312" w:hAnsi="仿宋_GB2312" w:eastAsia="仿宋_GB2312" w:cs="仿宋_GB2312"/>
          <w:b/>
          <w:bCs/>
          <w:color w:val="auto"/>
          <w:sz w:val="28"/>
          <w:szCs w:val="28"/>
          <w:highlight w:val="none"/>
        </w:rPr>
      </w:pPr>
      <w:r>
        <w:rPr>
          <w:rFonts w:ascii="仿宋_GB2312" w:hAnsi="仿宋_GB2312" w:eastAsia="仿宋_GB2312" w:cs="仿宋_GB2312"/>
          <w:color w:val="auto"/>
          <w:highlight w:val="none"/>
        </w:rPr>
        <w:t>2.1.1.1投标人应遵守有关国家法律、法规和条例,具备《中华人民共和国政府采购法》第二十二条的规定和本文件中规定的条件。</w:t>
      </w:r>
    </w:p>
    <w:p>
      <w:pPr>
        <w:pStyle w:val="6"/>
        <w:keepNext w:val="0"/>
        <w:spacing w:before="0" w:after="0" w:line="360" w:lineRule="auto"/>
        <w:rPr>
          <w:rFonts w:ascii="仿宋_GB2312" w:hAnsi="仿宋_GB2312" w:eastAsia="仿宋_GB2312" w:cs="仿宋_GB2312"/>
          <w:b/>
          <w:bCs/>
          <w:color w:val="auto"/>
          <w:sz w:val="28"/>
          <w:szCs w:val="28"/>
          <w:highlight w:val="none"/>
        </w:rPr>
      </w:pPr>
      <w:r>
        <w:rPr>
          <w:rFonts w:ascii="仿宋_GB2312" w:hAnsi="仿宋_GB2312" w:eastAsia="仿宋_GB2312" w:cs="仿宋_GB2312"/>
          <w:color w:val="auto"/>
          <w:highlight w:val="none"/>
        </w:rPr>
        <w:t>2.1.1.2本项目的特定资格要求</w:t>
      </w:r>
    </w:p>
    <w:p>
      <w:pPr>
        <w:spacing w:before="0" w:after="0" w:line="360" w:lineRule="auto"/>
        <w:ind w:firstLine="560" w:firstLineChars="200"/>
        <w:rPr>
          <w:rFonts w:hint="eastAsia" w:ascii="宋体" w:hAnsi="宋体" w:eastAsia="宋体" w:cs="宋体"/>
          <w:color w:val="auto"/>
          <w:sz w:val="28"/>
          <w:szCs w:val="28"/>
          <w:highlight w:val="none"/>
          <w:lang w:val="en-US" w:eastAsia="en-US" w:bidi="ar-SA"/>
        </w:rPr>
      </w:pPr>
      <w:r>
        <w:rPr>
          <w:rFonts w:hint="eastAsia" w:ascii="宋体" w:hAnsi="宋体" w:eastAsia="宋体" w:cs="宋体"/>
          <w:color w:val="auto"/>
          <w:sz w:val="28"/>
          <w:szCs w:val="28"/>
          <w:highlight w:val="none"/>
          <w:lang w:val="en-US" w:eastAsia="en-US" w:bidi="ar-SA"/>
        </w:rPr>
        <w:t>无</w:t>
      </w:r>
    </w:p>
    <w:p>
      <w:pPr>
        <w:pStyle w:val="5"/>
        <w:keepNext w:val="0"/>
        <w:spacing w:before="0" w:after="0" w:line="360" w:lineRule="auto"/>
        <w:rPr>
          <w:rFonts w:ascii="仿宋_GB2312" w:hAnsi="仿宋_GB2312" w:eastAsia="仿宋_GB2312" w:cs="仿宋_GB2312"/>
          <w:b/>
          <w:bCs/>
          <w:color w:val="auto"/>
          <w:sz w:val="28"/>
          <w:szCs w:val="28"/>
          <w:highlight w:val="none"/>
        </w:rPr>
      </w:pPr>
      <w:bookmarkStart w:id="10" w:name="_Toc256000010"/>
      <w:r>
        <w:rPr>
          <w:rFonts w:ascii="仿宋_GB2312" w:hAnsi="仿宋_GB2312" w:eastAsia="仿宋_GB2312" w:cs="仿宋_GB2312"/>
          <w:color w:val="auto"/>
          <w:sz w:val="28"/>
          <w:szCs w:val="28"/>
          <w:highlight w:val="none"/>
        </w:rPr>
        <w:t>2.1.2是否允许联合体</w:t>
      </w:r>
      <w:bookmarkEnd w:id="10"/>
    </w:p>
    <w:p>
      <w:pPr>
        <w:spacing w:before="0" w:after="0" w:line="360" w:lineRule="auto"/>
        <w:ind w:firstLine="561"/>
        <w:rPr>
          <w:rFonts w:hint="eastAsia" w:ascii="宋体" w:hAnsi="宋体" w:eastAsia="宋体" w:cs="宋体"/>
          <w:color w:val="auto"/>
          <w:sz w:val="28"/>
          <w:szCs w:val="28"/>
          <w:highlight w:val="none"/>
          <w:lang w:val="en-US" w:eastAsia="en-US" w:bidi="ar-SA"/>
        </w:rPr>
      </w:pPr>
      <w:r>
        <w:rPr>
          <w:rFonts w:hint="eastAsia" w:ascii="宋体" w:hAnsi="宋体" w:eastAsia="宋体" w:cs="宋体"/>
          <w:color w:val="auto"/>
          <w:sz w:val="28"/>
          <w:szCs w:val="28"/>
          <w:highlight w:val="none"/>
          <w:lang w:val="en-US" w:eastAsia="en-US" w:bidi="ar-SA"/>
        </w:rPr>
        <w:t>否</w:t>
      </w:r>
    </w:p>
    <w:p>
      <w:pPr>
        <w:pStyle w:val="5"/>
        <w:keepNext w:val="0"/>
        <w:spacing w:before="0" w:after="0" w:line="360" w:lineRule="auto"/>
        <w:rPr>
          <w:rFonts w:ascii="仿宋_GB2312" w:hAnsi="仿宋_GB2312" w:eastAsia="仿宋_GB2312" w:cs="仿宋_GB2312"/>
          <w:b/>
          <w:bCs/>
          <w:color w:val="auto"/>
          <w:sz w:val="28"/>
          <w:szCs w:val="28"/>
          <w:highlight w:val="none"/>
        </w:rPr>
      </w:pPr>
      <w:bookmarkStart w:id="11" w:name="_Toc256000011"/>
      <w:r>
        <w:rPr>
          <w:rFonts w:ascii="仿宋_GB2312" w:hAnsi="仿宋_GB2312" w:eastAsia="仿宋_GB2312" w:cs="仿宋_GB2312"/>
          <w:color w:val="auto"/>
          <w:sz w:val="28"/>
          <w:szCs w:val="28"/>
          <w:highlight w:val="none"/>
        </w:rPr>
        <w:t>2.1.3是否专门面向中小企业</w:t>
      </w:r>
      <w:bookmarkEnd w:id="11"/>
    </w:p>
    <w:p>
      <w:pPr>
        <w:spacing w:before="0" w:after="0" w:line="360" w:lineRule="auto"/>
        <w:ind w:firstLine="561"/>
        <w:rPr>
          <w:rFonts w:hint="eastAsia" w:ascii="宋体" w:hAnsi="宋体" w:eastAsia="宋体" w:cs="宋体"/>
          <w:color w:val="auto"/>
          <w:sz w:val="28"/>
          <w:szCs w:val="28"/>
          <w:highlight w:val="none"/>
          <w:lang w:val="en-US" w:eastAsia="en-US" w:bidi="ar-SA"/>
        </w:rPr>
      </w:pPr>
      <w:r>
        <w:rPr>
          <w:rFonts w:hint="eastAsia" w:ascii="宋体" w:hAnsi="宋体" w:eastAsia="宋体" w:cs="宋体"/>
          <w:color w:val="auto"/>
          <w:sz w:val="28"/>
          <w:szCs w:val="28"/>
          <w:highlight w:val="none"/>
          <w:lang w:val="en-US" w:eastAsia="en-US" w:bidi="ar-SA"/>
        </w:rPr>
        <w:t>本项目不专门面向中小企业采购项目</w:t>
      </w:r>
    </w:p>
    <w:p>
      <w:pPr>
        <w:pStyle w:val="4"/>
        <w:keepNext w:val="0"/>
        <w:spacing w:before="0" w:after="0" w:line="360" w:lineRule="auto"/>
        <w:rPr>
          <w:rFonts w:ascii="仿宋_GB2312" w:hAnsi="仿宋_GB2312" w:eastAsia="仿宋_GB2312" w:cs="仿宋_GB2312"/>
          <w:b/>
          <w:bCs/>
          <w:color w:val="auto"/>
          <w:sz w:val="28"/>
          <w:szCs w:val="28"/>
          <w:highlight w:val="none"/>
        </w:rPr>
      </w:pPr>
      <w:bookmarkStart w:id="12" w:name="_Toc256000012"/>
      <w:r>
        <w:rPr>
          <w:rFonts w:ascii="仿宋_GB2312" w:hAnsi="仿宋_GB2312" w:eastAsia="仿宋_GB2312" w:cs="仿宋_GB2312"/>
          <w:i w:val="0"/>
          <w:iCs w:val="0"/>
          <w:color w:val="auto"/>
          <w:highlight w:val="none"/>
        </w:rPr>
        <w:t>2.2技术部分投标/响应内容</w:t>
      </w:r>
      <w:bookmarkEnd w:id="12"/>
    </w:p>
    <w:p>
      <w:pPr>
        <w:pStyle w:val="5"/>
        <w:keepNext w:val="0"/>
        <w:spacing w:before="0" w:after="0" w:line="360" w:lineRule="auto"/>
        <w:rPr>
          <w:rFonts w:ascii="仿宋_GB2312" w:hAnsi="仿宋_GB2312" w:eastAsia="仿宋_GB2312" w:cs="仿宋_GB2312"/>
          <w:b/>
          <w:bCs/>
          <w:color w:val="auto"/>
          <w:sz w:val="28"/>
          <w:szCs w:val="28"/>
          <w:highlight w:val="none"/>
        </w:rPr>
      </w:pPr>
      <w:bookmarkStart w:id="13" w:name="_Toc256000013"/>
      <w:r>
        <w:rPr>
          <w:rFonts w:ascii="仿宋_GB2312" w:hAnsi="仿宋_GB2312" w:eastAsia="仿宋_GB2312" w:cs="仿宋_GB2312"/>
          <w:color w:val="auto"/>
          <w:sz w:val="28"/>
          <w:szCs w:val="28"/>
          <w:highlight w:val="none"/>
        </w:rPr>
        <w:t>2.2.1技术投标/响应总要求</w:t>
      </w:r>
      <w:bookmarkEnd w:id="13"/>
    </w:p>
    <w:p>
      <w:pPr>
        <w:spacing w:before="0" w:after="0" w:line="360" w:lineRule="auto"/>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投标人必须针对技术部分中的需求逐个或分块作出实质性响应，其响应与采购文件内容采用同样的顺序。</w:t>
      </w:r>
    </w:p>
    <w:p>
      <w:pPr>
        <w:pStyle w:val="5"/>
        <w:keepNext w:val="0"/>
        <w:spacing w:before="0" w:after="0" w:line="360" w:lineRule="auto"/>
        <w:rPr>
          <w:rFonts w:ascii="仿宋_GB2312" w:hAnsi="仿宋_GB2312" w:eastAsia="仿宋_GB2312" w:cs="仿宋_GB2312"/>
          <w:b/>
          <w:bCs/>
          <w:color w:val="auto"/>
          <w:sz w:val="28"/>
          <w:szCs w:val="28"/>
          <w:highlight w:val="none"/>
        </w:rPr>
      </w:pPr>
      <w:bookmarkStart w:id="14" w:name="_Toc256000014"/>
      <w:r>
        <w:rPr>
          <w:rFonts w:ascii="仿宋_GB2312" w:hAnsi="仿宋_GB2312" w:eastAsia="仿宋_GB2312" w:cs="仿宋_GB2312"/>
          <w:color w:val="auto"/>
          <w:sz w:val="28"/>
          <w:szCs w:val="28"/>
          <w:highlight w:val="none"/>
        </w:rPr>
        <w:t>2.2.2投标/响应方案要求</w:t>
      </w:r>
      <w:bookmarkEnd w:id="14"/>
    </w:p>
    <w:p>
      <w:pPr>
        <w:spacing w:before="0" w:after="0" w:line="360" w:lineRule="auto"/>
        <w:ind w:firstLine="561"/>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以下相关方案，若作为评审因素，则投标人应在满足★关键指标项要求的前提下，根据项目特点和采购需求，制定更为完整、详细、可操作性强的方案。</w:t>
      </w:r>
    </w:p>
    <w:p>
      <w:pPr>
        <w:spacing w:before="0" w:after="0" w:line="360" w:lineRule="auto"/>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本项目采用综合评分法进行评分，综合评分法是指响应文件满足采购文件全部实质性要求，且按照评审因素的量化指标评审得分最高的供应商为</w:t>
      </w:r>
      <w:r>
        <w:rPr>
          <w:rFonts w:hint="eastAsia" w:ascii="宋体" w:hAnsi="宋体" w:eastAsia="宋体" w:cs="宋体"/>
          <w:color w:val="auto"/>
          <w:sz w:val="28"/>
          <w:szCs w:val="28"/>
          <w:highlight w:val="none"/>
          <w:lang w:eastAsia="zh-CN"/>
        </w:rPr>
        <w:t>中标</w:t>
      </w:r>
      <w:r>
        <w:rPr>
          <w:rFonts w:hint="eastAsia" w:ascii="宋体" w:hAnsi="宋体" w:eastAsia="宋体" w:cs="宋体"/>
          <w:color w:val="auto"/>
          <w:sz w:val="28"/>
          <w:szCs w:val="28"/>
          <w:highlight w:val="none"/>
        </w:rPr>
        <w:t>候选供应商的评审方法。本项目价格分值为20分，技术商务因素分值为80分。</w:t>
      </w:r>
    </w:p>
    <w:p>
      <w:pPr>
        <w:pStyle w:val="3"/>
        <w:keepNext w:val="0"/>
        <w:spacing w:before="0" w:after="0" w:line="360" w:lineRule="auto"/>
        <w:jc w:val="center"/>
        <w:rPr>
          <w:rFonts w:ascii="仿宋_GB2312" w:hAnsi="仿宋_GB2312" w:eastAsia="仿宋_GB2312" w:cs="仿宋_GB2312"/>
          <w:b/>
          <w:bCs/>
          <w:color w:val="auto"/>
          <w:sz w:val="32"/>
          <w:szCs w:val="32"/>
          <w:highlight w:val="none"/>
        </w:rPr>
      </w:pPr>
      <w:bookmarkStart w:id="15" w:name="_Toc256000015"/>
      <w:r>
        <w:rPr>
          <w:rFonts w:ascii="仿宋_GB2312" w:hAnsi="仿宋_GB2312" w:eastAsia="仿宋_GB2312" w:cs="仿宋_GB2312"/>
          <w:color w:val="auto"/>
          <w:kern w:val="36"/>
          <w:highlight w:val="none"/>
        </w:rPr>
        <w:t>3项目需求</w:t>
      </w:r>
      <w:bookmarkEnd w:id="15"/>
    </w:p>
    <w:p>
      <w:pPr>
        <w:pStyle w:val="4"/>
        <w:keepNext w:val="0"/>
        <w:spacing w:before="0" w:after="0" w:line="360" w:lineRule="auto"/>
        <w:rPr>
          <w:rFonts w:ascii="仿宋_GB2312" w:hAnsi="仿宋_GB2312" w:eastAsia="仿宋_GB2312" w:cs="仿宋_GB2312"/>
          <w:b/>
          <w:bCs/>
          <w:color w:val="auto"/>
          <w:sz w:val="28"/>
          <w:szCs w:val="28"/>
          <w:highlight w:val="none"/>
        </w:rPr>
      </w:pPr>
      <w:bookmarkStart w:id="16" w:name="_Toc256000016"/>
      <w:r>
        <w:rPr>
          <w:rFonts w:ascii="仿宋_GB2312" w:hAnsi="仿宋_GB2312" w:eastAsia="仿宋_GB2312" w:cs="仿宋_GB2312"/>
          <w:i w:val="0"/>
          <w:iCs w:val="0"/>
          <w:color w:val="auto"/>
          <w:highlight w:val="none"/>
        </w:rPr>
        <w:t>3.1总体要求</w:t>
      </w:r>
      <w:bookmarkEnd w:id="16"/>
    </w:p>
    <w:p>
      <w:pPr>
        <w:pStyle w:val="14"/>
        <w:spacing w:before="0" w:after="0" w:line="360" w:lineRule="auto"/>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服务商负责对服务外包人员进行人事和业务流程的全面管理，保证服务外包人员的出勤率，负责招聘服务、岗前培训（含基本礼仪培训、12366纳税服务热线基本工作流程及作业标准、各税费基础政策培训、操作技能培训、各类网报系统基本架构及常见问题、征收管理及纳税服务基础知识等专业培训）、日常培训（包括税收业务新政策、典型录音分析、沟通服务技巧等）等，负责外包人员的日常管理、薪资福利管理、质量监测、绩效考核、团建活动等，为服务外包人员提供采购人认为必要的工作电脑、话务设备、打印机，并提供统一的税务着装等，依照劳动合同对服务外包人员进行管理。</w:t>
      </w:r>
    </w:p>
    <w:p>
      <w:pPr>
        <w:spacing w:before="0" w:after="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宁德市税务局负责对合同约定的工作进行督促检查，并协助服务商对服务外包人员进行质量监测，提供招聘条件、岗位职责标准、考核指标要求、薪酬和考核建议、工作环境和部分工作用品、提供12366热线话务系统和业务支持。</w:t>
      </w:r>
    </w:p>
    <w:p>
      <w:pPr>
        <w:pStyle w:val="4"/>
        <w:keepNext w:val="0"/>
        <w:spacing w:before="0" w:after="0" w:line="360" w:lineRule="auto"/>
        <w:rPr>
          <w:rFonts w:ascii="仿宋_GB2312" w:hAnsi="仿宋_GB2312" w:eastAsia="仿宋_GB2312" w:cs="仿宋_GB2312"/>
          <w:b/>
          <w:bCs/>
          <w:color w:val="auto"/>
          <w:sz w:val="28"/>
          <w:szCs w:val="28"/>
          <w:highlight w:val="none"/>
        </w:rPr>
      </w:pPr>
      <w:bookmarkStart w:id="17" w:name="_Toc256000017"/>
      <w:r>
        <w:rPr>
          <w:rFonts w:ascii="仿宋_GB2312" w:hAnsi="仿宋_GB2312" w:eastAsia="仿宋_GB2312" w:cs="仿宋_GB2312"/>
          <w:i w:val="0"/>
          <w:iCs w:val="0"/>
          <w:color w:val="auto"/>
          <w:highlight w:val="none"/>
        </w:rPr>
        <w:t>3.2服务内容和要求</w:t>
      </w:r>
      <w:bookmarkEnd w:id="17"/>
    </w:p>
    <w:p>
      <w:pPr>
        <w:spacing w:before="0" w:after="0" w:line="360" w:lineRule="auto"/>
        <w:ind w:firstLine="561"/>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采购文件（技术部分）中有标注★号的，为必备服务要求，必须满足，如未作出响应，将导致响应无效；#为重要服务内容、△为一般服务内容。</w:t>
      </w:r>
    </w:p>
    <w:p>
      <w:pPr>
        <w:pStyle w:val="5"/>
        <w:keepNext w:val="0"/>
        <w:spacing w:before="0" w:after="0" w:line="360" w:lineRule="auto"/>
        <w:rPr>
          <w:rFonts w:ascii="仿宋_GB2312" w:hAnsi="仿宋_GB2312" w:eastAsia="仿宋_GB2312" w:cs="仿宋_GB2312"/>
          <w:b/>
          <w:bCs/>
          <w:color w:val="auto"/>
          <w:sz w:val="28"/>
          <w:szCs w:val="28"/>
          <w:highlight w:val="none"/>
        </w:rPr>
      </w:pPr>
      <w:bookmarkStart w:id="18" w:name="_Toc256000018"/>
      <w:r>
        <w:rPr>
          <w:rFonts w:ascii="仿宋_GB2312" w:hAnsi="仿宋_GB2312" w:eastAsia="仿宋_GB2312" w:cs="仿宋_GB2312"/>
          <w:color w:val="auto"/>
          <w:sz w:val="28"/>
          <w:szCs w:val="28"/>
          <w:highlight w:val="none"/>
        </w:rPr>
        <w:t>3.2.1技术和服务客观指标</w:t>
      </w:r>
      <w:bookmarkEnd w:id="18"/>
    </w:p>
    <w:p>
      <w:pPr>
        <w:pStyle w:val="6"/>
        <w:keepNext w:val="0"/>
        <w:spacing w:before="0" w:after="0" w:line="360" w:lineRule="auto"/>
        <w:rPr>
          <w:rFonts w:ascii="仿宋_GB2312" w:hAnsi="仿宋_GB2312" w:eastAsia="仿宋_GB2312" w:cs="仿宋_GB2312"/>
          <w:b/>
          <w:bCs/>
          <w:color w:val="auto"/>
          <w:sz w:val="28"/>
          <w:szCs w:val="28"/>
          <w:highlight w:val="none"/>
        </w:rPr>
      </w:pPr>
      <w:r>
        <w:rPr>
          <w:rFonts w:ascii="仿宋_GB2312" w:hAnsi="仿宋_GB2312" w:eastAsia="仿宋_GB2312" w:cs="仿宋_GB2312"/>
          <w:color w:val="auto"/>
          <w:highlight w:val="none"/>
        </w:rPr>
        <w:t>3.2.1.1技术和服务指标</w:t>
      </w:r>
    </w:p>
    <w:tbl>
      <w:tblPr>
        <w:tblStyle w:val="11"/>
        <w:tblW w:w="5000" w:type="pct"/>
        <w:tblInd w:w="30" w:type="dxa"/>
        <w:tblLayout w:type="autofit"/>
        <w:tblCellMar>
          <w:top w:w="15" w:type="dxa"/>
          <w:left w:w="15" w:type="dxa"/>
          <w:bottom w:w="15" w:type="dxa"/>
          <w:right w:w="15" w:type="dxa"/>
        </w:tblCellMar>
      </w:tblPr>
      <w:tblGrid>
        <w:gridCol w:w="907"/>
        <w:gridCol w:w="1814"/>
        <w:gridCol w:w="1814"/>
        <w:gridCol w:w="1814"/>
        <w:gridCol w:w="1814"/>
        <w:gridCol w:w="907"/>
      </w:tblGrid>
      <w:tr>
        <w:tblPrEx>
          <w:tblCellMar>
            <w:top w:w="15" w:type="dxa"/>
            <w:left w:w="15" w:type="dxa"/>
            <w:bottom w:w="15" w:type="dxa"/>
            <w:right w:w="15" w:type="dxa"/>
          </w:tblCellMar>
        </w:tblPrEx>
        <w:tc>
          <w:tcPr>
            <w:tcW w:w="5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jc w:val="center"/>
              <w:rPr>
                <w:rFonts w:ascii="仿宋_GB2312" w:hAnsi="仿宋_GB2312" w:eastAsia="仿宋_GB2312" w:cs="仿宋_GB2312"/>
                <w:b/>
                <w:bCs/>
                <w:i w:val="0"/>
                <w:iCs w:val="0"/>
                <w:smallCaps w:val="0"/>
                <w:color w:val="auto"/>
                <w:sz w:val="21"/>
                <w:szCs w:val="21"/>
                <w:highlight w:val="none"/>
              </w:rPr>
            </w:pPr>
            <w:r>
              <w:rPr>
                <w:rFonts w:ascii="仿宋_GB2312" w:hAnsi="仿宋_GB2312" w:eastAsia="仿宋_GB2312" w:cs="仿宋_GB2312"/>
                <w:b/>
                <w:bCs/>
                <w:i w:val="0"/>
                <w:iCs w:val="0"/>
                <w:smallCaps w:val="0"/>
                <w:color w:val="auto"/>
                <w:sz w:val="21"/>
                <w:szCs w:val="21"/>
                <w:highlight w:val="none"/>
              </w:rPr>
              <w:t>序号</w:t>
            </w:r>
          </w:p>
        </w:tc>
        <w:tc>
          <w:tcPr>
            <w:tcW w:w="1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jc w:val="center"/>
              <w:rPr>
                <w:rFonts w:ascii="仿宋_GB2312" w:hAnsi="仿宋_GB2312" w:eastAsia="仿宋_GB2312" w:cs="仿宋_GB2312"/>
                <w:b/>
                <w:bCs/>
                <w:i w:val="0"/>
                <w:iCs w:val="0"/>
                <w:smallCaps w:val="0"/>
                <w:color w:val="auto"/>
                <w:sz w:val="21"/>
                <w:szCs w:val="21"/>
                <w:highlight w:val="none"/>
              </w:rPr>
            </w:pPr>
            <w:r>
              <w:rPr>
                <w:rFonts w:ascii="仿宋_GB2312" w:hAnsi="仿宋_GB2312" w:eastAsia="仿宋_GB2312" w:cs="仿宋_GB2312"/>
                <w:b/>
                <w:bCs/>
                <w:i w:val="0"/>
                <w:iCs w:val="0"/>
                <w:smallCaps w:val="0"/>
                <w:color w:val="auto"/>
                <w:sz w:val="21"/>
                <w:szCs w:val="21"/>
                <w:highlight w:val="none"/>
              </w:rPr>
              <w:t>指标种类</w:t>
            </w:r>
          </w:p>
        </w:tc>
        <w:tc>
          <w:tcPr>
            <w:tcW w:w="1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jc w:val="center"/>
              <w:rPr>
                <w:rFonts w:ascii="仿宋_GB2312" w:hAnsi="仿宋_GB2312" w:eastAsia="仿宋_GB2312" w:cs="仿宋_GB2312"/>
                <w:b/>
                <w:bCs/>
                <w:i w:val="0"/>
                <w:iCs w:val="0"/>
                <w:smallCaps w:val="0"/>
                <w:color w:val="auto"/>
                <w:sz w:val="21"/>
                <w:szCs w:val="21"/>
                <w:highlight w:val="none"/>
              </w:rPr>
            </w:pPr>
            <w:r>
              <w:rPr>
                <w:rFonts w:ascii="仿宋_GB2312" w:hAnsi="仿宋_GB2312" w:eastAsia="仿宋_GB2312" w:cs="仿宋_GB2312"/>
                <w:b/>
                <w:bCs/>
                <w:i w:val="0"/>
                <w:iCs w:val="0"/>
                <w:smallCaps w:val="0"/>
                <w:color w:val="auto"/>
                <w:sz w:val="21"/>
                <w:szCs w:val="21"/>
                <w:highlight w:val="none"/>
              </w:rPr>
              <w:t>指标名称</w:t>
            </w:r>
          </w:p>
        </w:tc>
        <w:tc>
          <w:tcPr>
            <w:tcW w:w="1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jc w:val="center"/>
              <w:rPr>
                <w:rFonts w:ascii="仿宋_GB2312" w:hAnsi="仿宋_GB2312" w:eastAsia="仿宋_GB2312" w:cs="仿宋_GB2312"/>
                <w:b/>
                <w:bCs/>
                <w:i w:val="0"/>
                <w:iCs w:val="0"/>
                <w:smallCaps w:val="0"/>
                <w:color w:val="auto"/>
                <w:sz w:val="21"/>
                <w:szCs w:val="21"/>
                <w:highlight w:val="none"/>
              </w:rPr>
            </w:pPr>
            <w:r>
              <w:rPr>
                <w:rFonts w:ascii="仿宋_GB2312" w:hAnsi="仿宋_GB2312" w:eastAsia="仿宋_GB2312" w:cs="仿宋_GB2312"/>
                <w:b/>
                <w:bCs/>
                <w:i w:val="0"/>
                <w:iCs w:val="0"/>
                <w:smallCaps w:val="0"/>
                <w:color w:val="auto"/>
                <w:sz w:val="21"/>
                <w:szCs w:val="21"/>
                <w:highlight w:val="none"/>
              </w:rPr>
              <w:t>指标内容</w:t>
            </w:r>
          </w:p>
        </w:tc>
        <w:tc>
          <w:tcPr>
            <w:tcW w:w="1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jc w:val="center"/>
              <w:rPr>
                <w:rFonts w:ascii="仿宋_GB2312" w:hAnsi="仿宋_GB2312" w:eastAsia="仿宋_GB2312" w:cs="仿宋_GB2312"/>
                <w:b/>
                <w:bCs/>
                <w:i w:val="0"/>
                <w:iCs w:val="0"/>
                <w:smallCaps w:val="0"/>
                <w:color w:val="auto"/>
                <w:sz w:val="21"/>
                <w:szCs w:val="21"/>
                <w:highlight w:val="none"/>
              </w:rPr>
            </w:pPr>
            <w:r>
              <w:rPr>
                <w:rFonts w:ascii="仿宋_GB2312" w:hAnsi="仿宋_GB2312" w:eastAsia="仿宋_GB2312" w:cs="仿宋_GB2312"/>
                <w:b/>
                <w:bCs/>
                <w:i w:val="0"/>
                <w:iCs w:val="0"/>
                <w:smallCaps w:val="0"/>
                <w:color w:val="auto"/>
                <w:sz w:val="21"/>
                <w:szCs w:val="21"/>
                <w:highlight w:val="none"/>
              </w:rPr>
              <w:t>重要性</w:t>
            </w:r>
          </w:p>
        </w:tc>
        <w:tc>
          <w:tcPr>
            <w:tcW w:w="1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jc w:val="center"/>
              <w:rPr>
                <w:rFonts w:ascii="仿宋_GB2312" w:hAnsi="仿宋_GB2312" w:eastAsia="仿宋_GB2312" w:cs="仿宋_GB2312"/>
                <w:b/>
                <w:bCs/>
                <w:i w:val="0"/>
                <w:iCs w:val="0"/>
                <w:smallCaps w:val="0"/>
                <w:color w:val="auto"/>
                <w:sz w:val="21"/>
                <w:szCs w:val="21"/>
                <w:highlight w:val="none"/>
              </w:rPr>
            </w:pPr>
            <w:r>
              <w:rPr>
                <w:rFonts w:ascii="仿宋_GB2312" w:hAnsi="仿宋_GB2312" w:eastAsia="仿宋_GB2312" w:cs="仿宋_GB2312"/>
                <w:b/>
                <w:bCs/>
                <w:i w:val="0"/>
                <w:iCs w:val="0"/>
                <w:smallCaps w:val="0"/>
                <w:color w:val="auto"/>
                <w:sz w:val="21"/>
                <w:szCs w:val="21"/>
                <w:highlight w:val="none"/>
              </w:rPr>
              <w:t>是否需要证明材料</w:t>
            </w:r>
          </w:p>
        </w:tc>
      </w:tr>
      <w:tr>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center"/>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1</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技术因素</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项目理解</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投标人应能够充分理解国家税务总局宁德市税务局12366</w:t>
            </w:r>
            <w:r>
              <w:rPr>
                <w:rFonts w:hint="eastAsia" w:ascii="仿宋_GB2312" w:hAnsi="仿宋_GB2312" w:eastAsia="仿宋_GB2312" w:cs="仿宋_GB2312"/>
                <w:b w:val="0"/>
                <w:bCs w:val="0"/>
                <w:i w:val="0"/>
                <w:iCs w:val="0"/>
                <w:smallCaps w:val="0"/>
                <w:color w:val="auto"/>
                <w:sz w:val="21"/>
                <w:szCs w:val="21"/>
                <w:highlight w:val="none"/>
                <w:lang w:eastAsia="zh-CN"/>
              </w:rPr>
              <w:t>热线</w:t>
            </w:r>
            <w:r>
              <w:rPr>
                <w:rFonts w:ascii="仿宋_GB2312" w:hAnsi="仿宋_GB2312" w:eastAsia="仿宋_GB2312" w:cs="仿宋_GB2312"/>
                <w:b w:val="0"/>
                <w:bCs w:val="0"/>
                <w:i w:val="0"/>
                <w:iCs w:val="0"/>
                <w:smallCaps w:val="0"/>
                <w:color w:val="auto"/>
                <w:sz w:val="21"/>
                <w:szCs w:val="21"/>
                <w:highlight w:val="none"/>
              </w:rPr>
              <w:t>服务外包项目的总体需求，在人员、业务、设备、管理制度、运营管理等方面提出服务外包解决方案，方案包含以上要点，内容与要点相符、解决方案可行且措施具体的得3分；方案所包含的要点齐全、内容与要点相符，内容相对简略，但能提供解决方案且有可操作性的得2分；方案所包含的要点有缺漏或仅笼统描述无具体措施的得1分，未提供方案或方案内容与项目情况不相符的不得分。</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是</w:t>
            </w:r>
          </w:p>
        </w:tc>
      </w:tr>
      <w:tr>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center"/>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2</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技术因素</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人员方案</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1.根据投标人制定完整的服务团队架构和人员投入方案进行评议，方案包含以上要点，内容与要点相符、且措施具体的得3分；方案所包含的要点齐全、内容与要点相符，内容相对简略，但具有可操作性的得2分；方案所包含的要点有缺漏或仅笼统描述无具体措施的得1分，未提供方案或方案内容与项目情况不相符的不得分。</w:t>
            </w:r>
            <w:r>
              <w:rPr>
                <w:rFonts w:ascii="仿宋_GB2312" w:hAnsi="仿宋_GB2312" w:eastAsia="仿宋_GB2312" w:cs="仿宋_GB2312"/>
                <w:b w:val="0"/>
                <w:bCs w:val="0"/>
                <w:i w:val="0"/>
                <w:iCs w:val="0"/>
                <w:smallCaps w:val="0"/>
                <w:color w:val="auto"/>
                <w:sz w:val="21"/>
                <w:szCs w:val="21"/>
                <w:highlight w:val="none"/>
              </w:rPr>
              <w:br w:type="textWrapping"/>
            </w:r>
            <w:r>
              <w:rPr>
                <w:rFonts w:ascii="仿宋_GB2312" w:hAnsi="仿宋_GB2312" w:eastAsia="仿宋_GB2312" w:cs="仿宋_GB2312"/>
                <w:b w:val="0"/>
                <w:bCs w:val="0"/>
                <w:i w:val="0"/>
                <w:iCs w:val="0"/>
                <w:smallCaps w:val="0"/>
                <w:color w:val="auto"/>
                <w:sz w:val="21"/>
                <w:szCs w:val="21"/>
                <w:highlight w:val="none"/>
              </w:rPr>
              <w:t>2.投标人需提供排班计划，由评委进行评议，排班计划科学合理、班次均衡，承诺在合同签订后七个日历日内，应提供充足的坐席人员投入本项目，承诺坐席上线前应经过岗前培训并通过采购人组织的岗前测试的坐席人员15人的得2分。（需提供承诺函，未提供的不得分）</w:t>
            </w:r>
            <w:r>
              <w:rPr>
                <w:rFonts w:ascii="仿宋_GB2312" w:hAnsi="仿宋_GB2312" w:eastAsia="仿宋_GB2312" w:cs="仿宋_GB2312"/>
                <w:b w:val="0"/>
                <w:bCs w:val="0"/>
                <w:i w:val="0"/>
                <w:iCs w:val="0"/>
                <w:smallCaps w:val="0"/>
                <w:color w:val="auto"/>
                <w:sz w:val="21"/>
                <w:szCs w:val="21"/>
                <w:highlight w:val="none"/>
              </w:rPr>
              <w:br w:type="textWrapping"/>
            </w:r>
            <w:r>
              <w:rPr>
                <w:rFonts w:ascii="仿宋_GB2312" w:hAnsi="仿宋_GB2312" w:eastAsia="仿宋_GB2312" w:cs="仿宋_GB2312"/>
                <w:b w:val="0"/>
                <w:bCs w:val="0"/>
                <w:i w:val="0"/>
                <w:iCs w:val="0"/>
                <w:smallCaps w:val="0"/>
                <w:color w:val="auto"/>
                <w:sz w:val="21"/>
                <w:szCs w:val="21"/>
                <w:highlight w:val="none"/>
              </w:rPr>
              <w:t>3.投标人除坐席人员外另配备1名为本项目专职现场管理人员，管理人员具有管理10人规模以上工作经验的得2分；在上述基础上至投标截止时间前具有连续2年（含）以上从事呼叫中心管理工作经历的得2分。投标人需提供管理人员名单，并附人员社保缴费记录及工作经历用人单位证明等佐证材料。未提供人员名单或未提供相关佐证材料的不得分。</w:t>
            </w:r>
            <w:r>
              <w:rPr>
                <w:rFonts w:ascii="仿宋_GB2312" w:hAnsi="仿宋_GB2312" w:eastAsia="仿宋_GB2312" w:cs="仿宋_GB2312"/>
                <w:b w:val="0"/>
                <w:bCs w:val="0"/>
                <w:i w:val="0"/>
                <w:iCs w:val="0"/>
                <w:smallCaps w:val="0"/>
                <w:color w:val="auto"/>
                <w:sz w:val="21"/>
                <w:szCs w:val="21"/>
                <w:highlight w:val="none"/>
              </w:rPr>
              <w:br w:type="textWrapping"/>
            </w:r>
            <w:r>
              <w:rPr>
                <w:rFonts w:ascii="仿宋_GB2312" w:hAnsi="仿宋_GB2312" w:eastAsia="仿宋_GB2312" w:cs="仿宋_GB2312"/>
                <w:b w:val="0"/>
                <w:bCs w:val="0"/>
                <w:i w:val="0"/>
                <w:iCs w:val="0"/>
                <w:smallCaps w:val="0"/>
                <w:color w:val="auto"/>
                <w:sz w:val="21"/>
                <w:szCs w:val="21"/>
                <w:highlight w:val="none"/>
              </w:rPr>
              <w:t>4.投标人在坐席人员中配备2名（含）以上业务骨干作为业务支持人员投入本项目，业务支持人员拥有至投标截止时间前连续2年（含）以上从事税务咨询服务工作经历的（税务咨询服务指在税务呼叫中心、办税服务厅等工作），每人得2分，满分4分。投标人需提供业务支持人员名单，并附人员社保缴费记录及工作经历用人单位证明等佐证材料。未提供人员名单或未提供相关佐证材料的不得分。</w:t>
            </w:r>
            <w:r>
              <w:rPr>
                <w:rFonts w:ascii="仿宋_GB2312" w:hAnsi="仿宋_GB2312" w:eastAsia="仿宋_GB2312" w:cs="仿宋_GB2312"/>
                <w:b w:val="0"/>
                <w:bCs w:val="0"/>
                <w:i w:val="0"/>
                <w:iCs w:val="0"/>
                <w:smallCaps w:val="0"/>
                <w:color w:val="auto"/>
                <w:sz w:val="21"/>
                <w:szCs w:val="21"/>
                <w:highlight w:val="none"/>
              </w:rPr>
              <w:br w:type="textWrapping"/>
            </w:r>
            <w:r>
              <w:rPr>
                <w:rFonts w:ascii="仿宋_GB2312" w:hAnsi="仿宋_GB2312" w:eastAsia="仿宋_GB2312" w:cs="仿宋_GB2312"/>
                <w:b w:val="0"/>
                <w:bCs w:val="0"/>
                <w:i w:val="0"/>
                <w:iCs w:val="0"/>
                <w:smallCaps w:val="0"/>
                <w:color w:val="auto"/>
                <w:sz w:val="21"/>
                <w:szCs w:val="21"/>
                <w:highlight w:val="none"/>
              </w:rPr>
              <w:t>5.投标人制定人员公开招聘方案：</w:t>
            </w:r>
            <w:r>
              <w:rPr>
                <w:rFonts w:ascii="仿宋_GB2312" w:hAnsi="仿宋_GB2312" w:eastAsia="仿宋_GB2312" w:cs="仿宋_GB2312"/>
                <w:b w:val="0"/>
                <w:bCs w:val="0"/>
                <w:i w:val="0"/>
                <w:iCs w:val="0"/>
                <w:smallCaps w:val="0"/>
                <w:color w:val="auto"/>
                <w:sz w:val="21"/>
                <w:szCs w:val="21"/>
                <w:highlight w:val="none"/>
              </w:rPr>
              <w:br w:type="textWrapping"/>
            </w:r>
            <w:r>
              <w:rPr>
                <w:rFonts w:ascii="仿宋_GB2312" w:hAnsi="仿宋_GB2312" w:eastAsia="仿宋_GB2312" w:cs="仿宋_GB2312"/>
                <w:b w:val="0"/>
                <w:bCs w:val="0"/>
                <w:i w:val="0"/>
                <w:iCs w:val="0"/>
                <w:smallCaps w:val="0"/>
                <w:color w:val="auto"/>
                <w:sz w:val="21"/>
                <w:szCs w:val="21"/>
                <w:highlight w:val="none"/>
              </w:rPr>
              <w:t xml:space="preserve">优秀的解决方案中应满足招聘坐席人员中具备财税工作经历的占比在70%（不含）以上的，得3分； </w:t>
            </w:r>
            <w:r>
              <w:rPr>
                <w:rFonts w:ascii="仿宋_GB2312" w:hAnsi="仿宋_GB2312" w:eastAsia="仿宋_GB2312" w:cs="仿宋_GB2312"/>
                <w:b w:val="0"/>
                <w:bCs w:val="0"/>
                <w:i w:val="0"/>
                <w:iCs w:val="0"/>
                <w:smallCaps w:val="0"/>
                <w:color w:val="auto"/>
                <w:sz w:val="21"/>
                <w:szCs w:val="21"/>
                <w:highlight w:val="none"/>
              </w:rPr>
              <w:br w:type="textWrapping"/>
            </w:r>
            <w:r>
              <w:rPr>
                <w:rFonts w:ascii="仿宋_GB2312" w:hAnsi="仿宋_GB2312" w:eastAsia="仿宋_GB2312" w:cs="仿宋_GB2312"/>
                <w:b w:val="0"/>
                <w:bCs w:val="0"/>
                <w:i w:val="0"/>
                <w:iCs w:val="0"/>
                <w:smallCaps w:val="0"/>
                <w:color w:val="auto"/>
                <w:sz w:val="21"/>
                <w:szCs w:val="21"/>
                <w:highlight w:val="none"/>
              </w:rPr>
              <w:t>良好的解决方案中应满足招聘坐席人员中具备财税工作经历的占比在60%（不含）—70%（含）%的，得2分；</w:t>
            </w:r>
            <w:r>
              <w:rPr>
                <w:rFonts w:ascii="仿宋_GB2312" w:hAnsi="仿宋_GB2312" w:eastAsia="仿宋_GB2312" w:cs="仿宋_GB2312"/>
                <w:b w:val="0"/>
                <w:bCs w:val="0"/>
                <w:i w:val="0"/>
                <w:iCs w:val="0"/>
                <w:smallCaps w:val="0"/>
                <w:color w:val="auto"/>
                <w:sz w:val="21"/>
                <w:szCs w:val="21"/>
                <w:highlight w:val="none"/>
              </w:rPr>
              <w:br w:type="textWrapping"/>
            </w:r>
            <w:r>
              <w:rPr>
                <w:rFonts w:ascii="仿宋_GB2312" w:hAnsi="仿宋_GB2312" w:eastAsia="仿宋_GB2312" w:cs="仿宋_GB2312"/>
                <w:b w:val="0"/>
                <w:bCs w:val="0"/>
                <w:i w:val="0"/>
                <w:iCs w:val="0"/>
                <w:smallCaps w:val="0"/>
                <w:color w:val="auto"/>
                <w:sz w:val="21"/>
                <w:szCs w:val="21"/>
                <w:highlight w:val="none"/>
              </w:rPr>
              <w:t>一般的解决方案中应满足招聘坐席人员中具备财税工作经历的占比在50%（不含）—60%（含）的，得1分；</w:t>
            </w:r>
            <w:r>
              <w:rPr>
                <w:rFonts w:ascii="仿宋_GB2312" w:hAnsi="仿宋_GB2312" w:eastAsia="仿宋_GB2312" w:cs="仿宋_GB2312"/>
                <w:b w:val="0"/>
                <w:bCs w:val="0"/>
                <w:i w:val="0"/>
                <w:iCs w:val="0"/>
                <w:smallCaps w:val="0"/>
                <w:color w:val="auto"/>
                <w:sz w:val="21"/>
                <w:szCs w:val="21"/>
                <w:highlight w:val="none"/>
              </w:rPr>
              <w:br w:type="textWrapping"/>
            </w:r>
            <w:r>
              <w:rPr>
                <w:rFonts w:ascii="仿宋_GB2312" w:hAnsi="仿宋_GB2312" w:eastAsia="仿宋_GB2312" w:cs="仿宋_GB2312"/>
                <w:b w:val="0"/>
                <w:bCs w:val="0"/>
                <w:i w:val="0"/>
                <w:iCs w:val="0"/>
                <w:smallCaps w:val="0"/>
                <w:color w:val="auto"/>
                <w:sz w:val="21"/>
                <w:szCs w:val="21"/>
                <w:highlight w:val="none"/>
              </w:rPr>
              <w:t>（需提供工作经历用人单位证明及承诺函，未提供的不得分）</w:t>
            </w:r>
            <w:r>
              <w:rPr>
                <w:rFonts w:ascii="仿宋_GB2312" w:hAnsi="仿宋_GB2312" w:eastAsia="仿宋_GB2312" w:cs="仿宋_GB2312"/>
                <w:b w:val="0"/>
                <w:bCs w:val="0"/>
                <w:i w:val="0"/>
                <w:iCs w:val="0"/>
                <w:smallCaps w:val="0"/>
                <w:color w:val="auto"/>
                <w:sz w:val="21"/>
                <w:szCs w:val="21"/>
                <w:highlight w:val="none"/>
              </w:rPr>
              <w:br w:type="textWrapping"/>
            </w:r>
            <w:r>
              <w:rPr>
                <w:rFonts w:ascii="仿宋_GB2312" w:hAnsi="仿宋_GB2312" w:eastAsia="仿宋_GB2312" w:cs="仿宋_GB2312"/>
                <w:b w:val="0"/>
                <w:bCs w:val="0"/>
                <w:i w:val="0"/>
                <w:iCs w:val="0"/>
                <w:smallCaps w:val="0"/>
                <w:color w:val="auto"/>
                <w:sz w:val="21"/>
                <w:szCs w:val="21"/>
                <w:highlight w:val="none"/>
              </w:rPr>
              <w:t>6.</w:t>
            </w:r>
            <w:r>
              <w:rPr>
                <w:rFonts w:hint="eastAsia" w:ascii="仿宋_GB2312" w:hAnsi="仿宋_GB2312" w:eastAsia="仿宋_GB2312" w:cs="仿宋_GB2312"/>
                <w:b w:val="0"/>
                <w:bCs w:val="0"/>
                <w:i w:val="0"/>
                <w:iCs w:val="0"/>
                <w:smallCaps w:val="0"/>
                <w:color w:val="auto"/>
                <w:sz w:val="21"/>
                <w:szCs w:val="21"/>
                <w:highlight w:val="none"/>
                <w:lang w:eastAsia="zh-CN"/>
              </w:rPr>
              <w:t>投</w:t>
            </w:r>
            <w:r>
              <w:rPr>
                <w:rFonts w:ascii="仿宋_GB2312" w:hAnsi="仿宋_GB2312" w:eastAsia="仿宋_GB2312" w:cs="仿宋_GB2312"/>
                <w:b w:val="0"/>
                <w:bCs w:val="0"/>
                <w:i w:val="0"/>
                <w:iCs w:val="0"/>
                <w:smallCaps w:val="0"/>
                <w:color w:val="auto"/>
                <w:sz w:val="21"/>
                <w:szCs w:val="21"/>
                <w:highlight w:val="none"/>
              </w:rPr>
              <w:t>标人能制定满足12366热线人员管理的相关制度（至少包括人员薪资福利管理、人员激励机制、职业规划、业务考核、考勤管理、质量监测管理等6项制度），制度内容与要点相符、思路清晰，措施合理且具体的每提供1项得1分；制度内容与要点相符，内容相对简略，且有可操作性的每提供1项得0.5分；未提供方案或方案内容与项目情况不相符的不得分。</w:t>
            </w:r>
            <w:r>
              <w:rPr>
                <w:rFonts w:ascii="仿宋_GB2312" w:hAnsi="仿宋_GB2312" w:eastAsia="仿宋_GB2312" w:cs="仿宋_GB2312"/>
                <w:b w:val="0"/>
                <w:bCs w:val="0"/>
                <w:i w:val="0"/>
                <w:iCs w:val="0"/>
                <w:smallCaps w:val="0"/>
                <w:color w:val="auto"/>
                <w:sz w:val="21"/>
                <w:szCs w:val="21"/>
                <w:highlight w:val="none"/>
              </w:rPr>
              <w:br w:type="textWrapping"/>
            </w:r>
            <w:r>
              <w:rPr>
                <w:rFonts w:ascii="仿宋_GB2312" w:hAnsi="仿宋_GB2312" w:eastAsia="仿宋_GB2312" w:cs="仿宋_GB2312"/>
                <w:b w:val="0"/>
                <w:bCs w:val="0"/>
                <w:i w:val="0"/>
                <w:iCs w:val="0"/>
                <w:smallCaps w:val="0"/>
                <w:color w:val="auto"/>
                <w:sz w:val="21"/>
                <w:szCs w:val="21"/>
                <w:highlight w:val="none"/>
              </w:rPr>
              <w:t xml:space="preserve">7.投标人承诺用于坐席人员的劳务报酬总额占合同总价85%（含）以上，承诺85%的得1分，每高一个百分点加1分，上限为5分，未提供承诺函的不得分。 </w:t>
            </w:r>
            <w:r>
              <w:rPr>
                <w:rFonts w:hint="eastAsia" w:ascii="仿宋_GB2312" w:hAnsi="仿宋_GB2312" w:eastAsia="仿宋_GB2312" w:cs="仿宋_GB2312"/>
                <w:b w:val="0"/>
                <w:bCs w:val="0"/>
                <w:i w:val="0"/>
                <w:iCs w:val="0"/>
                <w:smallCaps w:val="0"/>
                <w:color w:val="auto"/>
                <w:sz w:val="21"/>
                <w:szCs w:val="21"/>
                <w:highlight w:val="none"/>
                <w:lang w:val="en-US" w:eastAsia="zh-CN"/>
              </w:rPr>
              <w:t xml:space="preserve">  </w:t>
            </w:r>
            <w:r>
              <w:rPr>
                <w:rFonts w:ascii="仿宋_GB2312" w:hAnsi="仿宋_GB2312" w:eastAsia="仿宋_GB2312" w:cs="仿宋_GB2312"/>
                <w:b w:val="0"/>
                <w:bCs w:val="0"/>
                <w:i w:val="0"/>
                <w:iCs w:val="0"/>
                <w:smallCaps w:val="0"/>
                <w:color w:val="auto"/>
                <w:sz w:val="21"/>
                <w:szCs w:val="21"/>
                <w:highlight w:val="none"/>
              </w:rPr>
              <w:t>8.投标人承诺用于坐席人员的教育培训费用总额占合同总价2%（含）以上，承诺2%的得2分，每高一个百分点加1分，上限为3分，未提供承诺函的不得分。</w:t>
            </w:r>
            <w:r>
              <w:rPr>
                <w:rFonts w:hint="eastAsia" w:ascii="仿宋_GB2312" w:hAnsi="仿宋_GB2312" w:eastAsia="仿宋_GB2312" w:cs="仿宋_GB2312"/>
                <w:b w:val="0"/>
                <w:bCs w:val="0"/>
                <w:i w:val="0"/>
                <w:iCs w:val="0"/>
                <w:smallCaps w:val="0"/>
                <w:color w:val="auto"/>
                <w:sz w:val="21"/>
                <w:szCs w:val="21"/>
                <w:highlight w:val="none"/>
                <w:lang w:val="en-US" w:eastAsia="zh-CN"/>
              </w:rPr>
              <w:t xml:space="preserve">  </w:t>
            </w:r>
            <w:r>
              <w:rPr>
                <w:rFonts w:ascii="仿宋_GB2312" w:hAnsi="仿宋_GB2312" w:eastAsia="仿宋_GB2312" w:cs="仿宋_GB2312"/>
                <w:b w:val="0"/>
                <w:bCs w:val="0"/>
                <w:i w:val="0"/>
                <w:iCs w:val="0"/>
                <w:smallCaps w:val="0"/>
                <w:color w:val="auto"/>
                <w:sz w:val="21"/>
                <w:szCs w:val="21"/>
                <w:highlight w:val="none"/>
              </w:rPr>
              <w:t xml:space="preserve"> 9.投标人制定合理人才储备方案，保证12366中心服务外包人员数量相对稳定，承诺每半年人员流失率在20%以下（含20%）的得3分，20%-30%（含30%）的得1分，高于30%的不得分。（需提供承诺函）</w:t>
            </w:r>
            <w:r>
              <w:rPr>
                <w:rFonts w:ascii="仿宋_GB2312" w:hAnsi="仿宋_GB2312" w:eastAsia="仿宋_GB2312" w:cs="仿宋_GB2312"/>
                <w:b w:val="0"/>
                <w:bCs w:val="0"/>
                <w:i w:val="0"/>
                <w:iCs w:val="0"/>
                <w:smallCaps w:val="0"/>
                <w:color w:val="auto"/>
                <w:sz w:val="21"/>
                <w:szCs w:val="21"/>
                <w:highlight w:val="none"/>
              </w:rPr>
              <w:br w:type="textWrapping"/>
            </w:r>
            <w:r>
              <w:rPr>
                <w:rFonts w:ascii="仿宋_GB2312" w:hAnsi="仿宋_GB2312" w:eastAsia="仿宋_GB2312" w:cs="仿宋_GB2312"/>
                <w:b w:val="0"/>
                <w:bCs w:val="0"/>
                <w:i w:val="0"/>
                <w:iCs w:val="0"/>
                <w:smallCaps w:val="0"/>
                <w:color w:val="auto"/>
                <w:sz w:val="21"/>
                <w:szCs w:val="21"/>
                <w:highlight w:val="none"/>
              </w:rPr>
              <w:t>10.根据投标人提供科学合理的人员淘汰机制（至少包含培训考试、绩效考核、违纪行为等淘汰机制）进行评议，方案包含以上要点，内容与要点相符、且措施具体的得3分；方案所包含的要点齐全、内容与要点相符，内容相对简略，但具有可操作性的得1.5分；方案所包含的要点有缺漏，或未提供方案，或方案内容与项目情况不相符的不得分。</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是</w:t>
            </w:r>
          </w:p>
        </w:tc>
      </w:tr>
      <w:tr>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center"/>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3</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技术因素</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业务及运营管理</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1.投标人制定现场管理方案、保密工作方案、 突发事件应急管理方案，由评委进行评议：方案内容与主题相符、思路清晰，措施合理具体、有利于保证项目的正常实施的每提供1项得1分；方案内容与要点相符，内容相对简略，且有可操作性的每提供1项得0.5分；未提供方案或方案内容与项目情况不相符的不得分。</w:t>
            </w:r>
            <w:r>
              <w:rPr>
                <w:rFonts w:ascii="仿宋_GB2312" w:hAnsi="仿宋_GB2312" w:eastAsia="仿宋_GB2312" w:cs="仿宋_GB2312"/>
                <w:b w:val="0"/>
                <w:bCs w:val="0"/>
                <w:i w:val="0"/>
                <w:iCs w:val="0"/>
                <w:smallCaps w:val="0"/>
                <w:color w:val="auto"/>
                <w:sz w:val="21"/>
                <w:szCs w:val="21"/>
                <w:highlight w:val="none"/>
              </w:rPr>
              <w:br w:type="textWrapping"/>
            </w:r>
            <w:r>
              <w:rPr>
                <w:rFonts w:ascii="仿宋_GB2312" w:hAnsi="仿宋_GB2312" w:eastAsia="仿宋_GB2312" w:cs="仿宋_GB2312"/>
                <w:b w:val="0"/>
                <w:bCs w:val="0"/>
                <w:i w:val="0"/>
                <w:iCs w:val="0"/>
                <w:smallCaps w:val="0"/>
                <w:color w:val="auto"/>
                <w:sz w:val="21"/>
                <w:szCs w:val="21"/>
                <w:highlight w:val="none"/>
              </w:rPr>
              <w:t>2.投标人制定沟通协调机制方案（至少包含如何与采购人建立沟通协调机制、如何实现情况互通，如何确保运行管理顺畅的各项措施），由评委进行评议：方案包含以上要点，内容与要点相符、且措施具体，能够保证项目管理顺畅的得3分；方案所包含的要点齐全、内容与要点相符，内容相对简略，但具有可操作性的得2分；方案所包含的要点有缺漏或仅笼统描述无具体措施的得1分，未提供方案或方案内容与项目情况不相符的不得分。</w:t>
            </w:r>
            <w:r>
              <w:rPr>
                <w:rFonts w:ascii="仿宋_GB2312" w:hAnsi="仿宋_GB2312" w:eastAsia="仿宋_GB2312" w:cs="仿宋_GB2312"/>
                <w:b w:val="0"/>
                <w:bCs w:val="0"/>
                <w:i w:val="0"/>
                <w:iCs w:val="0"/>
                <w:smallCaps w:val="0"/>
                <w:color w:val="auto"/>
                <w:sz w:val="21"/>
                <w:szCs w:val="21"/>
                <w:highlight w:val="none"/>
              </w:rPr>
              <w:br w:type="textWrapping"/>
            </w:r>
            <w:r>
              <w:rPr>
                <w:rFonts w:ascii="仿宋_GB2312" w:hAnsi="仿宋_GB2312" w:eastAsia="仿宋_GB2312" w:cs="仿宋_GB2312"/>
                <w:b w:val="0"/>
                <w:bCs w:val="0"/>
                <w:i w:val="0"/>
                <w:iCs w:val="0"/>
                <w:smallCaps w:val="0"/>
                <w:color w:val="auto"/>
                <w:sz w:val="21"/>
                <w:szCs w:val="21"/>
                <w:highlight w:val="none"/>
              </w:rPr>
              <w:t>3.投标人需提供对招聘的坐席人员的上岗培训方案（含基本礼仪培训、12366纳税服务热线基本工作流程及作业标准、各税费政策培训、各税费申报业务培训、各类网报系统基本架构及常见问题、征收管理及纳税服务基础知识等专业培训），以及日常工作岗位培训方案（包括税收业务新政策、典型录音分析、沟通服务技巧等）等，由评委进行评议。其中日常培训方案要求一个月开展不少于4次专项培训（专项培训指的是根据各阶段工作重点，按要求组织各类业务专题培训），不少于4次分组培训（分组培训指的是根据各阶段工作重点，分时段组织坐席人员开展分组学习，要求4次分组培训中不少于2次服务规范培训），且每月制定培训方案和情况记录。方案包含以上要点，内容与要点相符、且措施具体，符合以上培训要求，能够保证项目管理顺畅的得3分；方案所包含的要点齐全、内容与要点相符，基本符合以上培训要求，但内容相对简略的得2分；方案所包含的要点有缺漏或仅笼统描述无具体措施的得1分，未提供方案或培训方案内容不符合要求的不得分。</w:t>
            </w:r>
            <w:r>
              <w:rPr>
                <w:rFonts w:ascii="仿宋_GB2312" w:hAnsi="仿宋_GB2312" w:eastAsia="仿宋_GB2312" w:cs="仿宋_GB2312"/>
                <w:b w:val="0"/>
                <w:bCs w:val="0"/>
                <w:i w:val="0"/>
                <w:iCs w:val="0"/>
                <w:smallCaps w:val="0"/>
                <w:color w:val="auto"/>
                <w:sz w:val="21"/>
                <w:szCs w:val="21"/>
                <w:highlight w:val="none"/>
              </w:rPr>
              <w:br w:type="textWrapping"/>
            </w:r>
            <w:r>
              <w:rPr>
                <w:rFonts w:ascii="仿宋_GB2312" w:hAnsi="仿宋_GB2312" w:eastAsia="仿宋_GB2312" w:cs="仿宋_GB2312"/>
                <w:b w:val="0"/>
                <w:bCs w:val="0"/>
                <w:i w:val="0"/>
                <w:iCs w:val="0"/>
                <w:smallCaps w:val="0"/>
                <w:color w:val="auto"/>
                <w:sz w:val="21"/>
                <w:szCs w:val="21"/>
                <w:highlight w:val="none"/>
              </w:rPr>
              <w:t>4.投标人需提供坐席人员的质检方案，由评委进行评议，质检方案要求每月抽取监听有效样本总量不低于人工服务总量的3%（含）的，每月抽取监测网络咨询（含留言）有效样本总量不低于网络咨询人工服务总量的3%（含），质检方案符合以上要求，措施具体，能够保证项目管理顺畅的得3分；方案基本符合以上要求，但内容相对简略，未展开叙述的得2分；方案所包含的要点有缺漏或仅笼统描述无具体措施的得1分，未提供方案或质检方案内容不符合要求的不得分。</w:t>
            </w:r>
            <w:r>
              <w:rPr>
                <w:rFonts w:ascii="仿宋_GB2312" w:hAnsi="仿宋_GB2312" w:eastAsia="仿宋_GB2312" w:cs="仿宋_GB2312"/>
                <w:b w:val="0"/>
                <w:bCs w:val="0"/>
                <w:i w:val="0"/>
                <w:iCs w:val="0"/>
                <w:smallCaps w:val="0"/>
                <w:color w:val="auto"/>
                <w:sz w:val="21"/>
                <w:szCs w:val="21"/>
                <w:highlight w:val="none"/>
              </w:rPr>
              <w:br w:type="textWrapping"/>
            </w:r>
            <w:r>
              <w:rPr>
                <w:rFonts w:ascii="仿宋_GB2312" w:hAnsi="仿宋_GB2312" w:eastAsia="仿宋_GB2312" w:cs="仿宋_GB2312"/>
                <w:b w:val="0"/>
                <w:bCs w:val="0"/>
                <w:i w:val="0"/>
                <w:iCs w:val="0"/>
                <w:smallCaps w:val="0"/>
                <w:color w:val="auto"/>
                <w:sz w:val="21"/>
                <w:szCs w:val="21"/>
                <w:highlight w:val="none"/>
              </w:rPr>
              <w:t>5.投标人围绕本项目制定的考核标准制定绩效管理实施方案，达到福建省税务局和宁德市税务局绩效考核标准，保证12366</w:t>
            </w:r>
            <w:r>
              <w:rPr>
                <w:rFonts w:hint="eastAsia" w:ascii="仿宋_GB2312" w:hAnsi="仿宋_GB2312" w:eastAsia="仿宋_GB2312" w:cs="仿宋_GB2312"/>
                <w:b w:val="0"/>
                <w:bCs w:val="0"/>
                <w:i w:val="0"/>
                <w:iCs w:val="0"/>
                <w:smallCaps w:val="0"/>
                <w:color w:val="auto"/>
                <w:sz w:val="21"/>
                <w:szCs w:val="21"/>
                <w:highlight w:val="none"/>
                <w:lang w:eastAsia="zh-CN"/>
              </w:rPr>
              <w:t>热线</w:t>
            </w:r>
            <w:r>
              <w:rPr>
                <w:rFonts w:ascii="仿宋_GB2312" w:hAnsi="仿宋_GB2312" w:eastAsia="仿宋_GB2312" w:cs="仿宋_GB2312"/>
                <w:b w:val="0"/>
                <w:bCs w:val="0"/>
                <w:i w:val="0"/>
                <w:iCs w:val="0"/>
                <w:smallCaps w:val="0"/>
                <w:color w:val="auto"/>
                <w:sz w:val="21"/>
                <w:szCs w:val="21"/>
                <w:highlight w:val="none"/>
              </w:rPr>
              <w:t>服务质效。绩效管理方案符合以上要求，措施具体，能够保证项目管理顺畅的得3分；绩效管理方案基本符合以上要求，但内容相对简略，未展开叙述的得2分；方案所包含的要点有缺漏或仅笼统描述无具体措施的得1分，未提供方案或方案内容不符合要求的不得分。</w:t>
            </w:r>
            <w:r>
              <w:rPr>
                <w:rFonts w:ascii="仿宋_GB2312" w:hAnsi="仿宋_GB2312" w:eastAsia="仿宋_GB2312" w:cs="仿宋_GB2312"/>
                <w:b w:val="0"/>
                <w:bCs w:val="0"/>
                <w:i w:val="0"/>
                <w:iCs w:val="0"/>
                <w:smallCaps w:val="0"/>
                <w:color w:val="auto"/>
                <w:sz w:val="21"/>
                <w:szCs w:val="21"/>
                <w:highlight w:val="none"/>
              </w:rPr>
              <w:br w:type="textWrapping"/>
            </w:r>
            <w:r>
              <w:rPr>
                <w:rFonts w:ascii="仿宋_GB2312" w:hAnsi="仿宋_GB2312" w:eastAsia="仿宋_GB2312" w:cs="仿宋_GB2312"/>
                <w:b w:val="0"/>
                <w:bCs w:val="0"/>
                <w:i w:val="0"/>
                <w:iCs w:val="0"/>
                <w:smallCaps w:val="0"/>
                <w:color w:val="auto"/>
                <w:sz w:val="21"/>
                <w:szCs w:val="21"/>
                <w:highlight w:val="none"/>
              </w:rPr>
              <w:t>6.投标人提供保障服务团队活动的方案，并提供相应的经费保障，由评委进行评议：方案合理、完善并提供相应的经费保障承诺的得3分，仅提供方案，但措施不具体或者未有相应的经费保障承诺的得1.5分, 未提供不得分。</w:t>
            </w:r>
            <w:r>
              <w:rPr>
                <w:rFonts w:ascii="仿宋_GB2312" w:hAnsi="仿宋_GB2312" w:eastAsia="仿宋_GB2312" w:cs="仿宋_GB2312"/>
                <w:b w:val="0"/>
                <w:bCs w:val="0"/>
                <w:i w:val="0"/>
                <w:iCs w:val="0"/>
                <w:smallCaps w:val="0"/>
                <w:color w:val="auto"/>
                <w:sz w:val="21"/>
                <w:szCs w:val="21"/>
                <w:highlight w:val="none"/>
              </w:rPr>
              <w:br w:type="textWrapping"/>
            </w:r>
            <w:r>
              <w:rPr>
                <w:rFonts w:ascii="仿宋_GB2312" w:hAnsi="仿宋_GB2312" w:eastAsia="仿宋_GB2312" w:cs="仿宋_GB2312"/>
                <w:b w:val="0"/>
                <w:bCs w:val="0"/>
                <w:i w:val="0"/>
                <w:iCs w:val="0"/>
                <w:smallCaps w:val="0"/>
                <w:color w:val="auto"/>
                <w:sz w:val="21"/>
                <w:szCs w:val="21"/>
                <w:highlight w:val="none"/>
              </w:rPr>
              <w:t>7.投标人根据国家税务总局、国家税务总局福建省税务局和12366各项管理规定制定具体实施方案（包括保密制度、门禁制度、环境卫生、专项工作保障配合、信息安全管理规定及12366运行管理各项制度规定等），方案包含以上要点，内容与要点相符、且措施具体，能够保证项目管理顺畅的得3分；方案所包含的要点齐全、内容与要点相符，但内容相对简略的得2分；方案所包含的要点有缺漏或仅笼统描述无具体措施的得1分，未提供方案或方案内容不符合要求的不得分。</w:t>
            </w:r>
            <w:r>
              <w:rPr>
                <w:rFonts w:ascii="仿宋_GB2312" w:hAnsi="仿宋_GB2312" w:eastAsia="仿宋_GB2312" w:cs="仿宋_GB2312"/>
                <w:b w:val="0"/>
                <w:bCs w:val="0"/>
                <w:i w:val="0"/>
                <w:iCs w:val="0"/>
                <w:smallCaps w:val="0"/>
                <w:color w:val="auto"/>
                <w:sz w:val="21"/>
                <w:szCs w:val="21"/>
                <w:highlight w:val="none"/>
              </w:rPr>
              <w:br w:type="textWrapping"/>
            </w:r>
            <w:r>
              <w:rPr>
                <w:rFonts w:ascii="仿宋_GB2312" w:hAnsi="仿宋_GB2312" w:eastAsia="仿宋_GB2312" w:cs="仿宋_GB2312"/>
                <w:b w:val="0"/>
                <w:bCs w:val="0"/>
                <w:i w:val="0"/>
                <w:iCs w:val="0"/>
                <w:smallCaps w:val="0"/>
                <w:color w:val="auto"/>
                <w:sz w:val="21"/>
                <w:szCs w:val="21"/>
                <w:highlight w:val="none"/>
              </w:rPr>
              <w:t>8.投标人承诺公司领导能定期到现场同坐席人员沟通交流，开展人文关怀。提供承诺函的，得2分；未提供的不得分。</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是</w:t>
            </w:r>
          </w:p>
        </w:tc>
      </w:tr>
      <w:tr>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center"/>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4</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技术因素</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设备保障方案</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1.投标人制定设备保障响应方案，由评委进行评议：方案中须承诺对工作电脑、打印机和触控一体机等设备能及时进行维护和响应，保证设备的稳定和服务不间断，工作电脑的可用率不低于95%，对于故障设备，更换时限不超过1天。方案符合以上要求，措施具体，能够保证项目管理顺畅的得3分；方案符合以上要求，但整体响应方案的内容相对简略，未展开叙述的得2分；方案所包含的要点有缺漏或仅笼统描述无具体措施的得1分；未提供方案或方案内容不符合要求的不得分。</w:t>
            </w:r>
            <w:r>
              <w:rPr>
                <w:rFonts w:hint="eastAsia" w:ascii="仿宋_GB2312" w:hAnsi="仿宋_GB2312" w:eastAsia="仿宋_GB2312" w:cs="仿宋_GB2312"/>
                <w:b w:val="0"/>
                <w:bCs w:val="0"/>
                <w:i w:val="0"/>
                <w:iCs w:val="0"/>
                <w:smallCaps w:val="0"/>
                <w:color w:val="auto"/>
                <w:sz w:val="21"/>
                <w:szCs w:val="21"/>
                <w:highlight w:val="none"/>
                <w:lang w:val="en-US" w:eastAsia="zh-CN"/>
              </w:rPr>
              <w:t xml:space="preserve">   </w:t>
            </w:r>
            <w:r>
              <w:rPr>
                <w:rFonts w:ascii="仿宋_GB2312" w:hAnsi="仿宋_GB2312" w:eastAsia="仿宋_GB2312" w:cs="仿宋_GB2312"/>
                <w:b w:val="0"/>
                <w:bCs w:val="0"/>
                <w:i w:val="0"/>
                <w:iCs w:val="0"/>
                <w:smallCaps w:val="0"/>
                <w:color w:val="auto"/>
                <w:sz w:val="21"/>
                <w:szCs w:val="21"/>
                <w:highlight w:val="none"/>
              </w:rPr>
              <w:t xml:space="preserve"> 2.投标人承诺要根据福建省税务局对工作电脑的要求及时进行升级换代，提供承诺函的，得1分；未提供的，不得分。</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是</w:t>
            </w:r>
          </w:p>
        </w:tc>
      </w:tr>
      <w:tr>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center"/>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5</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商务因素</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综合实力</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1.投标人具有人力资源服务许可证的得2分,提供证书编号及查询网址或者提供有效的证书复印件，否则不得分。</w:t>
            </w:r>
            <w:r>
              <w:rPr>
                <w:rFonts w:ascii="仿宋_GB2312" w:hAnsi="仿宋_GB2312" w:eastAsia="仿宋_GB2312" w:cs="仿宋_GB2312"/>
                <w:b w:val="0"/>
                <w:bCs w:val="0"/>
                <w:i w:val="0"/>
                <w:iCs w:val="0"/>
                <w:smallCaps w:val="0"/>
                <w:color w:val="auto"/>
                <w:sz w:val="21"/>
                <w:szCs w:val="21"/>
                <w:highlight w:val="none"/>
              </w:rPr>
              <w:br w:type="textWrapping"/>
            </w:r>
            <w:r>
              <w:rPr>
                <w:rFonts w:ascii="仿宋_GB2312" w:hAnsi="仿宋_GB2312" w:eastAsia="仿宋_GB2312" w:cs="仿宋_GB2312"/>
                <w:b w:val="0"/>
                <w:bCs w:val="0"/>
                <w:i w:val="0"/>
                <w:iCs w:val="0"/>
                <w:smallCaps w:val="0"/>
                <w:color w:val="auto"/>
                <w:sz w:val="21"/>
                <w:szCs w:val="21"/>
                <w:highlight w:val="none"/>
              </w:rPr>
              <w:t>2.投标人有专门客服号并提供有效证明材料的得3分，未提供的不得分。（注：专门客服号是指投标人拥有专门对外咨询答复的专用电话号码，该电话号可以是免费打入服务客服号码（如400、800开头的号码），也可以是收费打入的其它专用服务客服号码。）</w:t>
            </w:r>
            <w:r>
              <w:rPr>
                <w:rFonts w:ascii="仿宋_GB2312" w:hAnsi="仿宋_GB2312" w:eastAsia="仿宋_GB2312" w:cs="仿宋_GB2312"/>
                <w:b w:val="0"/>
                <w:bCs w:val="0"/>
                <w:i w:val="0"/>
                <w:iCs w:val="0"/>
                <w:smallCaps w:val="0"/>
                <w:color w:val="auto"/>
                <w:sz w:val="21"/>
                <w:szCs w:val="21"/>
                <w:highlight w:val="none"/>
              </w:rPr>
              <w:br w:type="textWrapping"/>
            </w:r>
            <w:r>
              <w:rPr>
                <w:rFonts w:ascii="仿宋_GB2312" w:hAnsi="仿宋_GB2312" w:eastAsia="仿宋_GB2312" w:cs="仿宋_GB2312"/>
                <w:b w:val="0"/>
                <w:bCs w:val="0"/>
                <w:i w:val="0"/>
                <w:iCs w:val="0"/>
                <w:smallCaps w:val="0"/>
                <w:color w:val="auto"/>
                <w:sz w:val="21"/>
                <w:szCs w:val="21"/>
                <w:highlight w:val="none"/>
              </w:rPr>
              <w:t>3.投标人公司具有呼叫中并提供证书或证明材料复印件的得3分。</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是</w:t>
            </w:r>
          </w:p>
        </w:tc>
      </w:tr>
      <w:tr>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center"/>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6</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商务因素</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同类项目经验</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2020年1月1日至投标截止时间前，投标人具有市级及以上同类项目经验的，每提供1项得2分，满分6分。须提供中标公告（提供相关网站中标公告的下载网页并注明网址）、中标通知书复印件、采购合同文本复印件，以及能够证明该业绩项目已经采购人验收合格的相关证明文件复印件。如投标人提供的业绩项目服务期为多年、合同为一年一签的形式，服务期虽未到但在合同一年一签且每年都验收合格的情况下，可按一个业绩项目予以计算。未提供或提供不全，该项业绩不给予计分。</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是</w:t>
            </w:r>
          </w:p>
        </w:tc>
      </w:tr>
    </w:tbl>
    <w:p>
      <w:pPr>
        <w:pStyle w:val="5"/>
        <w:keepNext w:val="0"/>
        <w:spacing w:before="0" w:after="0" w:line="360" w:lineRule="auto"/>
        <w:rPr>
          <w:rFonts w:ascii="仿宋_GB2312" w:hAnsi="仿宋_GB2312" w:eastAsia="仿宋_GB2312" w:cs="仿宋_GB2312"/>
          <w:b/>
          <w:bCs/>
          <w:color w:val="auto"/>
          <w:sz w:val="28"/>
          <w:szCs w:val="28"/>
          <w:highlight w:val="none"/>
        </w:rPr>
      </w:pPr>
      <w:bookmarkStart w:id="19" w:name="_Toc256000019"/>
      <w:r>
        <w:rPr>
          <w:rFonts w:ascii="仿宋_GB2312" w:hAnsi="仿宋_GB2312" w:eastAsia="仿宋_GB2312" w:cs="仿宋_GB2312"/>
          <w:color w:val="auto"/>
          <w:sz w:val="28"/>
          <w:szCs w:val="28"/>
          <w:highlight w:val="none"/>
        </w:rPr>
        <w:t>3.2.2技术和服务其他要求</w:t>
      </w:r>
      <w:bookmarkEnd w:id="19"/>
    </w:p>
    <w:p>
      <w:pPr>
        <w:spacing w:before="0" w:after="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无</w:t>
      </w:r>
    </w:p>
    <w:p>
      <w:pPr>
        <w:pStyle w:val="3"/>
        <w:keepNext w:val="0"/>
        <w:spacing w:before="0" w:after="0" w:line="360" w:lineRule="auto"/>
        <w:jc w:val="center"/>
        <w:rPr>
          <w:rFonts w:ascii="仿宋_GB2312" w:hAnsi="仿宋_GB2312" w:eastAsia="仿宋_GB2312" w:cs="仿宋_GB2312"/>
          <w:b/>
          <w:bCs/>
          <w:color w:val="auto"/>
          <w:sz w:val="32"/>
          <w:szCs w:val="32"/>
          <w:highlight w:val="none"/>
        </w:rPr>
      </w:pPr>
      <w:bookmarkStart w:id="20" w:name="_Toc256000020"/>
      <w:r>
        <w:rPr>
          <w:rFonts w:ascii="仿宋_GB2312" w:hAnsi="仿宋_GB2312" w:eastAsia="仿宋_GB2312" w:cs="仿宋_GB2312"/>
          <w:color w:val="auto"/>
          <w:kern w:val="36"/>
          <w:highlight w:val="none"/>
        </w:rPr>
        <w:t>4人员要求</w:t>
      </w:r>
      <w:bookmarkEnd w:id="20"/>
    </w:p>
    <w:p>
      <w:pPr>
        <w:pStyle w:val="4"/>
        <w:keepNext w:val="0"/>
        <w:spacing w:before="0" w:after="0" w:line="360" w:lineRule="auto"/>
        <w:rPr>
          <w:rFonts w:ascii="仿宋_GB2312" w:hAnsi="仿宋_GB2312" w:eastAsia="仿宋_GB2312" w:cs="仿宋_GB2312"/>
          <w:b/>
          <w:bCs/>
          <w:color w:val="auto"/>
          <w:sz w:val="28"/>
          <w:szCs w:val="28"/>
          <w:highlight w:val="none"/>
        </w:rPr>
      </w:pPr>
      <w:bookmarkStart w:id="21" w:name="_Toc256000021"/>
      <w:r>
        <w:rPr>
          <w:rFonts w:ascii="仿宋_GB2312" w:hAnsi="仿宋_GB2312" w:eastAsia="仿宋_GB2312" w:cs="仿宋_GB2312"/>
          <w:i w:val="0"/>
          <w:iCs w:val="0"/>
          <w:color w:val="auto"/>
          <w:highlight w:val="none"/>
        </w:rPr>
        <w:t>4.1总体要求</w:t>
      </w:r>
      <w:bookmarkEnd w:id="21"/>
    </w:p>
    <w:p>
      <w:pPr>
        <w:pStyle w:val="14"/>
        <w:spacing w:before="0" w:after="0" w:line="360" w:lineRule="auto"/>
        <w:ind w:firstLine="560"/>
        <w:rPr>
          <w:rFonts w:ascii="FangSong_GB2312" w:hAnsi="FangSong_GB2312" w:eastAsia="FangSong_GB2312" w:cs="FangSong_GB2312"/>
          <w:color w:val="auto"/>
          <w:sz w:val="28"/>
          <w:szCs w:val="28"/>
          <w:highlight w:val="none"/>
        </w:rPr>
      </w:pPr>
      <w:r>
        <w:rPr>
          <w:rFonts w:hint="eastAsia" w:ascii="宋体" w:hAnsi="宋体" w:eastAsia="宋体" w:cs="宋体"/>
          <w:color w:val="auto"/>
          <w:sz w:val="28"/>
          <w:szCs w:val="28"/>
          <w:highlight w:val="none"/>
        </w:rPr>
        <w:t>服务商根据采购人的要求，在全社会公开招聘服务外包岗位15个，负责为纳税人缴费人提供以电话、传真、留言或网上咨询的形式发起的政策咨询、办税指引、投诉举报和意见建议等热线呼入呼出、在线网络咨询等服务，以及工单转办、热点难点问题及案例的整理等事项。</w:t>
      </w:r>
    </w:p>
    <w:p>
      <w:pPr>
        <w:pStyle w:val="14"/>
        <w:spacing w:before="0" w:after="0" w:line="360" w:lineRule="auto"/>
        <w:ind w:firstLine="640"/>
        <w:rPr>
          <w:rFonts w:ascii="FangSong_GB2312" w:hAnsi="FangSong_GB2312" w:eastAsia="FangSong_GB2312" w:cs="FangSong_GB2312"/>
          <w:color w:val="auto"/>
          <w:sz w:val="28"/>
          <w:szCs w:val="28"/>
          <w:highlight w:val="none"/>
        </w:rPr>
      </w:pPr>
      <w:r>
        <w:rPr>
          <w:rFonts w:ascii="FangSong_GB2312" w:hAnsi="FangSong_GB2312" w:eastAsia="FangSong_GB2312" w:cs="FangSong_GB2312"/>
          <w:b/>
          <w:bCs/>
          <w:color w:val="auto"/>
          <w:sz w:val="28"/>
          <w:szCs w:val="28"/>
          <w:highlight w:val="none"/>
        </w:rPr>
        <w:t>1.人员应具备以下条件：</w:t>
      </w:r>
    </w:p>
    <w:p>
      <w:pPr>
        <w:pStyle w:val="14"/>
        <w:spacing w:before="0" w:after="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（1）本科学历及以上，其中财会、税收类人员不少于于50%，年龄原则上不超过35岁,有税务话务热线工作经历人员可适当放宽;</w:t>
      </w:r>
    </w:p>
    <w:p>
      <w:pPr>
        <w:pStyle w:val="14"/>
        <w:spacing w:before="0" w:after="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（2）普通话达二级乙等以上；</w:t>
      </w:r>
    </w:p>
    <w:p>
      <w:pPr>
        <w:pStyle w:val="14"/>
        <w:spacing w:before="0" w:after="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（3）汉字录入速度不低于80字/分钟；</w:t>
      </w:r>
    </w:p>
    <w:p>
      <w:pPr>
        <w:pStyle w:val="14"/>
        <w:spacing w:before="0" w:after="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（4）具备较强的服务意识和语言表达能力、良好的沟通能力、记忆能力、心理承受能力和学习能力；</w:t>
      </w:r>
    </w:p>
    <w:p>
      <w:pPr>
        <w:pStyle w:val="14"/>
        <w:spacing w:before="0" w:after="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（5）身体健康；</w:t>
      </w:r>
    </w:p>
    <w:p>
      <w:pPr>
        <w:pStyle w:val="14"/>
        <w:spacing w:before="0" w:after="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坐席人员上岗前由采购人组织培训，经采购人测试合格后方能上岗。服务商应安排人员对坐席进行日常管理、录音监听、提供针对性辅导，提高坐席应答能力及服务品质；负责每月将坐席整体工作情况书面反馈至采购人管理层。</w:t>
      </w:r>
    </w:p>
    <w:p>
      <w:pPr>
        <w:pStyle w:val="14"/>
        <w:spacing w:before="0" w:after="0" w:line="360" w:lineRule="auto"/>
        <w:ind w:firstLine="640"/>
        <w:rPr>
          <w:rFonts w:ascii="Times New Roman" w:hAnsi="Times New Roman" w:eastAsia="Times New Roman" w:cs="Times New Roman"/>
          <w:color w:val="auto"/>
          <w:highlight w:val="none"/>
        </w:rPr>
      </w:pPr>
      <w:r>
        <w:rPr>
          <w:rFonts w:ascii="FangSong_GB2312" w:hAnsi="FangSong_GB2312" w:eastAsia="FangSong_GB2312" w:cs="FangSong_GB2312"/>
          <w:b/>
          <w:bCs/>
          <w:color w:val="auto"/>
          <w:sz w:val="28"/>
          <w:szCs w:val="28"/>
          <w:highlight w:val="none"/>
        </w:rPr>
        <w:t>2.人才储备</w:t>
      </w:r>
    </w:p>
    <w:p>
      <w:pPr>
        <w:pStyle w:val="14"/>
        <w:spacing w:before="0" w:after="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服务商制定人才储备计划，建立人才需求库。服务商需按本项目要求，针对本项目坐席人员需求的波动及12366热线正常的人员流失率等情况，制订人员管理规范，保障有充分的人员补充渠道，确保人员出勤率，满足项目用人需求。</w:t>
      </w:r>
    </w:p>
    <w:p>
      <w:pPr>
        <w:pStyle w:val="14"/>
        <w:spacing w:before="0" w:after="0" w:line="360" w:lineRule="auto"/>
        <w:ind w:firstLine="640"/>
        <w:rPr>
          <w:rFonts w:ascii="Times New Roman" w:hAnsi="Times New Roman" w:eastAsia="Times New Roman" w:cs="Times New Roman"/>
          <w:color w:val="auto"/>
          <w:highlight w:val="none"/>
        </w:rPr>
      </w:pPr>
      <w:r>
        <w:rPr>
          <w:rFonts w:ascii="FangSong_GB2312" w:hAnsi="FangSong_GB2312" w:eastAsia="FangSong_GB2312" w:cs="FangSong_GB2312"/>
          <w:b/>
          <w:bCs/>
          <w:color w:val="auto"/>
          <w:sz w:val="28"/>
          <w:szCs w:val="28"/>
          <w:highlight w:val="none"/>
        </w:rPr>
        <w:t>3.人员到位</w:t>
      </w:r>
    </w:p>
    <w:p>
      <w:pPr>
        <w:pStyle w:val="14"/>
        <w:spacing w:before="0" w:after="0" w:line="360" w:lineRule="auto"/>
        <w:ind w:firstLine="6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（1）服务外包招录人员经采购人确认符合条件后，要在签订合同后15天内完成；</w:t>
      </w:r>
    </w:p>
    <w:p>
      <w:pPr>
        <w:pStyle w:val="14"/>
        <w:spacing w:before="0" w:after="0" w:line="360" w:lineRule="auto"/>
        <w:ind w:firstLine="6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（2）服务外包人员要组织20天及以上的岗前业务培训；</w:t>
      </w:r>
    </w:p>
    <w:p>
      <w:pPr>
        <w:pStyle w:val="14"/>
        <w:spacing w:before="0" w:after="0" w:line="360" w:lineRule="auto"/>
        <w:ind w:firstLine="640"/>
        <w:rPr>
          <w:rFonts w:ascii="Times New Roman" w:hAnsi="Times New Roman" w:eastAsia="Times New Roman" w:cs="Times New Roman"/>
          <w:color w:val="auto"/>
          <w:highlight w:val="none"/>
        </w:rPr>
      </w:pPr>
      <w:r>
        <w:rPr>
          <w:rFonts w:hint="eastAsia" w:ascii="宋体" w:hAnsi="宋体" w:eastAsia="宋体" w:cs="宋体"/>
          <w:color w:val="auto"/>
          <w:sz w:val="28"/>
          <w:szCs w:val="28"/>
          <w:highlight w:val="none"/>
        </w:rPr>
        <w:t>（3）服务外包人员变动或连续超过一个月的假期需要补充人员的，要在接到采购人通知的7日内完成。</w:t>
      </w:r>
    </w:p>
    <w:p>
      <w:pPr>
        <w:pStyle w:val="14"/>
        <w:spacing w:before="0" w:after="0" w:line="360" w:lineRule="auto"/>
        <w:ind w:firstLine="640"/>
        <w:rPr>
          <w:rFonts w:ascii="Times New Roman" w:hAnsi="Times New Roman" w:eastAsia="Times New Roman" w:cs="Times New Roman"/>
          <w:color w:val="auto"/>
          <w:highlight w:val="none"/>
        </w:rPr>
      </w:pPr>
      <w:r>
        <w:rPr>
          <w:rFonts w:ascii="FangSong_GB2312" w:hAnsi="FangSong_GB2312" w:eastAsia="FangSong_GB2312" w:cs="FangSong_GB2312"/>
          <w:b/>
          <w:bCs/>
          <w:color w:val="auto"/>
          <w:sz w:val="28"/>
          <w:szCs w:val="28"/>
          <w:highlight w:val="none"/>
        </w:rPr>
        <w:t>4.人员管理</w:t>
      </w:r>
    </w:p>
    <w:p>
      <w:pPr>
        <w:pStyle w:val="14"/>
        <w:spacing w:before="0" w:after="0" w:line="360" w:lineRule="auto"/>
        <w:ind w:firstLine="6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（1）服务商应按规定支付服务外包人员工资薪金、绩效资金、五险一金、过节费、福利费、加班补助。服务外包人员工资水平应符合相关法律法规规定，参照同行业水平计算标准，用于坐席人员的劳务报酬总额</w:t>
      </w:r>
      <w:r>
        <w:rPr>
          <w:rFonts w:hint="eastAsia" w:ascii="宋体" w:hAnsi="宋体" w:eastAsia="宋体" w:cs="宋体"/>
          <w:color w:val="auto"/>
          <w:sz w:val="28"/>
          <w:szCs w:val="28"/>
          <w:highlight w:val="none"/>
          <w:lang w:eastAsia="zh-CN"/>
        </w:rPr>
        <w:t>至</w:t>
      </w:r>
      <w:r>
        <w:rPr>
          <w:rFonts w:hint="eastAsia" w:ascii="宋体" w:hAnsi="宋体" w:eastAsia="宋体" w:cs="宋体"/>
          <w:color w:val="auto"/>
          <w:sz w:val="28"/>
          <w:szCs w:val="28"/>
          <w:highlight w:val="none"/>
        </w:rPr>
        <w:t>少占合同总价85%以上，用于教育培训费用总额占合同总价2%以上。</w:t>
      </w:r>
    </w:p>
    <w:p>
      <w:pPr>
        <w:pStyle w:val="14"/>
        <w:spacing w:before="0" w:after="0" w:line="360" w:lineRule="auto"/>
        <w:ind w:firstLine="6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（2）采购人对以下几种情形，有提出撤换人员的权利。服务商应按采购人要求进行撤换，并在采购人指定时间内完成。</w:t>
      </w:r>
    </w:p>
    <w:p>
      <w:pPr>
        <w:spacing w:before="0" w:after="0"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一是对于连续三个月考核成绩位于服务外包人员考核成绩中倒数第一名的；</w:t>
      </w:r>
    </w:p>
    <w:p>
      <w:pPr>
        <w:spacing w:before="0" w:after="0"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二是违反宁德市税务局机关管理和12366管理规定，拒不接受教育、改正的；</w:t>
      </w:r>
    </w:p>
    <w:p>
      <w:pPr>
        <w:spacing w:before="0" w:after="0"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三是被上级主管部门、地方政府通报批评的或严重影响税务形象的；</w:t>
      </w:r>
    </w:p>
    <w:p>
      <w:pPr>
        <w:spacing w:before="0" w:after="0"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四是在一个工作年度内，被投诉三次以上的（含三次）；</w:t>
      </w:r>
    </w:p>
    <w:p>
      <w:pPr>
        <w:spacing w:before="0" w:after="0"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五是经过岗前测试不合格、补考后仍旧不符合岗位要求的；</w:t>
      </w:r>
    </w:p>
    <w:p>
      <w:pPr>
        <w:spacing w:before="0" w:after="0"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六是因个人身体原因，不适合服务外包岗位的；</w:t>
      </w:r>
    </w:p>
    <w:p>
      <w:pPr>
        <w:spacing w:before="0" w:after="0" w:line="360" w:lineRule="auto"/>
        <w:rPr>
          <w:rFonts w:ascii="Times New Roman" w:hAnsi="Times New Roman" w:eastAsia="Times New Roman" w:cs="Times New Roman"/>
          <w:color w:val="auto"/>
          <w:highlight w:val="none"/>
        </w:rPr>
      </w:pPr>
      <w:r>
        <w:rPr>
          <w:rFonts w:hint="eastAsia" w:ascii="宋体" w:hAnsi="宋体" w:eastAsia="宋体" w:cs="宋体"/>
          <w:color w:val="auto"/>
          <w:sz w:val="28"/>
          <w:szCs w:val="28"/>
          <w:highlight w:val="none"/>
        </w:rPr>
        <w:t>  七是其它影响工作的情形。</w:t>
      </w:r>
    </w:p>
    <w:p>
      <w:pPr>
        <w:pStyle w:val="4"/>
        <w:keepNext w:val="0"/>
        <w:spacing w:before="0" w:after="0" w:line="360" w:lineRule="auto"/>
        <w:rPr>
          <w:rFonts w:ascii="仿宋_GB2312" w:hAnsi="仿宋_GB2312" w:eastAsia="仿宋_GB2312" w:cs="仿宋_GB2312"/>
          <w:b/>
          <w:bCs/>
          <w:color w:val="auto"/>
          <w:sz w:val="28"/>
          <w:szCs w:val="28"/>
          <w:highlight w:val="none"/>
        </w:rPr>
      </w:pPr>
      <w:bookmarkStart w:id="22" w:name="_Toc256000022"/>
      <w:r>
        <w:rPr>
          <w:rFonts w:ascii="仿宋_GB2312" w:hAnsi="仿宋_GB2312" w:eastAsia="仿宋_GB2312" w:cs="仿宋_GB2312"/>
          <w:i w:val="0"/>
          <w:iCs w:val="0"/>
          <w:color w:val="auto"/>
          <w:highlight w:val="none"/>
        </w:rPr>
        <w:t>4.2管理团队</w:t>
      </w:r>
      <w:bookmarkEnd w:id="22"/>
    </w:p>
    <w:p>
      <w:pPr>
        <w:pStyle w:val="5"/>
        <w:keepNext w:val="0"/>
        <w:spacing w:before="0" w:after="0" w:line="360" w:lineRule="auto"/>
        <w:rPr>
          <w:rFonts w:ascii="仿宋_GB2312" w:hAnsi="仿宋_GB2312" w:eastAsia="仿宋_GB2312" w:cs="仿宋_GB2312"/>
          <w:b/>
          <w:bCs/>
          <w:color w:val="auto"/>
          <w:sz w:val="28"/>
          <w:szCs w:val="28"/>
          <w:highlight w:val="none"/>
        </w:rPr>
      </w:pPr>
      <w:bookmarkStart w:id="23" w:name="_Toc256000023"/>
      <w:r>
        <w:rPr>
          <w:rFonts w:ascii="仿宋_GB2312" w:hAnsi="仿宋_GB2312" w:eastAsia="仿宋_GB2312" w:cs="仿宋_GB2312"/>
          <w:color w:val="auto"/>
          <w:sz w:val="28"/>
          <w:szCs w:val="28"/>
          <w:highlight w:val="none"/>
        </w:rPr>
        <w:t>4.2.1项目经理</w:t>
      </w:r>
      <w:bookmarkEnd w:id="23"/>
    </w:p>
    <w:p>
      <w:pPr>
        <w:spacing w:before="0" w:after="0" w:line="360" w:lineRule="auto"/>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服务商需配置1名负责本项目现场管理，管理人员除具备坐席人员基本条件外，还须有从事呼叫中心服务项目二年以上（含）的管理工作经验。</w:t>
      </w:r>
    </w:p>
    <w:p>
      <w:pPr>
        <w:pStyle w:val="4"/>
        <w:keepNext w:val="0"/>
        <w:spacing w:before="0" w:after="0" w:line="360" w:lineRule="auto"/>
        <w:rPr>
          <w:rFonts w:ascii="仿宋_GB2312" w:hAnsi="仿宋_GB2312" w:eastAsia="仿宋_GB2312" w:cs="仿宋_GB2312"/>
          <w:b/>
          <w:bCs/>
          <w:color w:val="auto"/>
          <w:sz w:val="28"/>
          <w:szCs w:val="28"/>
          <w:highlight w:val="none"/>
        </w:rPr>
      </w:pPr>
      <w:bookmarkStart w:id="24" w:name="_Toc256000024"/>
      <w:r>
        <w:rPr>
          <w:rFonts w:ascii="仿宋_GB2312" w:hAnsi="仿宋_GB2312" w:eastAsia="仿宋_GB2312" w:cs="仿宋_GB2312"/>
          <w:i w:val="0"/>
          <w:iCs w:val="0"/>
          <w:color w:val="auto"/>
          <w:highlight w:val="none"/>
        </w:rPr>
        <w:t>4.3技术团队</w:t>
      </w:r>
      <w:bookmarkEnd w:id="24"/>
    </w:p>
    <w:p>
      <w:pPr>
        <w:spacing w:before="0" w:after="0" w:line="360" w:lineRule="auto"/>
        <w:ind w:firstLine="560" w:firstLineChars="200"/>
        <w:rPr>
          <w:rFonts w:ascii="FangSong_GB2312" w:hAnsi="FangSong_GB2312" w:eastAsia="FangSong_GB2312" w:cs="FangSong_GB2312"/>
          <w:color w:val="auto"/>
          <w:sz w:val="28"/>
          <w:szCs w:val="28"/>
          <w:highlight w:val="none"/>
        </w:rPr>
      </w:pPr>
      <w:r>
        <w:rPr>
          <w:rFonts w:ascii="FangSong_GB2312" w:hAnsi="FangSong_GB2312" w:eastAsia="FangSong_GB2312" w:cs="FangSong_GB2312"/>
          <w:color w:val="auto"/>
          <w:sz w:val="28"/>
          <w:szCs w:val="28"/>
          <w:highlight w:val="none"/>
        </w:rPr>
        <w:t>无</w:t>
      </w:r>
    </w:p>
    <w:p>
      <w:pPr>
        <w:pStyle w:val="4"/>
        <w:keepNext w:val="0"/>
        <w:spacing w:before="0" w:after="0" w:line="360" w:lineRule="auto"/>
        <w:rPr>
          <w:rFonts w:ascii="仿宋_GB2312" w:hAnsi="仿宋_GB2312" w:eastAsia="仿宋_GB2312" w:cs="仿宋_GB2312"/>
          <w:b/>
          <w:bCs/>
          <w:color w:val="auto"/>
          <w:sz w:val="28"/>
          <w:szCs w:val="28"/>
          <w:highlight w:val="none"/>
        </w:rPr>
      </w:pPr>
      <w:bookmarkStart w:id="25" w:name="_Toc256000025"/>
      <w:r>
        <w:rPr>
          <w:rFonts w:ascii="仿宋_GB2312" w:hAnsi="仿宋_GB2312" w:eastAsia="仿宋_GB2312" w:cs="仿宋_GB2312"/>
          <w:i w:val="0"/>
          <w:iCs w:val="0"/>
          <w:color w:val="auto"/>
          <w:highlight w:val="none"/>
        </w:rPr>
        <w:t>4.4优选资质/优选指标</w:t>
      </w:r>
      <w:bookmarkEnd w:id="25"/>
    </w:p>
    <w:p>
      <w:pPr>
        <w:pStyle w:val="3"/>
        <w:keepNext w:val="0"/>
        <w:spacing w:before="0" w:after="0" w:line="360" w:lineRule="auto"/>
        <w:jc w:val="center"/>
        <w:rPr>
          <w:rFonts w:ascii="仿宋_GB2312" w:hAnsi="仿宋_GB2312" w:eastAsia="仿宋_GB2312" w:cs="仿宋_GB2312"/>
          <w:b/>
          <w:bCs/>
          <w:color w:val="auto"/>
          <w:sz w:val="32"/>
          <w:szCs w:val="32"/>
          <w:highlight w:val="none"/>
        </w:rPr>
      </w:pPr>
      <w:bookmarkStart w:id="26" w:name="_Toc256000026"/>
      <w:r>
        <w:rPr>
          <w:rFonts w:ascii="仿宋_GB2312" w:hAnsi="仿宋_GB2312" w:eastAsia="仿宋_GB2312" w:cs="仿宋_GB2312"/>
          <w:color w:val="auto"/>
          <w:kern w:val="36"/>
          <w:highlight w:val="none"/>
        </w:rPr>
        <w:t>5管理实施要求</w:t>
      </w:r>
      <w:bookmarkEnd w:id="26"/>
    </w:p>
    <w:p>
      <w:pPr>
        <w:spacing w:before="0" w:after="0" w:line="360" w:lineRule="auto"/>
        <w:ind w:firstLine="562" w:firstLineChars="200"/>
        <w:rPr>
          <w:rFonts w:ascii="FangSong_GB2312" w:hAnsi="FangSong_GB2312" w:eastAsia="FangSong_GB2312" w:cs="FangSong_GB2312"/>
          <w:color w:val="auto"/>
          <w:sz w:val="28"/>
          <w:szCs w:val="28"/>
          <w:highlight w:val="none"/>
        </w:rPr>
      </w:pPr>
      <w:r>
        <w:rPr>
          <w:rFonts w:hint="eastAsia" w:ascii="仿宋_GB2312" w:hAnsi="仿宋_GB2312" w:eastAsia="仿宋_GB2312" w:cs="仿宋_GB2312"/>
          <w:b/>
          <w:bCs/>
          <w:i w:val="0"/>
          <w:iCs w:val="0"/>
          <w:color w:val="auto"/>
          <w:sz w:val="28"/>
          <w:szCs w:val="28"/>
          <w:highlight w:val="none"/>
          <w:lang w:val="en-US" w:eastAsia="zh-CN" w:bidi="ar-SA"/>
        </w:rPr>
        <w:t>1.</w:t>
      </w:r>
      <w:r>
        <w:rPr>
          <w:rFonts w:ascii="仿宋_GB2312" w:hAnsi="仿宋_GB2312" w:eastAsia="仿宋_GB2312" w:cs="仿宋_GB2312"/>
          <w:b/>
          <w:bCs/>
          <w:i w:val="0"/>
          <w:iCs w:val="0"/>
          <w:color w:val="auto"/>
          <w:sz w:val="28"/>
          <w:szCs w:val="28"/>
          <w:highlight w:val="none"/>
          <w:lang w:val="en-US" w:eastAsia="en-US" w:bidi="ar-SA"/>
        </w:rPr>
        <w:t>服</w:t>
      </w:r>
      <w:r>
        <w:rPr>
          <w:rFonts w:ascii="FangSong_GB2312" w:hAnsi="FangSong_GB2312" w:eastAsia="FangSong_GB2312" w:cs="FangSong_GB2312"/>
          <w:b/>
          <w:bCs/>
          <w:color w:val="auto"/>
          <w:sz w:val="28"/>
          <w:szCs w:val="28"/>
          <w:highlight w:val="none"/>
        </w:rPr>
        <w:t>务商与采购人的沟通协调机制</w:t>
      </w:r>
    </w:p>
    <w:p>
      <w:pPr>
        <w:pStyle w:val="14"/>
        <w:spacing w:before="0" w:after="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为保障本项目有效运作，服务商与采购人应建立有效的沟通机制，服务商每月须根据双方确定的要求，提供周报、月度运营分析报告、薪酬支付情况、月度热点问题专题分析等运营分析材料给采购人，并根据运营的情况，及时发现存在的问题，提出完善和解决方案。采购人对服务商的坐席忙闲情况、话务情况进行实时监控，对外包坐席实施实时监听及录音质检，调取服务商的各类话务统计报表等，服务商应当予以配合，并按时将资料准备好，随时接受采购人的查阅，避免事后准备的情况出现。</w:t>
      </w:r>
    </w:p>
    <w:p>
      <w:pPr>
        <w:pStyle w:val="14"/>
        <w:spacing w:before="0" w:after="0" w:line="360" w:lineRule="auto"/>
        <w:ind w:firstLine="562" w:firstLineChars="200"/>
        <w:rPr>
          <w:rFonts w:ascii="Times New Roman" w:hAnsi="Times New Roman" w:eastAsia="Times New Roman" w:cs="Times New Roman"/>
          <w:color w:val="auto"/>
          <w:highlight w:val="none"/>
        </w:rPr>
      </w:pPr>
      <w:r>
        <w:rPr>
          <w:rFonts w:hint="eastAsia" w:ascii="FangSong_GB2312" w:hAnsi="FangSong_GB2312" w:eastAsia="FangSong_GB2312" w:cs="FangSong_GB2312"/>
          <w:b/>
          <w:bCs/>
          <w:color w:val="auto"/>
          <w:sz w:val="28"/>
          <w:szCs w:val="28"/>
          <w:highlight w:val="none"/>
          <w:lang w:val="en-US" w:eastAsia="zh-CN"/>
        </w:rPr>
        <w:t>2.</w:t>
      </w:r>
      <w:r>
        <w:rPr>
          <w:rFonts w:ascii="FangSong_GB2312" w:hAnsi="FangSong_GB2312" w:eastAsia="FangSong_GB2312" w:cs="FangSong_GB2312"/>
          <w:b/>
          <w:bCs/>
          <w:color w:val="auto"/>
          <w:sz w:val="28"/>
          <w:szCs w:val="28"/>
          <w:highlight w:val="none"/>
        </w:rPr>
        <w:t>工作流程</w:t>
      </w:r>
    </w:p>
    <w:p>
      <w:pPr>
        <w:pStyle w:val="14"/>
        <w:spacing w:before="0" w:after="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服务商在采购人的指导和要求下，以12366中心行业标准为基础，按照宁德市税务局12366业务规范及流程操作。</w:t>
      </w:r>
    </w:p>
    <w:p>
      <w:pPr>
        <w:pStyle w:val="14"/>
        <w:spacing w:before="0" w:after="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纳税人以拨打电话、传真、留言或网上咨询的形式，呼叫12366中心。接到纳税人的呼叫后，坐席人员根据呼叫内容(涉税查询、咨询、投诉、举报、建议以及其他),予以相应的处理。对查询、咨询类的呼叫，坐席人员根据知识库、征管系统等支持系统信息给予解答，无法立即解决的复杂政策问题人工坐席可以先记录，通过派工单转给相应的后台管理人员，由后台人员在规定的时间转派相关部门处理，工单处理完毕后，反馈给12366中心以人工呼叫的方式给纳税人回复或直接反馈给纳税人。对于投诉举报的呼叫，坐席人员应记录后转交给相应的部门处理，涉税违法举报转交给税务征管部门、稽查部门或者督察内审部门处理，投诉建议转交给纳税服务部门处理，税务机关及工作人员违纪举报由监察部门处理；相关部门处理完毕后，通过12366</w:t>
      </w:r>
      <w:r>
        <w:rPr>
          <w:rFonts w:hint="eastAsia" w:ascii="宋体" w:hAnsi="宋体" w:eastAsia="宋体" w:cs="宋体"/>
          <w:color w:val="auto"/>
          <w:sz w:val="28"/>
          <w:szCs w:val="28"/>
          <w:highlight w:val="none"/>
          <w:lang w:eastAsia="zh-CN"/>
        </w:rPr>
        <w:t>热线</w:t>
      </w:r>
      <w:r>
        <w:rPr>
          <w:rFonts w:hint="eastAsia" w:ascii="宋体" w:hAnsi="宋体" w:eastAsia="宋体" w:cs="宋体"/>
          <w:color w:val="auto"/>
          <w:sz w:val="28"/>
          <w:szCs w:val="28"/>
          <w:highlight w:val="none"/>
        </w:rPr>
        <w:t>将结果反馈给呼叫人或直接反馈给呼叫人。</w:t>
      </w:r>
    </w:p>
    <w:p>
      <w:pPr>
        <w:pStyle w:val="14"/>
        <w:spacing w:before="0" w:after="0" w:line="360" w:lineRule="auto"/>
        <w:ind w:firstLine="562" w:firstLineChars="200"/>
        <w:rPr>
          <w:rFonts w:ascii="Times New Roman" w:hAnsi="Times New Roman" w:eastAsia="Times New Roman" w:cs="Times New Roman"/>
          <w:color w:val="auto"/>
          <w:highlight w:val="none"/>
        </w:rPr>
      </w:pPr>
      <w:r>
        <w:rPr>
          <w:rFonts w:hint="eastAsia" w:ascii="FangSong_GB2312" w:hAnsi="FangSong_GB2312" w:eastAsia="FangSong_GB2312" w:cs="FangSong_GB2312"/>
          <w:b/>
          <w:bCs/>
          <w:color w:val="auto"/>
          <w:sz w:val="28"/>
          <w:szCs w:val="28"/>
          <w:highlight w:val="none"/>
          <w:lang w:val="en-US" w:eastAsia="zh-CN"/>
        </w:rPr>
        <w:t>3.</w:t>
      </w:r>
      <w:r>
        <w:rPr>
          <w:rFonts w:ascii="FangSong_GB2312" w:hAnsi="FangSong_GB2312" w:eastAsia="FangSong_GB2312" w:cs="FangSong_GB2312"/>
          <w:b/>
          <w:bCs/>
          <w:color w:val="auto"/>
          <w:sz w:val="28"/>
          <w:szCs w:val="28"/>
          <w:highlight w:val="none"/>
        </w:rPr>
        <w:t>工作要求</w:t>
      </w:r>
    </w:p>
    <w:p>
      <w:pPr>
        <w:pStyle w:val="14"/>
        <w:spacing w:before="0" w:after="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为了确保话务外包之后，12366热线对外提供的服务水平和服务质量能达到预期的目标，需要对服务商提供的服务行为进行规范，主要需求点如下：</w:t>
      </w:r>
    </w:p>
    <w:p>
      <w:pPr>
        <w:pStyle w:val="14"/>
        <w:numPr>
          <w:ilvl w:val="0"/>
          <w:numId w:val="1"/>
        </w:numPr>
        <w:spacing w:before="0" w:after="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服务商需配合采购人做好专项工作保障。对于领导接访日、纳税人开放日等重要专项工作，</w:t>
      </w: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应根据采购人要求提供人员支持与保障。</w:t>
      </w:r>
    </w:p>
    <w:p>
      <w:pPr>
        <w:pStyle w:val="14"/>
        <w:numPr>
          <w:ilvl w:val="0"/>
          <w:numId w:val="1"/>
        </w:numPr>
        <w:spacing w:before="0" w:after="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人工坐席和网络咨询在工作日上午8点至下午17点30分提供人工接听和网络咨询服务。</w:t>
      </w:r>
    </w:p>
    <w:p>
      <w:pPr>
        <w:pStyle w:val="14"/>
        <w:spacing w:before="0" w:after="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如因为税务总局、福建省税务局、宁德市税务局特别业务需求，需要临时在正常工作时间之外提供人工接听和网络在线服务的，由服务商通过排班调整等方式，安排人员提供人工接听和网络在线服务，不另外收费。</w:t>
      </w:r>
    </w:p>
    <w:p>
      <w:pPr>
        <w:pStyle w:val="14"/>
        <w:spacing w:before="0" w:after="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若确因特殊需求，需要服务商提供额外人工接听和网络在线服务而增加费用的，由采购人和服务商双方磋商确定。</w:t>
      </w:r>
    </w:p>
    <w:p>
      <w:pPr>
        <w:pStyle w:val="14"/>
        <w:numPr>
          <w:ilvl w:val="0"/>
          <w:numId w:val="1"/>
        </w:numPr>
        <w:spacing w:before="0" w:after="0" w:line="360" w:lineRule="auto"/>
        <w:ind w:left="0" w:leftChars="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服务商需配备具备两年及以上税收知识及实操经验的自有培训师资，师资人员占总坐席人数的20%及以上，一月至少2次专项培训(其中包括服务规范培训),每月制定培训方案和情况记录。</w:t>
      </w:r>
    </w:p>
    <w:p>
      <w:pPr>
        <w:pStyle w:val="14"/>
        <w:numPr>
          <w:ilvl w:val="0"/>
          <w:numId w:val="1"/>
        </w:numPr>
        <w:spacing w:before="0" w:after="0" w:line="360" w:lineRule="auto"/>
        <w:ind w:left="0" w:leftChars="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服务商需制定坐席人员的话务质检方案，且每月抽取监听有效样本总量不低于人工服务总量的3%(含)。</w:t>
      </w:r>
    </w:p>
    <w:p>
      <w:pPr>
        <w:pStyle w:val="14"/>
        <w:numPr>
          <w:ilvl w:val="0"/>
          <w:numId w:val="1"/>
        </w:numPr>
        <w:spacing w:before="0" w:after="0" w:line="360" w:lineRule="auto"/>
        <w:ind w:left="0" w:leftChars="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服务商应严格要求服务外包人员遵守宁德市税务局机关和12366</w:t>
      </w:r>
      <w:r>
        <w:rPr>
          <w:rFonts w:hint="eastAsia" w:ascii="宋体" w:hAnsi="宋体" w:eastAsia="宋体" w:cs="宋体"/>
          <w:color w:val="auto"/>
          <w:sz w:val="28"/>
          <w:szCs w:val="28"/>
          <w:highlight w:val="none"/>
          <w:lang w:eastAsia="zh-CN"/>
        </w:rPr>
        <w:t>热线</w:t>
      </w:r>
      <w:r>
        <w:rPr>
          <w:rFonts w:hint="eastAsia" w:ascii="宋体" w:hAnsi="宋体" w:eastAsia="宋体" w:cs="宋体"/>
          <w:color w:val="auto"/>
          <w:sz w:val="28"/>
          <w:szCs w:val="28"/>
          <w:highlight w:val="none"/>
        </w:rPr>
        <w:t>各项管理规定，包括保密制度、门禁制度、信息安全管理规定、环境卫生制度及12366</w:t>
      </w:r>
      <w:r>
        <w:rPr>
          <w:rFonts w:hint="eastAsia" w:ascii="宋体" w:hAnsi="宋体" w:eastAsia="宋体" w:cs="宋体"/>
          <w:color w:val="auto"/>
          <w:sz w:val="28"/>
          <w:szCs w:val="28"/>
          <w:highlight w:val="none"/>
          <w:lang w:eastAsia="zh-CN"/>
        </w:rPr>
        <w:t>热线</w:t>
      </w:r>
      <w:r>
        <w:rPr>
          <w:rFonts w:hint="eastAsia" w:ascii="宋体" w:hAnsi="宋体" w:eastAsia="宋体" w:cs="宋体"/>
          <w:color w:val="auto"/>
          <w:sz w:val="28"/>
          <w:szCs w:val="28"/>
          <w:highlight w:val="none"/>
        </w:rPr>
        <w:t>运行管理制度规定。</w:t>
      </w:r>
    </w:p>
    <w:p>
      <w:pPr>
        <w:pStyle w:val="14"/>
        <w:numPr>
          <w:numId w:val="0"/>
        </w:numPr>
        <w:spacing w:before="0" w:after="0" w:line="360" w:lineRule="auto"/>
        <w:ind w:firstLine="562" w:firstLineChars="200"/>
        <w:rPr>
          <w:rFonts w:ascii="FangSong_GB2312" w:hAnsi="FangSong_GB2312" w:eastAsia="FangSong_GB2312" w:cs="FangSong_GB2312"/>
          <w:b/>
          <w:bCs/>
          <w:color w:val="auto"/>
          <w:sz w:val="28"/>
          <w:szCs w:val="28"/>
          <w:highlight w:val="none"/>
        </w:rPr>
      </w:pPr>
      <w:r>
        <w:rPr>
          <w:rFonts w:hint="eastAsia" w:ascii="FangSong_GB2312" w:hAnsi="FangSong_GB2312" w:eastAsia="FangSong_GB2312" w:cs="FangSong_GB2312"/>
          <w:b/>
          <w:bCs/>
          <w:color w:val="auto"/>
          <w:sz w:val="28"/>
          <w:szCs w:val="28"/>
          <w:highlight w:val="none"/>
          <w:lang w:val="en-US" w:eastAsia="zh-CN"/>
        </w:rPr>
        <w:t>4.</w:t>
      </w:r>
      <w:r>
        <w:rPr>
          <w:rFonts w:ascii="FangSong_GB2312" w:hAnsi="FangSong_GB2312" w:eastAsia="FangSong_GB2312" w:cs="FangSong_GB2312"/>
          <w:b/>
          <w:bCs/>
          <w:color w:val="auto"/>
          <w:sz w:val="28"/>
          <w:szCs w:val="28"/>
          <w:highlight w:val="none"/>
        </w:rPr>
        <w:t>运营质量要求</w:t>
      </w:r>
    </w:p>
    <w:p>
      <w:pPr>
        <w:pStyle w:val="14"/>
        <w:numPr>
          <w:ilvl w:val="0"/>
          <w:numId w:val="0"/>
        </w:numPr>
        <w:spacing w:before="0" w:after="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（1）人工接通率：达到98%以上；</w:t>
      </w:r>
    </w:p>
    <w:p>
      <w:pPr>
        <w:pStyle w:val="14"/>
        <w:spacing w:before="0" w:after="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（2）业务处理时间：平均6分钟以内；</w:t>
      </w:r>
    </w:p>
    <w:p>
      <w:pPr>
        <w:pStyle w:val="14"/>
        <w:spacing w:before="0" w:after="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（3）服务满意率：转满意度评价达100%,满意率达到98%以上；</w:t>
      </w:r>
    </w:p>
    <w:p>
      <w:pPr>
        <w:pStyle w:val="14"/>
        <w:spacing w:before="0" w:after="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（4）答复准确率：平均90%以上(含)；</w:t>
      </w:r>
    </w:p>
    <w:p>
      <w:pPr>
        <w:pStyle w:val="14"/>
        <w:spacing w:before="0" w:after="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（5）员工出勤率：平均90%以上(含)；</w:t>
      </w:r>
    </w:p>
    <w:p>
      <w:pPr>
        <w:pStyle w:val="14"/>
        <w:spacing w:before="0" w:after="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（6）服务投诉：对服务外包人员的服务投诉，月均不得超过2次；</w:t>
      </w:r>
    </w:p>
    <w:p>
      <w:pPr>
        <w:pStyle w:val="14"/>
        <w:spacing w:before="0" w:after="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（7）员工培训情况：每月至少组织2次专项培训，每月制定培训方案和情况记录；</w:t>
      </w:r>
    </w:p>
    <w:p>
      <w:pPr>
        <w:pStyle w:val="14"/>
        <w:spacing w:before="0" w:after="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上述七项指标为按月运营质量要求。</w:t>
      </w:r>
    </w:p>
    <w:p>
      <w:pPr>
        <w:pStyle w:val="14"/>
        <w:spacing w:before="0" w:after="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（8）员工的稳定性：服务期累计员工流失率小于20%(含)；</w:t>
      </w:r>
    </w:p>
    <w:p>
      <w:pPr>
        <w:pStyle w:val="14"/>
        <w:spacing w:before="0" w:after="0" w:line="360" w:lineRule="auto"/>
        <w:ind w:firstLine="560" w:firstLineChars="200"/>
        <w:rPr>
          <w:rFonts w:ascii="Times New Roman" w:hAnsi="Times New Roman" w:eastAsia="Times New Roman" w:cs="Times New Roman"/>
          <w:color w:val="auto"/>
          <w:highlight w:val="none"/>
        </w:rPr>
      </w:pPr>
      <w:r>
        <w:rPr>
          <w:rFonts w:hint="eastAsia" w:ascii="宋体" w:hAnsi="宋体" w:eastAsia="宋体" w:cs="宋体"/>
          <w:color w:val="auto"/>
          <w:sz w:val="28"/>
          <w:szCs w:val="28"/>
          <w:highlight w:val="none"/>
        </w:rPr>
        <w:t>（9）原则上，人工坐席和网络咨询的正常工作时间为工作日上午8点至下午17点30分；若因税务总局、福建省税务局、宁德市税务局临时性特殊工作需求，要在正常工作时间以外提供12366人工坐席和网络咨询的，服务商应积极配合，合理调整坐席排班并予以满足。</w:t>
      </w:r>
    </w:p>
    <w:p>
      <w:pPr>
        <w:pStyle w:val="3"/>
        <w:keepNext w:val="0"/>
        <w:spacing w:before="0" w:after="0" w:line="360" w:lineRule="auto"/>
        <w:jc w:val="center"/>
        <w:rPr>
          <w:rFonts w:ascii="仿宋_GB2312" w:hAnsi="仿宋_GB2312" w:eastAsia="仿宋_GB2312" w:cs="仿宋_GB2312"/>
          <w:b/>
          <w:bCs/>
          <w:color w:val="auto"/>
          <w:sz w:val="32"/>
          <w:szCs w:val="32"/>
          <w:highlight w:val="none"/>
        </w:rPr>
      </w:pPr>
      <w:bookmarkStart w:id="27" w:name="_Toc256000027"/>
      <w:r>
        <w:rPr>
          <w:rFonts w:ascii="仿宋_GB2312" w:hAnsi="仿宋_GB2312" w:eastAsia="仿宋_GB2312" w:cs="仿宋_GB2312"/>
          <w:color w:val="auto"/>
          <w:kern w:val="36"/>
          <w:highlight w:val="none"/>
        </w:rPr>
        <w:t>6风险管控要求</w:t>
      </w:r>
      <w:bookmarkEnd w:id="27"/>
    </w:p>
    <w:p>
      <w:pPr>
        <w:pStyle w:val="14"/>
        <w:spacing w:before="0" w:after="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合同期限为一年(自签订合同起计算)。实际到岗的服务外包人员的1年为一个服务周期，对于实际到岗不足1年的服务外包人员，扣减相应服务外包费用(按该人员在一个服务年度内平均薪资计算)。</w:t>
      </w:r>
    </w:p>
    <w:p>
      <w:pPr>
        <w:pStyle w:val="14"/>
        <w:spacing w:before="0" w:after="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合同服务期延期：为保证合同服务期到期后交接的顺利进行及12366热线服务不中断，若新的服务商在合同期服务期满后未入驻，原服务商需继续延期服务，服务费根据实际延长期限按原服务年度费用平均计算。</w:t>
      </w:r>
    </w:p>
    <w:p>
      <w:pPr>
        <w:pStyle w:val="14"/>
        <w:spacing w:before="0" w:after="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3.安全管理</w:t>
      </w:r>
    </w:p>
    <w:p>
      <w:pPr>
        <w:pStyle w:val="14"/>
        <w:spacing w:before="0" w:after="0" w:line="360" w:lineRule="auto"/>
        <w:ind w:firstLine="4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服务商应对服务外包人员加强网络安全管理，必须按照要求签订保密协议和网络安全承诺书，进行网络安全和数据安全相关规定培训及警示教育，服务商要保证人员背景符合要求。服务商设备运维人员须向宁德市税务局信息中心报备并接受统一管理。</w:t>
      </w:r>
    </w:p>
    <w:p>
      <w:pPr>
        <w:spacing w:before="0" w:after="0" w:line="360" w:lineRule="auto"/>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（2）服务商未经采购人同意，不得访问、修改、披露、利用、转让、销毁税务数据，并严格按照个人信息保护和数据安全相关法律和制度要求，履行责任义务，切实加强个人信息保护。</w:t>
      </w:r>
    </w:p>
    <w:p>
      <w:pPr>
        <w:spacing w:before="0" w:after="0" w:line="360" w:lineRule="auto"/>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严格区分内外网。为保证安全，在服务期间，服务商的所有终端必须经过采购人安全处置后方可使用，并履行报备手续，严禁私自接入相关网络及设备。在服务期及服务期结束后的1个月内不得带离办公地点。采购人有权对终端的安全设置进行检查和加固，终端离场时需要经采购人审批，由采购人对硬盘进行格式化或对使用过的硬盘进行拆卸并封存，服务商不得拒绝。</w:t>
      </w:r>
    </w:p>
    <w:p>
      <w:pPr>
        <w:pStyle w:val="14"/>
        <w:spacing w:before="0" w:after="0"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 </w:t>
      </w:r>
    </w:p>
    <w:p>
      <w:pPr>
        <w:pStyle w:val="3"/>
        <w:keepNext w:val="0"/>
        <w:spacing w:before="0" w:after="0" w:line="360" w:lineRule="auto"/>
        <w:jc w:val="center"/>
        <w:rPr>
          <w:rFonts w:ascii="仿宋_GB2312" w:hAnsi="仿宋_GB2312" w:eastAsia="仿宋_GB2312" w:cs="仿宋_GB2312"/>
          <w:b/>
          <w:bCs/>
          <w:color w:val="auto"/>
          <w:sz w:val="32"/>
          <w:szCs w:val="32"/>
          <w:highlight w:val="none"/>
        </w:rPr>
      </w:pPr>
      <w:bookmarkStart w:id="28" w:name="_Toc256000028"/>
      <w:r>
        <w:rPr>
          <w:rFonts w:ascii="仿宋_GB2312" w:hAnsi="仿宋_GB2312" w:eastAsia="仿宋_GB2312" w:cs="仿宋_GB2312"/>
          <w:color w:val="auto"/>
          <w:kern w:val="36"/>
          <w:highlight w:val="none"/>
        </w:rPr>
        <w:t>7履约验收要求</w:t>
      </w:r>
      <w:bookmarkEnd w:id="28"/>
    </w:p>
    <w:p>
      <w:pPr>
        <w:pStyle w:val="4"/>
        <w:keepNext w:val="0"/>
        <w:spacing w:before="0" w:after="0" w:line="360" w:lineRule="auto"/>
        <w:rPr>
          <w:rFonts w:ascii="仿宋_GB2312" w:hAnsi="仿宋_GB2312" w:eastAsia="仿宋_GB2312" w:cs="仿宋_GB2312"/>
          <w:b/>
          <w:bCs/>
          <w:color w:val="auto"/>
          <w:sz w:val="28"/>
          <w:szCs w:val="28"/>
          <w:highlight w:val="none"/>
        </w:rPr>
      </w:pPr>
      <w:bookmarkStart w:id="29" w:name="_Toc256000029"/>
      <w:r>
        <w:rPr>
          <w:rFonts w:ascii="仿宋_GB2312" w:hAnsi="仿宋_GB2312" w:eastAsia="仿宋_GB2312" w:cs="仿宋_GB2312"/>
          <w:i w:val="0"/>
          <w:iCs w:val="0"/>
          <w:color w:val="auto"/>
          <w:highlight w:val="none"/>
        </w:rPr>
        <w:t>7.1总体要求</w:t>
      </w:r>
      <w:bookmarkEnd w:id="29"/>
    </w:p>
    <w:tbl>
      <w:tblPr>
        <w:tblStyle w:val="11"/>
        <w:tblW w:w="5000" w:type="pct"/>
        <w:tblInd w:w="30" w:type="dxa"/>
        <w:tblLayout w:type="autofit"/>
        <w:tblCellMar>
          <w:top w:w="15" w:type="dxa"/>
          <w:left w:w="15" w:type="dxa"/>
          <w:bottom w:w="15" w:type="dxa"/>
          <w:right w:w="15" w:type="dxa"/>
        </w:tblCellMar>
      </w:tblPr>
      <w:tblGrid>
        <w:gridCol w:w="4535"/>
        <w:gridCol w:w="4535"/>
      </w:tblGrid>
      <w:tr>
        <w:tblPrEx>
          <w:tblCellMar>
            <w:top w:w="15" w:type="dxa"/>
            <w:left w:w="15" w:type="dxa"/>
            <w:bottom w:w="15" w:type="dxa"/>
            <w:right w:w="15" w:type="dxa"/>
          </w:tblCellMar>
        </w:tblPrEx>
        <w:tc>
          <w:tcPr>
            <w:tcW w:w="25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jc w:val="center"/>
              <w:rPr>
                <w:rFonts w:ascii="仿宋_GB2312" w:hAnsi="仿宋_GB2312" w:eastAsia="仿宋_GB2312" w:cs="仿宋_GB2312"/>
                <w:b/>
                <w:bCs/>
                <w:i w:val="0"/>
                <w:iCs w:val="0"/>
                <w:smallCaps w:val="0"/>
                <w:color w:val="auto"/>
                <w:sz w:val="21"/>
                <w:szCs w:val="21"/>
                <w:highlight w:val="none"/>
              </w:rPr>
            </w:pPr>
            <w:r>
              <w:rPr>
                <w:rFonts w:ascii="仿宋_GB2312" w:hAnsi="仿宋_GB2312" w:eastAsia="仿宋_GB2312" w:cs="仿宋_GB2312"/>
                <w:b/>
                <w:bCs/>
                <w:i w:val="0"/>
                <w:iCs w:val="0"/>
                <w:smallCaps w:val="0"/>
                <w:color w:val="auto"/>
                <w:sz w:val="21"/>
                <w:szCs w:val="21"/>
                <w:highlight w:val="none"/>
              </w:rPr>
              <w:t>验收名称</w:t>
            </w:r>
          </w:p>
        </w:tc>
        <w:tc>
          <w:tcPr>
            <w:tcW w:w="25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jc w:val="center"/>
              <w:rPr>
                <w:rFonts w:ascii="仿宋_GB2312" w:hAnsi="仿宋_GB2312" w:eastAsia="仿宋_GB2312" w:cs="仿宋_GB2312"/>
                <w:b/>
                <w:bCs/>
                <w:i w:val="0"/>
                <w:iCs w:val="0"/>
                <w:smallCaps w:val="0"/>
                <w:color w:val="auto"/>
                <w:sz w:val="21"/>
                <w:szCs w:val="21"/>
                <w:highlight w:val="none"/>
              </w:rPr>
            </w:pPr>
            <w:r>
              <w:rPr>
                <w:rFonts w:ascii="仿宋_GB2312" w:hAnsi="仿宋_GB2312" w:eastAsia="仿宋_GB2312" w:cs="仿宋_GB2312"/>
                <w:b/>
                <w:bCs/>
                <w:i w:val="0"/>
                <w:iCs w:val="0"/>
                <w:smallCaps w:val="0"/>
                <w:color w:val="auto"/>
                <w:sz w:val="21"/>
                <w:szCs w:val="21"/>
                <w:highlight w:val="none"/>
              </w:rPr>
              <w:t>验收要求</w:t>
            </w:r>
          </w:p>
        </w:tc>
      </w:tr>
      <w:tr>
        <w:tblPrEx>
          <w:tblCellMar>
            <w:top w:w="15" w:type="dxa"/>
            <w:left w:w="15" w:type="dxa"/>
            <w:bottom w:w="15" w:type="dxa"/>
            <w:right w:w="15" w:type="dxa"/>
          </w:tblCellMar>
        </w:tblPrEx>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hint="eastAsia" w:ascii="宋体" w:hAnsi="宋体" w:eastAsia="宋体" w:cs="宋体"/>
                <w:b w:val="0"/>
                <w:bCs w:val="0"/>
                <w:i w:val="0"/>
                <w:iCs w:val="0"/>
                <w:smallCaps w:val="0"/>
                <w:color w:val="auto"/>
                <w:sz w:val="28"/>
                <w:szCs w:val="28"/>
                <w:highlight w:val="none"/>
              </w:rPr>
            </w:pPr>
            <w:r>
              <w:rPr>
                <w:rFonts w:hint="eastAsia" w:ascii="宋体" w:hAnsi="宋体" w:eastAsia="宋体" w:cs="宋体"/>
                <w:b w:val="0"/>
                <w:bCs w:val="0"/>
                <w:i w:val="0"/>
                <w:iCs w:val="0"/>
                <w:smallCaps w:val="0"/>
                <w:color w:val="auto"/>
                <w:sz w:val="28"/>
                <w:szCs w:val="28"/>
                <w:highlight w:val="none"/>
              </w:rPr>
              <w:t>第1次验收</w:t>
            </w:r>
          </w:p>
        </w:tc>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hint="eastAsia" w:ascii="宋体" w:hAnsi="宋体" w:eastAsia="宋体" w:cs="宋体"/>
                <w:b w:val="0"/>
                <w:bCs w:val="0"/>
                <w:i w:val="0"/>
                <w:iCs w:val="0"/>
                <w:smallCaps w:val="0"/>
                <w:color w:val="auto"/>
                <w:sz w:val="28"/>
                <w:szCs w:val="28"/>
                <w:highlight w:val="none"/>
              </w:rPr>
            </w:pPr>
            <w:r>
              <w:rPr>
                <w:rFonts w:hint="eastAsia" w:ascii="宋体" w:hAnsi="宋体" w:eastAsia="宋体" w:cs="宋体"/>
                <w:b w:val="0"/>
                <w:bCs w:val="0"/>
                <w:i w:val="0"/>
                <w:iCs w:val="0"/>
                <w:smallCaps w:val="0"/>
                <w:color w:val="auto"/>
                <w:sz w:val="28"/>
                <w:szCs w:val="28"/>
                <w:highlight w:val="none"/>
              </w:rPr>
              <w:t>每个合同年度合同履行情况进行验收考核</w:t>
            </w:r>
          </w:p>
        </w:tc>
      </w:tr>
      <w:tr>
        <w:tblPrEx>
          <w:tblCellMar>
            <w:top w:w="15" w:type="dxa"/>
            <w:left w:w="15" w:type="dxa"/>
            <w:bottom w:w="15" w:type="dxa"/>
            <w:right w:w="15" w:type="dxa"/>
          </w:tblCellMar>
        </w:tblPrEx>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hint="eastAsia" w:ascii="宋体" w:hAnsi="宋体" w:eastAsia="宋体" w:cs="宋体"/>
                <w:b w:val="0"/>
                <w:bCs w:val="0"/>
                <w:i w:val="0"/>
                <w:iCs w:val="0"/>
                <w:smallCaps w:val="0"/>
                <w:color w:val="auto"/>
                <w:sz w:val="28"/>
                <w:szCs w:val="28"/>
                <w:highlight w:val="none"/>
              </w:rPr>
            </w:pPr>
            <w:r>
              <w:rPr>
                <w:rFonts w:hint="eastAsia" w:ascii="宋体" w:hAnsi="宋体" w:eastAsia="宋体" w:cs="宋体"/>
                <w:b w:val="0"/>
                <w:bCs w:val="0"/>
                <w:i w:val="0"/>
                <w:iCs w:val="0"/>
                <w:smallCaps w:val="0"/>
                <w:color w:val="auto"/>
                <w:sz w:val="28"/>
                <w:szCs w:val="28"/>
                <w:highlight w:val="none"/>
              </w:rPr>
              <w:t>第2次验收</w:t>
            </w:r>
          </w:p>
        </w:tc>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hint="eastAsia" w:ascii="宋体" w:hAnsi="宋体" w:eastAsia="宋体" w:cs="宋体"/>
                <w:b w:val="0"/>
                <w:bCs w:val="0"/>
                <w:i w:val="0"/>
                <w:iCs w:val="0"/>
                <w:smallCaps w:val="0"/>
                <w:color w:val="auto"/>
                <w:sz w:val="28"/>
                <w:szCs w:val="28"/>
                <w:highlight w:val="none"/>
              </w:rPr>
            </w:pPr>
            <w:r>
              <w:rPr>
                <w:rFonts w:hint="eastAsia" w:ascii="宋体" w:hAnsi="宋体" w:eastAsia="宋体" w:cs="宋体"/>
                <w:b w:val="0"/>
                <w:bCs w:val="0"/>
                <w:i w:val="0"/>
                <w:iCs w:val="0"/>
                <w:smallCaps w:val="0"/>
                <w:color w:val="auto"/>
                <w:sz w:val="28"/>
                <w:szCs w:val="28"/>
                <w:highlight w:val="none"/>
              </w:rPr>
              <w:t>每个合同年度合同履行情况进行验收考核</w:t>
            </w:r>
          </w:p>
        </w:tc>
      </w:tr>
      <w:tr>
        <w:tblPrEx>
          <w:tblCellMar>
            <w:top w:w="15" w:type="dxa"/>
            <w:left w:w="15" w:type="dxa"/>
            <w:bottom w:w="15" w:type="dxa"/>
            <w:right w:w="15" w:type="dxa"/>
          </w:tblCellMar>
        </w:tblPrEx>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hint="eastAsia" w:ascii="宋体" w:hAnsi="宋体" w:eastAsia="宋体" w:cs="宋体"/>
                <w:b w:val="0"/>
                <w:bCs w:val="0"/>
                <w:i w:val="0"/>
                <w:iCs w:val="0"/>
                <w:smallCaps w:val="0"/>
                <w:color w:val="auto"/>
                <w:sz w:val="28"/>
                <w:szCs w:val="28"/>
                <w:highlight w:val="none"/>
              </w:rPr>
            </w:pPr>
            <w:r>
              <w:rPr>
                <w:rFonts w:hint="eastAsia" w:ascii="宋体" w:hAnsi="宋体" w:eastAsia="宋体" w:cs="宋体"/>
                <w:b w:val="0"/>
                <w:bCs w:val="0"/>
                <w:i w:val="0"/>
                <w:iCs w:val="0"/>
                <w:smallCaps w:val="0"/>
                <w:color w:val="auto"/>
                <w:sz w:val="28"/>
                <w:szCs w:val="28"/>
                <w:highlight w:val="none"/>
              </w:rPr>
              <w:t>第3次验收</w:t>
            </w:r>
          </w:p>
        </w:tc>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hint="eastAsia" w:ascii="宋体" w:hAnsi="宋体" w:eastAsia="宋体" w:cs="宋体"/>
                <w:b w:val="0"/>
                <w:bCs w:val="0"/>
                <w:i w:val="0"/>
                <w:iCs w:val="0"/>
                <w:smallCaps w:val="0"/>
                <w:color w:val="auto"/>
                <w:sz w:val="28"/>
                <w:szCs w:val="28"/>
                <w:highlight w:val="none"/>
              </w:rPr>
            </w:pPr>
            <w:r>
              <w:rPr>
                <w:rFonts w:hint="eastAsia" w:ascii="宋体" w:hAnsi="宋体" w:eastAsia="宋体" w:cs="宋体"/>
                <w:b w:val="0"/>
                <w:bCs w:val="0"/>
                <w:i w:val="0"/>
                <w:iCs w:val="0"/>
                <w:smallCaps w:val="0"/>
                <w:color w:val="auto"/>
                <w:sz w:val="28"/>
                <w:szCs w:val="28"/>
                <w:highlight w:val="none"/>
              </w:rPr>
              <w:t>每个合同年度合同履行情况进行验收考核</w:t>
            </w:r>
          </w:p>
        </w:tc>
      </w:tr>
    </w:tbl>
    <w:p>
      <w:pPr>
        <w:pStyle w:val="4"/>
        <w:keepNext w:val="0"/>
        <w:spacing w:before="0" w:after="0" w:line="360" w:lineRule="auto"/>
        <w:rPr>
          <w:rFonts w:ascii="仿宋_GB2312" w:hAnsi="仿宋_GB2312" w:eastAsia="仿宋_GB2312" w:cs="仿宋_GB2312"/>
          <w:b/>
          <w:bCs/>
          <w:color w:val="auto"/>
          <w:sz w:val="28"/>
          <w:szCs w:val="28"/>
          <w:highlight w:val="none"/>
        </w:rPr>
      </w:pPr>
      <w:bookmarkStart w:id="30" w:name="_Toc256000030"/>
      <w:r>
        <w:rPr>
          <w:rFonts w:ascii="仿宋_GB2312" w:hAnsi="仿宋_GB2312" w:eastAsia="仿宋_GB2312" w:cs="仿宋_GB2312"/>
          <w:i w:val="0"/>
          <w:iCs w:val="0"/>
          <w:color w:val="auto"/>
          <w:highlight w:val="none"/>
        </w:rPr>
        <w:t>7.2具体要求</w:t>
      </w:r>
      <w:bookmarkEnd w:id="30"/>
    </w:p>
    <w:p>
      <w:pPr>
        <w:pStyle w:val="14"/>
        <w:spacing w:before="0" w:after="0" w:line="360" w:lineRule="auto"/>
        <w:ind w:firstLine="4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服务质量评审报告的考核内容如下：</w:t>
      </w:r>
    </w:p>
    <w:p>
      <w:pPr>
        <w:pStyle w:val="14"/>
        <w:spacing w:before="0" w:after="0" w:line="360" w:lineRule="auto"/>
        <w:ind w:firstLine="422"/>
        <w:rPr>
          <w:rFonts w:ascii="Times New Roman" w:hAnsi="Times New Roman" w:eastAsia="Times New Roman" w:cs="Times New Roman"/>
          <w:color w:val="auto"/>
          <w:highlight w:val="none"/>
        </w:rPr>
      </w:pPr>
      <w:r>
        <w:rPr>
          <w:rFonts w:ascii="FangSong_GB2312" w:hAnsi="FangSong_GB2312" w:eastAsia="FangSong_GB2312" w:cs="FangSong_GB2312"/>
          <w:b/>
          <w:bCs/>
          <w:color w:val="auto"/>
          <w:sz w:val="28"/>
          <w:szCs w:val="28"/>
          <w:highlight w:val="none"/>
        </w:rPr>
        <w:t>1</w:t>
      </w:r>
      <w:r>
        <w:rPr>
          <w:rFonts w:hint="eastAsia" w:ascii="FangSong_GB2312" w:hAnsi="FangSong_GB2312" w:eastAsia="FangSong_GB2312" w:cs="FangSong_GB2312"/>
          <w:b/>
          <w:bCs/>
          <w:color w:val="auto"/>
          <w:sz w:val="28"/>
          <w:szCs w:val="28"/>
          <w:highlight w:val="none"/>
          <w:lang w:val="en-US" w:eastAsia="zh-CN"/>
        </w:rPr>
        <w:t>.</w:t>
      </w:r>
      <w:r>
        <w:rPr>
          <w:rFonts w:ascii="FangSong_GB2312" w:hAnsi="FangSong_GB2312" w:eastAsia="FangSong_GB2312" w:cs="FangSong_GB2312"/>
          <w:b/>
          <w:bCs/>
          <w:color w:val="auto"/>
          <w:sz w:val="28"/>
          <w:szCs w:val="28"/>
          <w:highlight w:val="none"/>
        </w:rPr>
        <w:t>考核指标及内容</w:t>
      </w:r>
    </w:p>
    <w:tbl>
      <w:tblPr>
        <w:tblStyle w:val="15"/>
        <w:tblW w:w="8291" w:type="dxa"/>
        <w:tblCellSpacing w:w="0" w:type="dxa"/>
        <w:tblInd w:w="118" w:type="dxa"/>
        <w:tblLayout w:type="autofit"/>
        <w:tblCellMar>
          <w:top w:w="15" w:type="dxa"/>
          <w:left w:w="15" w:type="dxa"/>
          <w:bottom w:w="15" w:type="dxa"/>
          <w:right w:w="15" w:type="dxa"/>
        </w:tblCellMar>
      </w:tblPr>
      <w:tblGrid>
        <w:gridCol w:w="1099"/>
        <w:gridCol w:w="608"/>
        <w:gridCol w:w="2993"/>
        <w:gridCol w:w="1567"/>
        <w:gridCol w:w="2024"/>
      </w:tblGrid>
      <w:tr>
        <w:trPr>
          <w:trHeight w:val="564" w:hRule="atLeast"/>
          <w:tblCellSpacing w:w="0" w:type="dxa"/>
        </w:trPr>
        <w:tc>
          <w:tcPr>
            <w:tcW w:w="1109"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14"/>
              <w:spacing w:after="0" w:line="360" w:lineRule="auto"/>
              <w:rPr>
                <w:rFonts w:ascii="Times New Roman" w:hAnsi="Times New Roman" w:eastAsia="Times New Roman" w:cs="Times New Roman"/>
                <w:b w:val="0"/>
                <w:bCs w:val="0"/>
                <w:i w:val="0"/>
                <w:iCs w:val="0"/>
                <w:smallCaps w:val="0"/>
                <w:color w:val="auto"/>
                <w:highlight w:val="none"/>
              </w:rPr>
            </w:pPr>
            <w:r>
              <w:rPr>
                <w:rFonts w:ascii="FangSong_GB2312" w:hAnsi="FangSong_GB2312" w:eastAsia="FangSong_GB2312" w:cs="FangSong_GB2312"/>
                <w:b w:val="0"/>
                <w:bCs w:val="0"/>
                <w:i w:val="0"/>
                <w:iCs w:val="0"/>
                <w:smallCaps w:val="0"/>
                <w:color w:val="auto"/>
                <w:sz w:val="28"/>
                <w:szCs w:val="28"/>
                <w:highlight w:val="none"/>
              </w:rPr>
              <w:t>指标名称</w:t>
            </w:r>
          </w:p>
        </w:tc>
        <w:tc>
          <w:tcPr>
            <w:tcW w:w="610" w:type="dxa"/>
            <w:tcBorders>
              <w:top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14"/>
              <w:spacing w:after="0" w:line="360" w:lineRule="auto"/>
              <w:rPr>
                <w:rFonts w:ascii="Times New Roman" w:hAnsi="Times New Roman" w:eastAsia="Times New Roman" w:cs="Times New Roman"/>
                <w:b w:val="0"/>
                <w:bCs w:val="0"/>
                <w:i w:val="0"/>
                <w:iCs w:val="0"/>
                <w:smallCaps w:val="0"/>
                <w:color w:val="auto"/>
                <w:highlight w:val="none"/>
              </w:rPr>
            </w:pPr>
            <w:r>
              <w:rPr>
                <w:rFonts w:ascii="FangSong_GB2312" w:hAnsi="FangSong_GB2312" w:eastAsia="FangSong_GB2312" w:cs="FangSong_GB2312"/>
                <w:b w:val="0"/>
                <w:bCs w:val="0"/>
                <w:i w:val="0"/>
                <w:iCs w:val="0"/>
                <w:smallCaps w:val="0"/>
                <w:color w:val="auto"/>
                <w:sz w:val="28"/>
                <w:szCs w:val="28"/>
                <w:highlight w:val="none"/>
              </w:rPr>
              <w:t>分值</w:t>
            </w:r>
          </w:p>
        </w:tc>
        <w:tc>
          <w:tcPr>
            <w:tcW w:w="3027" w:type="dxa"/>
            <w:tcBorders>
              <w:top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14"/>
              <w:spacing w:after="0" w:line="360" w:lineRule="auto"/>
              <w:ind w:firstLine="420"/>
              <w:rPr>
                <w:rFonts w:ascii="Times New Roman" w:hAnsi="Times New Roman" w:eastAsia="Times New Roman" w:cs="Times New Roman"/>
                <w:b w:val="0"/>
                <w:bCs w:val="0"/>
                <w:i w:val="0"/>
                <w:iCs w:val="0"/>
                <w:smallCaps w:val="0"/>
                <w:color w:val="auto"/>
                <w:highlight w:val="none"/>
              </w:rPr>
            </w:pPr>
            <w:r>
              <w:rPr>
                <w:rFonts w:ascii="FangSong_GB2312" w:hAnsi="FangSong_GB2312" w:eastAsia="FangSong_GB2312" w:cs="FangSong_GB2312"/>
                <w:b w:val="0"/>
                <w:bCs w:val="0"/>
                <w:i w:val="0"/>
                <w:iCs w:val="0"/>
                <w:smallCaps w:val="0"/>
                <w:color w:val="auto"/>
                <w:sz w:val="28"/>
                <w:szCs w:val="28"/>
                <w:highlight w:val="none"/>
              </w:rPr>
              <w:t>计算方法</w:t>
            </w:r>
          </w:p>
        </w:tc>
        <w:tc>
          <w:tcPr>
            <w:tcW w:w="1577" w:type="dxa"/>
            <w:tcBorders>
              <w:top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14"/>
              <w:spacing w:after="0" w:line="360" w:lineRule="auto"/>
              <w:ind w:firstLine="420"/>
              <w:rPr>
                <w:rFonts w:ascii="Times New Roman" w:hAnsi="Times New Roman" w:eastAsia="Times New Roman" w:cs="Times New Roman"/>
                <w:b w:val="0"/>
                <w:bCs w:val="0"/>
                <w:i w:val="0"/>
                <w:iCs w:val="0"/>
                <w:smallCaps w:val="0"/>
                <w:color w:val="auto"/>
                <w:highlight w:val="none"/>
              </w:rPr>
            </w:pPr>
            <w:r>
              <w:rPr>
                <w:rFonts w:ascii="FangSong_GB2312" w:hAnsi="FangSong_GB2312" w:eastAsia="FangSong_GB2312" w:cs="FangSong_GB2312"/>
                <w:b w:val="0"/>
                <w:bCs w:val="0"/>
                <w:i w:val="0"/>
                <w:iCs w:val="0"/>
                <w:smallCaps w:val="0"/>
                <w:color w:val="auto"/>
                <w:sz w:val="28"/>
                <w:szCs w:val="28"/>
                <w:highlight w:val="none"/>
              </w:rPr>
              <w:t>目标区间值</w:t>
            </w:r>
          </w:p>
        </w:tc>
        <w:tc>
          <w:tcPr>
            <w:tcW w:w="2048" w:type="dxa"/>
            <w:tcBorders>
              <w:top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14"/>
              <w:spacing w:after="0" w:line="360" w:lineRule="auto"/>
              <w:ind w:firstLine="420"/>
              <w:rPr>
                <w:rFonts w:ascii="Times New Roman" w:hAnsi="Times New Roman" w:eastAsia="Times New Roman" w:cs="Times New Roman"/>
                <w:b w:val="0"/>
                <w:bCs w:val="0"/>
                <w:i w:val="0"/>
                <w:iCs w:val="0"/>
                <w:smallCaps w:val="0"/>
                <w:color w:val="auto"/>
                <w:highlight w:val="none"/>
              </w:rPr>
            </w:pPr>
            <w:r>
              <w:rPr>
                <w:rFonts w:ascii="FangSong_GB2312" w:hAnsi="FangSong_GB2312" w:eastAsia="FangSong_GB2312" w:cs="FangSong_GB2312"/>
                <w:b w:val="0"/>
                <w:bCs w:val="0"/>
                <w:i w:val="0"/>
                <w:iCs w:val="0"/>
                <w:smallCaps w:val="0"/>
                <w:color w:val="auto"/>
                <w:sz w:val="28"/>
                <w:szCs w:val="28"/>
                <w:highlight w:val="none"/>
              </w:rPr>
              <w:t>考核细则</w:t>
            </w:r>
          </w:p>
        </w:tc>
      </w:tr>
      <w:tr>
        <w:tblPrEx>
          <w:tblCellMar>
            <w:top w:w="15" w:type="dxa"/>
            <w:left w:w="15" w:type="dxa"/>
            <w:bottom w:w="15" w:type="dxa"/>
            <w:right w:w="15" w:type="dxa"/>
          </w:tblCellMar>
        </w:tblPrEx>
        <w:trPr>
          <w:trHeight w:val="1438" w:hRule="atLeast"/>
          <w:tblCellSpacing w:w="0" w:type="dxa"/>
        </w:trPr>
        <w:tc>
          <w:tcPr>
            <w:tcW w:w="1109" w:type="dxa"/>
            <w:tcBorders>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14"/>
              <w:spacing w:after="0" w:line="360" w:lineRule="auto"/>
              <w:ind w:firstLine="420"/>
              <w:rPr>
                <w:rFonts w:ascii="Times New Roman" w:hAnsi="Times New Roman" w:eastAsia="Times New Roman" w:cs="Times New Roman"/>
                <w:b w:val="0"/>
                <w:bCs w:val="0"/>
                <w:i w:val="0"/>
                <w:iCs w:val="0"/>
                <w:smallCaps w:val="0"/>
                <w:color w:val="auto"/>
                <w:highlight w:val="none"/>
              </w:rPr>
            </w:pPr>
            <w:r>
              <w:rPr>
                <w:rFonts w:ascii="FangSong_GB2312" w:hAnsi="FangSong_GB2312" w:eastAsia="FangSong_GB2312" w:cs="FangSong_GB2312"/>
                <w:b w:val="0"/>
                <w:bCs w:val="0"/>
                <w:i w:val="0"/>
                <w:iCs w:val="0"/>
                <w:smallCaps w:val="0"/>
                <w:color w:val="auto"/>
                <w:sz w:val="28"/>
                <w:szCs w:val="28"/>
                <w:highlight w:val="none"/>
              </w:rPr>
              <w:t> </w:t>
            </w:r>
          </w:p>
          <w:p>
            <w:pPr>
              <w:pStyle w:val="14"/>
              <w:spacing w:before="240" w:after="0" w:line="360" w:lineRule="auto"/>
              <w:rPr>
                <w:rFonts w:ascii="Times New Roman" w:hAnsi="Times New Roman" w:eastAsia="Times New Roman" w:cs="Times New Roman"/>
                <w:b w:val="0"/>
                <w:bCs w:val="0"/>
                <w:i w:val="0"/>
                <w:iCs w:val="0"/>
                <w:smallCaps w:val="0"/>
                <w:color w:val="auto"/>
                <w:highlight w:val="none"/>
              </w:rPr>
            </w:pPr>
            <w:r>
              <w:rPr>
                <w:rFonts w:ascii="FangSong_GB2312" w:hAnsi="FangSong_GB2312" w:eastAsia="FangSong_GB2312" w:cs="FangSong_GB2312"/>
                <w:b w:val="0"/>
                <w:bCs w:val="0"/>
                <w:i w:val="0"/>
                <w:iCs w:val="0"/>
                <w:smallCaps w:val="0"/>
                <w:color w:val="auto"/>
                <w:sz w:val="28"/>
                <w:szCs w:val="28"/>
                <w:highlight w:val="none"/>
              </w:rPr>
              <w:t>人工接通率</w:t>
            </w:r>
          </w:p>
        </w:tc>
        <w:tc>
          <w:tcPr>
            <w:tcW w:w="610" w:type="dxa"/>
            <w:tcBorders>
              <w:bottom w:val="single" w:color="000000" w:sz="8" w:space="0"/>
              <w:right w:val="single" w:color="000000" w:sz="8" w:space="0"/>
            </w:tcBorders>
            <w:noWrap w:val="0"/>
            <w:tcMar>
              <w:top w:w="0" w:type="dxa"/>
              <w:left w:w="0" w:type="dxa"/>
              <w:bottom w:w="0" w:type="dxa"/>
              <w:right w:w="0" w:type="dxa"/>
            </w:tcMar>
            <w:vAlign w:val="top"/>
          </w:tcPr>
          <w:p>
            <w:pPr>
              <w:pStyle w:val="14"/>
              <w:spacing w:after="0" w:line="360" w:lineRule="auto"/>
              <w:ind w:firstLine="420"/>
              <w:rPr>
                <w:rFonts w:ascii="Times New Roman" w:hAnsi="Times New Roman" w:eastAsia="Times New Roman" w:cs="Times New Roman"/>
                <w:b w:val="0"/>
                <w:bCs w:val="0"/>
                <w:i w:val="0"/>
                <w:iCs w:val="0"/>
                <w:smallCaps w:val="0"/>
                <w:color w:val="auto"/>
                <w:highlight w:val="none"/>
              </w:rPr>
            </w:pPr>
            <w:r>
              <w:rPr>
                <w:rFonts w:ascii="FangSong_GB2312" w:hAnsi="FangSong_GB2312" w:eastAsia="FangSong_GB2312" w:cs="FangSong_GB2312"/>
                <w:b w:val="0"/>
                <w:bCs w:val="0"/>
                <w:i w:val="0"/>
                <w:iCs w:val="0"/>
                <w:smallCaps w:val="0"/>
                <w:color w:val="auto"/>
                <w:sz w:val="28"/>
                <w:szCs w:val="28"/>
                <w:highlight w:val="none"/>
              </w:rPr>
              <w:t> </w:t>
            </w:r>
          </w:p>
          <w:p>
            <w:pPr>
              <w:pStyle w:val="14"/>
              <w:spacing w:before="240" w:after="0" w:line="360" w:lineRule="auto"/>
              <w:rPr>
                <w:rFonts w:ascii="Times New Roman" w:hAnsi="Times New Roman" w:eastAsia="Times New Roman" w:cs="Times New Roman"/>
                <w:b w:val="0"/>
                <w:bCs w:val="0"/>
                <w:i w:val="0"/>
                <w:iCs w:val="0"/>
                <w:smallCaps w:val="0"/>
                <w:color w:val="auto"/>
                <w:highlight w:val="none"/>
              </w:rPr>
            </w:pPr>
            <w:r>
              <w:rPr>
                <w:rFonts w:ascii="FangSong_GB2312" w:hAnsi="FangSong_GB2312" w:eastAsia="FangSong_GB2312" w:cs="FangSong_GB2312"/>
                <w:b w:val="0"/>
                <w:bCs w:val="0"/>
                <w:i w:val="0"/>
                <w:iCs w:val="0"/>
                <w:smallCaps w:val="0"/>
                <w:color w:val="auto"/>
                <w:sz w:val="28"/>
                <w:szCs w:val="28"/>
                <w:highlight w:val="none"/>
              </w:rPr>
              <w:t>20</w:t>
            </w:r>
          </w:p>
        </w:tc>
        <w:tc>
          <w:tcPr>
            <w:tcW w:w="3027" w:type="dxa"/>
            <w:tcBorders>
              <w:bottom w:val="single" w:color="000000" w:sz="8" w:space="0"/>
              <w:right w:val="single" w:color="000000" w:sz="8" w:space="0"/>
            </w:tcBorders>
            <w:noWrap w:val="0"/>
            <w:tcMar>
              <w:top w:w="0" w:type="dxa"/>
              <w:left w:w="0" w:type="dxa"/>
              <w:bottom w:w="0" w:type="dxa"/>
              <w:right w:w="0" w:type="dxa"/>
            </w:tcMar>
            <w:vAlign w:val="top"/>
          </w:tcPr>
          <w:p>
            <w:pPr>
              <w:pStyle w:val="14"/>
              <w:spacing w:after="0" w:line="360" w:lineRule="auto"/>
              <w:ind w:firstLine="420"/>
              <w:rPr>
                <w:rFonts w:ascii="Times New Roman" w:hAnsi="Times New Roman" w:eastAsia="Times New Roman" w:cs="Times New Roman"/>
                <w:b w:val="0"/>
                <w:bCs w:val="0"/>
                <w:i w:val="0"/>
                <w:iCs w:val="0"/>
                <w:smallCaps w:val="0"/>
                <w:color w:val="auto"/>
                <w:highlight w:val="none"/>
              </w:rPr>
            </w:pPr>
            <w:r>
              <w:rPr>
                <w:rFonts w:ascii="FangSong_GB2312" w:hAnsi="FangSong_GB2312" w:eastAsia="FangSong_GB2312" w:cs="FangSong_GB2312"/>
                <w:b w:val="0"/>
                <w:bCs w:val="0"/>
                <w:i w:val="0"/>
                <w:iCs w:val="0"/>
                <w:smallCaps w:val="0"/>
                <w:color w:val="auto"/>
                <w:sz w:val="28"/>
                <w:szCs w:val="28"/>
                <w:highlight w:val="none"/>
              </w:rPr>
              <w:t>接通率=【接通话务数÷(呼入话务量*服务外包人工坐席数/中心月平均实际上岗人数)】*100%</w:t>
            </w:r>
          </w:p>
        </w:tc>
        <w:tc>
          <w:tcPr>
            <w:tcW w:w="1577" w:type="dxa"/>
            <w:tcBorders>
              <w:bottom w:val="single" w:color="000000" w:sz="8" w:space="0"/>
              <w:right w:val="single" w:color="000000" w:sz="8" w:space="0"/>
            </w:tcBorders>
            <w:noWrap w:val="0"/>
            <w:tcMar>
              <w:top w:w="0" w:type="dxa"/>
              <w:left w:w="0" w:type="dxa"/>
              <w:bottom w:w="0" w:type="dxa"/>
              <w:right w:w="0" w:type="dxa"/>
            </w:tcMar>
            <w:vAlign w:val="top"/>
          </w:tcPr>
          <w:p>
            <w:pPr>
              <w:pStyle w:val="14"/>
              <w:spacing w:after="0" w:line="360" w:lineRule="auto"/>
              <w:ind w:firstLine="420"/>
              <w:rPr>
                <w:rFonts w:ascii="Times New Roman" w:hAnsi="Times New Roman" w:eastAsia="Times New Roman" w:cs="Times New Roman"/>
                <w:b w:val="0"/>
                <w:bCs w:val="0"/>
                <w:i w:val="0"/>
                <w:iCs w:val="0"/>
                <w:smallCaps w:val="0"/>
                <w:color w:val="auto"/>
                <w:highlight w:val="none"/>
              </w:rPr>
            </w:pPr>
            <w:r>
              <w:rPr>
                <w:rFonts w:ascii="FangSong_GB2312" w:hAnsi="FangSong_GB2312" w:eastAsia="FangSong_GB2312" w:cs="FangSong_GB2312"/>
                <w:b w:val="0"/>
                <w:bCs w:val="0"/>
                <w:i w:val="0"/>
                <w:iCs w:val="0"/>
                <w:smallCaps w:val="0"/>
                <w:color w:val="auto"/>
                <w:sz w:val="28"/>
                <w:szCs w:val="28"/>
                <w:highlight w:val="none"/>
              </w:rPr>
              <w:t> </w:t>
            </w:r>
          </w:p>
          <w:p>
            <w:pPr>
              <w:pStyle w:val="14"/>
              <w:spacing w:before="240" w:after="0" w:line="360" w:lineRule="auto"/>
              <w:rPr>
                <w:rFonts w:ascii="Times New Roman" w:hAnsi="Times New Roman" w:eastAsia="Times New Roman" w:cs="Times New Roman"/>
                <w:b w:val="0"/>
                <w:bCs w:val="0"/>
                <w:i w:val="0"/>
                <w:iCs w:val="0"/>
                <w:smallCaps w:val="0"/>
                <w:color w:val="auto"/>
                <w:highlight w:val="none"/>
              </w:rPr>
            </w:pPr>
            <w:r>
              <w:rPr>
                <w:rFonts w:ascii="FangSong_GB2312" w:hAnsi="FangSong_GB2312" w:eastAsia="FangSong_GB2312" w:cs="FangSong_GB2312"/>
                <w:b w:val="0"/>
                <w:bCs w:val="0"/>
                <w:i w:val="0"/>
                <w:iCs w:val="0"/>
                <w:smallCaps w:val="0"/>
                <w:color w:val="auto"/>
                <w:sz w:val="28"/>
                <w:szCs w:val="28"/>
                <w:highlight w:val="none"/>
              </w:rPr>
              <w:t>不低于98%</w:t>
            </w:r>
          </w:p>
        </w:tc>
        <w:tc>
          <w:tcPr>
            <w:tcW w:w="2048" w:type="dxa"/>
            <w:tcBorders>
              <w:bottom w:val="single" w:color="000000" w:sz="8" w:space="0"/>
              <w:right w:val="single" w:color="000000" w:sz="8" w:space="0"/>
            </w:tcBorders>
            <w:noWrap w:val="0"/>
            <w:tcMar>
              <w:top w:w="0" w:type="dxa"/>
              <w:left w:w="0" w:type="dxa"/>
              <w:bottom w:w="0" w:type="dxa"/>
              <w:right w:w="0" w:type="dxa"/>
            </w:tcMar>
            <w:vAlign w:val="top"/>
          </w:tcPr>
          <w:p>
            <w:pPr>
              <w:pStyle w:val="14"/>
              <w:spacing w:after="0" w:line="360" w:lineRule="auto"/>
              <w:rPr>
                <w:rFonts w:ascii="Times New Roman" w:hAnsi="Times New Roman" w:eastAsia="Times New Roman" w:cs="Times New Roman"/>
                <w:b w:val="0"/>
                <w:bCs w:val="0"/>
                <w:i w:val="0"/>
                <w:iCs w:val="0"/>
                <w:smallCaps w:val="0"/>
                <w:color w:val="auto"/>
                <w:highlight w:val="none"/>
              </w:rPr>
            </w:pPr>
            <w:r>
              <w:rPr>
                <w:rFonts w:ascii="FangSong_GB2312" w:hAnsi="FangSong_GB2312" w:eastAsia="FangSong_GB2312" w:cs="FangSong_GB2312"/>
                <w:b w:val="0"/>
                <w:bCs w:val="0"/>
                <w:i w:val="0"/>
                <w:iCs w:val="0"/>
                <w:smallCaps w:val="0"/>
                <w:color w:val="auto"/>
                <w:sz w:val="28"/>
                <w:szCs w:val="28"/>
                <w:highlight w:val="none"/>
              </w:rPr>
              <w:t>人工接通率较目标值每下 降1%扣2分；接通率低于98%,不得分。</w:t>
            </w:r>
          </w:p>
        </w:tc>
      </w:tr>
      <w:tr>
        <w:tblPrEx>
          <w:tblCellMar>
            <w:top w:w="15" w:type="dxa"/>
            <w:left w:w="15" w:type="dxa"/>
            <w:bottom w:w="15" w:type="dxa"/>
            <w:right w:w="15" w:type="dxa"/>
          </w:tblCellMar>
        </w:tblPrEx>
        <w:trPr>
          <w:trHeight w:val="939" w:hRule="atLeast"/>
          <w:tblCellSpacing w:w="0" w:type="dxa"/>
        </w:trPr>
        <w:tc>
          <w:tcPr>
            <w:tcW w:w="1109" w:type="dxa"/>
            <w:tcBorders>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14"/>
              <w:spacing w:after="0" w:line="360" w:lineRule="auto"/>
              <w:rPr>
                <w:rFonts w:ascii="Times New Roman" w:hAnsi="Times New Roman" w:eastAsia="Times New Roman" w:cs="Times New Roman"/>
                <w:b w:val="0"/>
                <w:bCs w:val="0"/>
                <w:i w:val="0"/>
                <w:iCs w:val="0"/>
                <w:smallCaps w:val="0"/>
                <w:color w:val="auto"/>
                <w:highlight w:val="none"/>
              </w:rPr>
            </w:pPr>
            <w:r>
              <w:rPr>
                <w:rFonts w:ascii="FangSong_GB2312" w:hAnsi="FangSong_GB2312" w:eastAsia="FangSong_GB2312" w:cs="FangSong_GB2312"/>
                <w:b w:val="0"/>
                <w:bCs w:val="0"/>
                <w:i w:val="0"/>
                <w:iCs w:val="0"/>
                <w:smallCaps w:val="0"/>
                <w:color w:val="auto"/>
                <w:sz w:val="28"/>
                <w:szCs w:val="28"/>
                <w:highlight w:val="none"/>
              </w:rPr>
              <w:t>业务处理时间</w:t>
            </w:r>
          </w:p>
        </w:tc>
        <w:tc>
          <w:tcPr>
            <w:tcW w:w="610" w:type="dxa"/>
            <w:tcBorders>
              <w:bottom w:val="single" w:color="000000" w:sz="8" w:space="0"/>
              <w:right w:val="single" w:color="000000" w:sz="8" w:space="0"/>
            </w:tcBorders>
            <w:noWrap w:val="0"/>
            <w:tcMar>
              <w:top w:w="0" w:type="dxa"/>
              <w:left w:w="0" w:type="dxa"/>
              <w:bottom w:w="0" w:type="dxa"/>
              <w:right w:w="0" w:type="dxa"/>
            </w:tcMar>
            <w:vAlign w:val="top"/>
          </w:tcPr>
          <w:p>
            <w:pPr>
              <w:pStyle w:val="14"/>
              <w:spacing w:after="0" w:line="360" w:lineRule="auto"/>
              <w:ind w:firstLine="420"/>
              <w:rPr>
                <w:rFonts w:ascii="Times New Roman" w:hAnsi="Times New Roman" w:eastAsia="Times New Roman" w:cs="Times New Roman"/>
                <w:b w:val="0"/>
                <w:bCs w:val="0"/>
                <w:i w:val="0"/>
                <w:iCs w:val="0"/>
                <w:smallCaps w:val="0"/>
                <w:color w:val="auto"/>
                <w:highlight w:val="none"/>
              </w:rPr>
            </w:pPr>
            <w:r>
              <w:rPr>
                <w:rFonts w:ascii="FangSong_GB2312" w:hAnsi="FangSong_GB2312" w:eastAsia="FangSong_GB2312" w:cs="FangSong_GB2312"/>
                <w:b w:val="0"/>
                <w:bCs w:val="0"/>
                <w:i w:val="0"/>
                <w:iCs w:val="0"/>
                <w:smallCaps w:val="0"/>
                <w:color w:val="auto"/>
                <w:sz w:val="28"/>
                <w:szCs w:val="28"/>
                <w:highlight w:val="none"/>
              </w:rPr>
              <w:t> </w:t>
            </w:r>
          </w:p>
          <w:p>
            <w:pPr>
              <w:pStyle w:val="14"/>
              <w:spacing w:before="240" w:after="0" w:line="360" w:lineRule="auto"/>
              <w:rPr>
                <w:rFonts w:ascii="Times New Roman" w:hAnsi="Times New Roman" w:eastAsia="Times New Roman" w:cs="Times New Roman"/>
                <w:b w:val="0"/>
                <w:bCs w:val="0"/>
                <w:i w:val="0"/>
                <w:iCs w:val="0"/>
                <w:smallCaps w:val="0"/>
                <w:color w:val="auto"/>
                <w:highlight w:val="none"/>
              </w:rPr>
            </w:pPr>
            <w:r>
              <w:rPr>
                <w:rFonts w:ascii="FangSong_GB2312" w:hAnsi="FangSong_GB2312" w:eastAsia="FangSong_GB2312" w:cs="FangSong_GB2312"/>
                <w:b w:val="0"/>
                <w:bCs w:val="0"/>
                <w:i w:val="0"/>
                <w:iCs w:val="0"/>
                <w:smallCaps w:val="0"/>
                <w:color w:val="auto"/>
                <w:sz w:val="28"/>
                <w:szCs w:val="28"/>
                <w:highlight w:val="none"/>
              </w:rPr>
              <w:t>5</w:t>
            </w:r>
          </w:p>
        </w:tc>
        <w:tc>
          <w:tcPr>
            <w:tcW w:w="3027" w:type="dxa"/>
            <w:tcBorders>
              <w:bottom w:val="single" w:color="000000" w:sz="8" w:space="0"/>
              <w:right w:val="single" w:color="000000" w:sz="8" w:space="0"/>
            </w:tcBorders>
            <w:noWrap w:val="0"/>
            <w:tcMar>
              <w:top w:w="0" w:type="dxa"/>
              <w:left w:w="0" w:type="dxa"/>
              <w:bottom w:w="0" w:type="dxa"/>
              <w:right w:w="0" w:type="dxa"/>
            </w:tcMar>
            <w:vAlign w:val="top"/>
          </w:tcPr>
          <w:p>
            <w:pPr>
              <w:pStyle w:val="14"/>
              <w:spacing w:after="0" w:line="360" w:lineRule="auto"/>
              <w:rPr>
                <w:rFonts w:ascii="Times New Roman" w:hAnsi="Times New Roman" w:eastAsia="Times New Roman" w:cs="Times New Roman"/>
                <w:b w:val="0"/>
                <w:bCs w:val="0"/>
                <w:i w:val="0"/>
                <w:iCs w:val="0"/>
                <w:smallCaps w:val="0"/>
                <w:color w:val="auto"/>
                <w:highlight w:val="none"/>
              </w:rPr>
            </w:pPr>
            <w:r>
              <w:rPr>
                <w:rFonts w:ascii="FangSong_GB2312" w:hAnsi="FangSong_GB2312" w:eastAsia="FangSong_GB2312" w:cs="FangSong_GB2312"/>
                <w:b w:val="0"/>
                <w:bCs w:val="0"/>
                <w:i w:val="0"/>
                <w:iCs w:val="0"/>
                <w:smallCaps w:val="0"/>
                <w:color w:val="auto"/>
                <w:sz w:val="28"/>
                <w:szCs w:val="28"/>
                <w:highlight w:val="none"/>
              </w:rPr>
              <w:t>业务处理时间=通话时长+整理态时长</w:t>
            </w:r>
          </w:p>
        </w:tc>
        <w:tc>
          <w:tcPr>
            <w:tcW w:w="1577" w:type="dxa"/>
            <w:tcBorders>
              <w:bottom w:val="single" w:color="000000" w:sz="8" w:space="0"/>
              <w:right w:val="single" w:color="000000" w:sz="8" w:space="0"/>
            </w:tcBorders>
            <w:noWrap w:val="0"/>
            <w:tcMar>
              <w:top w:w="0" w:type="dxa"/>
              <w:left w:w="0" w:type="dxa"/>
              <w:bottom w:w="0" w:type="dxa"/>
              <w:right w:w="0" w:type="dxa"/>
            </w:tcMar>
            <w:vAlign w:val="top"/>
          </w:tcPr>
          <w:p>
            <w:pPr>
              <w:pStyle w:val="14"/>
              <w:spacing w:after="0" w:line="360" w:lineRule="auto"/>
              <w:ind w:firstLine="420"/>
              <w:rPr>
                <w:rFonts w:ascii="Times New Roman" w:hAnsi="Times New Roman" w:eastAsia="Times New Roman" w:cs="Times New Roman"/>
                <w:b w:val="0"/>
                <w:bCs w:val="0"/>
                <w:i w:val="0"/>
                <w:iCs w:val="0"/>
                <w:smallCaps w:val="0"/>
                <w:color w:val="auto"/>
                <w:highlight w:val="none"/>
              </w:rPr>
            </w:pPr>
            <w:r>
              <w:rPr>
                <w:rFonts w:ascii="FangSong_GB2312" w:hAnsi="FangSong_GB2312" w:eastAsia="FangSong_GB2312" w:cs="FangSong_GB2312"/>
                <w:b w:val="0"/>
                <w:bCs w:val="0"/>
                <w:i w:val="0"/>
                <w:iCs w:val="0"/>
                <w:smallCaps w:val="0"/>
                <w:color w:val="auto"/>
                <w:sz w:val="28"/>
                <w:szCs w:val="28"/>
                <w:highlight w:val="none"/>
              </w:rPr>
              <w:t> </w:t>
            </w:r>
          </w:p>
          <w:p>
            <w:pPr>
              <w:pStyle w:val="14"/>
              <w:spacing w:before="240" w:after="0" w:line="360" w:lineRule="auto"/>
              <w:rPr>
                <w:rFonts w:ascii="Times New Roman" w:hAnsi="Times New Roman" w:eastAsia="Times New Roman" w:cs="Times New Roman"/>
                <w:b w:val="0"/>
                <w:bCs w:val="0"/>
                <w:i w:val="0"/>
                <w:iCs w:val="0"/>
                <w:smallCaps w:val="0"/>
                <w:color w:val="auto"/>
                <w:highlight w:val="none"/>
              </w:rPr>
            </w:pPr>
            <w:r>
              <w:rPr>
                <w:rFonts w:ascii="FangSong_GB2312" w:hAnsi="FangSong_GB2312" w:eastAsia="FangSong_GB2312" w:cs="FangSong_GB2312"/>
                <w:b w:val="0"/>
                <w:bCs w:val="0"/>
                <w:i w:val="0"/>
                <w:iCs w:val="0"/>
                <w:smallCaps w:val="0"/>
                <w:color w:val="auto"/>
                <w:sz w:val="28"/>
                <w:szCs w:val="28"/>
                <w:highlight w:val="none"/>
              </w:rPr>
              <w:t>平均不超过6分</w:t>
            </w:r>
          </w:p>
        </w:tc>
        <w:tc>
          <w:tcPr>
            <w:tcW w:w="2048" w:type="dxa"/>
            <w:tcBorders>
              <w:bottom w:val="single" w:color="000000" w:sz="8" w:space="0"/>
              <w:right w:val="single" w:color="000000" w:sz="8" w:space="0"/>
            </w:tcBorders>
            <w:noWrap w:val="0"/>
            <w:tcMar>
              <w:top w:w="0" w:type="dxa"/>
              <w:left w:w="0" w:type="dxa"/>
              <w:bottom w:w="0" w:type="dxa"/>
              <w:right w:w="0" w:type="dxa"/>
            </w:tcMar>
            <w:vAlign w:val="top"/>
          </w:tcPr>
          <w:p>
            <w:pPr>
              <w:pStyle w:val="14"/>
              <w:spacing w:after="0" w:line="360" w:lineRule="auto"/>
              <w:rPr>
                <w:rFonts w:ascii="Times New Roman" w:hAnsi="Times New Roman" w:eastAsia="Times New Roman" w:cs="Times New Roman"/>
                <w:b w:val="0"/>
                <w:bCs w:val="0"/>
                <w:i w:val="0"/>
                <w:iCs w:val="0"/>
                <w:smallCaps w:val="0"/>
                <w:color w:val="auto"/>
                <w:highlight w:val="none"/>
              </w:rPr>
            </w:pPr>
            <w:r>
              <w:rPr>
                <w:rFonts w:ascii="FangSong_GB2312" w:hAnsi="FangSong_GB2312" w:eastAsia="FangSong_GB2312" w:cs="FangSong_GB2312"/>
                <w:b w:val="0"/>
                <w:bCs w:val="0"/>
                <w:i w:val="0"/>
                <w:iCs w:val="0"/>
                <w:smallCaps w:val="0"/>
                <w:color w:val="auto"/>
                <w:sz w:val="28"/>
                <w:szCs w:val="28"/>
                <w:highlight w:val="none"/>
              </w:rPr>
              <w:t>业务处理时间较目标值每上升10秒扣1分；超过6分不得分。</w:t>
            </w:r>
          </w:p>
        </w:tc>
      </w:tr>
      <w:tr>
        <w:tblPrEx>
          <w:tblCellMar>
            <w:top w:w="15" w:type="dxa"/>
            <w:left w:w="15" w:type="dxa"/>
            <w:bottom w:w="15" w:type="dxa"/>
            <w:right w:w="15" w:type="dxa"/>
          </w:tblCellMar>
        </w:tblPrEx>
        <w:trPr>
          <w:trHeight w:val="1708" w:hRule="atLeast"/>
          <w:tblCellSpacing w:w="0" w:type="dxa"/>
        </w:trPr>
        <w:tc>
          <w:tcPr>
            <w:tcW w:w="1109" w:type="dxa"/>
            <w:tcBorders>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14"/>
              <w:spacing w:after="0" w:line="360" w:lineRule="auto"/>
              <w:ind w:firstLine="420"/>
              <w:rPr>
                <w:rFonts w:ascii="Times New Roman" w:hAnsi="Times New Roman" w:eastAsia="Times New Roman" w:cs="Times New Roman"/>
                <w:b w:val="0"/>
                <w:bCs w:val="0"/>
                <w:i w:val="0"/>
                <w:iCs w:val="0"/>
                <w:smallCaps w:val="0"/>
                <w:color w:val="auto"/>
                <w:highlight w:val="none"/>
              </w:rPr>
            </w:pPr>
            <w:r>
              <w:rPr>
                <w:rFonts w:ascii="FangSong_GB2312" w:hAnsi="FangSong_GB2312" w:eastAsia="FangSong_GB2312" w:cs="FangSong_GB2312"/>
                <w:b w:val="0"/>
                <w:bCs w:val="0"/>
                <w:i w:val="0"/>
                <w:iCs w:val="0"/>
                <w:smallCaps w:val="0"/>
                <w:color w:val="auto"/>
                <w:sz w:val="28"/>
                <w:szCs w:val="28"/>
                <w:highlight w:val="none"/>
              </w:rPr>
              <w:t> </w:t>
            </w:r>
          </w:p>
          <w:p>
            <w:pPr>
              <w:pStyle w:val="14"/>
              <w:spacing w:before="240" w:after="0" w:line="360" w:lineRule="auto"/>
              <w:ind w:firstLine="420"/>
              <w:rPr>
                <w:rFonts w:ascii="Times New Roman" w:hAnsi="Times New Roman" w:eastAsia="Times New Roman" w:cs="Times New Roman"/>
                <w:b w:val="0"/>
                <w:bCs w:val="0"/>
                <w:i w:val="0"/>
                <w:iCs w:val="0"/>
                <w:smallCaps w:val="0"/>
                <w:color w:val="auto"/>
                <w:highlight w:val="none"/>
              </w:rPr>
            </w:pPr>
            <w:r>
              <w:rPr>
                <w:rFonts w:ascii="FangSong_GB2312" w:hAnsi="FangSong_GB2312" w:eastAsia="FangSong_GB2312" w:cs="FangSong_GB2312"/>
                <w:b w:val="0"/>
                <w:bCs w:val="0"/>
                <w:i w:val="0"/>
                <w:iCs w:val="0"/>
                <w:smallCaps w:val="0"/>
                <w:color w:val="auto"/>
                <w:sz w:val="28"/>
                <w:szCs w:val="28"/>
                <w:highlight w:val="none"/>
              </w:rPr>
              <w:t> </w:t>
            </w:r>
          </w:p>
          <w:p>
            <w:pPr>
              <w:pStyle w:val="14"/>
              <w:spacing w:before="240" w:after="0" w:line="360" w:lineRule="auto"/>
              <w:rPr>
                <w:rFonts w:ascii="Times New Roman" w:hAnsi="Times New Roman" w:eastAsia="Times New Roman" w:cs="Times New Roman"/>
                <w:b w:val="0"/>
                <w:bCs w:val="0"/>
                <w:i w:val="0"/>
                <w:iCs w:val="0"/>
                <w:smallCaps w:val="0"/>
                <w:color w:val="auto"/>
                <w:highlight w:val="none"/>
              </w:rPr>
            </w:pPr>
            <w:r>
              <w:rPr>
                <w:rFonts w:ascii="FangSong_GB2312" w:hAnsi="FangSong_GB2312" w:eastAsia="FangSong_GB2312" w:cs="FangSong_GB2312"/>
                <w:b w:val="0"/>
                <w:bCs w:val="0"/>
                <w:i w:val="0"/>
                <w:iCs w:val="0"/>
                <w:smallCaps w:val="0"/>
                <w:color w:val="auto"/>
                <w:sz w:val="28"/>
                <w:szCs w:val="28"/>
                <w:highlight w:val="none"/>
              </w:rPr>
              <w:t>服务满意率</w:t>
            </w:r>
          </w:p>
        </w:tc>
        <w:tc>
          <w:tcPr>
            <w:tcW w:w="610" w:type="dxa"/>
            <w:tcBorders>
              <w:bottom w:val="single" w:color="000000" w:sz="8" w:space="0"/>
              <w:right w:val="single" w:color="000000" w:sz="8" w:space="0"/>
            </w:tcBorders>
            <w:noWrap w:val="0"/>
            <w:tcMar>
              <w:top w:w="0" w:type="dxa"/>
              <w:left w:w="0" w:type="dxa"/>
              <w:bottom w:w="0" w:type="dxa"/>
              <w:right w:w="0" w:type="dxa"/>
            </w:tcMar>
            <w:vAlign w:val="top"/>
          </w:tcPr>
          <w:p>
            <w:pPr>
              <w:pStyle w:val="14"/>
              <w:spacing w:after="0" w:line="360" w:lineRule="auto"/>
              <w:ind w:firstLine="420"/>
              <w:rPr>
                <w:rFonts w:ascii="Times New Roman" w:hAnsi="Times New Roman" w:eastAsia="Times New Roman" w:cs="Times New Roman"/>
                <w:b w:val="0"/>
                <w:bCs w:val="0"/>
                <w:i w:val="0"/>
                <w:iCs w:val="0"/>
                <w:smallCaps w:val="0"/>
                <w:color w:val="auto"/>
                <w:highlight w:val="none"/>
              </w:rPr>
            </w:pPr>
            <w:r>
              <w:rPr>
                <w:rFonts w:ascii="FangSong_GB2312" w:hAnsi="FangSong_GB2312" w:eastAsia="FangSong_GB2312" w:cs="FangSong_GB2312"/>
                <w:b w:val="0"/>
                <w:bCs w:val="0"/>
                <w:i w:val="0"/>
                <w:iCs w:val="0"/>
                <w:smallCaps w:val="0"/>
                <w:color w:val="auto"/>
                <w:sz w:val="28"/>
                <w:szCs w:val="28"/>
                <w:highlight w:val="none"/>
              </w:rPr>
              <w:t> </w:t>
            </w:r>
          </w:p>
          <w:p>
            <w:pPr>
              <w:pStyle w:val="14"/>
              <w:spacing w:before="240" w:after="0" w:line="360" w:lineRule="auto"/>
              <w:ind w:firstLine="420"/>
              <w:rPr>
                <w:rFonts w:ascii="Times New Roman" w:hAnsi="Times New Roman" w:eastAsia="Times New Roman" w:cs="Times New Roman"/>
                <w:b w:val="0"/>
                <w:bCs w:val="0"/>
                <w:i w:val="0"/>
                <w:iCs w:val="0"/>
                <w:smallCaps w:val="0"/>
                <w:color w:val="auto"/>
                <w:highlight w:val="none"/>
              </w:rPr>
            </w:pPr>
            <w:r>
              <w:rPr>
                <w:rFonts w:ascii="FangSong_GB2312" w:hAnsi="FangSong_GB2312" w:eastAsia="FangSong_GB2312" w:cs="FangSong_GB2312"/>
                <w:b w:val="0"/>
                <w:bCs w:val="0"/>
                <w:i w:val="0"/>
                <w:iCs w:val="0"/>
                <w:smallCaps w:val="0"/>
                <w:color w:val="auto"/>
                <w:sz w:val="28"/>
                <w:szCs w:val="28"/>
                <w:highlight w:val="none"/>
              </w:rPr>
              <w:t> </w:t>
            </w:r>
          </w:p>
          <w:p>
            <w:pPr>
              <w:pStyle w:val="14"/>
              <w:spacing w:before="240" w:after="0" w:line="360" w:lineRule="auto"/>
              <w:rPr>
                <w:rFonts w:ascii="Times New Roman" w:hAnsi="Times New Roman" w:eastAsia="Times New Roman" w:cs="Times New Roman"/>
                <w:b w:val="0"/>
                <w:bCs w:val="0"/>
                <w:i w:val="0"/>
                <w:iCs w:val="0"/>
                <w:smallCaps w:val="0"/>
                <w:color w:val="auto"/>
                <w:highlight w:val="none"/>
              </w:rPr>
            </w:pPr>
            <w:r>
              <w:rPr>
                <w:rFonts w:ascii="FangSong_GB2312" w:hAnsi="FangSong_GB2312" w:eastAsia="FangSong_GB2312" w:cs="FangSong_GB2312"/>
                <w:b w:val="0"/>
                <w:bCs w:val="0"/>
                <w:i w:val="0"/>
                <w:iCs w:val="0"/>
                <w:smallCaps w:val="0"/>
                <w:color w:val="auto"/>
                <w:sz w:val="28"/>
                <w:szCs w:val="28"/>
                <w:highlight w:val="none"/>
              </w:rPr>
              <w:t>15</w:t>
            </w:r>
          </w:p>
        </w:tc>
        <w:tc>
          <w:tcPr>
            <w:tcW w:w="3027" w:type="dxa"/>
            <w:tcBorders>
              <w:bottom w:val="single" w:color="000000" w:sz="8" w:space="0"/>
              <w:right w:val="single" w:color="000000" w:sz="8" w:space="0"/>
            </w:tcBorders>
            <w:noWrap w:val="0"/>
            <w:tcMar>
              <w:top w:w="0" w:type="dxa"/>
              <w:left w:w="0" w:type="dxa"/>
              <w:bottom w:w="0" w:type="dxa"/>
              <w:right w:w="0" w:type="dxa"/>
            </w:tcMar>
            <w:vAlign w:val="top"/>
          </w:tcPr>
          <w:p>
            <w:pPr>
              <w:pStyle w:val="14"/>
              <w:spacing w:after="0" w:line="360" w:lineRule="auto"/>
              <w:rPr>
                <w:rFonts w:ascii="Times New Roman" w:hAnsi="Times New Roman" w:eastAsia="Times New Roman" w:cs="Times New Roman"/>
                <w:b w:val="0"/>
                <w:bCs w:val="0"/>
                <w:i w:val="0"/>
                <w:iCs w:val="0"/>
                <w:smallCaps w:val="0"/>
                <w:color w:val="auto"/>
                <w:highlight w:val="none"/>
              </w:rPr>
            </w:pPr>
            <w:r>
              <w:rPr>
                <w:rFonts w:ascii="FangSong_GB2312" w:hAnsi="FangSong_GB2312" w:eastAsia="FangSong_GB2312" w:cs="FangSong_GB2312"/>
                <w:b w:val="0"/>
                <w:bCs w:val="0"/>
                <w:i w:val="0"/>
                <w:iCs w:val="0"/>
                <w:smallCaps w:val="0"/>
                <w:color w:val="auto"/>
                <w:sz w:val="28"/>
                <w:szCs w:val="28"/>
                <w:highlight w:val="none"/>
              </w:rPr>
              <w:t>转满意度评价=(转满意度评价数/接通电话数)*100%服务满意度=(IVR满意度调查满意客户数/参与调查客户总数)*100%</w:t>
            </w:r>
          </w:p>
        </w:tc>
        <w:tc>
          <w:tcPr>
            <w:tcW w:w="1577" w:type="dxa"/>
            <w:tcBorders>
              <w:bottom w:val="single" w:color="000000" w:sz="8" w:space="0"/>
              <w:right w:val="single" w:color="000000" w:sz="8" w:space="0"/>
            </w:tcBorders>
            <w:noWrap w:val="0"/>
            <w:tcMar>
              <w:top w:w="0" w:type="dxa"/>
              <w:left w:w="0" w:type="dxa"/>
              <w:bottom w:w="0" w:type="dxa"/>
              <w:right w:w="0" w:type="dxa"/>
            </w:tcMar>
            <w:vAlign w:val="top"/>
          </w:tcPr>
          <w:p>
            <w:pPr>
              <w:pStyle w:val="14"/>
              <w:spacing w:after="0" w:line="360" w:lineRule="auto"/>
              <w:ind w:firstLine="420"/>
              <w:rPr>
                <w:rFonts w:ascii="Times New Roman" w:hAnsi="Times New Roman" w:eastAsia="Times New Roman" w:cs="Times New Roman"/>
                <w:b w:val="0"/>
                <w:bCs w:val="0"/>
                <w:i w:val="0"/>
                <w:iCs w:val="0"/>
                <w:smallCaps w:val="0"/>
                <w:color w:val="auto"/>
                <w:highlight w:val="none"/>
              </w:rPr>
            </w:pPr>
            <w:r>
              <w:rPr>
                <w:rFonts w:ascii="FangSong_GB2312" w:hAnsi="FangSong_GB2312" w:eastAsia="FangSong_GB2312" w:cs="FangSong_GB2312"/>
                <w:b w:val="0"/>
                <w:bCs w:val="0"/>
                <w:i w:val="0"/>
                <w:iCs w:val="0"/>
                <w:smallCaps w:val="0"/>
                <w:color w:val="auto"/>
                <w:sz w:val="28"/>
                <w:szCs w:val="28"/>
                <w:highlight w:val="none"/>
              </w:rPr>
              <w:t> </w:t>
            </w:r>
          </w:p>
          <w:p>
            <w:pPr>
              <w:pStyle w:val="14"/>
              <w:spacing w:before="240" w:after="0" w:line="360" w:lineRule="auto"/>
              <w:rPr>
                <w:rFonts w:ascii="Times New Roman" w:hAnsi="Times New Roman" w:eastAsia="Times New Roman" w:cs="Times New Roman"/>
                <w:b w:val="0"/>
                <w:bCs w:val="0"/>
                <w:i w:val="0"/>
                <w:iCs w:val="0"/>
                <w:smallCaps w:val="0"/>
                <w:color w:val="auto"/>
                <w:highlight w:val="none"/>
              </w:rPr>
            </w:pPr>
            <w:r>
              <w:rPr>
                <w:rFonts w:ascii="FangSong_GB2312" w:hAnsi="FangSong_GB2312" w:eastAsia="FangSong_GB2312" w:cs="FangSong_GB2312"/>
                <w:b w:val="0"/>
                <w:bCs w:val="0"/>
                <w:i w:val="0"/>
                <w:iCs w:val="0"/>
                <w:smallCaps w:val="0"/>
                <w:color w:val="auto"/>
                <w:sz w:val="28"/>
                <w:szCs w:val="28"/>
                <w:highlight w:val="none"/>
              </w:rPr>
              <w:t>转满意度评价达100%,满意率达到98%以上；</w:t>
            </w:r>
          </w:p>
        </w:tc>
        <w:tc>
          <w:tcPr>
            <w:tcW w:w="2048" w:type="dxa"/>
            <w:tcBorders>
              <w:bottom w:val="single" w:color="000000" w:sz="8" w:space="0"/>
              <w:right w:val="single" w:color="000000" w:sz="8" w:space="0"/>
            </w:tcBorders>
            <w:noWrap w:val="0"/>
            <w:tcMar>
              <w:top w:w="0" w:type="dxa"/>
              <w:left w:w="0" w:type="dxa"/>
              <w:bottom w:w="0" w:type="dxa"/>
              <w:right w:w="0" w:type="dxa"/>
            </w:tcMar>
            <w:vAlign w:val="top"/>
          </w:tcPr>
          <w:p>
            <w:pPr>
              <w:pStyle w:val="14"/>
              <w:spacing w:after="0" w:line="360" w:lineRule="auto"/>
              <w:rPr>
                <w:rFonts w:ascii="Times New Roman" w:hAnsi="Times New Roman" w:eastAsia="Times New Roman" w:cs="Times New Roman"/>
                <w:b w:val="0"/>
                <w:bCs w:val="0"/>
                <w:i w:val="0"/>
                <w:iCs w:val="0"/>
                <w:smallCaps w:val="0"/>
                <w:color w:val="auto"/>
                <w:highlight w:val="none"/>
              </w:rPr>
            </w:pPr>
            <w:r>
              <w:rPr>
                <w:rFonts w:ascii="FangSong_GB2312" w:hAnsi="FangSong_GB2312" w:eastAsia="FangSong_GB2312" w:cs="FangSong_GB2312"/>
                <w:b w:val="0"/>
                <w:bCs w:val="0"/>
                <w:i w:val="0"/>
                <w:iCs w:val="0"/>
                <w:smallCaps w:val="0"/>
                <w:color w:val="auto"/>
                <w:sz w:val="28"/>
                <w:szCs w:val="28"/>
                <w:highlight w:val="none"/>
              </w:rPr>
              <w:t>转满意度评价较目标值每下降2%扣1分；服务满意度较目标值每下降1%扣1分。扣完为止。</w:t>
            </w:r>
          </w:p>
        </w:tc>
      </w:tr>
      <w:tr>
        <w:tblPrEx>
          <w:tblCellMar>
            <w:top w:w="15" w:type="dxa"/>
            <w:left w:w="15" w:type="dxa"/>
            <w:bottom w:w="15" w:type="dxa"/>
            <w:right w:w="15" w:type="dxa"/>
          </w:tblCellMar>
        </w:tblPrEx>
        <w:trPr>
          <w:trHeight w:val="859" w:hRule="atLeast"/>
          <w:tblCellSpacing w:w="0" w:type="dxa"/>
        </w:trPr>
        <w:tc>
          <w:tcPr>
            <w:tcW w:w="1109" w:type="dxa"/>
            <w:tcBorders>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14"/>
              <w:spacing w:after="0" w:line="360" w:lineRule="auto"/>
              <w:ind w:firstLine="420"/>
              <w:rPr>
                <w:rFonts w:ascii="Times New Roman" w:hAnsi="Times New Roman" w:eastAsia="Times New Roman" w:cs="Times New Roman"/>
                <w:b w:val="0"/>
                <w:bCs w:val="0"/>
                <w:i w:val="0"/>
                <w:iCs w:val="0"/>
                <w:smallCaps w:val="0"/>
                <w:color w:val="auto"/>
                <w:highlight w:val="none"/>
              </w:rPr>
            </w:pPr>
            <w:r>
              <w:rPr>
                <w:rFonts w:ascii="FangSong_GB2312" w:hAnsi="FangSong_GB2312" w:eastAsia="FangSong_GB2312" w:cs="FangSong_GB2312"/>
                <w:b w:val="0"/>
                <w:bCs w:val="0"/>
                <w:i w:val="0"/>
                <w:iCs w:val="0"/>
                <w:smallCaps w:val="0"/>
                <w:color w:val="auto"/>
                <w:sz w:val="28"/>
                <w:szCs w:val="28"/>
                <w:highlight w:val="none"/>
              </w:rPr>
              <w:t> </w:t>
            </w:r>
          </w:p>
          <w:p>
            <w:pPr>
              <w:pStyle w:val="14"/>
              <w:spacing w:before="240" w:after="0" w:line="360" w:lineRule="auto"/>
              <w:rPr>
                <w:rFonts w:ascii="Times New Roman" w:hAnsi="Times New Roman" w:eastAsia="Times New Roman" w:cs="Times New Roman"/>
                <w:b w:val="0"/>
                <w:bCs w:val="0"/>
                <w:i w:val="0"/>
                <w:iCs w:val="0"/>
                <w:smallCaps w:val="0"/>
                <w:color w:val="auto"/>
                <w:highlight w:val="none"/>
              </w:rPr>
            </w:pPr>
            <w:r>
              <w:rPr>
                <w:rFonts w:ascii="FangSong_GB2312" w:hAnsi="FangSong_GB2312" w:eastAsia="FangSong_GB2312" w:cs="FangSong_GB2312"/>
                <w:b w:val="0"/>
                <w:bCs w:val="0"/>
                <w:i w:val="0"/>
                <w:iCs w:val="0"/>
                <w:smallCaps w:val="0"/>
                <w:color w:val="auto"/>
                <w:sz w:val="28"/>
                <w:szCs w:val="28"/>
                <w:highlight w:val="none"/>
              </w:rPr>
              <w:t>答复准确率</w:t>
            </w:r>
          </w:p>
        </w:tc>
        <w:tc>
          <w:tcPr>
            <w:tcW w:w="610" w:type="dxa"/>
            <w:tcBorders>
              <w:bottom w:val="single" w:color="000000" w:sz="8" w:space="0"/>
              <w:right w:val="single" w:color="000000" w:sz="8" w:space="0"/>
            </w:tcBorders>
            <w:noWrap w:val="0"/>
            <w:tcMar>
              <w:top w:w="0" w:type="dxa"/>
              <w:left w:w="0" w:type="dxa"/>
              <w:bottom w:w="0" w:type="dxa"/>
              <w:right w:w="0" w:type="dxa"/>
            </w:tcMar>
            <w:vAlign w:val="top"/>
          </w:tcPr>
          <w:p>
            <w:pPr>
              <w:pStyle w:val="14"/>
              <w:spacing w:after="0" w:line="360" w:lineRule="auto"/>
              <w:ind w:firstLine="420"/>
              <w:rPr>
                <w:rFonts w:ascii="Times New Roman" w:hAnsi="Times New Roman" w:eastAsia="Times New Roman" w:cs="Times New Roman"/>
                <w:b w:val="0"/>
                <w:bCs w:val="0"/>
                <w:i w:val="0"/>
                <w:iCs w:val="0"/>
                <w:smallCaps w:val="0"/>
                <w:color w:val="auto"/>
                <w:highlight w:val="none"/>
              </w:rPr>
            </w:pPr>
            <w:r>
              <w:rPr>
                <w:rFonts w:ascii="FangSong_GB2312" w:hAnsi="FangSong_GB2312" w:eastAsia="FangSong_GB2312" w:cs="FangSong_GB2312"/>
                <w:b w:val="0"/>
                <w:bCs w:val="0"/>
                <w:i w:val="0"/>
                <w:iCs w:val="0"/>
                <w:smallCaps w:val="0"/>
                <w:color w:val="auto"/>
                <w:sz w:val="28"/>
                <w:szCs w:val="28"/>
                <w:highlight w:val="none"/>
              </w:rPr>
              <w:t> </w:t>
            </w:r>
          </w:p>
          <w:p>
            <w:pPr>
              <w:pStyle w:val="14"/>
              <w:spacing w:before="240" w:after="0" w:line="360" w:lineRule="auto"/>
              <w:rPr>
                <w:rFonts w:ascii="Times New Roman" w:hAnsi="Times New Roman" w:eastAsia="Times New Roman" w:cs="Times New Roman"/>
                <w:b w:val="0"/>
                <w:bCs w:val="0"/>
                <w:i w:val="0"/>
                <w:iCs w:val="0"/>
                <w:smallCaps w:val="0"/>
                <w:color w:val="auto"/>
                <w:highlight w:val="none"/>
              </w:rPr>
            </w:pPr>
            <w:r>
              <w:rPr>
                <w:rFonts w:ascii="FangSong_GB2312" w:hAnsi="FangSong_GB2312" w:eastAsia="FangSong_GB2312" w:cs="FangSong_GB2312"/>
                <w:b w:val="0"/>
                <w:bCs w:val="0"/>
                <w:i w:val="0"/>
                <w:iCs w:val="0"/>
                <w:smallCaps w:val="0"/>
                <w:color w:val="auto"/>
                <w:sz w:val="28"/>
                <w:szCs w:val="28"/>
                <w:highlight w:val="none"/>
              </w:rPr>
              <w:t>25</w:t>
            </w:r>
          </w:p>
        </w:tc>
        <w:tc>
          <w:tcPr>
            <w:tcW w:w="3027" w:type="dxa"/>
            <w:tcBorders>
              <w:bottom w:val="single" w:color="000000" w:sz="8" w:space="0"/>
              <w:right w:val="single" w:color="000000" w:sz="8" w:space="0"/>
            </w:tcBorders>
            <w:noWrap w:val="0"/>
            <w:tcMar>
              <w:top w:w="0" w:type="dxa"/>
              <w:left w:w="0" w:type="dxa"/>
              <w:bottom w:w="0" w:type="dxa"/>
              <w:right w:w="0" w:type="dxa"/>
            </w:tcMar>
            <w:vAlign w:val="top"/>
          </w:tcPr>
          <w:p>
            <w:pPr>
              <w:pStyle w:val="14"/>
              <w:spacing w:after="0" w:line="360" w:lineRule="auto"/>
              <w:rPr>
                <w:rFonts w:ascii="Times New Roman" w:hAnsi="Times New Roman" w:eastAsia="Times New Roman" w:cs="Times New Roman"/>
                <w:b w:val="0"/>
                <w:bCs w:val="0"/>
                <w:i w:val="0"/>
                <w:iCs w:val="0"/>
                <w:smallCaps w:val="0"/>
                <w:color w:val="auto"/>
                <w:highlight w:val="none"/>
              </w:rPr>
            </w:pPr>
            <w:r>
              <w:rPr>
                <w:rFonts w:ascii="FangSong_GB2312" w:hAnsi="FangSong_GB2312" w:eastAsia="FangSong_GB2312" w:cs="FangSong_GB2312"/>
                <w:b w:val="0"/>
                <w:bCs w:val="0"/>
                <w:i w:val="0"/>
                <w:iCs w:val="0"/>
                <w:smallCaps w:val="0"/>
                <w:color w:val="auto"/>
                <w:sz w:val="28"/>
                <w:szCs w:val="28"/>
                <w:highlight w:val="none"/>
              </w:rPr>
              <w:t>答复准确率=(质检抽样准确数/质检抽样总数)*100%</w:t>
            </w:r>
          </w:p>
        </w:tc>
        <w:tc>
          <w:tcPr>
            <w:tcW w:w="1577" w:type="dxa"/>
            <w:tcBorders>
              <w:bottom w:val="single" w:color="000000" w:sz="8" w:space="0"/>
              <w:right w:val="single" w:color="000000" w:sz="8" w:space="0"/>
            </w:tcBorders>
            <w:noWrap w:val="0"/>
            <w:tcMar>
              <w:top w:w="0" w:type="dxa"/>
              <w:left w:w="0" w:type="dxa"/>
              <w:bottom w:w="0" w:type="dxa"/>
              <w:right w:w="0" w:type="dxa"/>
            </w:tcMar>
            <w:vAlign w:val="top"/>
          </w:tcPr>
          <w:p>
            <w:pPr>
              <w:pStyle w:val="14"/>
              <w:spacing w:after="0" w:line="360" w:lineRule="auto"/>
              <w:ind w:firstLine="420"/>
              <w:rPr>
                <w:rFonts w:ascii="Times New Roman" w:hAnsi="Times New Roman" w:eastAsia="Times New Roman" w:cs="Times New Roman"/>
                <w:b w:val="0"/>
                <w:bCs w:val="0"/>
                <w:i w:val="0"/>
                <w:iCs w:val="0"/>
                <w:smallCaps w:val="0"/>
                <w:color w:val="auto"/>
                <w:highlight w:val="none"/>
              </w:rPr>
            </w:pPr>
            <w:r>
              <w:rPr>
                <w:rFonts w:ascii="FangSong_GB2312" w:hAnsi="FangSong_GB2312" w:eastAsia="FangSong_GB2312" w:cs="FangSong_GB2312"/>
                <w:b w:val="0"/>
                <w:bCs w:val="0"/>
                <w:i w:val="0"/>
                <w:iCs w:val="0"/>
                <w:smallCaps w:val="0"/>
                <w:color w:val="auto"/>
                <w:sz w:val="28"/>
                <w:szCs w:val="28"/>
                <w:highlight w:val="none"/>
              </w:rPr>
              <w:t> </w:t>
            </w:r>
          </w:p>
          <w:p>
            <w:pPr>
              <w:pStyle w:val="14"/>
              <w:spacing w:before="240" w:after="0" w:line="360" w:lineRule="auto"/>
              <w:rPr>
                <w:rFonts w:ascii="Times New Roman" w:hAnsi="Times New Roman" w:eastAsia="Times New Roman" w:cs="Times New Roman"/>
                <w:b w:val="0"/>
                <w:bCs w:val="0"/>
                <w:i w:val="0"/>
                <w:iCs w:val="0"/>
                <w:smallCaps w:val="0"/>
                <w:color w:val="auto"/>
                <w:highlight w:val="none"/>
              </w:rPr>
            </w:pPr>
            <w:r>
              <w:rPr>
                <w:rFonts w:ascii="FangSong_GB2312" w:hAnsi="FangSong_GB2312" w:eastAsia="FangSong_GB2312" w:cs="FangSong_GB2312"/>
                <w:b w:val="0"/>
                <w:bCs w:val="0"/>
                <w:i w:val="0"/>
                <w:iCs w:val="0"/>
                <w:smallCaps w:val="0"/>
                <w:color w:val="auto"/>
                <w:sz w:val="28"/>
                <w:szCs w:val="28"/>
                <w:highlight w:val="none"/>
              </w:rPr>
              <w:t>平均90%以上(含)</w:t>
            </w:r>
          </w:p>
        </w:tc>
        <w:tc>
          <w:tcPr>
            <w:tcW w:w="2048" w:type="dxa"/>
            <w:tcBorders>
              <w:bottom w:val="single" w:color="000000" w:sz="8" w:space="0"/>
              <w:right w:val="single" w:color="000000" w:sz="8" w:space="0"/>
            </w:tcBorders>
            <w:noWrap w:val="0"/>
            <w:tcMar>
              <w:top w:w="0" w:type="dxa"/>
              <w:left w:w="0" w:type="dxa"/>
              <w:bottom w:w="0" w:type="dxa"/>
              <w:right w:w="0" w:type="dxa"/>
            </w:tcMar>
            <w:vAlign w:val="top"/>
          </w:tcPr>
          <w:p>
            <w:pPr>
              <w:pStyle w:val="14"/>
              <w:spacing w:after="0" w:line="360" w:lineRule="auto"/>
              <w:rPr>
                <w:rFonts w:ascii="Times New Roman" w:hAnsi="Times New Roman" w:eastAsia="Times New Roman" w:cs="Times New Roman"/>
                <w:b w:val="0"/>
                <w:bCs w:val="0"/>
                <w:i w:val="0"/>
                <w:iCs w:val="0"/>
                <w:smallCaps w:val="0"/>
                <w:color w:val="auto"/>
                <w:highlight w:val="none"/>
              </w:rPr>
            </w:pPr>
            <w:r>
              <w:rPr>
                <w:rFonts w:ascii="FangSong_GB2312" w:hAnsi="FangSong_GB2312" w:eastAsia="FangSong_GB2312" w:cs="FangSong_GB2312"/>
                <w:b w:val="0"/>
                <w:bCs w:val="0"/>
                <w:i w:val="0"/>
                <w:iCs w:val="0"/>
                <w:smallCaps w:val="0"/>
                <w:color w:val="auto"/>
                <w:sz w:val="28"/>
                <w:szCs w:val="28"/>
                <w:highlight w:val="none"/>
              </w:rPr>
              <w:t>答复准确率较目标值每下 降1%扣2分。扣完为止。</w:t>
            </w:r>
          </w:p>
        </w:tc>
      </w:tr>
      <w:tr>
        <w:trPr>
          <w:trHeight w:val="619" w:hRule="atLeast"/>
          <w:tblCellSpacing w:w="0" w:type="dxa"/>
        </w:trPr>
        <w:tc>
          <w:tcPr>
            <w:tcW w:w="1109" w:type="dxa"/>
            <w:tcBorders>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14"/>
              <w:spacing w:after="0" w:line="360" w:lineRule="auto"/>
              <w:ind w:firstLine="420"/>
              <w:rPr>
                <w:rFonts w:ascii="Times New Roman" w:hAnsi="Times New Roman" w:eastAsia="Times New Roman" w:cs="Times New Roman"/>
                <w:b w:val="0"/>
                <w:bCs w:val="0"/>
                <w:i w:val="0"/>
                <w:iCs w:val="0"/>
                <w:smallCaps w:val="0"/>
                <w:color w:val="auto"/>
                <w:highlight w:val="none"/>
              </w:rPr>
            </w:pPr>
            <w:r>
              <w:rPr>
                <w:rFonts w:ascii="FangSong_GB2312" w:hAnsi="FangSong_GB2312" w:eastAsia="FangSong_GB2312" w:cs="FangSong_GB2312"/>
                <w:b w:val="0"/>
                <w:bCs w:val="0"/>
                <w:i w:val="0"/>
                <w:iCs w:val="0"/>
                <w:smallCaps w:val="0"/>
                <w:color w:val="auto"/>
                <w:sz w:val="28"/>
                <w:szCs w:val="28"/>
                <w:highlight w:val="none"/>
              </w:rPr>
              <w:t> </w:t>
            </w:r>
          </w:p>
          <w:p>
            <w:pPr>
              <w:pStyle w:val="14"/>
              <w:spacing w:before="240" w:after="0" w:line="360" w:lineRule="auto"/>
              <w:rPr>
                <w:rFonts w:ascii="Times New Roman" w:hAnsi="Times New Roman" w:eastAsia="Times New Roman" w:cs="Times New Roman"/>
                <w:b w:val="0"/>
                <w:bCs w:val="0"/>
                <w:i w:val="0"/>
                <w:iCs w:val="0"/>
                <w:smallCaps w:val="0"/>
                <w:color w:val="auto"/>
                <w:highlight w:val="none"/>
              </w:rPr>
            </w:pPr>
            <w:r>
              <w:rPr>
                <w:rFonts w:ascii="FangSong_GB2312" w:hAnsi="FangSong_GB2312" w:eastAsia="FangSong_GB2312" w:cs="FangSong_GB2312"/>
                <w:b w:val="0"/>
                <w:bCs w:val="0"/>
                <w:i w:val="0"/>
                <w:iCs w:val="0"/>
                <w:smallCaps w:val="0"/>
                <w:color w:val="auto"/>
                <w:sz w:val="28"/>
                <w:szCs w:val="28"/>
                <w:highlight w:val="none"/>
              </w:rPr>
              <w:t>员工出勤率</w:t>
            </w:r>
          </w:p>
        </w:tc>
        <w:tc>
          <w:tcPr>
            <w:tcW w:w="610" w:type="dxa"/>
            <w:tcBorders>
              <w:bottom w:val="single" w:color="000000" w:sz="8" w:space="0"/>
              <w:right w:val="single" w:color="000000" w:sz="8" w:space="0"/>
            </w:tcBorders>
            <w:noWrap w:val="0"/>
            <w:tcMar>
              <w:top w:w="0" w:type="dxa"/>
              <w:left w:w="0" w:type="dxa"/>
              <w:bottom w:w="0" w:type="dxa"/>
              <w:right w:w="0" w:type="dxa"/>
            </w:tcMar>
            <w:vAlign w:val="top"/>
          </w:tcPr>
          <w:p>
            <w:pPr>
              <w:pStyle w:val="14"/>
              <w:spacing w:after="0" w:line="360" w:lineRule="auto"/>
              <w:ind w:firstLine="420"/>
              <w:rPr>
                <w:rFonts w:ascii="Times New Roman" w:hAnsi="Times New Roman" w:eastAsia="Times New Roman" w:cs="Times New Roman"/>
                <w:b w:val="0"/>
                <w:bCs w:val="0"/>
                <w:i w:val="0"/>
                <w:iCs w:val="0"/>
                <w:smallCaps w:val="0"/>
                <w:color w:val="auto"/>
                <w:highlight w:val="none"/>
              </w:rPr>
            </w:pPr>
            <w:r>
              <w:rPr>
                <w:rFonts w:ascii="FangSong_GB2312" w:hAnsi="FangSong_GB2312" w:eastAsia="FangSong_GB2312" w:cs="FangSong_GB2312"/>
                <w:b w:val="0"/>
                <w:bCs w:val="0"/>
                <w:i w:val="0"/>
                <w:iCs w:val="0"/>
                <w:smallCaps w:val="0"/>
                <w:color w:val="auto"/>
                <w:sz w:val="28"/>
                <w:szCs w:val="28"/>
                <w:highlight w:val="none"/>
              </w:rPr>
              <w:t> </w:t>
            </w:r>
          </w:p>
          <w:p>
            <w:pPr>
              <w:pStyle w:val="14"/>
              <w:spacing w:before="240" w:after="0" w:line="360" w:lineRule="auto"/>
              <w:rPr>
                <w:rFonts w:ascii="Times New Roman" w:hAnsi="Times New Roman" w:eastAsia="Times New Roman" w:cs="Times New Roman"/>
                <w:b w:val="0"/>
                <w:bCs w:val="0"/>
                <w:i w:val="0"/>
                <w:iCs w:val="0"/>
                <w:smallCaps w:val="0"/>
                <w:color w:val="auto"/>
                <w:highlight w:val="none"/>
              </w:rPr>
            </w:pPr>
            <w:r>
              <w:rPr>
                <w:rFonts w:ascii="FangSong_GB2312" w:hAnsi="FangSong_GB2312" w:eastAsia="FangSong_GB2312" w:cs="FangSong_GB2312"/>
                <w:b w:val="0"/>
                <w:bCs w:val="0"/>
                <w:i w:val="0"/>
                <w:iCs w:val="0"/>
                <w:smallCaps w:val="0"/>
                <w:color w:val="auto"/>
                <w:sz w:val="28"/>
                <w:szCs w:val="28"/>
                <w:highlight w:val="none"/>
              </w:rPr>
              <w:t>10</w:t>
            </w:r>
          </w:p>
        </w:tc>
        <w:tc>
          <w:tcPr>
            <w:tcW w:w="3027" w:type="dxa"/>
            <w:tcBorders>
              <w:bottom w:val="single" w:color="000000" w:sz="8" w:space="0"/>
              <w:right w:val="single" w:color="000000" w:sz="8" w:space="0"/>
            </w:tcBorders>
            <w:noWrap w:val="0"/>
            <w:tcMar>
              <w:top w:w="0" w:type="dxa"/>
              <w:left w:w="0" w:type="dxa"/>
              <w:bottom w:w="0" w:type="dxa"/>
              <w:right w:w="0" w:type="dxa"/>
            </w:tcMar>
            <w:vAlign w:val="top"/>
          </w:tcPr>
          <w:p>
            <w:pPr>
              <w:pStyle w:val="14"/>
              <w:spacing w:after="0" w:line="360" w:lineRule="auto"/>
              <w:rPr>
                <w:rFonts w:ascii="Times New Roman" w:hAnsi="Times New Roman" w:eastAsia="Times New Roman" w:cs="Times New Roman"/>
                <w:b w:val="0"/>
                <w:bCs w:val="0"/>
                <w:i w:val="0"/>
                <w:iCs w:val="0"/>
                <w:smallCaps w:val="0"/>
                <w:color w:val="auto"/>
                <w:highlight w:val="none"/>
              </w:rPr>
            </w:pPr>
            <w:r>
              <w:rPr>
                <w:rFonts w:ascii="FangSong_GB2312" w:hAnsi="FangSong_GB2312" w:eastAsia="FangSong_GB2312" w:cs="FangSong_GB2312"/>
                <w:b w:val="0"/>
                <w:bCs w:val="0"/>
                <w:i w:val="0"/>
                <w:iCs w:val="0"/>
                <w:smallCaps w:val="0"/>
                <w:color w:val="auto"/>
                <w:sz w:val="28"/>
                <w:szCs w:val="28"/>
                <w:highlight w:val="none"/>
              </w:rPr>
              <w:t>员工出勤率=(出勤天数/应出勤天数)*100%</w:t>
            </w:r>
          </w:p>
        </w:tc>
        <w:tc>
          <w:tcPr>
            <w:tcW w:w="1577" w:type="dxa"/>
            <w:tcBorders>
              <w:bottom w:val="single" w:color="000000" w:sz="8" w:space="0"/>
              <w:right w:val="single" w:color="000000" w:sz="8" w:space="0"/>
            </w:tcBorders>
            <w:noWrap w:val="0"/>
            <w:tcMar>
              <w:top w:w="0" w:type="dxa"/>
              <w:left w:w="0" w:type="dxa"/>
              <w:bottom w:w="0" w:type="dxa"/>
              <w:right w:w="0" w:type="dxa"/>
            </w:tcMar>
            <w:vAlign w:val="top"/>
          </w:tcPr>
          <w:p>
            <w:pPr>
              <w:pStyle w:val="14"/>
              <w:spacing w:after="0" w:line="360" w:lineRule="auto"/>
              <w:ind w:firstLine="420"/>
              <w:rPr>
                <w:rFonts w:ascii="Times New Roman" w:hAnsi="Times New Roman" w:eastAsia="Times New Roman" w:cs="Times New Roman"/>
                <w:b w:val="0"/>
                <w:bCs w:val="0"/>
                <w:i w:val="0"/>
                <w:iCs w:val="0"/>
                <w:smallCaps w:val="0"/>
                <w:color w:val="auto"/>
                <w:highlight w:val="none"/>
              </w:rPr>
            </w:pPr>
            <w:r>
              <w:rPr>
                <w:rFonts w:ascii="FangSong_GB2312" w:hAnsi="FangSong_GB2312" w:eastAsia="FangSong_GB2312" w:cs="FangSong_GB2312"/>
                <w:b w:val="0"/>
                <w:bCs w:val="0"/>
                <w:i w:val="0"/>
                <w:iCs w:val="0"/>
                <w:smallCaps w:val="0"/>
                <w:color w:val="auto"/>
                <w:sz w:val="28"/>
                <w:szCs w:val="28"/>
                <w:highlight w:val="none"/>
              </w:rPr>
              <w:t> </w:t>
            </w:r>
          </w:p>
          <w:p>
            <w:pPr>
              <w:pStyle w:val="14"/>
              <w:spacing w:before="240" w:after="0" w:line="360" w:lineRule="auto"/>
              <w:rPr>
                <w:rFonts w:ascii="Times New Roman" w:hAnsi="Times New Roman" w:eastAsia="Times New Roman" w:cs="Times New Roman"/>
                <w:b w:val="0"/>
                <w:bCs w:val="0"/>
                <w:i w:val="0"/>
                <w:iCs w:val="0"/>
                <w:smallCaps w:val="0"/>
                <w:color w:val="auto"/>
                <w:highlight w:val="none"/>
              </w:rPr>
            </w:pPr>
            <w:r>
              <w:rPr>
                <w:rFonts w:ascii="FangSong_GB2312" w:hAnsi="FangSong_GB2312" w:eastAsia="FangSong_GB2312" w:cs="FangSong_GB2312"/>
                <w:b w:val="0"/>
                <w:bCs w:val="0"/>
                <w:i w:val="0"/>
                <w:iCs w:val="0"/>
                <w:smallCaps w:val="0"/>
                <w:color w:val="auto"/>
                <w:sz w:val="28"/>
                <w:szCs w:val="28"/>
                <w:highlight w:val="none"/>
              </w:rPr>
              <w:t>平均90%以上(含)</w:t>
            </w:r>
          </w:p>
        </w:tc>
        <w:tc>
          <w:tcPr>
            <w:tcW w:w="2048" w:type="dxa"/>
            <w:tcBorders>
              <w:bottom w:val="single" w:color="000000" w:sz="8" w:space="0"/>
              <w:right w:val="single" w:color="000000" w:sz="8" w:space="0"/>
            </w:tcBorders>
            <w:noWrap w:val="0"/>
            <w:tcMar>
              <w:top w:w="0" w:type="dxa"/>
              <w:left w:w="0" w:type="dxa"/>
              <w:bottom w:w="0" w:type="dxa"/>
              <w:right w:w="0" w:type="dxa"/>
            </w:tcMar>
            <w:vAlign w:val="top"/>
          </w:tcPr>
          <w:p>
            <w:pPr>
              <w:pStyle w:val="14"/>
              <w:spacing w:after="0" w:line="360" w:lineRule="auto"/>
              <w:rPr>
                <w:rFonts w:ascii="Times New Roman" w:hAnsi="Times New Roman" w:eastAsia="Times New Roman" w:cs="Times New Roman"/>
                <w:b w:val="0"/>
                <w:bCs w:val="0"/>
                <w:i w:val="0"/>
                <w:iCs w:val="0"/>
                <w:smallCaps w:val="0"/>
                <w:color w:val="auto"/>
                <w:highlight w:val="none"/>
              </w:rPr>
            </w:pPr>
            <w:r>
              <w:rPr>
                <w:rFonts w:ascii="FangSong_GB2312" w:hAnsi="FangSong_GB2312" w:eastAsia="FangSong_GB2312" w:cs="FangSong_GB2312"/>
                <w:b w:val="0"/>
                <w:bCs w:val="0"/>
                <w:i w:val="0"/>
                <w:iCs w:val="0"/>
                <w:smallCaps w:val="0"/>
                <w:color w:val="auto"/>
                <w:sz w:val="28"/>
                <w:szCs w:val="28"/>
                <w:highlight w:val="none"/>
              </w:rPr>
              <w:t>员工出勤率较目标值每下 降1%扣1分。扣完为止。</w:t>
            </w:r>
          </w:p>
        </w:tc>
      </w:tr>
      <w:tr>
        <w:trPr>
          <w:trHeight w:val="969" w:hRule="atLeast"/>
          <w:tblCellSpacing w:w="0" w:type="dxa"/>
        </w:trPr>
        <w:tc>
          <w:tcPr>
            <w:tcW w:w="1109" w:type="dxa"/>
            <w:tcBorders>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14"/>
              <w:spacing w:after="0" w:line="360" w:lineRule="auto"/>
              <w:ind w:firstLine="420"/>
              <w:rPr>
                <w:rFonts w:ascii="Times New Roman" w:hAnsi="Times New Roman" w:eastAsia="Times New Roman" w:cs="Times New Roman"/>
                <w:b w:val="0"/>
                <w:bCs w:val="0"/>
                <w:i w:val="0"/>
                <w:iCs w:val="0"/>
                <w:smallCaps w:val="0"/>
                <w:color w:val="auto"/>
                <w:highlight w:val="none"/>
              </w:rPr>
            </w:pPr>
            <w:r>
              <w:rPr>
                <w:rFonts w:ascii="FangSong_GB2312" w:hAnsi="FangSong_GB2312" w:eastAsia="FangSong_GB2312" w:cs="FangSong_GB2312"/>
                <w:b w:val="0"/>
                <w:bCs w:val="0"/>
                <w:i w:val="0"/>
                <w:iCs w:val="0"/>
                <w:smallCaps w:val="0"/>
                <w:color w:val="auto"/>
                <w:sz w:val="28"/>
                <w:szCs w:val="28"/>
                <w:highlight w:val="none"/>
              </w:rPr>
              <w:t> </w:t>
            </w:r>
          </w:p>
          <w:p>
            <w:pPr>
              <w:pStyle w:val="14"/>
              <w:spacing w:before="240" w:after="0" w:line="360" w:lineRule="auto"/>
              <w:rPr>
                <w:rFonts w:ascii="Times New Roman" w:hAnsi="Times New Roman" w:eastAsia="Times New Roman" w:cs="Times New Roman"/>
                <w:b w:val="0"/>
                <w:bCs w:val="0"/>
                <w:i w:val="0"/>
                <w:iCs w:val="0"/>
                <w:smallCaps w:val="0"/>
                <w:color w:val="auto"/>
                <w:highlight w:val="none"/>
              </w:rPr>
            </w:pPr>
            <w:r>
              <w:rPr>
                <w:rFonts w:ascii="FangSong_GB2312" w:hAnsi="FangSong_GB2312" w:eastAsia="FangSong_GB2312" w:cs="FangSong_GB2312"/>
                <w:b w:val="0"/>
                <w:bCs w:val="0"/>
                <w:i w:val="0"/>
                <w:iCs w:val="0"/>
                <w:smallCaps w:val="0"/>
                <w:color w:val="auto"/>
                <w:sz w:val="28"/>
                <w:szCs w:val="28"/>
                <w:highlight w:val="none"/>
              </w:rPr>
              <w:t>员工培训</w:t>
            </w:r>
          </w:p>
        </w:tc>
        <w:tc>
          <w:tcPr>
            <w:tcW w:w="610" w:type="dxa"/>
            <w:tcBorders>
              <w:bottom w:val="single" w:color="000000" w:sz="8" w:space="0"/>
              <w:right w:val="single" w:color="000000" w:sz="8" w:space="0"/>
            </w:tcBorders>
            <w:noWrap w:val="0"/>
            <w:tcMar>
              <w:top w:w="0" w:type="dxa"/>
              <w:left w:w="0" w:type="dxa"/>
              <w:bottom w:w="0" w:type="dxa"/>
              <w:right w:w="0" w:type="dxa"/>
            </w:tcMar>
            <w:vAlign w:val="top"/>
          </w:tcPr>
          <w:p>
            <w:pPr>
              <w:pStyle w:val="14"/>
              <w:spacing w:after="0" w:line="360" w:lineRule="auto"/>
              <w:ind w:firstLine="420"/>
              <w:rPr>
                <w:rFonts w:ascii="Times New Roman" w:hAnsi="Times New Roman" w:eastAsia="Times New Roman" w:cs="Times New Roman"/>
                <w:b w:val="0"/>
                <w:bCs w:val="0"/>
                <w:i w:val="0"/>
                <w:iCs w:val="0"/>
                <w:smallCaps w:val="0"/>
                <w:color w:val="auto"/>
                <w:highlight w:val="none"/>
              </w:rPr>
            </w:pPr>
            <w:r>
              <w:rPr>
                <w:rFonts w:ascii="FangSong_GB2312" w:hAnsi="FangSong_GB2312" w:eastAsia="FangSong_GB2312" w:cs="FangSong_GB2312"/>
                <w:b w:val="0"/>
                <w:bCs w:val="0"/>
                <w:i w:val="0"/>
                <w:iCs w:val="0"/>
                <w:smallCaps w:val="0"/>
                <w:color w:val="auto"/>
                <w:sz w:val="28"/>
                <w:szCs w:val="28"/>
                <w:highlight w:val="none"/>
              </w:rPr>
              <w:t> </w:t>
            </w:r>
          </w:p>
          <w:p>
            <w:pPr>
              <w:pStyle w:val="14"/>
              <w:spacing w:before="240" w:after="0" w:line="360" w:lineRule="auto"/>
              <w:rPr>
                <w:rFonts w:ascii="Times New Roman" w:hAnsi="Times New Roman" w:eastAsia="Times New Roman" w:cs="Times New Roman"/>
                <w:b w:val="0"/>
                <w:bCs w:val="0"/>
                <w:i w:val="0"/>
                <w:iCs w:val="0"/>
                <w:smallCaps w:val="0"/>
                <w:color w:val="auto"/>
                <w:highlight w:val="none"/>
              </w:rPr>
            </w:pPr>
            <w:r>
              <w:rPr>
                <w:rFonts w:ascii="FangSong_GB2312" w:hAnsi="FangSong_GB2312" w:eastAsia="FangSong_GB2312" w:cs="FangSong_GB2312"/>
                <w:b w:val="0"/>
                <w:bCs w:val="0"/>
                <w:i w:val="0"/>
                <w:iCs w:val="0"/>
                <w:smallCaps w:val="0"/>
                <w:color w:val="auto"/>
                <w:sz w:val="28"/>
                <w:szCs w:val="28"/>
                <w:highlight w:val="none"/>
              </w:rPr>
              <w:t>5</w:t>
            </w:r>
          </w:p>
        </w:tc>
        <w:tc>
          <w:tcPr>
            <w:tcW w:w="3027" w:type="dxa"/>
            <w:tcBorders>
              <w:bottom w:val="single" w:color="000000" w:sz="8" w:space="0"/>
              <w:right w:val="single" w:color="000000" w:sz="8" w:space="0"/>
            </w:tcBorders>
            <w:noWrap w:val="0"/>
            <w:tcMar>
              <w:top w:w="0" w:type="dxa"/>
              <w:left w:w="0" w:type="dxa"/>
              <w:bottom w:w="0" w:type="dxa"/>
              <w:right w:w="0" w:type="dxa"/>
            </w:tcMar>
            <w:vAlign w:val="top"/>
          </w:tcPr>
          <w:p>
            <w:pPr>
              <w:pStyle w:val="14"/>
              <w:spacing w:after="0" w:line="360" w:lineRule="auto"/>
              <w:rPr>
                <w:rFonts w:ascii="Times New Roman" w:hAnsi="Times New Roman" w:eastAsia="Times New Roman" w:cs="Times New Roman"/>
                <w:b w:val="0"/>
                <w:bCs w:val="0"/>
                <w:i w:val="0"/>
                <w:iCs w:val="0"/>
                <w:smallCaps w:val="0"/>
                <w:color w:val="auto"/>
                <w:highlight w:val="none"/>
              </w:rPr>
            </w:pPr>
            <w:r>
              <w:rPr>
                <w:rFonts w:ascii="FangSong_GB2312" w:hAnsi="FangSong_GB2312" w:eastAsia="FangSong_GB2312" w:cs="FangSong_GB2312"/>
                <w:b w:val="0"/>
                <w:bCs w:val="0"/>
                <w:i w:val="0"/>
                <w:iCs w:val="0"/>
                <w:smallCaps w:val="0"/>
                <w:color w:val="auto"/>
                <w:sz w:val="28"/>
                <w:szCs w:val="28"/>
                <w:highlight w:val="none"/>
              </w:rPr>
              <w:t>每月至少组织2次专项培训，每月制定培训方案和情况记录</w:t>
            </w:r>
          </w:p>
        </w:tc>
        <w:tc>
          <w:tcPr>
            <w:tcW w:w="1577" w:type="dxa"/>
            <w:tcBorders>
              <w:bottom w:val="single" w:color="000000" w:sz="8" w:space="0"/>
              <w:right w:val="single" w:color="000000" w:sz="8" w:space="0"/>
            </w:tcBorders>
            <w:noWrap w:val="0"/>
            <w:tcMar>
              <w:top w:w="0" w:type="dxa"/>
              <w:left w:w="0" w:type="dxa"/>
              <w:bottom w:w="0" w:type="dxa"/>
              <w:right w:w="0" w:type="dxa"/>
            </w:tcMar>
            <w:vAlign w:val="top"/>
          </w:tcPr>
          <w:p>
            <w:pPr>
              <w:pStyle w:val="14"/>
              <w:spacing w:after="0" w:line="360" w:lineRule="auto"/>
              <w:rPr>
                <w:rFonts w:ascii="Times New Roman" w:hAnsi="Times New Roman" w:eastAsia="Times New Roman" w:cs="Times New Roman"/>
                <w:b w:val="0"/>
                <w:bCs w:val="0"/>
                <w:i w:val="0"/>
                <w:iCs w:val="0"/>
                <w:smallCaps w:val="0"/>
                <w:color w:val="auto"/>
                <w:highlight w:val="none"/>
              </w:rPr>
            </w:pPr>
            <w:r>
              <w:rPr>
                <w:rFonts w:ascii="FangSong_GB2312" w:hAnsi="FangSong_GB2312" w:eastAsia="FangSong_GB2312" w:cs="FangSong_GB2312"/>
                <w:b w:val="0"/>
                <w:bCs w:val="0"/>
                <w:i w:val="0"/>
                <w:iCs w:val="0"/>
                <w:smallCaps w:val="0"/>
                <w:color w:val="auto"/>
                <w:sz w:val="28"/>
                <w:szCs w:val="28"/>
                <w:highlight w:val="none"/>
              </w:rPr>
              <w:t>月均2次专项培训，并制定培训方案</w:t>
            </w:r>
          </w:p>
        </w:tc>
        <w:tc>
          <w:tcPr>
            <w:tcW w:w="2048" w:type="dxa"/>
            <w:tcBorders>
              <w:bottom w:val="single" w:color="000000" w:sz="8" w:space="0"/>
              <w:right w:val="single" w:color="000000" w:sz="8" w:space="0"/>
            </w:tcBorders>
            <w:noWrap w:val="0"/>
            <w:tcMar>
              <w:top w:w="0" w:type="dxa"/>
              <w:left w:w="0" w:type="dxa"/>
              <w:bottom w:w="0" w:type="dxa"/>
              <w:right w:w="0" w:type="dxa"/>
            </w:tcMar>
            <w:vAlign w:val="top"/>
          </w:tcPr>
          <w:p>
            <w:pPr>
              <w:pStyle w:val="14"/>
              <w:spacing w:after="0" w:line="360" w:lineRule="auto"/>
              <w:rPr>
                <w:rFonts w:ascii="Times New Roman" w:hAnsi="Times New Roman" w:eastAsia="Times New Roman" w:cs="Times New Roman"/>
                <w:b w:val="0"/>
                <w:bCs w:val="0"/>
                <w:i w:val="0"/>
                <w:iCs w:val="0"/>
                <w:smallCaps w:val="0"/>
                <w:color w:val="auto"/>
                <w:highlight w:val="none"/>
              </w:rPr>
            </w:pPr>
            <w:r>
              <w:rPr>
                <w:rFonts w:ascii="FangSong_GB2312" w:hAnsi="FangSong_GB2312" w:eastAsia="FangSong_GB2312" w:cs="FangSong_GB2312"/>
                <w:b w:val="0"/>
                <w:bCs w:val="0"/>
                <w:i w:val="0"/>
                <w:iCs w:val="0"/>
                <w:smallCaps w:val="0"/>
                <w:color w:val="auto"/>
                <w:sz w:val="28"/>
                <w:szCs w:val="28"/>
                <w:highlight w:val="none"/>
              </w:rPr>
              <w:t>每少一次培训扣1分，扣完为止。</w:t>
            </w:r>
          </w:p>
        </w:tc>
      </w:tr>
      <w:tr>
        <w:trPr>
          <w:trHeight w:val="629" w:hRule="atLeast"/>
          <w:tblCellSpacing w:w="0" w:type="dxa"/>
        </w:trPr>
        <w:tc>
          <w:tcPr>
            <w:tcW w:w="1109" w:type="dxa"/>
            <w:tcBorders>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14"/>
              <w:spacing w:after="0" w:line="360" w:lineRule="auto"/>
              <w:rPr>
                <w:rFonts w:ascii="Times New Roman" w:hAnsi="Times New Roman" w:eastAsia="Times New Roman" w:cs="Times New Roman"/>
                <w:b w:val="0"/>
                <w:bCs w:val="0"/>
                <w:i w:val="0"/>
                <w:iCs w:val="0"/>
                <w:smallCaps w:val="0"/>
                <w:color w:val="auto"/>
                <w:highlight w:val="none"/>
              </w:rPr>
            </w:pPr>
            <w:r>
              <w:rPr>
                <w:rFonts w:ascii="FangSong_GB2312" w:hAnsi="FangSong_GB2312" w:eastAsia="FangSong_GB2312" w:cs="FangSong_GB2312"/>
                <w:b w:val="0"/>
                <w:bCs w:val="0"/>
                <w:i w:val="0"/>
                <w:iCs w:val="0"/>
                <w:smallCaps w:val="0"/>
                <w:color w:val="auto"/>
                <w:sz w:val="28"/>
                <w:szCs w:val="28"/>
                <w:highlight w:val="none"/>
              </w:rPr>
              <w:t>服务投诉</w:t>
            </w:r>
          </w:p>
        </w:tc>
        <w:tc>
          <w:tcPr>
            <w:tcW w:w="610" w:type="dxa"/>
            <w:tcBorders>
              <w:bottom w:val="single" w:color="000000" w:sz="8" w:space="0"/>
              <w:right w:val="single" w:color="000000" w:sz="8" w:space="0"/>
            </w:tcBorders>
            <w:noWrap w:val="0"/>
            <w:tcMar>
              <w:top w:w="0" w:type="dxa"/>
              <w:left w:w="0" w:type="dxa"/>
              <w:bottom w:w="0" w:type="dxa"/>
              <w:right w:w="0" w:type="dxa"/>
            </w:tcMar>
            <w:vAlign w:val="top"/>
          </w:tcPr>
          <w:p>
            <w:pPr>
              <w:pStyle w:val="14"/>
              <w:spacing w:after="0" w:line="360" w:lineRule="auto"/>
              <w:rPr>
                <w:rFonts w:ascii="Times New Roman" w:hAnsi="Times New Roman" w:eastAsia="Times New Roman" w:cs="Times New Roman"/>
                <w:b w:val="0"/>
                <w:bCs w:val="0"/>
                <w:i w:val="0"/>
                <w:iCs w:val="0"/>
                <w:smallCaps w:val="0"/>
                <w:color w:val="auto"/>
                <w:highlight w:val="none"/>
              </w:rPr>
            </w:pPr>
            <w:r>
              <w:rPr>
                <w:rFonts w:ascii="FangSong_GB2312" w:hAnsi="FangSong_GB2312" w:eastAsia="FangSong_GB2312" w:cs="FangSong_GB2312"/>
                <w:b w:val="0"/>
                <w:bCs w:val="0"/>
                <w:i w:val="0"/>
                <w:iCs w:val="0"/>
                <w:smallCaps w:val="0"/>
                <w:color w:val="auto"/>
                <w:sz w:val="28"/>
                <w:szCs w:val="28"/>
                <w:highlight w:val="none"/>
              </w:rPr>
              <w:t>10</w:t>
            </w:r>
          </w:p>
        </w:tc>
        <w:tc>
          <w:tcPr>
            <w:tcW w:w="3027" w:type="dxa"/>
            <w:tcBorders>
              <w:bottom w:val="single" w:color="000000" w:sz="8" w:space="0"/>
              <w:right w:val="single" w:color="000000" w:sz="8" w:space="0"/>
            </w:tcBorders>
            <w:noWrap w:val="0"/>
            <w:tcMar>
              <w:top w:w="0" w:type="dxa"/>
              <w:left w:w="0" w:type="dxa"/>
              <w:bottom w:w="0" w:type="dxa"/>
              <w:right w:w="0" w:type="dxa"/>
            </w:tcMar>
            <w:vAlign w:val="top"/>
          </w:tcPr>
          <w:p>
            <w:pPr>
              <w:pStyle w:val="14"/>
              <w:spacing w:after="0" w:line="360" w:lineRule="auto"/>
              <w:rPr>
                <w:rFonts w:ascii="Times New Roman" w:hAnsi="Times New Roman" w:eastAsia="Times New Roman" w:cs="Times New Roman"/>
                <w:b w:val="0"/>
                <w:bCs w:val="0"/>
                <w:i w:val="0"/>
                <w:iCs w:val="0"/>
                <w:smallCaps w:val="0"/>
                <w:color w:val="auto"/>
                <w:highlight w:val="none"/>
              </w:rPr>
            </w:pPr>
            <w:r>
              <w:rPr>
                <w:rFonts w:ascii="FangSong_GB2312" w:hAnsi="FangSong_GB2312" w:eastAsia="FangSong_GB2312" w:cs="FangSong_GB2312"/>
                <w:b w:val="0"/>
                <w:bCs w:val="0"/>
                <w:i w:val="0"/>
                <w:iCs w:val="0"/>
                <w:smallCaps w:val="0"/>
                <w:color w:val="auto"/>
                <w:sz w:val="28"/>
                <w:szCs w:val="28"/>
                <w:highlight w:val="none"/>
              </w:rPr>
              <w:t>纳税人通过热线、网站、邮箱等方式投诉，经调查属实的</w:t>
            </w:r>
          </w:p>
        </w:tc>
        <w:tc>
          <w:tcPr>
            <w:tcW w:w="1577" w:type="dxa"/>
            <w:tcBorders>
              <w:bottom w:val="single" w:color="000000" w:sz="8" w:space="0"/>
              <w:right w:val="single" w:color="000000" w:sz="8" w:space="0"/>
            </w:tcBorders>
            <w:noWrap w:val="0"/>
            <w:tcMar>
              <w:top w:w="0" w:type="dxa"/>
              <w:left w:w="0" w:type="dxa"/>
              <w:bottom w:w="0" w:type="dxa"/>
              <w:right w:w="0" w:type="dxa"/>
            </w:tcMar>
            <w:vAlign w:val="top"/>
          </w:tcPr>
          <w:p>
            <w:pPr>
              <w:pStyle w:val="14"/>
              <w:spacing w:after="0" w:line="360" w:lineRule="auto"/>
              <w:rPr>
                <w:rFonts w:ascii="Times New Roman" w:hAnsi="Times New Roman" w:eastAsia="Times New Roman" w:cs="Times New Roman"/>
                <w:b w:val="0"/>
                <w:bCs w:val="0"/>
                <w:i w:val="0"/>
                <w:iCs w:val="0"/>
                <w:smallCaps w:val="0"/>
                <w:color w:val="auto"/>
                <w:highlight w:val="none"/>
              </w:rPr>
            </w:pPr>
            <w:r>
              <w:rPr>
                <w:rFonts w:ascii="FangSong_GB2312" w:hAnsi="FangSong_GB2312" w:eastAsia="FangSong_GB2312" w:cs="FangSong_GB2312"/>
                <w:b w:val="0"/>
                <w:bCs w:val="0"/>
                <w:i w:val="0"/>
                <w:iCs w:val="0"/>
                <w:smallCaps w:val="0"/>
                <w:color w:val="auto"/>
                <w:sz w:val="28"/>
                <w:szCs w:val="28"/>
                <w:highlight w:val="none"/>
              </w:rPr>
              <w:t>月均不超过2次</w:t>
            </w:r>
          </w:p>
        </w:tc>
        <w:tc>
          <w:tcPr>
            <w:tcW w:w="2048" w:type="dxa"/>
            <w:tcBorders>
              <w:bottom w:val="single" w:color="000000" w:sz="8" w:space="0"/>
              <w:right w:val="single" w:color="000000" w:sz="8" w:space="0"/>
            </w:tcBorders>
            <w:noWrap w:val="0"/>
            <w:tcMar>
              <w:top w:w="0" w:type="dxa"/>
              <w:left w:w="0" w:type="dxa"/>
              <w:bottom w:w="0" w:type="dxa"/>
              <w:right w:w="0" w:type="dxa"/>
            </w:tcMar>
            <w:vAlign w:val="top"/>
          </w:tcPr>
          <w:p>
            <w:pPr>
              <w:pStyle w:val="14"/>
              <w:spacing w:after="0" w:line="360" w:lineRule="auto"/>
              <w:rPr>
                <w:rFonts w:ascii="Times New Roman" w:hAnsi="Times New Roman" w:eastAsia="Times New Roman" w:cs="Times New Roman"/>
                <w:b w:val="0"/>
                <w:bCs w:val="0"/>
                <w:i w:val="0"/>
                <w:iCs w:val="0"/>
                <w:smallCaps w:val="0"/>
                <w:color w:val="auto"/>
                <w:highlight w:val="none"/>
              </w:rPr>
            </w:pPr>
            <w:r>
              <w:rPr>
                <w:rFonts w:ascii="FangSong_GB2312" w:hAnsi="FangSong_GB2312" w:eastAsia="FangSong_GB2312" w:cs="FangSong_GB2312"/>
                <w:b w:val="0"/>
                <w:bCs w:val="0"/>
                <w:i w:val="0"/>
                <w:iCs w:val="0"/>
                <w:smallCaps w:val="0"/>
                <w:color w:val="auto"/>
                <w:sz w:val="28"/>
                <w:szCs w:val="28"/>
                <w:highlight w:val="none"/>
              </w:rPr>
              <w:t>服务投诉超过目标值的，每次扣5分。扣完为止。</w:t>
            </w:r>
          </w:p>
        </w:tc>
      </w:tr>
      <w:tr>
        <w:tblPrEx>
          <w:tblCellMar>
            <w:top w:w="15" w:type="dxa"/>
            <w:left w:w="15" w:type="dxa"/>
            <w:bottom w:w="15" w:type="dxa"/>
            <w:right w:w="15" w:type="dxa"/>
          </w:tblCellMar>
        </w:tblPrEx>
        <w:trPr>
          <w:trHeight w:val="1264" w:hRule="atLeast"/>
          <w:tblCellSpacing w:w="0" w:type="dxa"/>
        </w:trPr>
        <w:tc>
          <w:tcPr>
            <w:tcW w:w="1109" w:type="dxa"/>
            <w:tcBorders>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14"/>
              <w:spacing w:after="0" w:line="360" w:lineRule="auto"/>
              <w:ind w:firstLine="420"/>
              <w:rPr>
                <w:rFonts w:ascii="Times New Roman" w:hAnsi="Times New Roman" w:eastAsia="Times New Roman" w:cs="Times New Roman"/>
                <w:b w:val="0"/>
                <w:bCs w:val="0"/>
                <w:i w:val="0"/>
                <w:iCs w:val="0"/>
                <w:smallCaps w:val="0"/>
                <w:color w:val="auto"/>
                <w:highlight w:val="none"/>
              </w:rPr>
            </w:pPr>
            <w:r>
              <w:rPr>
                <w:rFonts w:ascii="FangSong_GB2312" w:hAnsi="FangSong_GB2312" w:eastAsia="FangSong_GB2312" w:cs="FangSong_GB2312"/>
                <w:b w:val="0"/>
                <w:bCs w:val="0"/>
                <w:i w:val="0"/>
                <w:iCs w:val="0"/>
                <w:smallCaps w:val="0"/>
                <w:color w:val="auto"/>
                <w:sz w:val="28"/>
                <w:szCs w:val="28"/>
                <w:highlight w:val="none"/>
              </w:rPr>
              <w:t> </w:t>
            </w:r>
          </w:p>
          <w:p>
            <w:pPr>
              <w:pStyle w:val="14"/>
              <w:spacing w:before="240" w:after="0" w:line="360" w:lineRule="auto"/>
              <w:rPr>
                <w:rFonts w:ascii="Times New Roman" w:hAnsi="Times New Roman" w:eastAsia="Times New Roman" w:cs="Times New Roman"/>
                <w:b w:val="0"/>
                <w:bCs w:val="0"/>
                <w:i w:val="0"/>
                <w:iCs w:val="0"/>
                <w:smallCaps w:val="0"/>
                <w:color w:val="auto"/>
                <w:highlight w:val="none"/>
              </w:rPr>
            </w:pPr>
            <w:r>
              <w:rPr>
                <w:rFonts w:ascii="FangSong_GB2312" w:hAnsi="FangSong_GB2312" w:eastAsia="FangSong_GB2312" w:cs="FangSong_GB2312"/>
                <w:b w:val="0"/>
                <w:bCs w:val="0"/>
                <w:i w:val="0"/>
                <w:iCs w:val="0"/>
                <w:smallCaps w:val="0"/>
                <w:color w:val="auto"/>
                <w:sz w:val="28"/>
                <w:szCs w:val="28"/>
                <w:highlight w:val="none"/>
              </w:rPr>
              <w:t>员工的稳定性</w:t>
            </w:r>
          </w:p>
        </w:tc>
        <w:tc>
          <w:tcPr>
            <w:tcW w:w="610" w:type="dxa"/>
            <w:tcBorders>
              <w:bottom w:val="single" w:color="000000" w:sz="8" w:space="0"/>
              <w:right w:val="single" w:color="000000" w:sz="8" w:space="0"/>
            </w:tcBorders>
            <w:noWrap w:val="0"/>
            <w:tcMar>
              <w:top w:w="0" w:type="dxa"/>
              <w:left w:w="0" w:type="dxa"/>
              <w:bottom w:w="0" w:type="dxa"/>
              <w:right w:w="0" w:type="dxa"/>
            </w:tcMar>
            <w:vAlign w:val="top"/>
          </w:tcPr>
          <w:p>
            <w:pPr>
              <w:pStyle w:val="14"/>
              <w:spacing w:after="0" w:line="360" w:lineRule="auto"/>
              <w:ind w:firstLine="420"/>
              <w:rPr>
                <w:rFonts w:ascii="Times New Roman" w:hAnsi="Times New Roman" w:eastAsia="Times New Roman" w:cs="Times New Roman"/>
                <w:b w:val="0"/>
                <w:bCs w:val="0"/>
                <w:i w:val="0"/>
                <w:iCs w:val="0"/>
                <w:smallCaps w:val="0"/>
                <w:color w:val="auto"/>
                <w:highlight w:val="none"/>
              </w:rPr>
            </w:pPr>
            <w:r>
              <w:rPr>
                <w:rFonts w:ascii="FangSong_GB2312" w:hAnsi="FangSong_GB2312" w:eastAsia="FangSong_GB2312" w:cs="FangSong_GB2312"/>
                <w:b w:val="0"/>
                <w:bCs w:val="0"/>
                <w:i w:val="0"/>
                <w:iCs w:val="0"/>
                <w:smallCaps w:val="0"/>
                <w:color w:val="auto"/>
                <w:sz w:val="28"/>
                <w:szCs w:val="28"/>
                <w:highlight w:val="none"/>
              </w:rPr>
              <w:t> </w:t>
            </w:r>
          </w:p>
          <w:p>
            <w:pPr>
              <w:pStyle w:val="14"/>
              <w:spacing w:before="240" w:after="0" w:line="360" w:lineRule="auto"/>
              <w:rPr>
                <w:rFonts w:ascii="Times New Roman" w:hAnsi="Times New Roman" w:eastAsia="Times New Roman" w:cs="Times New Roman"/>
                <w:b w:val="0"/>
                <w:bCs w:val="0"/>
                <w:i w:val="0"/>
                <w:iCs w:val="0"/>
                <w:smallCaps w:val="0"/>
                <w:color w:val="auto"/>
                <w:highlight w:val="none"/>
              </w:rPr>
            </w:pPr>
            <w:r>
              <w:rPr>
                <w:rFonts w:ascii="FangSong_GB2312" w:hAnsi="FangSong_GB2312" w:eastAsia="FangSong_GB2312" w:cs="FangSong_GB2312"/>
                <w:b w:val="0"/>
                <w:bCs w:val="0"/>
                <w:i w:val="0"/>
                <w:iCs w:val="0"/>
                <w:smallCaps w:val="0"/>
                <w:color w:val="auto"/>
                <w:sz w:val="28"/>
                <w:szCs w:val="28"/>
                <w:highlight w:val="none"/>
              </w:rPr>
              <w:t>10</w:t>
            </w:r>
          </w:p>
        </w:tc>
        <w:tc>
          <w:tcPr>
            <w:tcW w:w="3027" w:type="dxa"/>
            <w:tcBorders>
              <w:bottom w:val="single" w:color="000000" w:sz="8" w:space="0"/>
              <w:right w:val="single" w:color="000000" w:sz="8" w:space="0"/>
            </w:tcBorders>
            <w:noWrap w:val="0"/>
            <w:tcMar>
              <w:top w:w="0" w:type="dxa"/>
              <w:left w:w="0" w:type="dxa"/>
              <w:bottom w:w="0" w:type="dxa"/>
              <w:right w:w="0" w:type="dxa"/>
            </w:tcMar>
            <w:vAlign w:val="top"/>
          </w:tcPr>
          <w:p>
            <w:pPr>
              <w:pStyle w:val="14"/>
              <w:spacing w:after="0" w:line="360" w:lineRule="auto"/>
              <w:rPr>
                <w:rFonts w:ascii="Times New Roman" w:hAnsi="Times New Roman" w:eastAsia="Times New Roman" w:cs="Times New Roman"/>
                <w:b w:val="0"/>
                <w:bCs w:val="0"/>
                <w:i w:val="0"/>
                <w:iCs w:val="0"/>
                <w:smallCaps w:val="0"/>
                <w:color w:val="auto"/>
                <w:highlight w:val="none"/>
              </w:rPr>
            </w:pPr>
            <w:r>
              <w:rPr>
                <w:rFonts w:ascii="FangSong_GB2312" w:hAnsi="FangSong_GB2312" w:eastAsia="FangSong_GB2312" w:cs="FangSong_GB2312"/>
                <w:b w:val="0"/>
                <w:bCs w:val="0"/>
                <w:i w:val="0"/>
                <w:iCs w:val="0"/>
                <w:smallCaps w:val="0"/>
                <w:color w:val="auto"/>
                <w:sz w:val="28"/>
                <w:szCs w:val="28"/>
                <w:highlight w:val="none"/>
              </w:rPr>
              <w:t>员工的稳定性=咨询员变动数(离职)/[(咨询员期初总数+咨询员期末总数)/2]</w:t>
            </w:r>
          </w:p>
        </w:tc>
        <w:tc>
          <w:tcPr>
            <w:tcW w:w="1577" w:type="dxa"/>
            <w:tcBorders>
              <w:bottom w:val="single" w:color="000000" w:sz="8" w:space="0"/>
              <w:right w:val="single" w:color="000000" w:sz="8" w:space="0"/>
            </w:tcBorders>
            <w:noWrap w:val="0"/>
            <w:tcMar>
              <w:top w:w="0" w:type="dxa"/>
              <w:left w:w="0" w:type="dxa"/>
              <w:bottom w:w="0" w:type="dxa"/>
              <w:right w:w="0" w:type="dxa"/>
            </w:tcMar>
            <w:vAlign w:val="top"/>
          </w:tcPr>
          <w:p>
            <w:pPr>
              <w:pStyle w:val="14"/>
              <w:spacing w:after="0" w:line="360" w:lineRule="auto"/>
              <w:rPr>
                <w:rFonts w:ascii="Times New Roman" w:hAnsi="Times New Roman" w:eastAsia="Times New Roman" w:cs="Times New Roman"/>
                <w:b w:val="0"/>
                <w:bCs w:val="0"/>
                <w:i w:val="0"/>
                <w:iCs w:val="0"/>
                <w:smallCaps w:val="0"/>
                <w:color w:val="auto"/>
                <w:highlight w:val="none"/>
              </w:rPr>
            </w:pPr>
            <w:r>
              <w:rPr>
                <w:rFonts w:ascii="FangSong_GB2312" w:hAnsi="FangSong_GB2312" w:eastAsia="FangSong_GB2312" w:cs="FangSong_GB2312"/>
                <w:b w:val="0"/>
                <w:bCs w:val="0"/>
                <w:i w:val="0"/>
                <w:iCs w:val="0"/>
                <w:smallCaps w:val="0"/>
                <w:color w:val="auto"/>
                <w:sz w:val="28"/>
                <w:szCs w:val="28"/>
                <w:highlight w:val="none"/>
              </w:rPr>
              <w:t>合同期累计员工流失率小于20%(含)</w:t>
            </w:r>
          </w:p>
        </w:tc>
        <w:tc>
          <w:tcPr>
            <w:tcW w:w="2048" w:type="dxa"/>
            <w:tcBorders>
              <w:bottom w:val="single" w:color="000000" w:sz="8" w:space="0"/>
              <w:right w:val="single" w:color="000000" w:sz="8" w:space="0"/>
            </w:tcBorders>
            <w:noWrap w:val="0"/>
            <w:tcMar>
              <w:top w:w="0" w:type="dxa"/>
              <w:left w:w="0" w:type="dxa"/>
              <w:bottom w:w="0" w:type="dxa"/>
              <w:right w:w="0" w:type="dxa"/>
            </w:tcMar>
            <w:vAlign w:val="top"/>
          </w:tcPr>
          <w:p>
            <w:pPr>
              <w:pStyle w:val="14"/>
              <w:spacing w:after="0" w:line="360" w:lineRule="auto"/>
              <w:rPr>
                <w:rFonts w:ascii="Times New Roman" w:hAnsi="Times New Roman" w:eastAsia="Times New Roman" w:cs="Times New Roman"/>
                <w:b w:val="0"/>
                <w:bCs w:val="0"/>
                <w:i w:val="0"/>
                <w:iCs w:val="0"/>
                <w:smallCaps w:val="0"/>
                <w:color w:val="auto"/>
                <w:highlight w:val="none"/>
              </w:rPr>
            </w:pPr>
            <w:r>
              <w:rPr>
                <w:rFonts w:ascii="FangSong_GB2312" w:hAnsi="FangSong_GB2312" w:eastAsia="FangSong_GB2312" w:cs="FangSong_GB2312"/>
                <w:b w:val="0"/>
                <w:bCs w:val="0"/>
                <w:i w:val="0"/>
                <w:iCs w:val="0"/>
                <w:smallCaps w:val="0"/>
                <w:color w:val="auto"/>
                <w:sz w:val="28"/>
                <w:szCs w:val="28"/>
                <w:highlight w:val="none"/>
              </w:rPr>
              <w:t>员工的稳定性较目标值每上升10%扣2分。扣完为止。</w:t>
            </w:r>
          </w:p>
        </w:tc>
      </w:tr>
    </w:tbl>
    <w:p>
      <w:pPr>
        <w:pStyle w:val="14"/>
        <w:spacing w:before="0" w:after="0" w:line="360" w:lineRule="auto"/>
        <w:ind w:firstLine="560" w:firstLineChars="200"/>
        <w:rPr>
          <w:rFonts w:ascii="Times New Roman" w:hAnsi="Times New Roman" w:eastAsia="Times New Roman" w:cs="Times New Roman"/>
          <w:color w:val="auto"/>
          <w:highlight w:val="none"/>
        </w:rPr>
      </w:pPr>
      <w:r>
        <w:rPr>
          <w:rFonts w:hint="eastAsia" w:ascii="宋体" w:hAnsi="宋体" w:eastAsia="宋体" w:cs="宋体"/>
          <w:color w:val="auto"/>
          <w:sz w:val="28"/>
          <w:szCs w:val="28"/>
          <w:highlight w:val="none"/>
        </w:rPr>
        <w:t>注：1）、流失人员定义统计不含内部岗位调动人员，不含正式上岗后试用期内离职人员；2）、话务接通率、满意度、业务处理时间通过呼叫中心系统采集，分析计算；3）、当期答复准确率以上级和本级抽测结果计算；4）、每三个月作为一个考核周期。</w:t>
      </w:r>
    </w:p>
    <w:p>
      <w:pPr>
        <w:pStyle w:val="14"/>
        <w:spacing w:before="0" w:after="0" w:line="360" w:lineRule="auto"/>
        <w:ind w:firstLine="562" w:firstLineChars="200"/>
        <w:rPr>
          <w:rFonts w:ascii="Times New Roman" w:hAnsi="Times New Roman" w:eastAsia="Times New Roman" w:cs="Times New Roman"/>
          <w:color w:val="auto"/>
          <w:highlight w:val="none"/>
        </w:rPr>
      </w:pPr>
      <w:r>
        <w:rPr>
          <w:rFonts w:ascii="FangSong_GB2312" w:hAnsi="FangSong_GB2312" w:eastAsia="FangSong_GB2312" w:cs="FangSong_GB2312"/>
          <w:b/>
          <w:bCs/>
          <w:color w:val="auto"/>
          <w:sz w:val="28"/>
          <w:szCs w:val="28"/>
          <w:highlight w:val="none"/>
        </w:rPr>
        <w:t>2</w:t>
      </w:r>
      <w:r>
        <w:rPr>
          <w:rFonts w:hint="eastAsia" w:ascii="FangSong_GB2312" w:hAnsi="FangSong_GB2312" w:eastAsia="FangSong_GB2312" w:cs="FangSong_GB2312"/>
          <w:b/>
          <w:bCs/>
          <w:color w:val="auto"/>
          <w:sz w:val="28"/>
          <w:szCs w:val="28"/>
          <w:highlight w:val="none"/>
          <w:lang w:val="en-US" w:eastAsia="zh-CN"/>
        </w:rPr>
        <w:t>.</w:t>
      </w:r>
      <w:bookmarkStart w:id="39" w:name="_GoBack"/>
      <w:bookmarkEnd w:id="39"/>
      <w:r>
        <w:rPr>
          <w:rFonts w:ascii="FangSong_GB2312" w:hAnsi="FangSong_GB2312" w:eastAsia="FangSong_GB2312" w:cs="FangSong_GB2312"/>
          <w:b/>
          <w:bCs/>
          <w:color w:val="auto"/>
          <w:sz w:val="28"/>
          <w:szCs w:val="28"/>
          <w:highlight w:val="none"/>
        </w:rPr>
        <w:t>考核标准</w:t>
      </w:r>
    </w:p>
    <w:p>
      <w:pPr>
        <w:pStyle w:val="14"/>
        <w:spacing w:before="0" w:after="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（1）每个考核周期内，未达到上述(一)考核标准的，总分值每扣5分的，采购方核扣支付价款的2%；</w:t>
      </w:r>
    </w:p>
    <w:p>
      <w:pPr>
        <w:pStyle w:val="14"/>
        <w:spacing w:before="0" w:after="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（2）服务外包人员在工作中出现影响宁德市税务局形象的舆情事件被通报的，经调查属实的，每次扣支付价款的1%；</w:t>
      </w:r>
    </w:p>
    <w:p>
      <w:pPr>
        <w:pStyle w:val="14"/>
        <w:spacing w:before="0" w:after="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（3）服务外包人员在工作中出现违反管理制度和工作纪律，导致被上级和地方政府部门通报的，经调查属实的，每次扣支付价款的1%。</w:t>
      </w:r>
    </w:p>
    <w:p>
      <w:pPr>
        <w:pStyle w:val="3"/>
        <w:keepNext w:val="0"/>
        <w:spacing w:before="0" w:after="0" w:line="360" w:lineRule="auto"/>
        <w:jc w:val="center"/>
        <w:rPr>
          <w:rFonts w:ascii="仿宋_GB2312" w:hAnsi="仿宋_GB2312" w:eastAsia="仿宋_GB2312" w:cs="仿宋_GB2312"/>
          <w:b/>
          <w:bCs/>
          <w:color w:val="auto"/>
          <w:sz w:val="32"/>
          <w:szCs w:val="32"/>
          <w:highlight w:val="none"/>
        </w:rPr>
      </w:pPr>
      <w:bookmarkStart w:id="31" w:name="_Toc256000031"/>
      <w:r>
        <w:rPr>
          <w:rFonts w:ascii="仿宋_GB2312" w:hAnsi="仿宋_GB2312" w:eastAsia="仿宋_GB2312" w:cs="仿宋_GB2312"/>
          <w:color w:val="auto"/>
          <w:kern w:val="36"/>
          <w:highlight w:val="none"/>
        </w:rPr>
        <w:t>8其他要求</w:t>
      </w:r>
      <w:bookmarkEnd w:id="31"/>
    </w:p>
    <w:p>
      <w:pPr>
        <w:pStyle w:val="4"/>
        <w:keepNext w:val="0"/>
        <w:spacing w:before="0" w:after="0" w:line="360" w:lineRule="auto"/>
        <w:rPr>
          <w:rFonts w:ascii="仿宋_GB2312" w:hAnsi="仿宋_GB2312" w:eastAsia="仿宋_GB2312" w:cs="仿宋_GB2312"/>
          <w:b/>
          <w:bCs/>
          <w:color w:val="auto"/>
          <w:sz w:val="28"/>
          <w:szCs w:val="28"/>
          <w:highlight w:val="none"/>
        </w:rPr>
      </w:pPr>
      <w:bookmarkStart w:id="32" w:name="_Toc256000032"/>
      <w:r>
        <w:rPr>
          <w:rFonts w:ascii="仿宋_GB2312" w:hAnsi="仿宋_GB2312" w:eastAsia="仿宋_GB2312" w:cs="仿宋_GB2312"/>
          <w:i w:val="0"/>
          <w:iCs w:val="0"/>
          <w:color w:val="auto"/>
          <w:highlight w:val="none"/>
        </w:rPr>
        <w:t>8.1必备要求</w:t>
      </w:r>
      <w:bookmarkEnd w:id="32"/>
    </w:p>
    <w:p>
      <w:pPr>
        <w:pStyle w:val="5"/>
        <w:keepNext w:val="0"/>
        <w:spacing w:before="0" w:after="0" w:line="360" w:lineRule="auto"/>
        <w:rPr>
          <w:rFonts w:ascii="仿宋_GB2312" w:hAnsi="仿宋_GB2312" w:eastAsia="仿宋_GB2312" w:cs="仿宋_GB2312"/>
          <w:b/>
          <w:bCs/>
          <w:color w:val="auto"/>
          <w:sz w:val="28"/>
          <w:szCs w:val="28"/>
          <w:highlight w:val="none"/>
        </w:rPr>
      </w:pPr>
      <w:bookmarkStart w:id="33" w:name="_Toc256000033"/>
      <w:r>
        <w:rPr>
          <w:rFonts w:ascii="仿宋_GB2312" w:hAnsi="仿宋_GB2312" w:eastAsia="仿宋_GB2312" w:cs="仿宋_GB2312"/>
          <w:color w:val="auto"/>
          <w:sz w:val="28"/>
          <w:szCs w:val="28"/>
          <w:highlight w:val="none"/>
        </w:rPr>
        <w:t>8.1.1通用必备要求</w:t>
      </w:r>
      <w:bookmarkEnd w:id="33"/>
    </w:p>
    <w:p>
      <w:pPr>
        <w:spacing w:before="0" w:after="0" w:line="360" w:lineRule="auto"/>
        <w:ind w:firstLine="56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1.本项目中如涉及商品包装和快递包装的，其包装需求标准应不低于《关于印发&lt;商品包装政府采购需求标准（试行）&gt;、&lt;快递包装政府采购需求标准（试行）&gt;的通知》（财办库〔2020〕123 号）规定的包装要求，如有其他包装需求，详见采购文件技术部分相关章节。 </w:t>
      </w:r>
    </w:p>
    <w:p>
      <w:pPr>
        <w:spacing w:before="0" w:after="0" w:line="360" w:lineRule="auto"/>
        <w:ind w:firstLine="56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2.本项目中如涉及网络关键设备或网络安全专用产品的，应严格执行国家互联网信息办公室、工业和信息化部、公安部、财政部和国家认证认可监督管理委员会 2023年第 1 号《关于调整网络安全专用产品安全管理有关事项的公告》及国家互联网信息办公室、工业和信息化部、公安部和国家认证认可监督管理委员会 2023 年第 2号《关于调整&lt;网络关键设备和网络安全专用产品目录&gt;的公告》等相关文件要求，所投标（响应）设备或产品至少符合以下条件之一：一是已由具备资格的机构安全认证合格或安全检测符合要求；二是已获得《计算机信息系统安全专用产品销售许可证》，且在有效期内。 </w:t>
      </w:r>
    </w:p>
    <w:p>
      <w:pPr>
        <w:spacing w:before="0" w:after="0" w:line="360" w:lineRule="auto"/>
        <w:ind w:firstLine="56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3.本项目中如涉及国家强制性产品认证证书（CCC 认证证书）、电信设备进网许可证、无线电发射设备核准证等市场准入类资质的，应严格执行国家相关法律法规的要求。 </w:t>
      </w:r>
    </w:p>
    <w:p>
      <w:pPr>
        <w:spacing w:before="0" w:after="0" w:line="360" w:lineRule="auto"/>
        <w:ind w:firstLine="56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以上相关要求，由供应商在响应时应答，在履约验收中，采购人将按照采购文件、中标/成交供应商响应文件、采购合同等对中标/成交供应商提供的货物和服务进行验收，必要时依法依规开展相应检测、认证。</w:t>
      </w:r>
    </w:p>
    <w:p>
      <w:pPr>
        <w:pStyle w:val="4"/>
        <w:keepNext w:val="0"/>
        <w:spacing w:before="0" w:after="0" w:line="360" w:lineRule="auto"/>
        <w:rPr>
          <w:rFonts w:ascii="仿宋_GB2312" w:hAnsi="仿宋_GB2312" w:eastAsia="仿宋_GB2312" w:cs="仿宋_GB2312"/>
          <w:b/>
          <w:bCs/>
          <w:color w:val="auto"/>
          <w:sz w:val="28"/>
          <w:szCs w:val="28"/>
          <w:highlight w:val="none"/>
        </w:rPr>
      </w:pPr>
      <w:bookmarkStart w:id="34" w:name="_Toc256000034"/>
      <w:r>
        <w:rPr>
          <w:rFonts w:ascii="仿宋_GB2312" w:hAnsi="仿宋_GB2312" w:eastAsia="仿宋_GB2312" w:cs="仿宋_GB2312"/>
          <w:i w:val="0"/>
          <w:iCs w:val="0"/>
          <w:color w:val="auto"/>
          <w:highlight w:val="none"/>
        </w:rPr>
        <w:t>8.2付款安排建议</w:t>
      </w:r>
      <w:bookmarkEnd w:id="34"/>
    </w:p>
    <w:tbl>
      <w:tblPr>
        <w:tblStyle w:val="11"/>
        <w:tblW w:w="5000" w:type="pct"/>
        <w:tblInd w:w="30" w:type="dxa"/>
        <w:tblLayout w:type="autofit"/>
        <w:tblCellMar>
          <w:top w:w="15" w:type="dxa"/>
          <w:left w:w="15" w:type="dxa"/>
          <w:bottom w:w="15" w:type="dxa"/>
          <w:right w:w="15" w:type="dxa"/>
        </w:tblCellMar>
      </w:tblPr>
      <w:tblGrid>
        <w:gridCol w:w="1814"/>
        <w:gridCol w:w="5442"/>
        <w:gridCol w:w="1814"/>
      </w:tblGrid>
      <w:tr>
        <w:tc>
          <w:tcPr>
            <w:tcW w:w="1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jc w:val="center"/>
              <w:rPr>
                <w:rFonts w:ascii="仿宋_GB2312" w:hAnsi="仿宋_GB2312" w:eastAsia="仿宋_GB2312" w:cs="仿宋_GB2312"/>
                <w:b/>
                <w:bCs/>
                <w:i w:val="0"/>
                <w:iCs w:val="0"/>
                <w:smallCaps w:val="0"/>
                <w:color w:val="auto"/>
                <w:sz w:val="21"/>
                <w:szCs w:val="21"/>
                <w:highlight w:val="none"/>
              </w:rPr>
            </w:pPr>
            <w:r>
              <w:rPr>
                <w:rFonts w:ascii="仿宋_GB2312" w:hAnsi="仿宋_GB2312" w:eastAsia="仿宋_GB2312" w:cs="仿宋_GB2312"/>
                <w:b/>
                <w:bCs/>
                <w:i w:val="0"/>
                <w:iCs w:val="0"/>
                <w:smallCaps w:val="0"/>
                <w:color w:val="auto"/>
                <w:sz w:val="21"/>
                <w:szCs w:val="21"/>
                <w:highlight w:val="none"/>
              </w:rPr>
              <w:t>付款名称</w:t>
            </w:r>
          </w:p>
        </w:tc>
        <w:tc>
          <w:tcPr>
            <w:tcW w:w="3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jc w:val="center"/>
              <w:rPr>
                <w:rFonts w:ascii="仿宋_GB2312" w:hAnsi="仿宋_GB2312" w:eastAsia="仿宋_GB2312" w:cs="仿宋_GB2312"/>
                <w:b/>
                <w:bCs/>
                <w:i w:val="0"/>
                <w:iCs w:val="0"/>
                <w:smallCaps w:val="0"/>
                <w:color w:val="auto"/>
                <w:sz w:val="21"/>
                <w:szCs w:val="21"/>
                <w:highlight w:val="none"/>
              </w:rPr>
            </w:pPr>
            <w:r>
              <w:rPr>
                <w:rFonts w:ascii="仿宋_GB2312" w:hAnsi="仿宋_GB2312" w:eastAsia="仿宋_GB2312" w:cs="仿宋_GB2312"/>
                <w:b/>
                <w:bCs/>
                <w:i w:val="0"/>
                <w:iCs w:val="0"/>
                <w:smallCaps w:val="0"/>
                <w:color w:val="auto"/>
                <w:sz w:val="21"/>
                <w:szCs w:val="21"/>
                <w:highlight w:val="none"/>
              </w:rPr>
              <w:t>付款要求</w:t>
            </w:r>
          </w:p>
        </w:tc>
        <w:tc>
          <w:tcPr>
            <w:tcW w:w="1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jc w:val="center"/>
              <w:rPr>
                <w:rFonts w:ascii="仿宋_GB2312" w:hAnsi="仿宋_GB2312" w:eastAsia="仿宋_GB2312" w:cs="仿宋_GB2312"/>
                <w:b/>
                <w:bCs/>
                <w:i w:val="0"/>
                <w:iCs w:val="0"/>
                <w:smallCaps w:val="0"/>
                <w:color w:val="auto"/>
                <w:sz w:val="21"/>
                <w:szCs w:val="21"/>
                <w:highlight w:val="none"/>
              </w:rPr>
            </w:pPr>
            <w:r>
              <w:rPr>
                <w:rFonts w:ascii="仿宋_GB2312" w:hAnsi="仿宋_GB2312" w:eastAsia="仿宋_GB2312" w:cs="仿宋_GB2312"/>
                <w:b/>
                <w:bCs/>
                <w:i w:val="0"/>
                <w:iCs w:val="0"/>
                <w:smallCaps w:val="0"/>
                <w:color w:val="auto"/>
                <w:sz w:val="21"/>
                <w:szCs w:val="21"/>
                <w:highlight w:val="none"/>
              </w:rPr>
              <w:t>付款比例(%)</w:t>
            </w:r>
          </w:p>
        </w:tc>
      </w:tr>
      <w:tr>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第1次付款</w:t>
            </w:r>
          </w:p>
        </w:tc>
        <w:tc>
          <w:tcPr>
            <w:tcW w:w="22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根据中标人每个考核期(每三个月为一个考核周期)履行合同相关条款情况，分期支付合同价款。自合同生效之日起，每满一个考核期支付25%的合同价款。付款时间为考核期结束后，凭服务质量评审报告和</w:t>
            </w:r>
            <w:r>
              <w:rPr>
                <w:rFonts w:hint="eastAsia" w:ascii="仿宋_GB2312" w:hAnsi="仿宋_GB2312" w:eastAsia="仿宋_GB2312" w:cs="仿宋_GB2312"/>
                <w:b w:val="0"/>
                <w:bCs w:val="0"/>
                <w:i w:val="0"/>
                <w:iCs w:val="0"/>
                <w:smallCaps w:val="0"/>
                <w:color w:val="auto"/>
                <w:sz w:val="21"/>
                <w:szCs w:val="21"/>
                <w:highlight w:val="none"/>
                <w:lang w:eastAsia="zh-CN"/>
              </w:rPr>
              <w:t>中标人</w:t>
            </w:r>
            <w:r>
              <w:rPr>
                <w:rFonts w:ascii="仿宋_GB2312" w:hAnsi="仿宋_GB2312" w:eastAsia="仿宋_GB2312" w:cs="仿宋_GB2312"/>
                <w:b w:val="0"/>
                <w:bCs w:val="0"/>
                <w:i w:val="0"/>
                <w:iCs w:val="0"/>
                <w:smallCaps w:val="0"/>
                <w:color w:val="auto"/>
                <w:sz w:val="21"/>
                <w:szCs w:val="21"/>
                <w:highlight w:val="none"/>
              </w:rPr>
              <w:t>提供的正式发票，支付相应合同款项。</w:t>
            </w:r>
          </w:p>
        </w:tc>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8.33</w:t>
            </w:r>
          </w:p>
        </w:tc>
      </w:tr>
      <w:tr>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第2次付款</w:t>
            </w:r>
          </w:p>
        </w:tc>
        <w:tc>
          <w:tcPr>
            <w:tcW w:w="22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根据中标人每个考核期(每三个月为一个考核周期)履行合同相关条款情况，分期支付合同价款。自合同生效之日起，每满一个考核期支付25%的合同价款。付款时间为考核期结束后，凭服务质量评审报告和</w:t>
            </w:r>
            <w:r>
              <w:rPr>
                <w:rFonts w:hint="eastAsia" w:ascii="仿宋_GB2312" w:hAnsi="仿宋_GB2312" w:eastAsia="仿宋_GB2312" w:cs="仿宋_GB2312"/>
                <w:b w:val="0"/>
                <w:bCs w:val="0"/>
                <w:i w:val="0"/>
                <w:iCs w:val="0"/>
                <w:smallCaps w:val="0"/>
                <w:color w:val="auto"/>
                <w:sz w:val="21"/>
                <w:szCs w:val="21"/>
                <w:highlight w:val="none"/>
                <w:lang w:eastAsia="zh-CN"/>
              </w:rPr>
              <w:t>中标人</w:t>
            </w:r>
            <w:r>
              <w:rPr>
                <w:rFonts w:ascii="仿宋_GB2312" w:hAnsi="仿宋_GB2312" w:eastAsia="仿宋_GB2312" w:cs="仿宋_GB2312"/>
                <w:b w:val="0"/>
                <w:bCs w:val="0"/>
                <w:i w:val="0"/>
                <w:iCs w:val="0"/>
                <w:smallCaps w:val="0"/>
                <w:color w:val="auto"/>
                <w:sz w:val="21"/>
                <w:szCs w:val="21"/>
                <w:highlight w:val="none"/>
              </w:rPr>
              <w:t>提供的正式发票，支付相应合同款项。</w:t>
            </w:r>
          </w:p>
        </w:tc>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8.33</w:t>
            </w:r>
          </w:p>
        </w:tc>
      </w:tr>
      <w:tr>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第3次付款</w:t>
            </w:r>
          </w:p>
        </w:tc>
        <w:tc>
          <w:tcPr>
            <w:tcW w:w="22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根据中标人每个考核期(每三个月为一个考核周期)履行合同相关条款情况，分期支付合同价款。自合同生效之日起，每满一个考核期支付25%的合同价款。付款时间为考核期结束后，凭服务质量评审报告和</w:t>
            </w:r>
            <w:r>
              <w:rPr>
                <w:rFonts w:hint="eastAsia" w:ascii="仿宋_GB2312" w:hAnsi="仿宋_GB2312" w:eastAsia="仿宋_GB2312" w:cs="仿宋_GB2312"/>
                <w:b w:val="0"/>
                <w:bCs w:val="0"/>
                <w:i w:val="0"/>
                <w:iCs w:val="0"/>
                <w:smallCaps w:val="0"/>
                <w:color w:val="auto"/>
                <w:sz w:val="21"/>
                <w:szCs w:val="21"/>
                <w:highlight w:val="none"/>
                <w:lang w:eastAsia="zh-CN"/>
              </w:rPr>
              <w:t>中标人</w:t>
            </w:r>
            <w:r>
              <w:rPr>
                <w:rFonts w:ascii="仿宋_GB2312" w:hAnsi="仿宋_GB2312" w:eastAsia="仿宋_GB2312" w:cs="仿宋_GB2312"/>
                <w:b w:val="0"/>
                <w:bCs w:val="0"/>
                <w:i w:val="0"/>
                <w:iCs w:val="0"/>
                <w:smallCaps w:val="0"/>
                <w:color w:val="auto"/>
                <w:sz w:val="21"/>
                <w:szCs w:val="21"/>
                <w:highlight w:val="none"/>
              </w:rPr>
              <w:t>提供的正式发票，支付相应合同款项。</w:t>
            </w:r>
          </w:p>
        </w:tc>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8.33</w:t>
            </w:r>
          </w:p>
        </w:tc>
      </w:tr>
      <w:tr>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第4次付款</w:t>
            </w:r>
          </w:p>
        </w:tc>
        <w:tc>
          <w:tcPr>
            <w:tcW w:w="22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根据中标人每个考核期(每三个月为一个考核周期)履行合同相关条款情况，分期支付合同价款。自合同生效之日起，每满一个考核期支付25%的合同价款。付款时间为考核期结束后，凭服务质量评审报告和</w:t>
            </w:r>
            <w:r>
              <w:rPr>
                <w:rFonts w:hint="eastAsia" w:ascii="仿宋_GB2312" w:hAnsi="仿宋_GB2312" w:eastAsia="仿宋_GB2312" w:cs="仿宋_GB2312"/>
                <w:b w:val="0"/>
                <w:bCs w:val="0"/>
                <w:i w:val="0"/>
                <w:iCs w:val="0"/>
                <w:smallCaps w:val="0"/>
                <w:color w:val="auto"/>
                <w:sz w:val="21"/>
                <w:szCs w:val="21"/>
                <w:highlight w:val="none"/>
                <w:lang w:eastAsia="zh-CN"/>
              </w:rPr>
              <w:t>中标人</w:t>
            </w:r>
            <w:r>
              <w:rPr>
                <w:rFonts w:ascii="仿宋_GB2312" w:hAnsi="仿宋_GB2312" w:eastAsia="仿宋_GB2312" w:cs="仿宋_GB2312"/>
                <w:b w:val="0"/>
                <w:bCs w:val="0"/>
                <w:i w:val="0"/>
                <w:iCs w:val="0"/>
                <w:smallCaps w:val="0"/>
                <w:color w:val="auto"/>
                <w:sz w:val="21"/>
                <w:szCs w:val="21"/>
                <w:highlight w:val="none"/>
              </w:rPr>
              <w:t>提供的正式发票，支付相应合同款项。</w:t>
            </w:r>
          </w:p>
        </w:tc>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8.33</w:t>
            </w:r>
          </w:p>
        </w:tc>
      </w:tr>
      <w:tr>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第5次付款</w:t>
            </w:r>
          </w:p>
        </w:tc>
        <w:tc>
          <w:tcPr>
            <w:tcW w:w="22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根据中标人每个考核期(每三个月为一个考核周期)履行合同相关条款情况，分期支付合同价款。自合同生效之日起，每满一个考核期支付25%的合同价款。付款时间为考核期结束后，凭服务质量评审报告和</w:t>
            </w:r>
            <w:r>
              <w:rPr>
                <w:rFonts w:hint="eastAsia" w:ascii="仿宋_GB2312" w:hAnsi="仿宋_GB2312" w:eastAsia="仿宋_GB2312" w:cs="仿宋_GB2312"/>
                <w:b w:val="0"/>
                <w:bCs w:val="0"/>
                <w:i w:val="0"/>
                <w:iCs w:val="0"/>
                <w:smallCaps w:val="0"/>
                <w:color w:val="auto"/>
                <w:sz w:val="21"/>
                <w:szCs w:val="21"/>
                <w:highlight w:val="none"/>
                <w:lang w:eastAsia="zh-CN"/>
              </w:rPr>
              <w:t>中标人</w:t>
            </w:r>
            <w:r>
              <w:rPr>
                <w:rFonts w:ascii="仿宋_GB2312" w:hAnsi="仿宋_GB2312" w:eastAsia="仿宋_GB2312" w:cs="仿宋_GB2312"/>
                <w:b w:val="0"/>
                <w:bCs w:val="0"/>
                <w:i w:val="0"/>
                <w:iCs w:val="0"/>
                <w:smallCaps w:val="0"/>
                <w:color w:val="auto"/>
                <w:sz w:val="21"/>
                <w:szCs w:val="21"/>
                <w:highlight w:val="none"/>
              </w:rPr>
              <w:t>提供的正式发票，支付相应合同款项。</w:t>
            </w:r>
          </w:p>
        </w:tc>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8.33</w:t>
            </w:r>
          </w:p>
        </w:tc>
      </w:tr>
      <w:tr>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第6次付款</w:t>
            </w:r>
          </w:p>
        </w:tc>
        <w:tc>
          <w:tcPr>
            <w:tcW w:w="22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根据中标人每个考核期(每三个月为一个考核周期)履行合同相关条款情况，分期支付合同价款。自合同生效之日起，每满一个考核期支付25%的合同价款。付款时间为考核期结束后，凭服务质量评审报告和</w:t>
            </w:r>
            <w:r>
              <w:rPr>
                <w:rFonts w:hint="eastAsia" w:ascii="仿宋_GB2312" w:hAnsi="仿宋_GB2312" w:eastAsia="仿宋_GB2312" w:cs="仿宋_GB2312"/>
                <w:b w:val="0"/>
                <w:bCs w:val="0"/>
                <w:i w:val="0"/>
                <w:iCs w:val="0"/>
                <w:smallCaps w:val="0"/>
                <w:color w:val="auto"/>
                <w:sz w:val="21"/>
                <w:szCs w:val="21"/>
                <w:highlight w:val="none"/>
                <w:lang w:eastAsia="zh-CN"/>
              </w:rPr>
              <w:t>中标人</w:t>
            </w:r>
            <w:r>
              <w:rPr>
                <w:rFonts w:ascii="仿宋_GB2312" w:hAnsi="仿宋_GB2312" w:eastAsia="仿宋_GB2312" w:cs="仿宋_GB2312"/>
                <w:b w:val="0"/>
                <w:bCs w:val="0"/>
                <w:i w:val="0"/>
                <w:iCs w:val="0"/>
                <w:smallCaps w:val="0"/>
                <w:color w:val="auto"/>
                <w:sz w:val="21"/>
                <w:szCs w:val="21"/>
                <w:highlight w:val="none"/>
              </w:rPr>
              <w:t>提供的正式发票，支付相应合同款项。</w:t>
            </w:r>
          </w:p>
        </w:tc>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8.33</w:t>
            </w:r>
          </w:p>
        </w:tc>
      </w:tr>
      <w:tr>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第7次付款</w:t>
            </w:r>
          </w:p>
        </w:tc>
        <w:tc>
          <w:tcPr>
            <w:tcW w:w="22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根据中标人每个考核期(每三个月为一个考核周期)履行合同相关条款情况，分期支付合同价款。自合同生效之日起，每满一个考核期支付25%的合同价款。付款时间为考核期结束后，凭服务质量评审报告和</w:t>
            </w:r>
            <w:r>
              <w:rPr>
                <w:rFonts w:hint="eastAsia" w:ascii="仿宋_GB2312" w:hAnsi="仿宋_GB2312" w:eastAsia="仿宋_GB2312" w:cs="仿宋_GB2312"/>
                <w:b w:val="0"/>
                <w:bCs w:val="0"/>
                <w:i w:val="0"/>
                <w:iCs w:val="0"/>
                <w:smallCaps w:val="0"/>
                <w:color w:val="auto"/>
                <w:sz w:val="21"/>
                <w:szCs w:val="21"/>
                <w:highlight w:val="none"/>
                <w:lang w:eastAsia="zh-CN"/>
              </w:rPr>
              <w:t>中标人</w:t>
            </w:r>
            <w:r>
              <w:rPr>
                <w:rFonts w:ascii="仿宋_GB2312" w:hAnsi="仿宋_GB2312" w:eastAsia="仿宋_GB2312" w:cs="仿宋_GB2312"/>
                <w:b w:val="0"/>
                <w:bCs w:val="0"/>
                <w:i w:val="0"/>
                <w:iCs w:val="0"/>
                <w:smallCaps w:val="0"/>
                <w:color w:val="auto"/>
                <w:sz w:val="21"/>
                <w:szCs w:val="21"/>
                <w:highlight w:val="none"/>
              </w:rPr>
              <w:t>提供的正式发票，支付相应合同款项。</w:t>
            </w:r>
          </w:p>
        </w:tc>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8.33</w:t>
            </w:r>
          </w:p>
        </w:tc>
      </w:tr>
      <w:tr>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第8次付款</w:t>
            </w:r>
          </w:p>
        </w:tc>
        <w:tc>
          <w:tcPr>
            <w:tcW w:w="22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根据中标人每个考核期(每三个月为一个考核周期)履行合同相关条款情况，分期支付合同价款。自合同生效之日起，每满一个考核期支付25%的合同价款。付款时间为考核期结束后，凭服务质量评审报告和</w:t>
            </w:r>
            <w:r>
              <w:rPr>
                <w:rFonts w:hint="eastAsia" w:ascii="仿宋_GB2312" w:hAnsi="仿宋_GB2312" w:eastAsia="仿宋_GB2312" w:cs="仿宋_GB2312"/>
                <w:b w:val="0"/>
                <w:bCs w:val="0"/>
                <w:i w:val="0"/>
                <w:iCs w:val="0"/>
                <w:smallCaps w:val="0"/>
                <w:color w:val="auto"/>
                <w:sz w:val="21"/>
                <w:szCs w:val="21"/>
                <w:highlight w:val="none"/>
                <w:lang w:eastAsia="zh-CN"/>
              </w:rPr>
              <w:t>中标人</w:t>
            </w:r>
            <w:r>
              <w:rPr>
                <w:rFonts w:ascii="仿宋_GB2312" w:hAnsi="仿宋_GB2312" w:eastAsia="仿宋_GB2312" w:cs="仿宋_GB2312"/>
                <w:b w:val="0"/>
                <w:bCs w:val="0"/>
                <w:i w:val="0"/>
                <w:iCs w:val="0"/>
                <w:smallCaps w:val="0"/>
                <w:color w:val="auto"/>
                <w:sz w:val="21"/>
                <w:szCs w:val="21"/>
                <w:highlight w:val="none"/>
              </w:rPr>
              <w:t>提供的正式发票，支付相应合同款项。</w:t>
            </w:r>
          </w:p>
        </w:tc>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8.33</w:t>
            </w:r>
          </w:p>
        </w:tc>
      </w:tr>
      <w:tr>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第9次付款</w:t>
            </w:r>
          </w:p>
        </w:tc>
        <w:tc>
          <w:tcPr>
            <w:tcW w:w="22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根据中标人每个考核期(每三个月为一个考核周期)履行合同相关条款情况，分期支付合同价款。自合同生效之日起，每满一个考核期支付25%的合同价款。付款时间为考核期结束后，凭服务质量评审报告和</w:t>
            </w:r>
            <w:r>
              <w:rPr>
                <w:rFonts w:hint="eastAsia" w:ascii="仿宋_GB2312" w:hAnsi="仿宋_GB2312" w:eastAsia="仿宋_GB2312" w:cs="仿宋_GB2312"/>
                <w:b w:val="0"/>
                <w:bCs w:val="0"/>
                <w:i w:val="0"/>
                <w:iCs w:val="0"/>
                <w:smallCaps w:val="0"/>
                <w:color w:val="auto"/>
                <w:sz w:val="21"/>
                <w:szCs w:val="21"/>
                <w:highlight w:val="none"/>
                <w:lang w:eastAsia="zh-CN"/>
              </w:rPr>
              <w:t>中标人</w:t>
            </w:r>
            <w:r>
              <w:rPr>
                <w:rFonts w:ascii="仿宋_GB2312" w:hAnsi="仿宋_GB2312" w:eastAsia="仿宋_GB2312" w:cs="仿宋_GB2312"/>
                <w:b w:val="0"/>
                <w:bCs w:val="0"/>
                <w:i w:val="0"/>
                <w:iCs w:val="0"/>
                <w:smallCaps w:val="0"/>
                <w:color w:val="auto"/>
                <w:sz w:val="21"/>
                <w:szCs w:val="21"/>
                <w:highlight w:val="none"/>
              </w:rPr>
              <w:t>提供的正式发票，支付相应合同款项。</w:t>
            </w:r>
          </w:p>
        </w:tc>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8.33</w:t>
            </w:r>
          </w:p>
        </w:tc>
      </w:tr>
      <w:tr>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第10次付款</w:t>
            </w:r>
          </w:p>
        </w:tc>
        <w:tc>
          <w:tcPr>
            <w:tcW w:w="22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根据中标人每个考核期(每三个月为一个考核周期)履行合同相关条款情况，分期支付合同价款。自合同生效之日起，每满一个考核期支付25%的合同价款。付款时间为考核期结束后，凭服务质量评审报告和</w:t>
            </w:r>
            <w:r>
              <w:rPr>
                <w:rFonts w:hint="eastAsia" w:ascii="仿宋_GB2312" w:hAnsi="仿宋_GB2312" w:eastAsia="仿宋_GB2312" w:cs="仿宋_GB2312"/>
                <w:b w:val="0"/>
                <w:bCs w:val="0"/>
                <w:i w:val="0"/>
                <w:iCs w:val="0"/>
                <w:smallCaps w:val="0"/>
                <w:color w:val="auto"/>
                <w:sz w:val="21"/>
                <w:szCs w:val="21"/>
                <w:highlight w:val="none"/>
                <w:lang w:eastAsia="zh-CN"/>
              </w:rPr>
              <w:t>中标人</w:t>
            </w:r>
            <w:r>
              <w:rPr>
                <w:rFonts w:ascii="仿宋_GB2312" w:hAnsi="仿宋_GB2312" w:eastAsia="仿宋_GB2312" w:cs="仿宋_GB2312"/>
                <w:b w:val="0"/>
                <w:bCs w:val="0"/>
                <w:i w:val="0"/>
                <w:iCs w:val="0"/>
                <w:smallCaps w:val="0"/>
                <w:color w:val="auto"/>
                <w:sz w:val="21"/>
                <w:szCs w:val="21"/>
                <w:highlight w:val="none"/>
              </w:rPr>
              <w:t>提供的正式发票，支付相应合同款项。</w:t>
            </w:r>
          </w:p>
        </w:tc>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8.33</w:t>
            </w:r>
          </w:p>
        </w:tc>
      </w:tr>
      <w:tr>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第11次付款</w:t>
            </w:r>
          </w:p>
        </w:tc>
        <w:tc>
          <w:tcPr>
            <w:tcW w:w="22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根据中标人每个考核期(每三个月为一个考核周期)履行合同相关条款情况，分期支付合同价款。自合同生效之日起，每满一个考核期支付25%的合同价款。付款时间为考核期结束后，凭服务质量评审报告和</w:t>
            </w:r>
            <w:r>
              <w:rPr>
                <w:rFonts w:hint="eastAsia" w:ascii="仿宋_GB2312" w:hAnsi="仿宋_GB2312" w:eastAsia="仿宋_GB2312" w:cs="仿宋_GB2312"/>
                <w:b w:val="0"/>
                <w:bCs w:val="0"/>
                <w:i w:val="0"/>
                <w:iCs w:val="0"/>
                <w:smallCaps w:val="0"/>
                <w:color w:val="auto"/>
                <w:sz w:val="21"/>
                <w:szCs w:val="21"/>
                <w:highlight w:val="none"/>
                <w:lang w:eastAsia="zh-CN"/>
              </w:rPr>
              <w:t>中标人</w:t>
            </w:r>
            <w:r>
              <w:rPr>
                <w:rFonts w:ascii="仿宋_GB2312" w:hAnsi="仿宋_GB2312" w:eastAsia="仿宋_GB2312" w:cs="仿宋_GB2312"/>
                <w:b w:val="0"/>
                <w:bCs w:val="0"/>
                <w:i w:val="0"/>
                <w:iCs w:val="0"/>
                <w:smallCaps w:val="0"/>
                <w:color w:val="auto"/>
                <w:sz w:val="21"/>
                <w:szCs w:val="21"/>
                <w:highlight w:val="none"/>
              </w:rPr>
              <w:t>提供的正式发票，支付相应合同款项。</w:t>
            </w:r>
          </w:p>
        </w:tc>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8.33</w:t>
            </w:r>
          </w:p>
        </w:tc>
      </w:tr>
      <w:tr>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第12次付款</w:t>
            </w:r>
          </w:p>
        </w:tc>
        <w:tc>
          <w:tcPr>
            <w:tcW w:w="22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根据中标人每个考核期(每三个月为一个考核周期)履行合同相关条款情况，分期支付合同价款。自合同生效之日起，每满一个考核期支付25%的合同价款。付款时间为考核期结束后，凭服务质量评审报告和</w:t>
            </w:r>
            <w:r>
              <w:rPr>
                <w:rFonts w:hint="eastAsia" w:ascii="仿宋_GB2312" w:hAnsi="仿宋_GB2312" w:eastAsia="仿宋_GB2312" w:cs="仿宋_GB2312"/>
                <w:b w:val="0"/>
                <w:bCs w:val="0"/>
                <w:i w:val="0"/>
                <w:iCs w:val="0"/>
                <w:smallCaps w:val="0"/>
                <w:color w:val="auto"/>
                <w:sz w:val="21"/>
                <w:szCs w:val="21"/>
                <w:highlight w:val="none"/>
                <w:lang w:eastAsia="zh-CN"/>
              </w:rPr>
              <w:t>中标人</w:t>
            </w:r>
            <w:r>
              <w:rPr>
                <w:rFonts w:ascii="仿宋_GB2312" w:hAnsi="仿宋_GB2312" w:eastAsia="仿宋_GB2312" w:cs="仿宋_GB2312"/>
                <w:b w:val="0"/>
                <w:bCs w:val="0"/>
                <w:i w:val="0"/>
                <w:iCs w:val="0"/>
                <w:smallCaps w:val="0"/>
                <w:color w:val="auto"/>
                <w:sz w:val="21"/>
                <w:szCs w:val="21"/>
                <w:highlight w:val="none"/>
              </w:rPr>
              <w:t>提供的正式发票，支付相应合同款项。</w:t>
            </w:r>
          </w:p>
        </w:tc>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8.37</w:t>
            </w:r>
          </w:p>
        </w:tc>
      </w:tr>
    </w:tbl>
    <w:p>
      <w:pPr>
        <w:pStyle w:val="4"/>
        <w:keepNext w:val="0"/>
        <w:spacing w:before="0" w:after="0" w:line="360" w:lineRule="auto"/>
        <w:rPr>
          <w:rFonts w:ascii="仿宋_GB2312" w:hAnsi="仿宋_GB2312" w:eastAsia="仿宋_GB2312" w:cs="仿宋_GB2312"/>
          <w:b/>
          <w:bCs/>
          <w:color w:val="auto"/>
          <w:sz w:val="28"/>
          <w:szCs w:val="28"/>
          <w:highlight w:val="none"/>
        </w:rPr>
      </w:pPr>
      <w:bookmarkStart w:id="35" w:name="_Toc256000035"/>
      <w:r>
        <w:rPr>
          <w:rFonts w:ascii="仿宋_GB2312" w:hAnsi="仿宋_GB2312" w:eastAsia="仿宋_GB2312" w:cs="仿宋_GB2312"/>
          <w:i w:val="0"/>
          <w:iCs w:val="0"/>
          <w:color w:val="auto"/>
          <w:highlight w:val="none"/>
        </w:rPr>
        <w:t>8.3其他要求</w:t>
      </w:r>
      <w:bookmarkEnd w:id="35"/>
    </w:p>
    <w:p>
      <w:pPr>
        <w:pStyle w:val="5"/>
        <w:keepNext w:val="0"/>
        <w:spacing w:before="0" w:after="0" w:line="360" w:lineRule="auto"/>
        <w:rPr>
          <w:rFonts w:ascii="仿宋_GB2312" w:hAnsi="仿宋_GB2312" w:eastAsia="仿宋_GB2312" w:cs="仿宋_GB2312"/>
          <w:b/>
          <w:bCs/>
          <w:color w:val="auto"/>
          <w:sz w:val="28"/>
          <w:szCs w:val="28"/>
          <w:highlight w:val="none"/>
        </w:rPr>
      </w:pPr>
      <w:bookmarkStart w:id="36" w:name="_Toc256000036"/>
      <w:r>
        <w:rPr>
          <w:rFonts w:ascii="仿宋_GB2312" w:hAnsi="仿宋_GB2312" w:eastAsia="仿宋_GB2312" w:cs="仿宋_GB2312"/>
          <w:color w:val="auto"/>
          <w:sz w:val="28"/>
          <w:szCs w:val="28"/>
          <w:highlight w:val="none"/>
        </w:rPr>
        <w:t>8.3.1保密要求</w:t>
      </w:r>
      <w:bookmarkEnd w:id="36"/>
    </w:p>
    <w:p>
      <w:pPr>
        <w:spacing w:before="0" w:after="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外包服务人员须对12366热线纳税咨询外包服务项目日常工作中接触到的，包括但不限于知识产权、技术资料、技术诀窍、内部管理及其他相关信息，负有保密义务。</w:t>
      </w:r>
    </w:p>
    <w:p>
      <w:pPr>
        <w:spacing w:before="0" w:after="0" w:line="360" w:lineRule="auto"/>
        <w:ind w:firstLine="48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 </w:t>
      </w:r>
    </w:p>
    <w:p>
      <w:pPr>
        <w:pStyle w:val="5"/>
        <w:keepNext w:val="0"/>
        <w:spacing w:before="0" w:after="0" w:line="360" w:lineRule="auto"/>
        <w:rPr>
          <w:rFonts w:ascii="仿宋_GB2312" w:hAnsi="仿宋_GB2312" w:eastAsia="仿宋_GB2312" w:cs="仿宋_GB2312"/>
          <w:b/>
          <w:bCs/>
          <w:color w:val="auto"/>
          <w:sz w:val="28"/>
          <w:szCs w:val="28"/>
          <w:highlight w:val="none"/>
        </w:rPr>
      </w:pPr>
      <w:bookmarkStart w:id="37" w:name="_Toc256000037"/>
      <w:r>
        <w:rPr>
          <w:rFonts w:ascii="仿宋_GB2312" w:hAnsi="仿宋_GB2312" w:eastAsia="仿宋_GB2312" w:cs="仿宋_GB2312"/>
          <w:color w:val="auto"/>
          <w:sz w:val="28"/>
          <w:szCs w:val="28"/>
          <w:highlight w:val="none"/>
        </w:rPr>
        <w:t>8.3.2知识转移要求</w:t>
      </w:r>
      <w:bookmarkEnd w:id="37"/>
    </w:p>
    <w:p>
      <w:pPr>
        <w:spacing w:before="0" w:after="0" w:line="360" w:lineRule="auto"/>
        <w:ind w:firstLine="560"/>
        <w:rPr>
          <w:rFonts w:ascii="FangSong_GB2312" w:hAnsi="FangSong_GB2312" w:eastAsia="FangSong_GB2312" w:cs="FangSong_GB2312"/>
          <w:color w:val="auto"/>
          <w:sz w:val="28"/>
          <w:szCs w:val="28"/>
          <w:highlight w:val="none"/>
        </w:rPr>
      </w:pPr>
      <w:r>
        <w:rPr>
          <w:rFonts w:hint="eastAsia" w:ascii="宋体" w:hAnsi="宋体" w:eastAsia="宋体" w:cs="宋体"/>
          <w:color w:val="auto"/>
          <w:sz w:val="28"/>
          <w:szCs w:val="28"/>
          <w:highlight w:val="none"/>
        </w:rPr>
        <w:t>服务商在服务过程中产生的所有软件代码、技术资料、提交件的知识产权归采购人所有；项目服务期满时服务商应将项目涉及的用户口令、数据字典、技术架构、新增功能等全部文档汇集成册，连同涉及软件源代码等相关文档交付采购人，并</w:t>
      </w:r>
      <w:r>
        <w:rPr>
          <w:rFonts w:hint="eastAsia" w:ascii="宋体" w:hAnsi="宋体" w:eastAsia="宋体" w:cs="宋体"/>
          <w:color w:val="auto"/>
          <w:sz w:val="28"/>
          <w:szCs w:val="28"/>
          <w:highlight w:val="none"/>
          <w:lang w:eastAsia="zh-CN"/>
        </w:rPr>
        <w:t>作出</w:t>
      </w:r>
      <w:r>
        <w:rPr>
          <w:rFonts w:hint="eastAsia" w:ascii="宋体" w:hAnsi="宋体" w:eastAsia="宋体" w:cs="宋体"/>
          <w:color w:val="auto"/>
          <w:sz w:val="28"/>
          <w:szCs w:val="28"/>
          <w:highlight w:val="none"/>
        </w:rPr>
        <w:t>向采购人进行技术转移的方案和策略。</w:t>
      </w:r>
    </w:p>
    <w:p>
      <w:pPr>
        <w:pStyle w:val="5"/>
        <w:keepNext w:val="0"/>
        <w:spacing w:before="0" w:after="0" w:line="360" w:lineRule="auto"/>
        <w:rPr>
          <w:rFonts w:ascii="仿宋_GB2312" w:hAnsi="仿宋_GB2312" w:eastAsia="仿宋_GB2312" w:cs="仿宋_GB2312"/>
          <w:b/>
          <w:bCs/>
          <w:color w:val="auto"/>
          <w:sz w:val="28"/>
          <w:szCs w:val="28"/>
          <w:highlight w:val="none"/>
        </w:rPr>
      </w:pPr>
      <w:bookmarkStart w:id="38" w:name="_Toc256000038"/>
      <w:r>
        <w:rPr>
          <w:rFonts w:ascii="仿宋_GB2312" w:hAnsi="仿宋_GB2312" w:eastAsia="仿宋_GB2312" w:cs="仿宋_GB2312"/>
          <w:color w:val="auto"/>
          <w:sz w:val="28"/>
          <w:szCs w:val="28"/>
          <w:highlight w:val="none"/>
        </w:rPr>
        <w:t>8.3.3知识产权要求</w:t>
      </w:r>
      <w:bookmarkEnd w:id="38"/>
    </w:p>
    <w:p>
      <w:pPr>
        <w:spacing w:before="0" w:after="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服务商应保证采购人在接受其提供的相关服务时免受第三方提出侵犯其专利权、商标权或工业设计权的起诉，由此引起的知识产权纠纷由服务商负责。</w:t>
      </w:r>
    </w:p>
    <w:p>
      <w:pPr>
        <w:spacing w:before="0" w:after="0" w:line="360" w:lineRule="auto"/>
        <w:jc w:val="left"/>
        <w:rPr>
          <w:highlight w:val="none"/>
        </w:rPr>
      </w:pPr>
    </w:p>
    <w:sectPr>
      <w:footerReference r:id="rId3" w:type="default"/>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360" w:lineRule="auto"/>
      <w:jc w:val="center"/>
    </w:pPr>
    <w:r>
      <w:fldChar w:fldCharType="begin"/>
    </w:r>
    <w:r>
      <w:instrText xml:space="preserve"> PAGE </w:instrText>
    </w:r>
    <w:r>
      <w:fldChar w:fldCharType="separate"/>
    </w:r>
    <w:r>
      <w:t>17</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BACA7C"/>
    <w:multiLevelType w:val="singleLevel"/>
    <w:tmpl w:val="D8BACA7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A77B3E"/>
    <w:rsid w:val="00CA2A55"/>
    <w:rsid w:val="19441531"/>
    <w:rsid w:val="20056E43"/>
    <w:rsid w:val="3A1616A7"/>
    <w:rsid w:val="3C6C6C28"/>
    <w:rsid w:val="416D4BBB"/>
    <w:rsid w:val="468C7C5A"/>
    <w:rsid w:val="46B02328"/>
    <w:rsid w:val="5F4C35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en-US" w:bidi="ar-SA"/>
    </w:rPr>
  </w:style>
  <w:style w:type="paragraph" w:styleId="3">
    <w:name w:val="heading 1"/>
    <w:basedOn w:val="1"/>
    <w:next w:val="1"/>
    <w:qFormat/>
    <w:uiPriority w:val="0"/>
    <w:pPr>
      <w:keepNext/>
      <w:spacing w:before="240" w:after="60"/>
      <w:outlineLvl w:val="0"/>
    </w:pPr>
    <w:rPr>
      <w:rFonts w:ascii="Arial" w:hAnsi="Arial" w:cs="Arial"/>
      <w:b/>
      <w:bCs/>
      <w:kern w:val="32"/>
      <w:sz w:val="32"/>
      <w:szCs w:val="32"/>
    </w:rPr>
  </w:style>
  <w:style w:type="paragraph" w:styleId="4">
    <w:name w:val="heading 2"/>
    <w:basedOn w:val="1"/>
    <w:next w:val="1"/>
    <w:qFormat/>
    <w:uiPriority w:val="0"/>
    <w:pPr>
      <w:keepNext/>
      <w:spacing w:before="240" w:after="60"/>
      <w:outlineLvl w:val="1"/>
    </w:pPr>
    <w:rPr>
      <w:rFonts w:ascii="Arial" w:hAnsi="Arial" w:cs="Arial"/>
      <w:b/>
      <w:bCs/>
      <w:i/>
      <w:iCs/>
      <w:sz w:val="28"/>
      <w:szCs w:val="28"/>
    </w:rPr>
  </w:style>
  <w:style w:type="paragraph" w:styleId="5">
    <w:name w:val="heading 3"/>
    <w:basedOn w:val="1"/>
    <w:next w:val="1"/>
    <w:qFormat/>
    <w:uiPriority w:val="0"/>
    <w:pPr>
      <w:keepNext/>
      <w:spacing w:before="240" w:after="60"/>
      <w:outlineLvl w:val="2"/>
    </w:pPr>
    <w:rPr>
      <w:rFonts w:ascii="Arial" w:hAnsi="Arial" w:cs="Arial"/>
      <w:b/>
      <w:bCs/>
      <w:sz w:val="26"/>
      <w:szCs w:val="26"/>
    </w:rPr>
  </w:style>
  <w:style w:type="paragraph" w:styleId="6">
    <w:name w:val="heading 4"/>
    <w:basedOn w:val="1"/>
    <w:next w:val="1"/>
    <w:qFormat/>
    <w:uiPriority w:val="0"/>
    <w:pPr>
      <w:keepNext/>
      <w:spacing w:before="240" w:after="60"/>
      <w:outlineLvl w:val="3"/>
    </w:pPr>
    <w:rPr>
      <w:b/>
      <w:bCs/>
      <w:sz w:val="28"/>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rPr>
  </w:style>
  <w:style w:type="paragraph" w:styleId="7">
    <w:name w:val="toc 3"/>
    <w:basedOn w:val="1"/>
    <w:next w:val="1"/>
    <w:qFormat/>
    <w:uiPriority w:val="0"/>
    <w:pPr>
      <w:ind w:left="480"/>
    </w:pPr>
  </w:style>
  <w:style w:type="paragraph" w:styleId="8">
    <w:name w:val="Plain Text"/>
    <w:basedOn w:val="1"/>
    <w:qFormat/>
    <w:uiPriority w:val="0"/>
    <w:rPr>
      <w:rFonts w:ascii="宋体" w:hAnsi="Courier New" w:cs="Courier New"/>
      <w:szCs w:val="21"/>
    </w:rPr>
  </w:style>
  <w:style w:type="paragraph" w:styleId="9">
    <w:name w:val="toc 1"/>
    <w:basedOn w:val="1"/>
    <w:next w:val="1"/>
    <w:qFormat/>
    <w:uiPriority w:val="0"/>
  </w:style>
  <w:style w:type="paragraph" w:styleId="10">
    <w:name w:val="toc 2"/>
    <w:basedOn w:val="1"/>
    <w:next w:val="1"/>
    <w:qFormat/>
    <w:uiPriority w:val="0"/>
    <w:pPr>
      <w:ind w:left="240"/>
    </w:pPr>
  </w:style>
  <w:style w:type="character" w:styleId="13">
    <w:name w:val="Hyperlink"/>
    <w:basedOn w:val="12"/>
    <w:qFormat/>
    <w:uiPriority w:val="0"/>
    <w:rPr>
      <w:color w:val="0000FF"/>
      <w:u w:val="single"/>
    </w:rPr>
  </w:style>
  <w:style w:type="paragraph" w:customStyle="1" w:styleId="14">
    <w:name w:val="MsoNormal"/>
    <w:basedOn w:val="1"/>
    <w:qFormat/>
    <w:uiPriority w:val="0"/>
  </w:style>
  <w:style w:type="table" w:customStyle="1" w:styleId="15">
    <w:name w:val="18"/>
    <w:basedOn w:val="1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17</Pages>
  <Words>0</Words>
  <Characters>0</Characters>
  <Lines>1</Lines>
  <Paragraphs>1</Paragraphs>
  <TotalTime>2</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2025-01-22T01:42:00Z</dcterms:created>
  <dc:creator>wangjun</dc:creator>
  <cp:lastModifiedBy>王俊</cp:lastModifiedBy>
  <cp:lastPrinted>2025-01-22T02:04:00Z</cp:lastPrinted>
  <dcterms:modified xsi:type="dcterms:W3CDTF">2025-01-22T09:38:14Z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