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outlineLvl w:val="9"/>
        <w:rPr>
          <w:rFonts w:hint="eastAsia" w:ascii="宋体" w:hAnsi="宋体" w:eastAsia="宋体" w:cs="宋体"/>
          <w:b/>
          <w:color w:val="auto"/>
          <w:sz w:val="24"/>
          <w:szCs w:val="24"/>
        </w:rPr>
      </w:pPr>
    </w:p>
    <w:p>
      <w:pPr>
        <w:pStyle w:val="7"/>
        <w:jc w:val="center"/>
        <w:rPr>
          <w:rFonts w:hint="eastAsia" w:ascii="宋体" w:hAnsi="宋体" w:cs="宋体"/>
          <w:b/>
          <w:color w:val="auto"/>
          <w:sz w:val="72"/>
          <w:szCs w:val="72"/>
        </w:rPr>
      </w:pPr>
      <w:bookmarkStart w:id="0" w:name="_Toc29271"/>
      <w:bookmarkStart w:id="1" w:name="_Toc5043"/>
      <w:r>
        <w:rPr>
          <w:rFonts w:hint="eastAsia" w:ascii="宋体" w:hAnsi="宋体" w:cs="宋体"/>
          <w:b/>
          <w:color w:val="auto"/>
          <w:sz w:val="72"/>
          <w:szCs w:val="72"/>
        </w:rPr>
        <w:t>竞争性磋商文件</w:t>
      </w:r>
      <w:bookmarkEnd w:id="0"/>
      <w:bookmarkEnd w:id="1"/>
    </w:p>
    <w:p>
      <w:pPr>
        <w:pStyle w:val="7"/>
        <w:jc w:val="center"/>
        <w:rPr>
          <w:rFonts w:hint="eastAsia" w:ascii="宋体" w:hAnsi="宋体" w:cs="宋体"/>
          <w:b/>
          <w:color w:val="auto"/>
          <w:sz w:val="72"/>
          <w:szCs w:val="72"/>
        </w:rPr>
      </w:pPr>
      <w:bookmarkStart w:id="2" w:name="_Toc14781"/>
      <w:bookmarkStart w:id="3" w:name="_Toc32452"/>
      <w:r>
        <w:rPr>
          <w:rFonts w:hint="eastAsia" w:ascii="宋体" w:hAnsi="宋体" w:cs="宋体"/>
          <w:b/>
          <w:color w:val="auto"/>
          <w:sz w:val="72"/>
          <w:szCs w:val="72"/>
        </w:rPr>
        <w:t>（商务部分）</w:t>
      </w:r>
      <w:bookmarkEnd w:id="2"/>
      <w:bookmarkEnd w:id="3"/>
    </w:p>
    <w:p>
      <w:pPr>
        <w:bidi w:val="0"/>
        <w:rPr>
          <w:rFonts w:hint="eastAsia" w:ascii="宋体" w:hAnsi="宋体" w:eastAsia="宋体" w:cs="宋体"/>
          <w:color w:val="auto"/>
          <w:sz w:val="24"/>
          <w:szCs w:val="24"/>
          <w:highlight w:val="none"/>
        </w:rPr>
      </w:pPr>
    </w:p>
    <w:p>
      <w:pPr>
        <w:pStyle w:val="12"/>
        <w:rPr>
          <w:rFonts w:hint="eastAsia" w:ascii="宋体" w:hAnsi="宋体" w:eastAsia="宋体" w:cs="宋体"/>
          <w:color w:val="auto"/>
          <w:sz w:val="24"/>
          <w:szCs w:val="24"/>
          <w:highlight w:val="none"/>
        </w:rPr>
      </w:pPr>
    </w:p>
    <w:p>
      <w:pPr>
        <w:pStyle w:val="2"/>
        <w:numPr>
          <w:ilvl w:val="0"/>
          <w:numId w:val="0"/>
        </w:numPr>
        <w:ind w:leftChars="200"/>
        <w:rPr>
          <w:rFonts w:hint="eastAsia"/>
          <w:color w:val="auto"/>
        </w:rPr>
      </w:pPr>
    </w:p>
    <w:p>
      <w:pPr>
        <w:pStyle w:val="4"/>
        <w:rPr>
          <w:rFonts w:hint="eastAsia"/>
          <w:color w:val="auto"/>
        </w:rPr>
      </w:pPr>
    </w:p>
    <w:p>
      <w:pPr>
        <w:pStyle w:val="15"/>
        <w:ind w:firstLine="280" w:firstLineChars="100"/>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国家税务总局邵武市税务局食堂食材配送分散采购项目</w:t>
      </w:r>
    </w:p>
    <w:p>
      <w:pPr>
        <w:pStyle w:val="15"/>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bookmarkStart w:id="4" w:name="OLE_LINK20"/>
      <w:r>
        <w:rPr>
          <w:rFonts w:hint="eastAsia" w:hAnsi="宋体" w:cs="宋体"/>
          <w:color w:val="auto"/>
          <w:kern w:val="0"/>
          <w:sz w:val="28"/>
          <w:szCs w:val="28"/>
          <w:u w:val="single"/>
          <w:lang w:eastAsia="zh-CN"/>
        </w:rPr>
        <w:t>ZXWT-2025-373</w:t>
      </w:r>
    </w:p>
    <w:bookmarkEnd w:id="4"/>
    <w:p>
      <w:pPr>
        <w:pStyle w:val="15"/>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国家税务总局邵武市税务局</w:t>
      </w:r>
    </w:p>
    <w:p>
      <w:pPr>
        <w:pStyle w:val="15"/>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2"/>
        <w:numPr>
          <w:ilvl w:val="0"/>
          <w:numId w:val="0"/>
        </w:numPr>
        <w:ind w:leftChars="200"/>
        <w:rPr>
          <w:rFonts w:hint="eastAsia"/>
          <w:color w:val="auto"/>
        </w:rPr>
      </w:pPr>
    </w:p>
    <w:p>
      <w:pPr>
        <w:pStyle w:val="5"/>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国家税务总局邵武市税务局</w:t>
      </w:r>
    </w:p>
    <w:p>
      <w:pPr>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17日</w:t>
      </w:r>
    </w:p>
    <w:p>
      <w:pPr>
        <w:rPr>
          <w:rFonts w:hint="eastAsia" w:ascii="宋体" w:hAnsi="宋体" w:eastAsia="宋体" w:cs="宋体"/>
          <w:color w:val="auto"/>
          <w:sz w:val="24"/>
          <w:szCs w:val="24"/>
          <w:highlight w:val="none"/>
        </w:rPr>
      </w:pPr>
    </w:p>
    <w:p>
      <w:pPr>
        <w:rPr>
          <w:rFonts w:ascii="宋体" w:hAnsi="宋体" w:eastAsia="宋体"/>
          <w:b/>
          <w:bCs/>
          <w:color w:val="auto"/>
          <w:sz w:val="32"/>
          <w:szCs w:val="32"/>
        </w:rPr>
      </w:pPr>
      <w:r>
        <w:rPr>
          <w:rFonts w:ascii="宋体" w:hAnsi="宋体" w:eastAsia="宋体"/>
          <w:b/>
          <w:bCs/>
          <w:color w:val="auto"/>
          <w:sz w:val="32"/>
          <w:szCs w:val="32"/>
        </w:rPr>
        <w:br w:type="page"/>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b/>
          <w:bCs/>
          <w:color w:val="auto"/>
          <w:sz w:val="32"/>
          <w:szCs w:val="32"/>
        </w:rPr>
      </w:pPr>
      <w:r>
        <w:rPr>
          <w:rFonts w:ascii="宋体" w:hAnsi="宋体" w:eastAsia="宋体"/>
          <w:b/>
          <w:bCs/>
          <w:color w:val="auto"/>
          <w:sz w:val="32"/>
          <w:szCs w:val="32"/>
        </w:rPr>
        <w:t>目录</w:t>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_Toc12643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第一章  磋商邀请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_Toc12643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_Toc5752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_Toc5752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_Toc27846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_Toc9293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二、采购文件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_Toc9293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_Toc18450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_Toc18450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_Toc20651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四、响应文件递交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_Toc20651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_Toc8791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五、磋商与评审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_Toc8791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_Toc21852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六、成交和合同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_Toc21852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_Toc17635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七、询问和质疑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_Toc6779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八、其他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_Toc13151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第三章  评审方法及标准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_Toc29753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第四章  采购合同文本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_Toc29753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_Toc22952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第五章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_Toc22952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_Toc31314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第六章  项目采购需求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6" w:type="first"/>
          <w:footerReference r:id="rId4" w:type="default"/>
          <w:headerReference r:id="rId3" w:type="even"/>
          <w:footerReference r:id="rId5" w:type="even"/>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5" w:name="_Toc12643"/>
      <w:bookmarkStart w:id="6" w:name="_Toc132880655"/>
      <w:r>
        <w:rPr>
          <w:rFonts w:hint="eastAsia" w:ascii="宋体" w:hAnsi="宋体" w:eastAsia="宋体" w:cs="宋体"/>
          <w:b/>
          <w:bCs/>
          <w:color w:val="auto"/>
          <w:sz w:val="28"/>
          <w:szCs w:val="28"/>
          <w:highlight w:val="none"/>
        </w:rPr>
        <w:t>第一章  磋商邀请</w:t>
      </w:r>
      <w:bookmarkEnd w:id="5"/>
      <w:bookmarkEnd w:id="6"/>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国家税务总局邵武市税务局食堂食材配送分散采购项目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福建省智信招标有限公司（福建省福州市鼓楼区五四路159号世界金龙大厦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上午9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7" w:name="_Toc27898"/>
      <w:bookmarkStart w:id="8" w:name="_Toc16149"/>
      <w:r>
        <w:rPr>
          <w:rFonts w:hint="eastAsia" w:ascii="宋体" w:hAnsi="宋体" w:eastAsia="宋体" w:cs="宋体"/>
          <w:b/>
          <w:bCs/>
          <w:color w:val="auto"/>
          <w:sz w:val="24"/>
          <w:szCs w:val="24"/>
          <w:highlight w:val="none"/>
        </w:rPr>
        <w:t>一、项目基本情况</w:t>
      </w:r>
      <w:bookmarkEnd w:id="7"/>
      <w:bookmarkEnd w:id="8"/>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eastAsia="zh-CN"/>
        </w:rPr>
      </w:pPr>
      <w:bookmarkStart w:id="9" w:name="OLE_LINK21"/>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ZXWT-2025-373</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国家税务总局邵武市税务局食堂食材配送分散采购项目</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kern w:val="0"/>
          <w:sz w:val="24"/>
          <w:szCs w:val="24"/>
          <w:highlight w:val="none"/>
          <w:lang w:val="en-US" w:eastAsia="zh-CN" w:bidi="ar-SA"/>
        </w:rPr>
        <w:t>48</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kern w:val="0"/>
          <w:sz w:val="24"/>
          <w:szCs w:val="24"/>
          <w:highlight w:val="none"/>
          <w:lang w:val="en-US" w:eastAsia="zh-CN" w:bidi="ar-SA"/>
        </w:rPr>
        <w:t>48</w:t>
      </w:r>
      <w:r>
        <w:rPr>
          <w:rFonts w:hint="eastAsia" w:ascii="宋体" w:hAnsi="宋体" w:eastAsia="宋体" w:cs="宋体"/>
          <w:color w:val="auto"/>
          <w:kern w:val="0"/>
          <w:sz w:val="24"/>
          <w:szCs w:val="24"/>
          <w:highlight w:val="none"/>
          <w:lang w:val="en-US" w:eastAsia="zh-CN" w:bidi="ar-SA"/>
        </w:rPr>
        <w:t>万元</w:t>
      </w:r>
    </w:p>
    <w:bookmarkEnd w:id="9"/>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9"/>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44"/>
        <w:gridCol w:w="1670"/>
        <w:gridCol w:w="1326"/>
        <w:gridCol w:w="1247"/>
        <w:gridCol w:w="3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944" w:type="dxa"/>
            <w:shd w:val="clear" w:color="auto" w:fill="FFFFFF"/>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olor w:val="auto"/>
                <w:lang w:val="en-US" w:eastAsia="zh-CN"/>
              </w:rPr>
            </w:pPr>
            <w:bookmarkStart w:id="10" w:name="OLE_LINK22" w:colFirst="0" w:colLast="4"/>
            <w:r>
              <w:rPr>
                <w:rFonts w:hint="eastAsia"/>
                <w:color w:val="auto"/>
                <w:lang w:val="en-US" w:eastAsia="zh-CN"/>
              </w:rPr>
              <w:t>采购包</w:t>
            </w:r>
          </w:p>
        </w:tc>
        <w:tc>
          <w:tcPr>
            <w:tcW w:w="1670" w:type="dxa"/>
            <w:shd w:val="clear" w:color="auto" w:fill="FFFFFF"/>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olor w:val="auto"/>
                <w:lang w:val="en-US" w:eastAsia="zh-CN"/>
              </w:rPr>
            </w:pPr>
            <w:r>
              <w:rPr>
                <w:rFonts w:hint="eastAsia"/>
                <w:color w:val="auto"/>
                <w:lang w:val="en-US" w:eastAsia="zh-CN"/>
              </w:rPr>
              <w:t>项目名称</w:t>
            </w:r>
          </w:p>
        </w:tc>
        <w:tc>
          <w:tcPr>
            <w:tcW w:w="1326" w:type="dxa"/>
            <w:shd w:val="clear" w:color="auto" w:fill="FFFFFF"/>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olor w:val="auto"/>
                <w:lang w:val="en-US" w:eastAsia="zh-CN"/>
              </w:rPr>
            </w:pPr>
            <w:r>
              <w:rPr>
                <w:rFonts w:hint="eastAsia"/>
                <w:color w:val="auto"/>
                <w:lang w:val="en-US" w:eastAsia="zh-CN"/>
              </w:rPr>
              <w:t>服务期限</w:t>
            </w:r>
          </w:p>
        </w:tc>
        <w:tc>
          <w:tcPr>
            <w:tcW w:w="1247" w:type="dxa"/>
            <w:shd w:val="clear" w:color="auto" w:fill="FFFFFF"/>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olor w:val="auto"/>
                <w:lang w:val="en-US" w:eastAsia="zh-CN"/>
              </w:rPr>
            </w:pPr>
            <w:r>
              <w:rPr>
                <w:rFonts w:hint="eastAsia"/>
                <w:color w:val="auto"/>
                <w:lang w:val="en-US" w:eastAsia="zh-CN"/>
              </w:rPr>
              <w:t>预算金额（万元）</w:t>
            </w:r>
          </w:p>
        </w:tc>
        <w:tc>
          <w:tcPr>
            <w:tcW w:w="3768" w:type="dxa"/>
            <w:shd w:val="clear" w:color="auto" w:fill="FFFFFF"/>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rPr>
            </w:pPr>
            <w:r>
              <w:rPr>
                <w:rFonts w:hint="eastAsia" w:ascii="宋体" w:hAnsi="宋体"/>
                <w:color w:val="auto"/>
              </w:rPr>
              <w:t>简要</w:t>
            </w:r>
            <w:r>
              <w:rPr>
                <w:rFonts w:hint="eastAsia"/>
                <w:color w:val="auto"/>
                <w:lang w:val="en-US" w:eastAsia="zh-CN"/>
              </w:rPr>
              <w:t>技术</w:t>
            </w:r>
            <w:r>
              <w:rPr>
                <w:rFonts w:hint="eastAsia" w:ascii="宋体" w:hAnsi="宋体"/>
                <w:color w:val="auto"/>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944" w:type="dxa"/>
            <w:shd w:val="clear" w:color="auto" w:fill="FFFFFF"/>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olor w:val="auto"/>
                <w:lang w:val="en-US" w:eastAsia="zh-CN"/>
              </w:rPr>
            </w:pPr>
            <w:r>
              <w:rPr>
                <w:rFonts w:hint="eastAsia"/>
                <w:color w:val="auto"/>
                <w:lang w:val="en-US" w:eastAsia="zh-CN"/>
              </w:rPr>
              <w:t>1</w:t>
            </w:r>
          </w:p>
        </w:tc>
        <w:tc>
          <w:tcPr>
            <w:tcW w:w="1670" w:type="dxa"/>
            <w:shd w:val="clear" w:color="auto"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宋体" w:hAnsi="宋体" w:eastAsia="宋体"/>
                <w:color w:val="auto"/>
                <w:lang w:val="en-US" w:eastAsia="zh-CN"/>
              </w:rPr>
            </w:pPr>
            <w:r>
              <w:rPr>
                <w:rFonts w:hint="eastAsia" w:ascii="宋体" w:hAnsi="宋体" w:cs="宋体"/>
                <w:color w:val="auto"/>
                <w:sz w:val="24"/>
                <w:szCs w:val="24"/>
                <w:highlight w:val="none"/>
                <w:lang w:eastAsia="zh-CN"/>
              </w:rPr>
              <w:t>国家税务总局邵武市税务局食堂食材配送分散采购项目</w:t>
            </w:r>
          </w:p>
        </w:tc>
        <w:tc>
          <w:tcPr>
            <w:tcW w:w="1326" w:type="dxa"/>
            <w:shd w:val="clear" w:color="auto" w:fill="FFFFFF"/>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i w:val="0"/>
                <w:iCs w:val="0"/>
                <w:smallCaps w:val="0"/>
                <w:color w:val="auto"/>
                <w:sz w:val="24"/>
                <w:szCs w:val="24"/>
                <w:lang w:val="en-US" w:eastAsia="zh-CN"/>
              </w:rPr>
              <w:t>2025年10月1日至2026年3月31日</w:t>
            </w:r>
          </w:p>
        </w:tc>
        <w:tc>
          <w:tcPr>
            <w:tcW w:w="1247" w:type="dxa"/>
            <w:shd w:val="clear" w:color="auto" w:fill="FFFFFF"/>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48</w:t>
            </w:r>
          </w:p>
        </w:tc>
        <w:tc>
          <w:tcPr>
            <w:tcW w:w="3768" w:type="dxa"/>
            <w:shd w:val="clear" w:color="auto" w:fill="FFFFFF"/>
            <w:noWrap w:val="0"/>
            <w:tcMar>
              <w:left w:w="108" w:type="dxa"/>
              <w:right w:w="108" w:type="dxa"/>
            </w:tcMar>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400" w:lineRule="exact"/>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i w:val="0"/>
                <w:iCs w:val="0"/>
                <w:smallCaps w:val="0"/>
                <w:color w:val="auto"/>
                <w:sz w:val="24"/>
                <w:szCs w:val="24"/>
                <w:lang w:eastAsia="zh-CN"/>
              </w:rPr>
              <w:t>成交人</w:t>
            </w:r>
            <w:r>
              <w:rPr>
                <w:rFonts w:hint="eastAsia" w:ascii="宋体" w:hAnsi="宋体" w:eastAsia="宋体" w:cs="宋体"/>
                <w:b w:val="0"/>
                <w:bCs w:val="0"/>
                <w:i w:val="0"/>
                <w:iCs w:val="0"/>
                <w:smallCaps w:val="0"/>
                <w:color w:val="auto"/>
                <w:sz w:val="24"/>
                <w:szCs w:val="24"/>
              </w:rPr>
              <w:t>须保障采购人食堂用餐食材需求，配送范围：大米、面粉、禽蛋、食用油、豆制品、奶制品、调味品、烘焙材料、各类辅料，各类蔬菜、水果，新鲜肉类、新鲜水产品，冷冻食品（水产品冻品、肉类冻品）、干货等</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具体详见磋商文件第六章“项目采购需求”。</w:t>
            </w:r>
          </w:p>
        </w:tc>
      </w:tr>
      <w:bookmarkEnd w:id="10"/>
    </w:tbl>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合同履行期限：自合同生效之日起至合同约定的合同义务履行完毕。</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1" w:name="_Toc25153"/>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的资格要求：</w:t>
      </w:r>
      <w:bookmarkEnd w:id="11"/>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bookmarkStart w:id="12" w:name="_Toc21862"/>
      <w:bookmarkStart w:id="13" w:name="OLE_LINK25"/>
      <w:r>
        <w:rPr>
          <w:rFonts w:hint="eastAsia" w:ascii="宋体" w:hAnsi="宋体" w:eastAsia="宋体" w:cs="宋体"/>
          <w:color w:val="auto"/>
          <w:kern w:val="2"/>
          <w:sz w:val="24"/>
          <w:szCs w:val="24"/>
          <w:highlight w:val="none"/>
          <w:lang w:val="en-US" w:eastAsia="zh-CN" w:bidi="ar-SA"/>
        </w:rPr>
        <w:t>1.供应商须符合《中华人民共和国政府采购法》第二十二条规定的条件，并提供下列证明材料：</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(1)法人或者其他组织的营业执照</w:t>
      </w:r>
      <w:bookmarkStart w:id="14" w:name="OLE_LINK2"/>
      <w:r>
        <w:rPr>
          <w:rFonts w:hint="eastAsia" w:ascii="宋体" w:hAnsi="宋体" w:eastAsia="宋体" w:cs="宋体"/>
          <w:color w:val="auto"/>
          <w:kern w:val="2"/>
          <w:sz w:val="24"/>
          <w:szCs w:val="24"/>
          <w:highlight w:val="none"/>
          <w:lang w:val="en-US" w:eastAsia="zh-CN" w:bidi="ar-SA"/>
        </w:rPr>
        <w:t>等证明文件</w:t>
      </w:r>
      <w:bookmarkEnd w:id="14"/>
      <w:r>
        <w:rPr>
          <w:rFonts w:hint="eastAsia" w:ascii="宋体" w:hAnsi="宋体" w:eastAsia="宋体" w:cs="宋体"/>
          <w:color w:val="auto"/>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(2)供应商的财务状况报告【提供经会计师事务所审计的2024年度的财务报告（须提供加盖会计师事务所公章及注册会计师签章的扫描件或复印件）；没有经审计的财务报告的，可以提供银行出具的资信证明】；</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(3)供应商依法缴纳税收：2025年3月以来不少于1个月依法缴纳税收（不包括个人所得税）的相关材料；若为提交响应文件截止时间的当月成立的供应商，视同满足本项资格条件要求；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(4)供应商依法缴纳社会保障资金：2025年3月以来不少于1个月的依法缴纳社会保障资金的相关材料；若为提交响应文件截止时间的当月成立的供应商，视同满足本项资格条件要求；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(5)具备履行合同所必需的设备和专业技术能力的声明函：</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(6)参加政府采购活动前三年内在经营活动中没有重大违法记录的书面声明；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www.creditchina.gov.cn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）和②中国政府采购网（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）查询其上述信用记录的信用信息查询结果存在供应商拒绝参与政府采购活动相关信息的，其资格审查不合格。</w:t>
      </w:r>
    </w:p>
    <w:p>
      <w:pPr>
        <w:keepNext w:val="0"/>
        <w:keepLines w:val="0"/>
        <w:pageBreakBefore w:val="0"/>
        <w:widowControl/>
        <w:kinsoku/>
        <w:wordWrap/>
        <w:overflowPunct/>
        <w:topLinePunct w:val="0"/>
        <w:autoSpaceDE/>
        <w:autoSpaceDN/>
        <w:bidi w:val="0"/>
        <w:adjustRightInd/>
        <w:snapToGrid/>
        <w:spacing w:line="400" w:lineRule="exact"/>
        <w:ind w:firstLine="481"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2.落实政府采购政策需满足的资格要求：本项目专门面向中小微企业采购。</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供应商须具有《食品经营许可证》或《食品生产许可证》或《食品药品经营许可证》或《食品药品生产经营许可证》（需提供该证件的复印件、证明材料的复印件并加盖单位公章，均须在有效期内)。如因国家政策调整，国家有关行政部门有颁发新的食品方面许可证书的，应从其规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12"/>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17</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日</w:t>
      </w:r>
      <w:r>
        <w:rPr>
          <w:rFonts w:hint="eastAsia" w:ascii="宋体" w:hAnsi="宋体" w:eastAsia="宋体" w:cs="宋体"/>
          <w:iCs/>
          <w:color w:val="auto"/>
          <w:sz w:val="24"/>
          <w:szCs w:val="24"/>
          <w:highlight w:val="none"/>
          <w:u w:val="none"/>
        </w:rPr>
        <w:t>（</w:t>
      </w:r>
      <w:r>
        <w:rPr>
          <w:rFonts w:hint="eastAsia" w:ascii="宋体" w:hAnsi="宋体" w:eastAsia="宋体" w:cs="宋体"/>
          <w:color w:val="auto"/>
          <w:sz w:val="24"/>
          <w:szCs w:val="24"/>
          <w:highlight w:val="none"/>
          <w:u w:val="none"/>
        </w:rPr>
        <w:t>磋商文件的发售期限自开始之日起不得少于5个工作日），每天上午</w:t>
      </w:r>
      <w:r>
        <w:rPr>
          <w:rFonts w:hint="eastAsia" w:ascii="宋体" w:hAnsi="宋体" w:cs="宋体"/>
          <w:color w:val="auto"/>
          <w:sz w:val="24"/>
          <w:szCs w:val="24"/>
          <w:highlight w:val="none"/>
          <w:u w:val="none"/>
          <w:lang w:val="en-US" w:eastAsia="zh-CN"/>
        </w:rPr>
        <w:t>08：00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12：00</w:t>
      </w:r>
      <w:r>
        <w:rPr>
          <w:rFonts w:hint="eastAsia" w:ascii="宋体" w:hAnsi="宋体" w:eastAsia="宋体" w:cs="宋体"/>
          <w:color w:val="auto"/>
          <w:sz w:val="24"/>
          <w:szCs w:val="24"/>
          <w:highlight w:val="none"/>
          <w:u w:val="none"/>
        </w:rPr>
        <w:t>，下午</w:t>
      </w:r>
      <w:r>
        <w:rPr>
          <w:rFonts w:hint="eastAsia" w:ascii="宋体" w:hAnsi="宋体" w:cs="宋体"/>
          <w:color w:val="auto"/>
          <w:sz w:val="24"/>
          <w:szCs w:val="24"/>
          <w:highlight w:val="none"/>
          <w:u w:val="none"/>
          <w:lang w:val="en-US" w:eastAsia="zh-CN"/>
        </w:rPr>
        <w:t>3：00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6：00</w:t>
      </w:r>
      <w:r>
        <w:rPr>
          <w:rFonts w:hint="eastAsia" w:ascii="宋体" w:hAnsi="宋体" w:eastAsia="宋体" w:cs="宋体"/>
          <w:color w:val="auto"/>
          <w:sz w:val="24"/>
          <w:szCs w:val="24"/>
          <w:highlight w:val="none"/>
          <w:u w:val="none"/>
        </w:rPr>
        <w:t>（北京时间，法定节假日除外）</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售价：￥0.0 元（人民币）</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5" w:name="_Toc24999"/>
      <w:r>
        <w:rPr>
          <w:rFonts w:hint="eastAsia" w:ascii="宋体" w:hAnsi="宋体" w:eastAsia="宋体" w:cs="宋体"/>
          <w:b/>
          <w:bCs/>
          <w:color w:val="auto"/>
          <w:sz w:val="24"/>
          <w:szCs w:val="24"/>
          <w:highlight w:val="none"/>
        </w:rPr>
        <w:t>四、响应文件提交</w:t>
      </w:r>
      <w:bookmarkEnd w:id="15"/>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bookmarkStart w:id="16" w:name="OLE_LINK24"/>
      <w:r>
        <w:rPr>
          <w:rFonts w:hint="eastAsia" w:ascii="宋体" w:hAnsi="宋体" w:cs="宋体"/>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 xml:space="preserve">28 </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上午9点30</w:t>
      </w:r>
      <w:bookmarkEnd w:id="16"/>
      <w:r>
        <w:rPr>
          <w:rFonts w:hint="eastAsia" w:ascii="宋体" w:hAnsi="宋体" w:cs="宋体"/>
          <w:bCs/>
          <w:color w:val="auto"/>
          <w:sz w:val="24"/>
          <w:szCs w:val="24"/>
          <w:highlight w:val="none"/>
          <w:u w:val="single"/>
          <w:lang w:val="en-US" w:eastAsia="zh-CN"/>
        </w:rPr>
        <w:t>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南平市建阳区潭城街道黄花山路29-30号(军分区门口)二层开标厅</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7" w:name="_Toc22727"/>
      <w:r>
        <w:rPr>
          <w:rFonts w:hint="eastAsia" w:ascii="宋体" w:hAnsi="宋体" w:eastAsia="宋体" w:cs="宋体"/>
          <w:b/>
          <w:bCs/>
          <w:color w:val="auto"/>
          <w:sz w:val="24"/>
          <w:szCs w:val="24"/>
          <w:highlight w:val="none"/>
        </w:rPr>
        <w:t>五、开启</w:t>
      </w:r>
      <w:bookmarkEnd w:id="17"/>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上午9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南平市建阳区潭城街道黄花山路29-30号(军分区门口)二层开标厅</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8" w:name="_Toc30955"/>
      <w:r>
        <w:rPr>
          <w:rFonts w:hint="eastAsia" w:ascii="宋体" w:hAnsi="宋体" w:eastAsia="宋体" w:cs="宋体"/>
          <w:b/>
          <w:bCs/>
          <w:color w:val="auto"/>
          <w:sz w:val="24"/>
          <w:szCs w:val="24"/>
          <w:highlight w:val="none"/>
        </w:rPr>
        <w:t>六、公告期限</w:t>
      </w:r>
      <w:bookmarkEnd w:id="18"/>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color w:val="auto"/>
          <w:sz w:val="24"/>
          <w:szCs w:val="24"/>
          <w:highlight w:val="none"/>
          <w:u w:val="none"/>
          <w:lang w:val="en-US" w:eastAsia="zh-CN"/>
        </w:rPr>
      </w:pPr>
      <w:bookmarkStart w:id="19" w:name="_Toc15463"/>
      <w:r>
        <w:rPr>
          <w:rFonts w:hint="eastAsia" w:ascii="宋体" w:hAnsi="宋体" w:eastAsia="宋体" w:cs="宋体"/>
          <w:b/>
          <w:bCs/>
          <w:color w:val="auto"/>
          <w:sz w:val="24"/>
          <w:szCs w:val="24"/>
          <w:highlight w:val="none"/>
        </w:rPr>
        <w:t>七、其他补充事宜</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无</w:t>
      </w:r>
      <w:bookmarkEnd w:id="19"/>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20" w:name="_Toc10471"/>
      <w:r>
        <w:rPr>
          <w:rFonts w:hint="eastAsia" w:ascii="宋体" w:hAnsi="宋体" w:eastAsia="宋体" w:cs="宋体"/>
          <w:b/>
          <w:bCs/>
          <w:color w:val="auto"/>
          <w:sz w:val="24"/>
          <w:szCs w:val="24"/>
          <w:highlight w:val="none"/>
        </w:rPr>
        <w:t>八、凡对本次采购提出询问，请按以下方式联系。</w:t>
      </w:r>
      <w:bookmarkEnd w:id="20"/>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采购</w:t>
      </w:r>
      <w:r>
        <w:rPr>
          <w:rFonts w:hint="eastAsia" w:ascii="宋体" w:hAnsi="宋体" w:eastAsia="宋体" w:cs="宋体"/>
          <w:bCs/>
          <w:color w:val="auto"/>
          <w:sz w:val="24"/>
          <w:szCs w:val="24"/>
          <w:highlight w:val="none"/>
        </w:rPr>
        <w:t>人信息</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eastAsia="zh-CN"/>
        </w:rPr>
        <w:t>国家税务总局邵武市税务局</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eastAsia="zh-CN"/>
        </w:rPr>
        <w:t>地    址：南平市邵武市通泰街道福寿中路68号</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eastAsia="zh-CN"/>
        </w:rPr>
        <w:t>联系方式：林</w:t>
      </w:r>
      <w:r>
        <w:rPr>
          <w:rFonts w:hint="eastAsia" w:ascii="宋体" w:hAnsi="宋体" w:cs="宋体"/>
          <w:color w:val="auto"/>
          <w:sz w:val="24"/>
          <w:szCs w:val="24"/>
          <w:highlight w:val="none"/>
          <w:u w:val="none"/>
          <w:lang w:val="en-US" w:eastAsia="zh-CN"/>
        </w:rPr>
        <w:t xml:space="preserve">先生，0599-6237266 </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2.采购代理机构信息</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称：福建省智信招标有限公司</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廖丽松、张博艺、王凯霞/</w:t>
      </w:r>
      <w:r>
        <w:rPr>
          <w:rFonts w:hint="eastAsia" w:ascii="宋体" w:hAnsi="宋体" w:eastAsia="宋体" w:cs="宋体"/>
          <w:color w:val="auto"/>
          <w:sz w:val="24"/>
          <w:szCs w:val="24"/>
          <w:highlight w:val="none"/>
          <w:u w:val="none"/>
        </w:rPr>
        <w:t>0591-88318332、87530730、87616211转80</w:t>
      </w:r>
      <w:r>
        <w:rPr>
          <w:rFonts w:hint="eastAsia" w:ascii="宋体" w:hAnsi="宋体" w:cs="宋体"/>
          <w:color w:val="auto"/>
          <w:sz w:val="24"/>
          <w:szCs w:val="24"/>
          <w:highlight w:val="none"/>
          <w:u w:val="none"/>
          <w:lang w:val="en-US" w:eastAsia="zh-CN"/>
        </w:rPr>
        <w:t>3</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3.项目联系方式</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eastAsia="zh-CN"/>
        </w:rPr>
        <w:t>廖丽松、张博艺、王凯霞</w:t>
      </w:r>
    </w:p>
    <w:p>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电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话：0591-88318332、87530730、87616211转80</w:t>
      </w:r>
      <w:r>
        <w:rPr>
          <w:rFonts w:hint="eastAsia" w:ascii="宋体" w:hAnsi="宋体" w:cs="宋体"/>
          <w:color w:val="auto"/>
          <w:sz w:val="24"/>
          <w:szCs w:val="24"/>
          <w:highlight w:val="none"/>
          <w:u w:val="none"/>
          <w:lang w:val="en-US" w:eastAsia="zh-CN"/>
        </w:rPr>
        <w:t>3</w:t>
      </w:r>
    </w:p>
    <w:p>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color w:val="auto"/>
          <w:sz w:val="24"/>
          <w:szCs w:val="24"/>
          <w:highlight w:val="none"/>
        </w:rPr>
        <w:sectPr>
          <w:pgSz w:w="11906" w:h="16838"/>
          <w:pgMar w:top="1440" w:right="1587" w:bottom="1440" w:left="1587" w:header="851" w:footer="992" w:gutter="0"/>
          <w:pgNumType w:fmt="decimal"/>
          <w:cols w:space="720" w:num="1"/>
          <w:titlePg/>
          <w:docGrid w:type="lines" w:linePitch="312" w:charSpace="0"/>
        </w:sectPr>
      </w:pPr>
    </w:p>
    <w:bookmarkEnd w:id="13"/>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21" w:name="_Toc5752"/>
      <w:bookmarkStart w:id="22" w:name="_Toc132880656"/>
      <w:r>
        <w:rPr>
          <w:rFonts w:hint="eastAsia" w:ascii="宋体" w:hAnsi="宋体" w:eastAsia="宋体" w:cs="宋体"/>
          <w:b/>
          <w:bCs/>
          <w:color w:val="auto"/>
          <w:sz w:val="28"/>
          <w:szCs w:val="28"/>
          <w:highlight w:val="none"/>
        </w:rPr>
        <w:t>第二章　供应商须知</w:t>
      </w:r>
      <w:bookmarkEnd w:id="21"/>
      <w:bookmarkEnd w:id="22"/>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23" w:name="_Toc132880657"/>
      <w:r>
        <w:rPr>
          <w:rFonts w:hint="eastAsia" w:ascii="宋体" w:hAnsi="宋体" w:eastAsia="宋体" w:cs="宋体"/>
          <w:b/>
          <w:bCs/>
          <w:color w:val="auto"/>
          <w:sz w:val="28"/>
          <w:szCs w:val="28"/>
          <w:highlight w:val="none"/>
        </w:rPr>
        <w:t>供应商须知前附表</w:t>
      </w:r>
      <w:bookmarkEnd w:id="23"/>
    </w:p>
    <w:tbl>
      <w:tblPr>
        <w:tblStyle w:val="2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 号</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国家税务总局邵武市税务局食堂食材配送分散采购项目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ZXWT-2025-373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r>
              <w:rPr>
                <w:rFonts w:hint="eastAsia" w:ascii="宋体" w:hAnsi="宋体" w:cs="宋体"/>
                <w:color w:val="auto"/>
                <w:kern w:val="0"/>
                <w:sz w:val="24"/>
                <w:szCs w:val="24"/>
                <w:highlight w:val="none"/>
                <w:lang w:val="en-US" w:eastAsia="zh-CN" w:bidi="ar-SA"/>
              </w:rPr>
              <w:t>48</w:t>
            </w:r>
            <w:r>
              <w:rPr>
                <w:rFonts w:hint="eastAsia" w:ascii="宋体" w:hAnsi="宋体" w:eastAsia="宋体" w:cs="宋体"/>
                <w:color w:val="auto"/>
                <w:kern w:val="0"/>
                <w:sz w:val="24"/>
                <w:szCs w:val="24"/>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项目最高限价：48万元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项目属性和类别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项目类别：</w:t>
            </w:r>
            <w:r>
              <w:rPr>
                <w:rFonts w:hint="eastAsia" w:ascii="宋体" w:hAnsi="宋体" w:eastAsia="宋体" w:cs="宋体"/>
                <w:color w:val="auto"/>
                <w:sz w:val="24"/>
                <w:szCs w:val="24"/>
                <w:highlight w:val="none"/>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w:t>
            </w:r>
            <w:r>
              <w:rPr>
                <w:rFonts w:hint="eastAsia" w:ascii="宋体" w:hAnsi="宋体" w:cs="宋体"/>
                <w:color w:val="auto"/>
                <w:sz w:val="24"/>
                <w:szCs w:val="24"/>
                <w:highlight w:val="none"/>
                <w:u w:val="none"/>
                <w:lang w:eastAsia="zh-CN"/>
              </w:rPr>
              <w:t>国家税务总局邵武市税务局</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none"/>
                <w:lang w:eastAsia="zh-CN"/>
              </w:rPr>
              <w:t>南平市邵武市通泰街道福寿中路68号</w:t>
            </w:r>
            <w:r>
              <w:rPr>
                <w:rFonts w:hint="eastAsia" w:ascii="宋体" w:hAnsi="宋体" w:eastAsia="宋体" w:cs="宋体"/>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eastAsia="zh-CN"/>
              </w:rPr>
              <w:t>：林</w:t>
            </w:r>
            <w:r>
              <w:rPr>
                <w:rFonts w:hint="eastAsia" w:ascii="宋体" w:hAnsi="宋体" w:cs="宋体"/>
                <w:color w:val="auto"/>
                <w:sz w:val="24"/>
                <w:szCs w:val="24"/>
                <w:highlight w:val="none"/>
                <w:u w:val="none"/>
                <w:lang w:val="en-US" w:eastAsia="zh-CN"/>
              </w:rPr>
              <w:t xml:space="preserve">先生，0599-6237266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名称：福建省智信招标有限公司</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廖丽松、张博艺、王凯霞</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0591-88318332、87530730、87616211转80</w:t>
            </w:r>
            <w:r>
              <w:rPr>
                <w:rFonts w:hint="eastAsia" w:ascii="宋体" w:hAnsi="宋体" w:eastAsia="宋体" w:cs="宋体"/>
                <w:color w:val="auto"/>
                <w:sz w:val="24"/>
                <w:szCs w:val="24"/>
                <w:highlight w:val="none"/>
                <w:u w:val="none"/>
                <w:lang w:val="en-US" w:eastAsia="zh-CN"/>
              </w:rPr>
              <w:t>3</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供应商产生方法</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公告</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供应商库抽取</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是否允许符合要求的供应商只有2家时可以继续进行采购活动：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否 </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□是，[本项目属于</w:t>
            </w:r>
            <w:r>
              <w:rPr>
                <w:rFonts w:hint="eastAsia" w:ascii="宋体" w:hAnsi="宋体" w:eastAsia="宋体" w:cs="宋体"/>
                <w:i/>
                <w:color w:val="auto"/>
                <w:sz w:val="24"/>
                <w:szCs w:val="24"/>
                <w:highlight w:val="none"/>
                <w:u w:val="single"/>
              </w:rPr>
              <w:t>①采用竞争性磋商采购方式组织实施的市场竞争不充分的科研项目、需要扶持的科技成果转化项目；②政府购买服务项目(含政府和社会资本合作项目</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具体详见第一章磋商邀请</w:t>
            </w: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本项目为服务类采购项目，</w:t>
            </w:r>
            <w:r>
              <w:rPr>
                <w:rFonts w:hint="eastAsia" w:ascii="宋体" w:hAnsi="宋体" w:cs="宋体"/>
                <w:b/>
                <w:bCs/>
                <w:color w:val="auto"/>
                <w:sz w:val="24"/>
                <w:szCs w:val="24"/>
                <w:highlight w:val="none"/>
                <w:lang w:val="en-US" w:eastAsia="zh-CN"/>
              </w:rPr>
              <w:t>对应的中小企业划分标准所属行业为“批发业”。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是否允许供应商将本项目的非主体、非关键性工作进行分包：</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i/>
                <w:color w:val="auto"/>
                <w:sz w:val="24"/>
                <w:szCs w:val="24"/>
                <w:highlight w:val="none"/>
                <w:u w:val="single"/>
              </w:rPr>
              <w:t>（写明可以分包履行的具体内容、金额或者比例）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19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90" w:lineRule="exact"/>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本采购项目拒绝进口产品参加磋商</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本采购项目已经财政部审核同意购买进口产品</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信息发布媒体</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国家税务总局福建省税务局（南平-邵武市）网站</w:t>
            </w:r>
            <w:r>
              <w:rPr>
                <w:rFonts w:hint="eastAsia" w:ascii="宋体" w:hAnsi="宋体" w:eastAsia="宋体" w:cs="宋体"/>
                <w:bCs/>
                <w:color w:val="auto"/>
                <w:sz w:val="24"/>
                <w:szCs w:val="24"/>
                <w:highlight w:val="none"/>
              </w:rPr>
              <w:t>http://fujian.chinatax.gov.cn/npsswj/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获取采购文件</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时间、地点和</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方式等</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17</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日</w:t>
            </w:r>
            <w:r>
              <w:rPr>
                <w:rFonts w:hint="eastAsia" w:ascii="宋体" w:hAnsi="宋体" w:eastAsia="宋体" w:cs="宋体"/>
                <w:bCs/>
                <w:color w:val="auto"/>
                <w:sz w:val="24"/>
                <w:szCs w:val="24"/>
                <w:highlight w:val="none"/>
              </w:rPr>
              <w:t>每天上午</w:t>
            </w:r>
            <w:r>
              <w:rPr>
                <w:rFonts w:hint="eastAsia" w:ascii="宋体" w:hAnsi="宋体" w:eastAsia="宋体" w:cs="宋体"/>
                <w:bCs/>
                <w:color w:val="auto"/>
                <w:sz w:val="24"/>
                <w:szCs w:val="24"/>
                <w:highlight w:val="none"/>
                <w:lang w:val="en-US" w:eastAsia="zh-CN"/>
              </w:rPr>
              <w:t>08：00</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val="en-US" w:eastAsia="zh-CN"/>
              </w:rPr>
              <w:t>12：00</w:t>
            </w:r>
            <w:r>
              <w:rPr>
                <w:rFonts w:hint="eastAsia" w:ascii="宋体" w:hAnsi="宋体" w:eastAsia="宋体" w:cs="宋体"/>
                <w:bCs/>
                <w:color w:val="auto"/>
                <w:sz w:val="24"/>
                <w:szCs w:val="24"/>
                <w:highlight w:val="none"/>
              </w:rPr>
              <w:t>，下午</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00</w:t>
            </w:r>
            <w:r>
              <w:rPr>
                <w:rFonts w:hint="eastAsia" w:ascii="宋体" w:hAnsi="宋体" w:eastAsia="宋体" w:cs="宋体"/>
                <w:bCs/>
                <w:color w:val="auto"/>
                <w:sz w:val="24"/>
                <w:szCs w:val="24"/>
                <w:highlight w:val="none"/>
              </w:rPr>
              <w:t>至</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00</w:t>
            </w:r>
            <w:r>
              <w:rPr>
                <w:rFonts w:hint="eastAsia" w:ascii="宋体" w:hAnsi="宋体" w:eastAsia="宋体" w:cs="宋体"/>
                <w:bCs/>
                <w:color w:val="auto"/>
                <w:sz w:val="24"/>
                <w:szCs w:val="24"/>
                <w:highlight w:val="none"/>
              </w:rPr>
              <w:t>（北京时间，法定节假日除外）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eastAsia="宋体" w:cs="宋体"/>
                <w:color w:val="auto"/>
                <w:sz w:val="24"/>
                <w:szCs w:val="24"/>
                <w:highlight w:val="none"/>
              </w:rPr>
              <w:t>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方式：</w:t>
            </w:r>
            <w:r>
              <w:rPr>
                <w:rFonts w:hint="eastAsia" w:ascii="宋体" w:hAnsi="宋体" w:eastAsia="宋体" w:cs="宋体"/>
                <w:color w:val="auto"/>
                <w:sz w:val="24"/>
                <w:szCs w:val="24"/>
                <w:highlight w:val="none"/>
              </w:rPr>
              <w:t>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现场考察或召开磋商前答疑会</w:t>
            </w:r>
          </w:p>
        </w:tc>
        <w:tc>
          <w:tcPr>
            <w:tcW w:w="6197" w:type="dxa"/>
            <w:gridSpan w:val="2"/>
            <w:noWrap w:val="0"/>
            <w:vAlign w:val="center"/>
          </w:tcPr>
          <w:p>
            <w:pPr>
              <w:keepNext w:val="0"/>
              <w:keepLines w:val="0"/>
              <w:pageBreakBefore w:val="0"/>
              <w:numPr>
                <w:ilvl w:val="0"/>
                <w:numId w:val="0"/>
              </w:numPr>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不组织现场考察/召开磋商前答疑会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8" w:hRule="atLeast"/>
          <w:jc w:val="center"/>
        </w:trPr>
        <w:tc>
          <w:tcPr>
            <w:tcW w:w="816" w:type="dxa"/>
            <w:vMerge w:val="restart"/>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w:t>
            </w:r>
          </w:p>
        </w:tc>
        <w:tc>
          <w:tcPr>
            <w:tcW w:w="990"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w:t>
            </w:r>
            <w:r>
              <w:rPr>
                <w:rFonts w:hint="eastAsia" w:ascii="宋体" w:hAnsi="宋体" w:eastAsia="宋体" w:cs="宋体"/>
                <w:bCs/>
                <w:color w:val="auto"/>
                <w:sz w:val="24"/>
                <w:szCs w:val="24"/>
                <w:highlight w:val="none"/>
              </w:rPr>
              <w:t>分</w:t>
            </w:r>
          </w:p>
        </w:tc>
        <w:tc>
          <w:tcPr>
            <w:tcW w:w="5207" w:type="dxa"/>
            <w:noWrap w:val="0"/>
            <w:vAlign w:val="center"/>
          </w:tcPr>
          <w:p>
            <w:pPr>
              <w:keepNext w:val="0"/>
              <w:keepLines w:val="0"/>
              <w:pageBreakBefore w:val="0"/>
              <w:widowControl/>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一、资格证明文件：</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1.★合格有效的营业执照复印件</w:t>
            </w:r>
            <w:r>
              <w:rPr>
                <w:rFonts w:hint="eastAsia" w:ascii="宋体" w:hAnsi="宋体" w:eastAsia="宋体" w:cs="宋体"/>
                <w:color w:val="auto"/>
                <w:kern w:val="2"/>
                <w:sz w:val="24"/>
                <w:szCs w:val="24"/>
                <w:highlight w:val="none"/>
                <w:lang w:val="en-US" w:eastAsia="zh-CN" w:bidi="ar-SA"/>
              </w:rPr>
              <w:t>等证明文件</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snapToGrid w:val="0"/>
                <w:color w:val="auto"/>
                <w:sz w:val="24"/>
                <w:szCs w:val="24"/>
              </w:rPr>
              <w:t>经会计师事务所审计的</w:t>
            </w:r>
            <w:r>
              <w:rPr>
                <w:rFonts w:hint="eastAsia" w:ascii="宋体" w:hAnsi="宋体" w:eastAsia="宋体" w:cs="宋体"/>
                <w:snapToGrid w:val="0"/>
                <w:color w:val="auto"/>
                <w:sz w:val="24"/>
                <w:szCs w:val="24"/>
                <w:lang w:val="en-US" w:eastAsia="zh-CN"/>
              </w:rPr>
              <w:t>2024年度</w:t>
            </w:r>
            <w:r>
              <w:rPr>
                <w:rFonts w:hint="eastAsia" w:ascii="宋体" w:hAnsi="宋体" w:eastAsia="宋体" w:cs="宋体"/>
                <w:snapToGrid w:val="0"/>
                <w:color w:val="auto"/>
                <w:sz w:val="24"/>
                <w:szCs w:val="24"/>
              </w:rPr>
              <w:t>的财务报告（须提供加盖会计师事务所公章及注册会计师签章的扫描件或复印件）</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rPr>
              <w:t>没有经审计的财务报告的，可以提供银行出具的资信证明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月以来不少于1个月依法缴纳税收（不包括个人所得税）的相关材料，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月以来不少于1个月的依法缴纳社会保障资金的相关材料，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5.★具备履行合同所必需的设备和专业技术能力的</w:t>
            </w:r>
            <w:r>
              <w:rPr>
                <w:rFonts w:hint="eastAsia" w:ascii="宋体" w:hAnsi="宋体" w:cs="宋体"/>
                <w:color w:val="auto"/>
                <w:sz w:val="24"/>
                <w:szCs w:val="24"/>
                <w:highlight w:val="none"/>
                <w:lang w:val="en-US" w:eastAsia="zh-CN"/>
              </w:rPr>
              <w:t>声明函</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6.★参加政府采购活动前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年内在经营活动中没有重大违法记录的书面声明；</w:t>
            </w:r>
          </w:p>
          <w:p>
            <w:pPr>
              <w:keepNext w:val="0"/>
              <w:keepLines w:val="0"/>
              <w:pageBreakBefore w:val="0"/>
              <w:kinsoku/>
              <w:wordWrap/>
              <w:overflowPunct/>
              <w:bidi w:val="0"/>
              <w:adjustRightInd w:val="0"/>
              <w:snapToGrid w:val="0"/>
              <w:spacing w:line="390" w:lineRule="exact"/>
              <w:jc w:val="left"/>
              <w:textAlignment w:val="auto"/>
              <w:rPr>
                <w:rFonts w:hint="default" w:eastAsia="宋体"/>
                <w:color w:val="auto"/>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《食品经营许可证》或《食品生产许可证》或《食品药品经营许可证》或《食品药品生产经营许可证》</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bookmarkStart w:id="24" w:name="OLE_LINK19"/>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bookmarkEnd w:id="24"/>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监狱企业证明文件[监狱企业参加采购活动的，应提交省级</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以上监狱管理局、戒毒管理局（含新疆生产建设兵团）出具的证明文件]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残疾人福利性单位声明函（残疾人福利性单位参加采购活动的，应提交此函）</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其他要求：见第一章 磋商邀请“二、供应商的资格要求</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报价一览表</w:t>
            </w:r>
            <w:r>
              <w:rPr>
                <w:rFonts w:hint="eastAsia" w:ascii="宋体" w:hAnsi="宋体" w:eastAsia="宋体" w:cs="宋体"/>
                <w:b/>
                <w:bCs/>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1.★磋商报价表</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widowControl/>
              <w:shd w:val="clear" w:color="auto" w:fill="FFFFFF"/>
              <w:tabs>
                <w:tab w:val="left" w:pos="475"/>
                <w:tab w:val="left" w:pos="617"/>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三、其他文件及资料：</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1.★授权委托书（</w:t>
            </w:r>
            <w:r>
              <w:rPr>
                <w:rFonts w:hint="eastAsia" w:ascii="宋体" w:hAnsi="宋体" w:eastAsia="宋体" w:cs="宋体"/>
                <w:i/>
                <w:color w:val="auto"/>
                <w:sz w:val="24"/>
                <w:szCs w:val="24"/>
                <w:highlight w:val="none"/>
              </w:rPr>
              <w:t>参考响应文件格式1</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5" w:name="OLE_LINK17"/>
            <w:r>
              <w:rPr>
                <w:rFonts w:hint="eastAsia" w:ascii="宋体" w:hAnsi="宋体" w:eastAsia="宋体" w:cs="宋体"/>
                <w:color w:val="auto"/>
                <w:sz w:val="24"/>
                <w:szCs w:val="24"/>
                <w:highlight w:val="none"/>
              </w:rPr>
              <w:t>★</w:t>
            </w:r>
            <w:bookmarkEnd w:id="25"/>
            <w:r>
              <w:rPr>
                <w:rFonts w:hint="eastAsia" w:ascii="宋体" w:hAnsi="宋体" w:eastAsia="宋体" w:cs="宋体"/>
                <w:color w:val="auto"/>
                <w:sz w:val="24"/>
                <w:szCs w:val="24"/>
                <w:highlight w:val="none"/>
              </w:rPr>
              <w:t>磋商响应函（</w:t>
            </w:r>
            <w:r>
              <w:rPr>
                <w:rFonts w:hint="eastAsia" w:ascii="宋体" w:hAnsi="宋体" w:eastAsia="宋体" w:cs="宋体"/>
                <w:i/>
                <w:color w:val="auto"/>
                <w:sz w:val="24"/>
                <w:szCs w:val="24"/>
                <w:highlight w:val="none"/>
              </w:rPr>
              <w:t>参考响应文件格式2</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990"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技术部分</w:t>
            </w:r>
          </w:p>
        </w:tc>
        <w:tc>
          <w:tcPr>
            <w:tcW w:w="5207" w:type="dxa"/>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2.服务方案、实施方案及技术方案；</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注：</w:t>
            </w:r>
            <w:r>
              <w:rPr>
                <w:rFonts w:hint="eastAsia" w:ascii="宋体" w:hAnsi="宋体" w:eastAsia="宋体" w:cs="宋体"/>
                <w:b/>
                <w:color w:val="auto"/>
                <w:sz w:val="24"/>
                <w:szCs w:val="24"/>
                <w:highlight w:val="none"/>
              </w:rPr>
              <w:t>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磋商响应有效期</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从提交响应文件的截止之日起计算</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提交响应文件方式、截止时间、地点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rPr>
              <w:t>提交方式：</w:t>
            </w:r>
            <w:r>
              <w:rPr>
                <w:rFonts w:hint="eastAsia" w:ascii="宋体" w:hAnsi="宋体" w:eastAsia="宋体" w:cs="宋体"/>
                <w:color w:val="auto"/>
                <w:sz w:val="24"/>
                <w:szCs w:val="24"/>
                <w:highlight w:val="none"/>
                <w:u w:val="none"/>
              </w:rPr>
              <w:t>纸质文件提交</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Cs/>
                <w:color w:val="auto"/>
                <w:sz w:val="24"/>
                <w:szCs w:val="24"/>
                <w:highlight w:val="none"/>
                <w:u w:val="none"/>
              </w:rPr>
            </w:pPr>
            <w:r>
              <w:rPr>
                <w:rFonts w:hint="eastAsia" w:ascii="宋体" w:hAnsi="宋体" w:eastAsia="宋体" w:cs="宋体"/>
                <w:b/>
                <w:color w:val="auto"/>
                <w:sz w:val="24"/>
                <w:szCs w:val="24"/>
                <w:highlight w:val="none"/>
              </w:rPr>
              <w:t>提交响应文件截止时间：</w:t>
            </w:r>
            <w:r>
              <w:rPr>
                <w:rFonts w:hint="eastAsia" w:ascii="宋体" w:hAnsi="宋体" w:cs="宋体"/>
                <w:color w:val="auto"/>
                <w:sz w:val="24"/>
                <w:szCs w:val="24"/>
                <w:highlight w:val="none"/>
                <w:u w:val="none"/>
                <w:lang w:val="en-US" w:eastAsia="zh-CN"/>
              </w:rPr>
              <w:t>2025</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28</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上午9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lang w:val="en-US" w:eastAsia="zh-CN"/>
              </w:rPr>
              <w:t>南平市建阳区潭城街道黄花山路29-30号(军分区门口)二层开标厅</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联系电话：</w:t>
            </w:r>
            <w:r>
              <w:rPr>
                <w:rFonts w:hint="eastAsia" w:ascii="宋体" w:hAnsi="宋体" w:eastAsia="宋体" w:cs="宋体"/>
                <w:b w:val="0"/>
                <w:bCs/>
                <w:color w:val="auto"/>
                <w:sz w:val="24"/>
                <w:szCs w:val="24"/>
                <w:highlight w:val="none"/>
                <w:u w:val="none"/>
              </w:rPr>
              <w:t>0591-88318332、87530730、87616211转80</w:t>
            </w:r>
            <w:r>
              <w:rPr>
                <w:rFonts w:hint="eastAsia" w:ascii="宋体" w:hAnsi="宋体" w:cs="宋体"/>
                <w:b w:val="0"/>
                <w:bCs/>
                <w:color w:val="auto"/>
                <w:sz w:val="24"/>
                <w:szCs w:val="24"/>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响应文件开启时间和地点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28</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上午9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lang w:val="en-US" w:eastAsia="zh-CN"/>
              </w:rPr>
              <w:t>南平市建阳区潭城街道黄花山路29-30号(军分区门口)二层开标厅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磋商保证金</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不予退还磋商保证金的情形</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有下列情形之一的，磋商保证金将不予退还：</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（4）供应商与采购人、其他供应商或者采购代理机构恶意串通的； </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（5）其他不予退还磋商保证金的情形：</w:t>
            </w:r>
            <w:r>
              <w:rPr>
                <w:rFonts w:hint="eastAsia" w:ascii="宋体" w:hAnsi="宋体"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信用记录审查</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本次查询的信用记录仅限于本项目使用，查询结果将留存在采购档案中。</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支持中小型</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企业发展</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根据《政府采购促进中小型企业发展管理办法》（财库〔2020〕46号），鼓励中小企业参加本项目采购活动。</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在货物采购项目中，</w:t>
            </w:r>
            <w:r>
              <w:rPr>
                <w:rFonts w:hint="eastAsia" w:ascii="宋体" w:hAnsi="宋体" w:eastAsia="宋体" w:cs="宋体"/>
                <w:color w:val="auto"/>
                <w:sz w:val="24"/>
                <w:szCs w:val="24"/>
                <w:highlight w:val="none"/>
              </w:rPr>
              <w:t>满足所有标的均由中小企业制造，即所有标的均由中小企业生产且使用该中小企业商号或者注册商标的，可享受中小企业扶持政策。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在服务采购项目中，</w:t>
            </w:r>
            <w:r>
              <w:rPr>
                <w:rFonts w:hint="eastAsia" w:ascii="宋体" w:hAnsi="宋体" w:eastAsia="宋体" w:cs="宋体"/>
                <w:color w:val="auto"/>
                <w:sz w:val="24"/>
                <w:szCs w:val="24"/>
                <w:highlight w:val="none"/>
              </w:rPr>
              <w:t>满足服务由中小企业承接，即提供服务的人员为中小企业依照《中华人民共和国劳动合同法》订立劳动合同的从业人员的，可享受中小企业扶持政策。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在工程采购项目中，</w:t>
            </w:r>
            <w:r>
              <w:rPr>
                <w:rFonts w:hint="eastAsia" w:ascii="宋体" w:hAnsi="宋体" w:eastAsia="宋体" w:cs="宋体"/>
                <w:color w:val="auto"/>
                <w:sz w:val="24"/>
                <w:szCs w:val="24"/>
                <w:highlight w:val="none"/>
              </w:rPr>
              <w:t>满足工程由中小企业承建，即工程施工单位为中小企业，可享受中小企业扶持政策。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采购包1：</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专门面向中小企业采购项目。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□预留份额面向中小企业采购项目（说明：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rPr>
              <w:t>非专门面向中小企业采购项目。对小型和微型企业的报价给予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支持监狱企业发展</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专门面向中小企业采购项目（监狱企业视同小型、微型企业）。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促进残疾人</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就业</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专门面向中小微企业采购项目（残疾人福利性单位视同小型、微型企业）。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cs="宋体"/>
                <w:color w:val="auto"/>
                <w:sz w:val="24"/>
                <w:szCs w:val="24"/>
                <w:highlight w:val="none"/>
                <w:lang w:val="en-US" w:eastAsia="zh-CN"/>
              </w:rPr>
              <w:t>采购包1：</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采购包</w:t>
            </w:r>
            <w:r>
              <w:rPr>
                <w:rFonts w:hint="eastAsia" w:ascii="宋体" w:hAnsi="宋体" w:eastAsia="宋体" w:cs="宋体"/>
                <w:color w:val="auto"/>
                <w:sz w:val="24"/>
                <w:szCs w:val="24"/>
                <w:highlight w:val="none"/>
              </w:rPr>
              <w:t>中强制采购节能产品的货物名称：</w:t>
            </w:r>
            <w:r>
              <w:rPr>
                <w:rFonts w:hint="eastAsia" w:ascii="宋体" w:hAnsi="宋体" w:eastAsia="宋体" w:cs="宋体"/>
                <w:b/>
                <w:bCs/>
                <w:color w:val="auto"/>
                <w:kern w:val="2"/>
                <w:sz w:val="24"/>
                <w:szCs w:val="24"/>
                <w:highlight w:val="none"/>
                <w:u w:val="single"/>
                <w:lang w:val="en-US" w:eastAsia="zh-CN" w:bidi="ar-SA"/>
              </w:rPr>
              <w:t>无。</w:t>
            </w:r>
          </w:p>
          <w:p>
            <w:pPr>
              <w:keepNext w:val="0"/>
              <w:keepLines w:val="0"/>
              <w:pageBreakBefore w:val="0"/>
              <w:kinsoku/>
              <w:wordWrap/>
              <w:overflowPunct/>
              <w:bidi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本项目中采购信息安全产品的货物名称：</w:t>
            </w:r>
            <w:r>
              <w:rPr>
                <w:rFonts w:hint="eastAsia" w:ascii="宋体" w:hAnsi="宋体" w:cs="宋体"/>
                <w:color w:val="auto"/>
                <w:sz w:val="24"/>
                <w:szCs w:val="24"/>
                <w:highlight w:val="none"/>
                <w:u w:val="single"/>
                <w:lang w:val="en-US" w:eastAsia="zh-CN"/>
              </w:rPr>
              <w:t>无</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其他法律法规强制性规定或扶持政策：</w:t>
            </w:r>
            <w:r>
              <w:rPr>
                <w:rFonts w:hint="eastAsia" w:ascii="宋体" w:hAnsi="宋体" w:cs="宋体"/>
                <w:color w:val="auto"/>
                <w:sz w:val="24"/>
                <w:szCs w:val="24"/>
                <w:highlight w:val="none"/>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评审方法及分值</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履约保证金</w:t>
            </w:r>
          </w:p>
        </w:tc>
        <w:tc>
          <w:tcPr>
            <w:tcW w:w="6197" w:type="dxa"/>
            <w:gridSpan w:val="2"/>
            <w:noWrap w:val="0"/>
            <w:vAlign w:val="center"/>
          </w:tcPr>
          <w:p>
            <w:pPr>
              <w:keepNext w:val="0"/>
              <w:keepLines w:val="0"/>
              <w:pageBreakBefore w:val="0"/>
              <w:widowControl w:val="0"/>
              <w:kinsoku/>
              <w:wordWrap/>
              <w:overflowPunct/>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pPr>
              <w:keepNext w:val="0"/>
              <w:keepLines w:val="0"/>
              <w:pageBreakBefore w:val="0"/>
              <w:widowControl w:val="0"/>
              <w:kinsoku/>
              <w:wordWrap/>
              <w:overflowPunct/>
              <w:topLinePunct/>
              <w:autoSpaceDE w:val="0"/>
              <w:autoSpaceDN w:val="0"/>
              <w:bidi w:val="0"/>
              <w:adjustRightInd w:val="0"/>
              <w:snapToGrid w:val="0"/>
              <w:spacing w:after="0" w:line="400" w:lineRule="exact"/>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本采购项目履约保证金为合同金额的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接收质疑的方式、部门、电话和通讯地址</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（1）接收质疑函的方式：</w:t>
            </w:r>
            <w:r>
              <w:rPr>
                <w:rFonts w:hint="eastAsia" w:ascii="宋体" w:hAnsi="宋体" w:eastAsia="宋体" w:cs="宋体"/>
                <w:color w:val="auto"/>
                <w:sz w:val="24"/>
                <w:szCs w:val="24"/>
                <w:highlight w:val="none"/>
                <w:u w:val="single"/>
              </w:rPr>
              <w:t>书面形式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（2）联系部门：</w:t>
            </w:r>
            <w:r>
              <w:rPr>
                <w:rFonts w:hint="eastAsia" w:ascii="宋体" w:hAnsi="宋体" w:eastAsia="宋体" w:cs="宋体"/>
                <w:color w:val="auto"/>
                <w:sz w:val="24"/>
                <w:szCs w:val="24"/>
                <w:highlight w:val="none"/>
                <w:u w:val="single"/>
              </w:rPr>
              <w:t>福建省智信招标有限公司</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eastAsia="zh-CN"/>
              </w:rPr>
              <w:t>国家税务总局邵武市税务局</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（3）联系电话：</w:t>
            </w:r>
            <w:r>
              <w:rPr>
                <w:rFonts w:hint="eastAsia" w:ascii="宋体" w:hAnsi="宋体" w:eastAsia="宋体" w:cs="宋体"/>
                <w:color w:val="auto"/>
                <w:sz w:val="24"/>
                <w:szCs w:val="24"/>
                <w:highlight w:val="none"/>
                <w:u w:val="single"/>
              </w:rPr>
              <w:t>0591-88318332、87530730、87616211转80</w:t>
            </w:r>
            <w:r>
              <w:rPr>
                <w:rFonts w:hint="eastAsia" w:ascii="宋体" w:hAnsi="宋体" w:cs="宋体"/>
                <w:color w:val="auto"/>
                <w:sz w:val="24"/>
                <w:szCs w:val="24"/>
                <w:highlight w:val="none"/>
                <w:u w:val="single"/>
                <w:lang w:val="en-US" w:eastAsia="zh-CN"/>
              </w:rPr>
              <w:t>3</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（4）通讯地址：</w:t>
            </w:r>
            <w:r>
              <w:rPr>
                <w:rFonts w:hint="eastAsia" w:ascii="宋体" w:hAnsi="宋体" w:eastAsia="宋体" w:cs="宋体"/>
                <w:color w:val="auto"/>
                <w:sz w:val="24"/>
                <w:szCs w:val="24"/>
                <w:highlight w:val="none"/>
                <w:u w:val="single"/>
              </w:rPr>
              <w:t>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cs="宋体"/>
                <w:color w:val="auto"/>
                <w:sz w:val="24"/>
                <w:szCs w:val="24"/>
                <w:highlight w:val="none"/>
                <w:u w:val="single"/>
                <w:lang w:val="en-US" w:eastAsia="zh-CN"/>
              </w:rPr>
              <w:t>福建省智信招标有限公司</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（5）电子邮箱：</w:t>
            </w:r>
            <w:r>
              <w:rPr>
                <w:rFonts w:hint="eastAsia" w:ascii="宋体" w:hAnsi="宋体" w:cs="宋体"/>
                <w:color w:val="auto"/>
                <w:sz w:val="24"/>
                <w:szCs w:val="24"/>
                <w:highlight w:val="none"/>
                <w:u w:val="singl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需提交的响应文件份数：</w:t>
            </w:r>
          </w:p>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cs="宋体"/>
                <w:b/>
                <w:bCs/>
                <w:color w:val="auto"/>
                <w:sz w:val="24"/>
                <w:szCs w:val="24"/>
                <w:highlight w:val="none"/>
                <w:lang w:val="en-US" w:eastAsia="zh-CN"/>
              </w:rPr>
              <w:t>纸质文本：</w:t>
            </w:r>
            <w:r>
              <w:rPr>
                <w:rFonts w:hint="eastAsia" w:ascii="宋体" w:hAnsi="宋体" w:eastAsia="宋体" w:cs="宋体"/>
                <w:b/>
                <w:bCs/>
                <w:color w:val="auto"/>
                <w:sz w:val="24"/>
                <w:szCs w:val="24"/>
                <w:highlight w:val="none"/>
              </w:rPr>
              <w:t>正本</w:t>
            </w:r>
            <w:r>
              <w:rPr>
                <w:rFonts w:hint="eastAsia" w:ascii="宋体" w:hAnsi="宋体" w:eastAsia="宋体" w:cs="宋体"/>
                <w:b/>
                <w:bCs/>
                <w:color w:val="auto"/>
                <w:sz w:val="24"/>
                <w:szCs w:val="24"/>
                <w:highlight w:val="none"/>
                <w:u w:val="single"/>
              </w:rPr>
              <w:t>1</w:t>
            </w:r>
            <w:r>
              <w:rPr>
                <w:rFonts w:hint="eastAsia" w:ascii="宋体" w:hAnsi="宋体" w:eastAsia="宋体" w:cs="宋体"/>
                <w:b/>
                <w:bCs/>
                <w:color w:val="auto"/>
                <w:sz w:val="24"/>
                <w:szCs w:val="24"/>
                <w:highlight w:val="none"/>
              </w:rPr>
              <w:t>份、副本</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（2）电子文件</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扫描件</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提供签字、盖章后的扫描件 </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Word）。采用光盘或U盘刻录</w:t>
            </w:r>
            <w:r>
              <w:rPr>
                <w:rFonts w:hint="eastAsia" w:ascii="宋体" w:hAnsi="宋体" w:cs="宋体"/>
                <w:b/>
                <w:bCs/>
                <w:color w:val="auto"/>
                <w:sz w:val="24"/>
                <w:szCs w:val="24"/>
                <w:highlight w:val="none"/>
                <w:lang w:val="en-US" w:eastAsia="zh-CN"/>
              </w:rPr>
              <w:t>并单独密封与纸质响应文件一同提交</w:t>
            </w:r>
            <w:r>
              <w:rPr>
                <w:rFonts w:hint="eastAsia" w:ascii="宋体" w:hAnsi="宋体" w:eastAsia="宋体" w:cs="宋体"/>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（1）本项目代理费用由</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支付。</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（2）代理费用收取方式及标准：</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以</w:t>
            </w:r>
            <w:r>
              <w:rPr>
                <w:rFonts w:hint="eastAsia" w:ascii="宋体" w:hAnsi="宋体" w:cs="宋体"/>
                <w:color w:val="auto"/>
                <w:sz w:val="24"/>
                <w:szCs w:val="24"/>
                <w:highlight w:val="none"/>
                <w:u w:val="none"/>
                <w:lang w:val="en-US" w:eastAsia="zh-CN"/>
              </w:rPr>
              <w:t>预算</w:t>
            </w:r>
            <w:r>
              <w:rPr>
                <w:rFonts w:hint="eastAsia" w:ascii="宋体" w:hAnsi="宋体" w:eastAsia="宋体" w:cs="宋体"/>
                <w:color w:val="auto"/>
                <w:sz w:val="24"/>
                <w:szCs w:val="24"/>
                <w:highlight w:val="none"/>
                <w:u w:val="none"/>
              </w:rPr>
              <w:t>金额</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48万元</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为基数</w:t>
            </w:r>
            <w:r>
              <w:rPr>
                <w:rFonts w:hint="eastAsia" w:ascii="宋体" w:hAnsi="宋体" w:cs="宋体"/>
                <w:color w:val="auto"/>
                <w:sz w:val="24"/>
                <w:szCs w:val="24"/>
                <w:highlight w:val="none"/>
                <w:u w:val="none"/>
                <w:lang w:val="en-US" w:eastAsia="zh-CN"/>
              </w:rPr>
              <w:t>按下列标准进行</w:t>
            </w:r>
            <w:r>
              <w:rPr>
                <w:rFonts w:hint="eastAsia" w:ascii="宋体" w:hAnsi="宋体" w:eastAsia="宋体" w:cs="宋体"/>
                <w:color w:val="auto"/>
                <w:sz w:val="24"/>
                <w:szCs w:val="24"/>
                <w:highlight w:val="none"/>
                <w:u w:val="none"/>
              </w:rPr>
              <w:t>计算，向</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收取，</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应以转</w:t>
            </w:r>
            <w:r>
              <w:rPr>
                <w:rFonts w:hint="eastAsia" w:ascii="宋体" w:hAnsi="宋体" w:cs="宋体"/>
                <w:color w:val="auto"/>
                <w:sz w:val="24"/>
                <w:szCs w:val="24"/>
                <w:highlight w:val="none"/>
                <w:u w:val="none"/>
                <w:lang w:val="en-US" w:eastAsia="zh-CN"/>
              </w:rPr>
              <w:t>账</w:t>
            </w:r>
            <w:r>
              <w:rPr>
                <w:rFonts w:hint="eastAsia" w:ascii="宋体" w:hAnsi="宋体" w:eastAsia="宋体" w:cs="宋体"/>
                <w:color w:val="auto"/>
                <w:sz w:val="24"/>
                <w:szCs w:val="24"/>
                <w:highlight w:val="none"/>
                <w:u w:val="none"/>
              </w:rPr>
              <w:t>或电汇等付款方式一次性向采购代理机构缴纳招标代理服务费。</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附：招标代理服务费收费标准：100万元以下按</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%计算收取。</w:t>
            </w:r>
          </w:p>
          <w:p>
            <w:pPr>
              <w:keepNext w:val="0"/>
              <w:keepLines w:val="0"/>
              <w:pageBreakBefore w:val="0"/>
              <w:kinsoku/>
              <w:wordWrap/>
              <w:overflowPunct/>
              <w:bidi w:val="0"/>
              <w:spacing w:line="390" w:lineRule="exact"/>
              <w:textAlignment w:val="auto"/>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收款人</w:t>
            </w:r>
            <w:r>
              <w:rPr>
                <w:rFonts w:hint="eastAsia" w:ascii="宋体" w:hAnsi="宋体" w:eastAsia="宋体" w:cs="宋体"/>
                <w:color w:val="auto"/>
                <w:sz w:val="24"/>
                <w:szCs w:val="24"/>
                <w:highlight w:val="none"/>
                <w:u w:val="none"/>
                <w:lang w:val="en-US" w:eastAsia="zh-CN"/>
              </w:rPr>
              <w:t>信息</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开户名：福建省智信招标有限公司</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开户行：中国光大银行福州市杨桥支行</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账号：087739120100304037933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16"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本项目不为线上采购项目，采购文件中关于“线上采购项目”等有关表述，均不适用于本项目。（若有矛盾，以此为准</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bidi w:val="0"/>
              <w:spacing w:line="390" w:lineRule="exact"/>
              <w:textAlignment w:val="auto"/>
              <w:rPr>
                <w:rFonts w:hint="default"/>
                <w:color w:val="auto"/>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bl>
    <w:p>
      <w:pPr>
        <w:spacing w:after="0" w:line="240" w:lineRule="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26" w:name="_Toc27846"/>
      <w:bookmarkStart w:id="27" w:name="_Toc132880658"/>
      <w:r>
        <w:rPr>
          <w:rFonts w:hint="eastAsia" w:ascii="宋体" w:hAnsi="宋体" w:eastAsia="宋体" w:cs="宋体"/>
          <w:b/>
          <w:bCs/>
          <w:color w:val="auto"/>
          <w:sz w:val="24"/>
          <w:szCs w:val="24"/>
          <w:highlight w:val="none"/>
        </w:rPr>
        <w:t>一、总则</w:t>
      </w:r>
      <w:bookmarkEnd w:id="26"/>
      <w:bookmarkEnd w:id="27"/>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1.预算资金及来源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本项目已经</w:t>
      </w:r>
      <w:r>
        <w:rPr>
          <w:rFonts w:hint="eastAsia" w:ascii="宋体" w:hAnsi="宋体" w:cs="宋体"/>
          <w:b/>
          <w:color w:val="auto"/>
          <w:sz w:val="24"/>
          <w:szCs w:val="24"/>
          <w:highlight w:val="none"/>
          <w:u w:val="single"/>
          <w:lang w:eastAsia="zh-CN"/>
        </w:rPr>
        <w:t>国家税务总局邵武市税务局</w:t>
      </w:r>
      <w:r>
        <w:rPr>
          <w:rFonts w:hint="eastAsia" w:ascii="宋体" w:hAnsi="宋体" w:eastAsia="宋体" w:cs="宋体"/>
          <w:color w:val="auto"/>
          <w:sz w:val="24"/>
          <w:szCs w:val="24"/>
          <w:highlight w:val="none"/>
        </w:rPr>
        <w:t>批准立项。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本项目预算资金见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，已列入</w:t>
      </w:r>
      <w:r>
        <w:rPr>
          <w:rFonts w:hint="eastAsia" w:ascii="宋体" w:hAnsi="宋体" w:cs="宋体"/>
          <w:b/>
          <w:color w:val="auto"/>
          <w:sz w:val="24"/>
          <w:szCs w:val="24"/>
          <w:highlight w:val="none"/>
          <w:u w:val="single"/>
          <w:lang w:eastAsia="zh-CN"/>
        </w:rPr>
        <w:t>国家税务总局邵武市税务局</w:t>
      </w:r>
      <w:r>
        <w:rPr>
          <w:rFonts w:hint="eastAsia" w:ascii="宋体" w:hAnsi="宋体" w:eastAsia="宋体" w:cs="宋体"/>
          <w:color w:val="auto"/>
          <w:sz w:val="24"/>
          <w:szCs w:val="24"/>
          <w:highlight w:val="none"/>
        </w:rPr>
        <w:t>预算。</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2.合格的产品和服务（工程）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本项目所涉及的所有产品和服务（工程）均应来自中国境内（指关境内），合同金额的支付也仅限于这些产品和服务（工程）。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合格的产品和服务（工程），即</w:t>
      </w:r>
      <w:r>
        <w:rPr>
          <w:rFonts w:hint="eastAsia" w:ascii="宋体" w:hAnsi="宋体" w:eastAsia="宋体" w:cs="宋体"/>
          <w:b/>
          <w:bCs/>
          <w:color w:val="auto"/>
          <w:sz w:val="24"/>
          <w:szCs w:val="24"/>
          <w:highlight w:val="none"/>
        </w:rPr>
        <w:t>采购需求</w:t>
      </w: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采购文件（技术部分）。</w:t>
      </w:r>
    </w:p>
    <w:p>
      <w:pPr>
        <w:keepNext w:val="0"/>
        <w:keepLines w:val="0"/>
        <w:pageBreakBefore w:val="0"/>
        <w:kinsoku/>
        <w:wordWrap/>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供应商应保证所提供的产品及服务（工程）免受第三方提出侵犯其知识产权（专利权、商标权、工业设计权及使用权）的请求及起诉。</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3.1.1供应商应遵守《政府采购法》及其实施条例、《政府采购竞争性磋商采购方式管理暂行办法》、《政府采购质疑和投诉办法》及有关政府采购的规定，同时还应遵守有关法律、法规和规章的强制性规定。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3.1.2供应商的资格要求及本项目的特定资格要求见</w:t>
      </w:r>
      <w:r>
        <w:rPr>
          <w:rFonts w:hint="eastAsia" w:ascii="宋体" w:hAnsi="宋体" w:eastAsia="宋体" w:cs="宋体"/>
          <w:b/>
          <w:bCs/>
          <w:color w:val="auto"/>
          <w:sz w:val="24"/>
          <w:szCs w:val="24"/>
          <w:highlight w:val="none"/>
        </w:rPr>
        <w:t>供应商须知前附</w:t>
      </w:r>
      <w:r>
        <w:rPr>
          <w:rFonts w:hint="eastAsia" w:ascii="宋体" w:hAnsi="宋体" w:eastAsia="宋体" w:cs="宋体"/>
          <w:color w:val="auto"/>
          <w:sz w:val="24"/>
          <w:szCs w:val="24"/>
          <w:highlight w:val="none"/>
        </w:rPr>
        <w:t>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3.1.3资格条件中所称“重大违法记录”，是指供应商因违法经营受到刑事处罚或者责令停产停业、吊销许可证或者执照、较大数额罚款等行政处罚。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供应商在参加政府采购活动前3年内因违法经营被禁止在一定期限内参加政府采购活动，期限届满的，可以参加政府采购活动。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3.1.4信用记录要求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3.2联合体</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3.2.1若本项目接受联合体，则两个以上的自然人、法人或者其他组织可以组成一个联合体，以一个供应商的身份共同参加政府采购。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3.2.2以联合体形式参加磋商的，联合体各方应按第二章要求提供资格条件材料。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3.2.4联合体应当提交联合协议，载明联合体各方承担的工作和义务。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3.3禁止规定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3.3.1单位负责人为同一人或者存在直接控股、管理关系的不同供应商，不得参加同一采购包的政府采购活动。否则响应均无效。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3.3.2除单一来源采购项目外，为采购项目提供整体设计、规范编制或者项目管理、监理、检测等服务的供应商，不得再参加该采购项目的其他采购活动。否则响应无效。</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4.磋商响应费用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供应商应承担所有与编写、提交响应文件有关的费用，不论磋商的结果如何，采购人在任何情况下均无义务和责任承担这些费用。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28" w:name="_Toc132880659"/>
      <w:bookmarkStart w:id="29" w:name="_Toc9293"/>
      <w:r>
        <w:rPr>
          <w:rFonts w:hint="eastAsia" w:ascii="宋体" w:hAnsi="宋体" w:eastAsia="宋体" w:cs="宋体"/>
          <w:b/>
          <w:bCs/>
          <w:color w:val="auto"/>
          <w:sz w:val="24"/>
          <w:szCs w:val="24"/>
          <w:highlight w:val="none"/>
        </w:rPr>
        <w:t>二、采购文件</w:t>
      </w:r>
      <w:bookmarkEnd w:id="28"/>
      <w:bookmarkEnd w:id="29"/>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5.采购文件构成</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商务部分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（3）评审方法及标准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（4）采购合同文本</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（5）响应文件格式</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技术部分</w:t>
      </w:r>
    </w:p>
    <w:p>
      <w:pPr>
        <w:keepNext w:val="0"/>
        <w:keepLines w:val="0"/>
        <w:pageBreakBefore w:val="0"/>
        <w:kinsoku/>
        <w:wordWrap/>
        <w:topLinePunct/>
        <w:autoSpaceDE w:val="0"/>
        <w:autoSpaceDN w:val="0"/>
        <w:bidi w:val="0"/>
        <w:adjustRightInd w:val="0"/>
        <w:snapToGrid w:val="0"/>
        <w:spacing w:after="0" w:line="42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6.采购文件询问、澄清或修改</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4"/>
          <w:szCs w:val="24"/>
          <w:highlight w:val="none"/>
        </w:rPr>
        <w:t>，但答复的内容不得涉及商业秘密。</w:t>
      </w:r>
      <w:r>
        <w:rPr>
          <w:rFonts w:hint="eastAsia" w:ascii="宋体" w:hAnsi="宋体" w:eastAsia="宋体" w:cs="宋体"/>
          <w:color w:val="auto"/>
          <w:sz w:val="24"/>
          <w:szCs w:val="24"/>
          <w:highlight w:val="none"/>
        </w:rPr>
        <w:t>如有必要，采购人或者采购代理机构可对采购文件进行澄清或者修改。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提交首次响应文件截止之日前，采购人、采购代理机构或者磋商小组可以对已发出的磋商文件进行必要的澄清或者修改。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澄清或者修改将在原公告发布媒体上发布更正公告，并以书面形式通知所有获取磋商文件的供应商。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6.5澄清或者修改的内容作为磋商文件的组成部分。</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30" w:name="_Toc132880660"/>
      <w:bookmarkStart w:id="31" w:name="_Toc18450"/>
      <w:r>
        <w:rPr>
          <w:rFonts w:hint="eastAsia" w:ascii="宋体" w:hAnsi="宋体" w:eastAsia="宋体" w:cs="宋体"/>
          <w:b/>
          <w:bCs/>
          <w:color w:val="auto"/>
          <w:sz w:val="24"/>
          <w:szCs w:val="24"/>
          <w:highlight w:val="none"/>
        </w:rPr>
        <w:t>三、响应文件</w:t>
      </w:r>
      <w:bookmarkEnd w:id="30"/>
      <w:bookmarkEnd w:id="31"/>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7.1.1供应商应先仔细阅读采购文件的全部内容后，再进行响应文件的编制。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7.1.2响应文件应满足采购文件提出的实质性要求和条件，并保证其所提交的全部资料是不可割离且真实、有效、准确、完整和不具有任何误导性的，否则造成不利后果由供应商承担责任。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7.2响应文件的语言</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7.2.1除采购文件另有规定外，响应文件应使用中文文本并使用中文简化字，若有不同文本，以中文简化字文本为准。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7.2.2响应文件提供的全部资料中，若属于非中文描述的，应同时提供中文简化字译本。</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7.2.3除在采购文件的要求中另有规定外，响应文件计量单位应使用中华人民共和国法定计量单位。</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8.响应文件的组成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响应文件包括商务部分和技术部分。</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响应文件</w:t>
      </w:r>
      <w:r>
        <w:rPr>
          <w:rFonts w:hint="eastAsia" w:ascii="宋体" w:hAnsi="宋体" w:eastAsia="宋体" w:cs="宋体"/>
          <w:b/>
          <w:bCs/>
          <w:color w:val="auto"/>
          <w:sz w:val="24"/>
          <w:szCs w:val="24"/>
          <w:highlight w:val="none"/>
        </w:rPr>
        <w:t>商务部分</w:t>
      </w:r>
      <w:r>
        <w:rPr>
          <w:rFonts w:hint="eastAsia" w:ascii="宋体" w:hAnsi="宋体" w:eastAsia="宋体" w:cs="宋体"/>
          <w:color w:val="auto"/>
          <w:sz w:val="24"/>
          <w:szCs w:val="24"/>
          <w:highlight w:val="none"/>
        </w:rPr>
        <w:t>主要包括的文件和资料：</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资格证明文件，见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其他文件及资料，见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响应文件</w:t>
      </w:r>
      <w:r>
        <w:rPr>
          <w:rFonts w:hint="eastAsia" w:ascii="宋体" w:hAnsi="宋体" w:eastAsia="宋体" w:cs="宋体"/>
          <w:b/>
          <w:bCs/>
          <w:color w:val="auto"/>
          <w:sz w:val="24"/>
          <w:szCs w:val="24"/>
          <w:highlight w:val="none"/>
        </w:rPr>
        <w:t>技术部分</w:t>
      </w:r>
      <w:r>
        <w:rPr>
          <w:rFonts w:hint="eastAsia" w:ascii="宋体" w:hAnsi="宋体" w:eastAsia="宋体" w:cs="宋体"/>
          <w:color w:val="auto"/>
          <w:sz w:val="24"/>
          <w:szCs w:val="24"/>
          <w:highlight w:val="none"/>
        </w:rPr>
        <w:t>主要包括的文件及资料，见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证明资料如标明有效期的，必须在有效期内。</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9.报价要求</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除采购文件另有规定外，应以人民币报价。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本项目不接受任何形式的赠送、“零”报价和折扣报价。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本项目以磋商总报价为依据计算价格分。磋商总报价应包括采购文件中要求供应商承担所有工作内容的全部费用。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最低报价不能作为成交的保证。</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供应商的报价不得超过采购项目预算。</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10.响应文件的书写、密封、签署、盖章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10.1.1响应文件应使用不能擦去的墨料或墨水打印、书写。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10.1.2响应文件内容应没有涂改或行间插字。若有前述改动，在改动处应由单位负责人（授权代表）签字确认或加盖供应商的单位公章或校正章。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10.2密封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10.2.1响应文件应胶装或装订成册，避免材料散装、脱落。</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10.3.1响应文件中要求签字处应由供应商的单位负责人（授权代表）签字或加盖个人印章。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10.3.2响应文件必须按照采购文件给出文件格式的签署要求进行签署。</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10.3.3供应商在</w:t>
      </w:r>
      <w:r>
        <w:rPr>
          <w:rFonts w:hint="eastAsia" w:ascii="宋体" w:hAnsi="宋体" w:eastAsia="宋体" w:cs="宋体"/>
          <w:b/>
          <w:bCs/>
          <w:color w:val="auto"/>
          <w:sz w:val="24"/>
          <w:szCs w:val="24"/>
          <w:highlight w:val="none"/>
        </w:rPr>
        <w:t>“磋商响应函”“法定代表人授权委托书”</w:t>
      </w:r>
      <w:r>
        <w:rPr>
          <w:rFonts w:hint="eastAsia" w:ascii="宋体" w:hAnsi="宋体" w:eastAsia="宋体" w:cs="宋体"/>
          <w:color w:val="auto"/>
          <w:sz w:val="24"/>
          <w:szCs w:val="24"/>
          <w:highlight w:val="none"/>
        </w:rPr>
        <w:t>上应当按格式要求加盖与供应商名称全称一致的标准公章，并按照采购文件第五章响应文件格式中的相应格式文件要求签署全名或加盖名章。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10.3.4响应文件中的“盖章”指加盖供应商的“公章”，而非“合同专用章”、“投标专用章”等其他非公章。</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响应有效期</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响应有效期见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特殊情况下，在原响应有效期期满之前，采购人或者采购代理机构可征得供应商同意延长响应有效期。</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32" w:name="_Toc20651"/>
      <w:bookmarkStart w:id="33" w:name="_Toc132880661"/>
      <w:r>
        <w:rPr>
          <w:rFonts w:hint="eastAsia" w:ascii="宋体" w:hAnsi="宋体" w:eastAsia="宋体" w:cs="宋体"/>
          <w:b/>
          <w:bCs/>
          <w:color w:val="auto"/>
          <w:sz w:val="24"/>
          <w:szCs w:val="24"/>
          <w:highlight w:val="none"/>
        </w:rPr>
        <w:t>四、响应文件递交</w:t>
      </w:r>
      <w:bookmarkEnd w:id="32"/>
      <w:bookmarkEnd w:id="33"/>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响应文件递交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供应商应当在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要求提交响应文件截止时间前，根据《供应商须知前附表》载明方式提交响应文件。提交响应文件截止时间后，提交响应文件的将被拒绝。</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响应文件补充、修改或撤回</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线上采购项目，供应商在提交响应文件截止时间前，可以登录评审管理系统对所提交的响应文件进行撤回、补充、修改、重新提交。补充、修改的内容应当按照采购文件要求签署、盖章。</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提交响应文件截止时间后，不支持对已提交的响应文件作任何补充、修改或者撤回。</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34" w:name="_Toc8791"/>
      <w:bookmarkStart w:id="35" w:name="_Toc132880662"/>
      <w:r>
        <w:rPr>
          <w:rFonts w:hint="eastAsia" w:ascii="宋体" w:hAnsi="宋体" w:eastAsia="宋体" w:cs="宋体"/>
          <w:b/>
          <w:bCs/>
          <w:color w:val="auto"/>
          <w:sz w:val="24"/>
          <w:szCs w:val="24"/>
          <w:highlight w:val="none"/>
        </w:rPr>
        <w:t>五、磋商与评审</w:t>
      </w:r>
      <w:bookmarkEnd w:id="34"/>
      <w:bookmarkEnd w:id="35"/>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14.磋商小组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磋商与评审由依法组建的磋商小组负责，磋商小组由采购人代表和评审专家组成。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评审专家应当遵守评审工作纪律，不得泄露评审情况和评审中获悉的商业秘密。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磋商小组成员应当按照客观、公正、审慎的原则，根据磋商文件规定的评审程序、评审方法和评审标准进行独立评审。</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15.初步审查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(1)供应商未按照磋商文件规定提交磋商保证金的；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(4)供应商不满足磋商文件供应商资格条件或未按照磋商文件规定提供资格证明材料的；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(5)响应文件不满足磋商文件实质性条款的。响应文件是否实质性响应磋商文件，由磋商小组依据磋商文件规定、供应商响应文件及磋商情况认定；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(6)供应商存在失信记录的：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(7)其他不符合法律、规章、规范性文件和磋商文件规定的。</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16.澄清</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供应商的澄清、说明或者更正应当采用书面形式，由其法定代表人或其授权代表签字，供应商的澄清、说明或者更正不得超出磋商文件的范围或者改变响应文件的实质性内容。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16.3关于响应描述（即响应文件中描述的内容）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（1）响应描述前后不一致且不涉及证明材料的：按照本节第16.1条、16.2条规定执行。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（2）响应描述与证明材料不一致或多份证明材料之间不一致的：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①磋商小组将要求供应商进行书面澄清，无法澄清的将按照不利于供应商的内容进行评审。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除磋商小组要求供应商做出的澄清、说明或者补正以外，磋商小组不接受供应商的任何询问、说明、更改及文件。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供应商的澄清必须在规定的时间内提交。</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初审结束后，磋商小组所有成员集中与单一供应商分别进行磋商，并给予所有参加磋商的供应商平等的磋商机会。供应商应派其法定代表人或授权代表参加磋商。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对磋商文件作出的实质性变动是磋商文件的有效组成部分，磋商小组应当及时以书面形式同时通知所有参加磋商的供应商。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磋商小组应当根据实际情况与供应商进行磋商，并确定磋商的轮次。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已提交响应文件的供应商，在提交最后报价之前，可以根据磋商情况退出磋商。采购人或采购代理机构应当退还退出磋商的供应商的磋商保证金。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磋商结束后，供应商按照磋商小组要求重新提交的响应文件，不满足磋商文件及变动后的技术、服务要求以及合同草案条款的实质性要求的，将视为无效响应文件。</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规定的允许符合要求的供应商只有2家时可以继续进行采购活动的情形，提交最后报价的供应商可以为2家）。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最后报价是供应商响应文件的有效组成部分。如磋商小组没有对磋商文件作实质性变动或增加新的需求，最后报价不得高于首轮报价。</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19.最后报价评审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最后报价计算错误修正的原则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(1)最后报价的大写金额和小写金额不一致的，以大写金额为准。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(2)总价金额与按分项报价汇总金额不一致的，以分项报价金额计算结果为准。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(3)分项报价金额小数点有明显错位的，应以总价为准，并修改分项报价。</w:t>
      </w:r>
    </w:p>
    <w:p>
      <w:pPr>
        <w:keepNext w:val="0"/>
        <w:keepLines w:val="0"/>
        <w:pageBreakBefore w:val="0"/>
        <w:kinsoku/>
        <w:wordWrap/>
        <w:overflowPunct w:val="0"/>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(4)同时出现两种以上不一致的，按照前款规定的顺序修正。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(5)如果供应商不接受对其错误的更正，其最后报价将被视为无效报价或确定为无效响应。</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最后报价的价格扣除原则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落实政府采购政策进行价格调整的规则详见第三章第2.3条。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磋商报价得分：以供应商的最后报价作为价格评分依据。供应商的评审价为按上述条款修正并给予价格扣除优惠后的价格。</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磋商报价得分=（磋商基准价/最后磋商报价）×价格满分值</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20.综合评审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经磋商确定最终采购需求和提交最后报价的供应商后，由磋商小组采用综合评分法对提交最后报价的供应商的响应文件和最后报价进行综合评分。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评审办法及标准见第三章。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评审时，磋商小组成员应当独立对每个有效响应的文件进行评价、打分，然后汇总每个供应商每项评分因素的得分。</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21.提出成交供应商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磋商小组应当按照综合评分由高到低的顺序提出3名以上成交候选供应商，并编写评审报告。（符合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规定的允许符合要求的供应商只有2家时可以继续进行采购活动的情形，推荐的成交候选供应商可以为2家）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w:t>
      </w:r>
      <w:r>
        <w:rPr>
          <w:rFonts w:hint="eastAsia" w:ascii="宋体" w:hAnsi="宋体" w:eastAsia="宋体" w:cs="宋体"/>
          <w:color w:val="auto"/>
          <w:sz w:val="24"/>
          <w:szCs w:val="24"/>
          <w:highlight w:val="none"/>
          <w:u w:val="single"/>
        </w:rPr>
        <w:t>评审得分相同的，按照最后报价由低到高的顺序推荐。评审得分且最后报价相同的，按照技术指标</w:t>
      </w:r>
      <w:r>
        <w:rPr>
          <w:rFonts w:hint="eastAsia" w:ascii="宋体" w:hAnsi="宋体" w:cs="宋体"/>
          <w:color w:val="auto"/>
          <w:sz w:val="24"/>
          <w:szCs w:val="24"/>
          <w:highlight w:val="none"/>
          <w:u w:val="single"/>
          <w:lang w:eastAsia="zh-CN"/>
        </w:rPr>
        <w:t>得分由高到低</w:t>
      </w:r>
      <w:r>
        <w:rPr>
          <w:rFonts w:hint="eastAsia" w:ascii="宋体" w:hAnsi="宋体" w:eastAsia="宋体" w:cs="宋体"/>
          <w:color w:val="auto"/>
          <w:sz w:val="24"/>
          <w:szCs w:val="24"/>
          <w:highlight w:val="none"/>
          <w:u w:val="single"/>
        </w:rPr>
        <w:t>顺序推荐</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22.磋商终止</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出现下列情形之一的，采购人或者采购代理机构应当终止竞争性磋商采购活动，在财政部指定的媒体上发布项目终止公告并说明原因，重新开展采购活动：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(3)在采购过程中符合竞争要求的供应商或者报价未超过采购预算的供应商不足3家的，或者提交最后报价的供应商少于3家的；（符合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 xml:space="preserve">规定的允许符合要求的供应商只有2家时可以继续进行采购活动的情形，符合竞争要求的供应商或者报价未超过采购预算的供应商或者提交最后报价的供应商不足2家的；）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36" w:name="_Toc132880663"/>
      <w:bookmarkStart w:id="37" w:name="_Toc21852"/>
      <w:r>
        <w:rPr>
          <w:rFonts w:hint="eastAsia" w:ascii="宋体" w:hAnsi="宋体" w:eastAsia="宋体" w:cs="宋体"/>
          <w:b/>
          <w:bCs/>
          <w:color w:val="auto"/>
          <w:sz w:val="24"/>
          <w:szCs w:val="24"/>
          <w:highlight w:val="none"/>
        </w:rPr>
        <w:t>六、成交和合同</w:t>
      </w:r>
      <w:bookmarkEnd w:id="36"/>
      <w:bookmarkEnd w:id="37"/>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23.1采购代理机构应当在评审结束后2个工作日内将评审报告送采购人确认。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采购人或者采购代理机构应当在成交供应商确定后2个工作日内，在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规定的媒体上公告成交结果，并将磋商文件随成交结果同时公告。</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在公告成交结果的同时，采购人或者采购代理机构应当向成交供应商发出成交通知书。</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成交通知书对采购人和成交供应商具有同等法律效力。</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签订合同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采购人与成交供应商应当在成交通知书发出之日起30日内，按照磋商文件确定的合同文本以及采购标的、规格型号、采购金额、采购数量、技术和服务要求等事项签订采购合同。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成交供应商拒绝签订采购合同的，采购人可以按照本章第23.2条规定的原则确定其他供应商作为成交供应商并签订采购合同，也可以重新开展采购活动。拒绝签订采购合同的成交供应商不得参加对该项目重新开展的采购活动。</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履约保证金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的规定，在签订采购合同前，向采购人提交履约保证金。联合体成交的，履约保证金以联合体各方或联合体中牵头人的名义提交。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25.2成交供应商没有按照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的规定提交履约保证金的，视为放弃成交资格，其磋商保证金不予退还。</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38" w:name="_Toc132880664"/>
      <w:bookmarkStart w:id="39" w:name="_Toc17635"/>
      <w:r>
        <w:rPr>
          <w:rFonts w:hint="eastAsia" w:ascii="宋体" w:hAnsi="宋体" w:eastAsia="宋体" w:cs="宋体"/>
          <w:b/>
          <w:bCs/>
          <w:color w:val="auto"/>
          <w:sz w:val="24"/>
          <w:szCs w:val="24"/>
          <w:highlight w:val="none"/>
        </w:rPr>
        <w:t>七、询问和质疑</w:t>
      </w:r>
      <w:bookmarkEnd w:id="38"/>
      <w:bookmarkEnd w:id="39"/>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询问</w:t>
      </w:r>
    </w:p>
    <w:p>
      <w:pPr>
        <w:keepNext w:val="0"/>
        <w:keepLines w:val="0"/>
        <w:pageBreakBefore w:val="0"/>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26.1潜在供应商、供应商对采购活动事项有疑问的，可以向采购人或者采购代理机构提出询问，采购人或者采购代理机构应当在3个工作日内对依法提出的询问作出答复，但答复的内容不得涉及商业秘密。</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质疑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 w:val="24"/>
          <w:szCs w:val="24"/>
          <w:highlight w:val="none"/>
        </w:rPr>
        <w:t>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27.2在法定质疑期内，针对同一采购程序环节的质疑应一次性提出。</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27.3质疑人应知其权益受到损害之日，是指：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（1）对可以质疑的采购文件提出质疑的，为收到采购文件之日或者采购文件公告期限届满之日；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27.4质疑应当有明确的请求和必要的证明材料。供应商为自然人的，应当由本人签字；供应商为法人或者其他组织的，应当由法定代表人、主要负责人，或者其授权代表签字或者签章，并加盖公章。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 采购人或者代理机构应当在收到供应商的质疑函后7个工作日内，对质疑内容作出答复，</w:t>
      </w:r>
      <w:r>
        <w:rPr>
          <w:rFonts w:hint="eastAsia" w:ascii="宋体" w:hAnsi="宋体" w:eastAsia="宋体" w:cs="宋体"/>
          <w:bCs/>
          <w:color w:val="auto"/>
          <w:sz w:val="24"/>
          <w:szCs w:val="24"/>
          <w:highlight w:val="none"/>
        </w:rPr>
        <w:t>书面形式</w:t>
      </w:r>
      <w:r>
        <w:rPr>
          <w:rFonts w:hint="eastAsia" w:ascii="宋体" w:hAnsi="宋体" w:eastAsia="宋体" w:cs="宋体"/>
          <w:color w:val="auto"/>
          <w:sz w:val="24"/>
          <w:szCs w:val="24"/>
          <w:highlight w:val="none"/>
        </w:rPr>
        <w:t>通知质疑供应商和其他有关供应商，但答复内容不得涉及商业秘密。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27.6质疑人对采购人、采购代理机构的答复不满意或者采购人、采购代理机构未在规定的时间内作出答复的，可以在答复期满后15个工作日内向同级人民政府财政部门投诉。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27.7投诉应当有明确的请求和必要的证明材料。投诉的事项不得超出已质疑事项的范围。</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40" w:name="_Toc6779"/>
      <w:bookmarkStart w:id="41" w:name="_Toc132880665"/>
      <w:r>
        <w:rPr>
          <w:rFonts w:hint="eastAsia" w:ascii="宋体" w:hAnsi="宋体" w:eastAsia="宋体" w:cs="宋体"/>
          <w:b/>
          <w:bCs/>
          <w:color w:val="auto"/>
          <w:sz w:val="24"/>
          <w:szCs w:val="24"/>
          <w:highlight w:val="none"/>
        </w:rPr>
        <w:t>八、其他</w:t>
      </w:r>
      <w:bookmarkEnd w:id="40"/>
      <w:bookmarkEnd w:id="41"/>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保密</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28.1采购人、采购代理机构应当按照政府采购法和本办法的规定组织开展竞争性磋商，并采取必要措施，保证磋商在严格保密的情况下进行。任何单位和个人不得非法干预、影响磋商过程和结果。</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磋商小组成员和参与评审工作的有关人员对评审情况以及在评审过程中获悉的国家秘密、商业秘密负有保密责任。</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 知识产权与规避专利、版权纠纷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知识产权</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29.2.1 供应商应保证其响应方案中的有关软件、文件、图纸等没有违反有关专利和版权等知识产权的规定。</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29.2.2 成交供应商应保证采购人在中华人民共和国使用本项目成果任何一部分、或接受乙方服务时，免受第三方提出的侵犯其专利权、商标权或工业设计权等知识产权的索赔或起诉。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pageBreakBefore w:val="0"/>
        <w:kinsoku/>
        <w:wordWrap/>
        <w:bidi w:val="0"/>
        <w:spacing w:line="360" w:lineRule="auto"/>
        <w:textAlignment w:val="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2" w:name="_Toc13151"/>
      <w:bookmarkStart w:id="43" w:name="_Toc132880666"/>
      <w:r>
        <w:rPr>
          <w:rFonts w:hint="eastAsia" w:ascii="宋体" w:hAnsi="宋体" w:eastAsia="宋体" w:cs="宋体"/>
          <w:b/>
          <w:bCs/>
          <w:color w:val="auto"/>
          <w:sz w:val="28"/>
          <w:szCs w:val="28"/>
          <w:highlight w:val="none"/>
        </w:rPr>
        <w:t>第三章  评审方法及标准</w:t>
      </w:r>
      <w:bookmarkEnd w:id="42"/>
    </w:p>
    <w:p>
      <w:pPr>
        <w:keepNext w:val="0"/>
        <w:keepLines w:val="0"/>
        <w:pageBreakBefore w:val="0"/>
        <w:kinsoku/>
        <w:wordWrap/>
        <w:overflowPunct/>
        <w:topLinePunct/>
        <w:autoSpaceDE w:val="0"/>
        <w:autoSpaceDN w:val="0"/>
        <w:bidi w:val="0"/>
        <w:adjustRightInd w:val="0"/>
        <w:snapToGrid w:val="0"/>
        <w:spacing w:after="0" w:line="400" w:lineRule="exact"/>
        <w:ind w:firstLine="481" w:firstLineChars="200"/>
        <w:textAlignment w:val="auto"/>
        <w:outlineLvl w:val="1"/>
        <w:rPr>
          <w:rFonts w:hint="eastAsia" w:ascii="宋体" w:hAnsi="宋体" w:eastAsia="宋体" w:cs="宋体"/>
          <w:b/>
          <w:color w:val="auto"/>
          <w:sz w:val="24"/>
          <w:szCs w:val="24"/>
          <w:highlight w:val="none"/>
        </w:rPr>
      </w:pPr>
      <w:bookmarkStart w:id="44" w:name="_Toc18715"/>
      <w:r>
        <w:rPr>
          <w:rFonts w:hint="eastAsia" w:ascii="宋体" w:hAnsi="宋体" w:eastAsia="宋体" w:cs="宋体"/>
          <w:b/>
          <w:color w:val="auto"/>
          <w:sz w:val="24"/>
          <w:szCs w:val="24"/>
          <w:highlight w:val="none"/>
        </w:rPr>
        <w:t>1.评审方法</w:t>
      </w:r>
      <w:bookmarkEnd w:id="44"/>
    </w:p>
    <w:p>
      <w:pPr>
        <w:keepNext w:val="0"/>
        <w:keepLines w:val="0"/>
        <w:pageBreakBefore w:val="0"/>
        <w:widowControl/>
        <w:kinsoku/>
        <w:wordWrap/>
        <w:overflowPunct/>
        <w:topLinePunct/>
        <w:autoSpaceDE w:val="0"/>
        <w:autoSpaceDN w:val="0"/>
        <w:bidi w:val="0"/>
        <w:adjustRightInd w:val="0"/>
        <w:snapToGrid w:val="0"/>
        <w:spacing w:after="0"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 本项目评审方法：</w:t>
      </w:r>
      <w:r>
        <w:rPr>
          <w:rFonts w:hint="eastAsia" w:ascii="宋体" w:hAnsi="宋体" w:eastAsia="宋体" w:cs="宋体"/>
          <w:b/>
          <w:color w:val="auto"/>
          <w:sz w:val="24"/>
          <w:szCs w:val="24"/>
          <w:highlight w:val="none"/>
          <w:u w:val="single"/>
        </w:rPr>
        <w:t>采用综合评分法</w:t>
      </w:r>
      <w:r>
        <w:rPr>
          <w:rFonts w:hint="eastAsia" w:ascii="宋体" w:hAnsi="宋体" w:cs="宋体"/>
          <w:b/>
          <w:color w:val="auto"/>
          <w:sz w:val="24"/>
          <w:szCs w:val="24"/>
          <w:highlight w:val="none"/>
          <w:u w:val="single"/>
          <w:lang w:eastAsia="zh-CN"/>
        </w:rPr>
        <w:t>，</w:t>
      </w:r>
      <w:r>
        <w:rPr>
          <w:rFonts w:hint="eastAsia" w:ascii="宋体" w:hAnsi="宋体" w:cs="宋体"/>
          <w:b/>
          <w:color w:val="auto"/>
          <w:sz w:val="24"/>
          <w:szCs w:val="24"/>
          <w:highlight w:val="none"/>
          <w:u w:val="single"/>
          <w:lang w:val="en-US" w:eastAsia="zh-CN"/>
        </w:rPr>
        <w:t>推荐三名成交候选人。</w:t>
      </w:r>
    </w:p>
    <w:p>
      <w:pPr>
        <w:keepNext w:val="0"/>
        <w:keepLines w:val="0"/>
        <w:pageBreakBefore w:val="0"/>
        <w:kinsoku/>
        <w:wordWrap/>
        <w:overflowPunct/>
        <w:topLinePunct/>
        <w:autoSpaceDE w:val="0"/>
        <w:autoSpaceDN w:val="0"/>
        <w:bidi w:val="0"/>
        <w:adjustRightInd w:val="0"/>
        <w:snapToGrid w:val="0"/>
        <w:spacing w:after="0" w:line="400" w:lineRule="exact"/>
        <w:ind w:firstLine="481" w:firstLineChars="200"/>
        <w:textAlignment w:val="auto"/>
        <w:outlineLvl w:val="1"/>
        <w:rPr>
          <w:rFonts w:hint="eastAsia" w:ascii="宋体" w:hAnsi="宋体" w:eastAsia="宋体" w:cs="宋体"/>
          <w:b/>
          <w:color w:val="auto"/>
          <w:sz w:val="24"/>
          <w:szCs w:val="24"/>
          <w:highlight w:val="none"/>
        </w:rPr>
      </w:pPr>
      <w:bookmarkStart w:id="45" w:name="_Toc7770"/>
      <w:r>
        <w:rPr>
          <w:rFonts w:hint="eastAsia" w:ascii="宋体" w:hAnsi="宋体" w:eastAsia="宋体" w:cs="宋体"/>
          <w:b/>
          <w:color w:val="auto"/>
          <w:sz w:val="24"/>
          <w:szCs w:val="24"/>
          <w:highlight w:val="none"/>
        </w:rPr>
        <w:t>2.评分标准</w:t>
      </w:r>
      <w:bookmarkEnd w:id="45"/>
    </w:p>
    <w:p>
      <w:pPr>
        <w:tabs>
          <w:tab w:val="center" w:pos="4890"/>
        </w:tabs>
        <w:spacing w:line="360" w:lineRule="auto"/>
        <w:ind w:firstLine="560"/>
        <w:rPr>
          <w:rFonts w:ascii="仿宋_GB2312" w:hAnsi="仿宋" w:eastAsia="仿宋_GB2312" w:cs="仿宋_GB2312"/>
          <w:color w:val="auto"/>
          <w:sz w:val="28"/>
          <w:szCs w:val="28"/>
        </w:rPr>
      </w:pPr>
      <w:r>
        <w:rPr>
          <w:rFonts w:hint="eastAsia" w:ascii="宋体" w:hAnsi="宋体" w:eastAsia="宋体" w:cs="宋体"/>
          <w:color w:val="auto"/>
          <w:sz w:val="24"/>
          <w:szCs w:val="24"/>
          <w:highlight w:val="none"/>
        </w:rPr>
        <w:t>2.1 本项目</w:t>
      </w:r>
      <w:r>
        <w:rPr>
          <w:rFonts w:hint="eastAsia" w:ascii="宋体" w:hAnsi="宋体" w:eastAsia="宋体" w:cs="宋体"/>
          <w:b/>
          <w:color w:val="auto"/>
          <w:sz w:val="24"/>
          <w:szCs w:val="24"/>
          <w:highlight w:val="none"/>
          <w:u w:val="single"/>
        </w:rPr>
        <w:t>采用综合评分法</w:t>
      </w:r>
      <w:r>
        <w:rPr>
          <w:rFonts w:hint="eastAsia" w:ascii="宋体" w:hAnsi="宋体" w:eastAsia="宋体" w:cs="宋体"/>
          <w:color w:val="auto"/>
          <w:sz w:val="24"/>
          <w:szCs w:val="24"/>
          <w:highlight w:val="none"/>
        </w:rPr>
        <w:t>进行评分，综合评分法是指响应文件满足采购文件全部实质性要求，且按照评审因素的量化指标评审得分最高的供应商为成交候选供应商的评审方法。</w:t>
      </w:r>
    </w:p>
    <w:p>
      <w:pPr>
        <w:pStyle w:val="38"/>
        <w:keepNext w:val="0"/>
        <w:keepLines w:val="0"/>
        <w:pageBreakBefore w:val="0"/>
        <w:widowControl w:val="0"/>
        <w:kinsoku/>
        <w:wordWrap/>
        <w:overflowPunct/>
        <w:bidi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评审因素主要内容如下表。</w:t>
      </w:r>
    </w:p>
    <w:p>
      <w:pPr>
        <w:keepNext w:val="0"/>
        <w:keepLines w:val="0"/>
        <w:pageBreakBefore w:val="0"/>
        <w:kinsoku/>
        <w:wordWrap/>
        <w:overflowPunct/>
        <w:topLinePunct/>
        <w:autoSpaceDE w:val="0"/>
        <w:autoSpaceDN w:val="0"/>
        <w:bidi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本项目价格分值为</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分，其余评审因素分值为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90 </w:t>
      </w:r>
      <w:r>
        <w:rPr>
          <w:rFonts w:hint="eastAsia" w:ascii="宋体" w:hAnsi="宋体" w:eastAsia="宋体" w:cs="宋体"/>
          <w:color w:val="auto"/>
          <w:sz w:val="24"/>
          <w:szCs w:val="24"/>
          <w:highlight w:val="none"/>
        </w:rPr>
        <w:t>分。</w:t>
      </w:r>
    </w:p>
    <w:p>
      <w:pPr>
        <w:spacing w:line="400" w:lineRule="exact"/>
        <w:ind w:firstLine="354" w:firstLineChars="147"/>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各部</w:t>
      </w:r>
      <w:r>
        <w:rPr>
          <w:rFonts w:hint="eastAsia" w:ascii="宋体" w:hAnsi="宋体" w:cs="宋体"/>
          <w:b/>
          <w:color w:val="auto"/>
          <w:kern w:val="1"/>
          <w:sz w:val="24"/>
          <w:szCs w:val="24"/>
          <w:highlight w:val="none"/>
          <w:lang w:val="en-US" w:eastAsia="zh-CN"/>
        </w:rPr>
        <w:t>分</w:t>
      </w:r>
      <w:r>
        <w:rPr>
          <w:rFonts w:hint="eastAsia" w:ascii="宋体" w:hAnsi="宋体" w:cs="宋体"/>
          <w:b/>
          <w:color w:val="auto"/>
          <w:kern w:val="1"/>
          <w:sz w:val="24"/>
          <w:szCs w:val="24"/>
          <w:highlight w:val="none"/>
        </w:rPr>
        <w:t>评分分值分布如下：</w:t>
      </w:r>
    </w:p>
    <w:p>
      <w:pPr>
        <w:pStyle w:val="15"/>
        <w:spacing w:line="400" w:lineRule="exact"/>
        <w:ind w:firstLine="480" w:firstLineChars="200"/>
        <w:rPr>
          <w:rFonts w:hAnsi="宋体" w:cs="宋体"/>
          <w:color w:val="auto"/>
          <w:sz w:val="24"/>
          <w:szCs w:val="24"/>
          <w:highlight w:val="none"/>
        </w:rPr>
      </w:pPr>
      <w:r>
        <w:rPr>
          <w:rFonts w:hAnsi="宋体" w:cs="宋体"/>
          <w:color w:val="auto"/>
          <w:sz w:val="24"/>
          <w:szCs w:val="24"/>
          <w:highlight w:val="none"/>
        </w:rPr>
        <w:t>A</w:t>
      </w:r>
      <w:r>
        <w:rPr>
          <w:rFonts w:hint="eastAsia" w:hAnsi="宋体" w:cs="宋体"/>
          <w:color w:val="auto"/>
          <w:sz w:val="24"/>
          <w:szCs w:val="24"/>
          <w:highlight w:val="none"/>
        </w:rPr>
        <w:t>：价格</w:t>
      </w:r>
      <w:r>
        <w:rPr>
          <w:rFonts w:hAnsi="宋体" w:cs="宋体"/>
          <w:color w:val="auto"/>
          <w:sz w:val="24"/>
          <w:szCs w:val="24"/>
          <w:highlight w:val="none"/>
        </w:rPr>
        <w:t>部分</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 xml:space="preserve">10 </w:t>
      </w:r>
      <w:r>
        <w:rPr>
          <w:rFonts w:hint="eastAsia" w:hAnsi="宋体" w:cs="宋体"/>
          <w:color w:val="auto"/>
          <w:sz w:val="24"/>
          <w:szCs w:val="24"/>
          <w:highlight w:val="none"/>
        </w:rPr>
        <w:t>分</w:t>
      </w:r>
    </w:p>
    <w:p>
      <w:pPr>
        <w:pStyle w:val="15"/>
        <w:spacing w:line="400" w:lineRule="exact"/>
        <w:ind w:firstLine="480" w:firstLineChars="200"/>
        <w:rPr>
          <w:rFonts w:hAnsi="宋体" w:cs="宋体"/>
          <w:color w:val="auto"/>
          <w:sz w:val="24"/>
          <w:szCs w:val="24"/>
          <w:highlight w:val="none"/>
        </w:rPr>
      </w:pPr>
      <w:r>
        <w:rPr>
          <w:rFonts w:hAnsi="宋体" w:cs="宋体"/>
          <w:color w:val="auto"/>
          <w:sz w:val="24"/>
          <w:szCs w:val="24"/>
          <w:highlight w:val="none"/>
        </w:rPr>
        <w:t>B</w:t>
      </w:r>
      <w:r>
        <w:rPr>
          <w:rFonts w:hint="eastAsia" w:hAnsi="宋体" w:cs="宋体"/>
          <w:color w:val="auto"/>
          <w:sz w:val="24"/>
          <w:szCs w:val="24"/>
          <w:highlight w:val="none"/>
        </w:rPr>
        <w:t>：技术</w:t>
      </w:r>
      <w:r>
        <w:rPr>
          <w:rFonts w:hint="eastAsia" w:hAnsi="宋体" w:cs="宋体"/>
          <w:color w:val="auto"/>
          <w:sz w:val="24"/>
          <w:szCs w:val="24"/>
          <w:highlight w:val="none"/>
          <w:lang w:val="en-US" w:eastAsia="zh-CN"/>
        </w:rPr>
        <w:t>因素</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65</w:t>
      </w:r>
      <w:r>
        <w:rPr>
          <w:rFonts w:hint="eastAsia" w:hAnsi="宋体" w:cs="宋体"/>
          <w:color w:val="auto"/>
          <w:sz w:val="24"/>
          <w:szCs w:val="24"/>
          <w:highlight w:val="none"/>
        </w:rPr>
        <w:t>分</w:t>
      </w:r>
    </w:p>
    <w:p>
      <w:pPr>
        <w:pStyle w:val="15"/>
        <w:spacing w:line="40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C</w:t>
      </w:r>
      <w:r>
        <w:rPr>
          <w:rFonts w:hint="eastAsia" w:hAnsi="宋体" w:cs="宋体"/>
          <w:color w:val="auto"/>
          <w:sz w:val="24"/>
          <w:szCs w:val="24"/>
          <w:highlight w:val="none"/>
        </w:rPr>
        <w:t>：商务</w:t>
      </w:r>
      <w:r>
        <w:rPr>
          <w:rFonts w:hint="eastAsia" w:hAnsi="宋体" w:cs="宋体"/>
          <w:color w:val="auto"/>
          <w:sz w:val="24"/>
          <w:szCs w:val="24"/>
          <w:highlight w:val="none"/>
          <w:lang w:val="en-US" w:eastAsia="zh-CN"/>
        </w:rPr>
        <w:t>因素</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25</w:t>
      </w:r>
      <w:r>
        <w:rPr>
          <w:rFonts w:hint="eastAsia" w:hAnsi="宋体" w:cs="宋体"/>
          <w:color w:val="auto"/>
          <w:sz w:val="24"/>
          <w:szCs w:val="24"/>
          <w:highlight w:val="none"/>
        </w:rPr>
        <w:t>分</w:t>
      </w:r>
    </w:p>
    <w:p>
      <w:pPr>
        <w:keepNext w:val="0"/>
        <w:keepLines w:val="0"/>
        <w:pageBreakBefore w:val="0"/>
        <w:kinsoku/>
        <w:wordWrap/>
        <w:overflowPunct/>
        <w:topLinePunct/>
        <w:autoSpaceDE w:val="0"/>
        <w:autoSpaceDN w:val="0"/>
        <w:bidi w:val="0"/>
        <w:spacing w:after="0" w:line="400" w:lineRule="exact"/>
        <w:ind w:firstLine="240"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评审标准如下表：</w:t>
      </w:r>
    </w:p>
    <w:tbl>
      <w:tblPr>
        <w:tblStyle w:val="29"/>
        <w:tblW w:w="90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3"/>
        <w:gridCol w:w="770"/>
        <w:gridCol w:w="1085"/>
        <w:gridCol w:w="750"/>
        <w:gridCol w:w="59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7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评审因素</w:t>
            </w: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b/>
                <w:bCs/>
                <w:color w:val="auto"/>
                <w:kern w:val="2"/>
                <w:sz w:val="24"/>
                <w:szCs w:val="24"/>
                <w:lang w:val="de-DE" w:eastAsia="de-DE" w:bidi="ar-SA"/>
              </w:rPr>
            </w:pPr>
            <w:r>
              <w:rPr>
                <w:rFonts w:hint="eastAsia" w:ascii="宋体" w:hAnsi="宋体" w:eastAsia="宋体" w:cs="宋体"/>
                <w:b/>
                <w:bCs/>
                <w:color w:val="auto"/>
                <w:kern w:val="2"/>
                <w:sz w:val="24"/>
                <w:szCs w:val="24"/>
                <w:lang w:val="de-DE" w:eastAsia="de-DE" w:bidi="ar-SA"/>
              </w:rPr>
              <w:t>评</w:t>
            </w:r>
            <w:r>
              <w:rPr>
                <w:rFonts w:hint="eastAsia" w:ascii="宋体" w:hAnsi="宋体" w:eastAsia="宋体" w:cs="宋体"/>
                <w:b/>
                <w:bCs/>
                <w:color w:val="auto"/>
                <w:kern w:val="2"/>
                <w:sz w:val="24"/>
                <w:szCs w:val="24"/>
                <w:lang w:val="en-US" w:eastAsia="zh-CN" w:bidi="ar-SA"/>
              </w:rPr>
              <w:t>审</w:t>
            </w:r>
            <w:r>
              <w:rPr>
                <w:rFonts w:hint="eastAsia" w:ascii="宋体" w:hAnsi="宋体" w:eastAsia="宋体" w:cs="宋体"/>
                <w:b/>
                <w:bCs/>
                <w:color w:val="auto"/>
                <w:kern w:val="2"/>
                <w:sz w:val="24"/>
                <w:szCs w:val="24"/>
                <w:lang w:val="de-DE" w:eastAsia="de-DE" w:bidi="ar-SA"/>
              </w:rPr>
              <w:t>项目</w:t>
            </w:r>
          </w:p>
        </w:tc>
        <w:tc>
          <w:tcPr>
            <w:tcW w:w="750" w:type="dxa"/>
            <w:tcBorders>
              <w:top w:val="single" w:color="auto" w:sz="4" w:space="0"/>
              <w:left w:val="single" w:color="auto" w:sz="4" w:space="0"/>
              <w:bottom w:val="single" w:color="auto" w:sz="4" w:space="0"/>
              <w:right w:val="single" w:color="auto" w:sz="4" w:space="0"/>
            </w:tcBorders>
            <w:noWrap/>
            <w:vAlign w:val="center"/>
          </w:tcPr>
          <w:p>
            <w:pPr>
              <w:pStyle w:val="59"/>
              <w:keepNext w:val="0"/>
              <w:keepLines w:val="0"/>
              <w:pageBreakBefore w:val="0"/>
              <w:kinsoku/>
              <w:wordWrap/>
              <w:bidi w:val="0"/>
              <w:spacing w:line="400" w:lineRule="exact"/>
              <w:jc w:val="center"/>
              <w:rPr>
                <w:rFonts w:hint="eastAsia" w:ascii="宋体" w:hAnsi="宋体" w:eastAsia="宋体" w:cs="宋体"/>
                <w:b/>
                <w:bCs/>
                <w:color w:val="auto"/>
                <w:kern w:val="2"/>
                <w:sz w:val="24"/>
                <w:szCs w:val="24"/>
                <w:lang w:val="de-DE" w:eastAsia="de-DE" w:bidi="ar-SA"/>
              </w:rPr>
            </w:pPr>
            <w:r>
              <w:rPr>
                <w:rFonts w:hint="eastAsia" w:ascii="宋体" w:hAnsi="宋体" w:eastAsia="宋体" w:cs="宋体"/>
                <w:b/>
                <w:bCs/>
                <w:color w:val="auto"/>
                <w:kern w:val="2"/>
                <w:sz w:val="24"/>
                <w:szCs w:val="24"/>
                <w:lang w:val="de-DE" w:eastAsia="de-DE" w:bidi="ar-SA"/>
              </w:rPr>
              <w:t>评</w:t>
            </w:r>
            <w:r>
              <w:rPr>
                <w:rFonts w:hint="eastAsia" w:ascii="宋体" w:hAnsi="宋体" w:eastAsia="宋体" w:cs="宋体"/>
                <w:b/>
                <w:bCs/>
                <w:color w:val="auto"/>
                <w:kern w:val="2"/>
                <w:sz w:val="24"/>
                <w:szCs w:val="24"/>
                <w:lang w:val="en-US" w:eastAsia="zh-CN" w:bidi="ar-SA"/>
              </w:rPr>
              <w:t>审</w:t>
            </w:r>
            <w:r>
              <w:rPr>
                <w:rFonts w:hint="eastAsia" w:ascii="宋体" w:hAnsi="宋体" w:eastAsia="宋体" w:cs="宋体"/>
                <w:b/>
                <w:bCs/>
                <w:color w:val="auto"/>
                <w:kern w:val="2"/>
                <w:sz w:val="24"/>
                <w:szCs w:val="24"/>
                <w:lang w:val="de-DE" w:eastAsia="de-DE" w:bidi="ar-SA"/>
              </w:rPr>
              <w:t>分值</w:t>
            </w:r>
          </w:p>
        </w:tc>
        <w:tc>
          <w:tcPr>
            <w:tcW w:w="5918" w:type="dxa"/>
            <w:tcBorders>
              <w:top w:val="single" w:color="auto" w:sz="4" w:space="0"/>
              <w:left w:val="single" w:color="auto" w:sz="4" w:space="0"/>
              <w:bottom w:val="single" w:color="auto" w:sz="4" w:space="0"/>
              <w:right w:val="single" w:color="auto" w:sz="4" w:space="0"/>
            </w:tcBorders>
            <w:noWrap/>
            <w:vAlign w:val="center"/>
          </w:tcPr>
          <w:p>
            <w:pPr>
              <w:pStyle w:val="59"/>
              <w:keepNext w:val="0"/>
              <w:keepLines w:val="0"/>
              <w:pageBreakBefore w:val="0"/>
              <w:kinsoku/>
              <w:wordWrap/>
              <w:bidi w:val="0"/>
              <w:spacing w:line="400" w:lineRule="exact"/>
              <w:jc w:val="center"/>
              <w:rPr>
                <w:rFonts w:hint="eastAsia" w:ascii="宋体" w:hAnsi="宋体" w:eastAsia="宋体" w:cs="宋体"/>
                <w:b/>
                <w:bCs/>
                <w:color w:val="auto"/>
                <w:kern w:val="2"/>
                <w:sz w:val="24"/>
                <w:szCs w:val="24"/>
                <w:lang w:val="de-DE" w:eastAsia="de-DE" w:bidi="ar-SA"/>
              </w:rPr>
            </w:pPr>
            <w:r>
              <w:rPr>
                <w:rFonts w:hint="eastAsia" w:ascii="宋体" w:hAnsi="宋体" w:eastAsia="宋体" w:cs="宋体"/>
                <w:b/>
                <w:bCs/>
                <w:color w:val="auto"/>
                <w:kern w:val="2"/>
                <w:sz w:val="24"/>
                <w:szCs w:val="24"/>
                <w:lang w:val="de-DE" w:eastAsia="de-DE" w:bidi="ar-SA"/>
              </w:rPr>
              <w:t>评</w:t>
            </w:r>
            <w:r>
              <w:rPr>
                <w:rFonts w:hint="eastAsia" w:ascii="宋体" w:hAnsi="宋体" w:eastAsia="宋体" w:cs="宋体"/>
                <w:b/>
                <w:bCs/>
                <w:color w:val="auto"/>
                <w:kern w:val="2"/>
                <w:sz w:val="24"/>
                <w:szCs w:val="24"/>
                <w:lang w:val="en-US" w:eastAsia="zh-CN" w:bidi="ar-SA"/>
              </w:rPr>
              <w:t>审</w:t>
            </w:r>
            <w:r>
              <w:rPr>
                <w:rFonts w:hint="eastAsia" w:ascii="宋体" w:hAnsi="宋体" w:eastAsia="宋体" w:cs="宋体"/>
                <w:b/>
                <w:bCs/>
                <w:color w:val="auto"/>
                <w:kern w:val="2"/>
                <w:sz w:val="24"/>
                <w:szCs w:val="24"/>
                <w:lang w:val="de-DE" w:eastAsia="de-DE" w:bidi="ar-SA"/>
              </w:rPr>
              <w:t>方法描述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w:t>
            </w: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zh-CN" w:eastAsia="de-DE" w:bidi="ar-SA"/>
              </w:rPr>
            </w:pPr>
            <w:r>
              <w:rPr>
                <w:rFonts w:hint="eastAsia" w:ascii="宋体" w:hAnsi="宋体" w:eastAsia="宋体" w:cs="宋体"/>
                <w:color w:val="auto"/>
                <w:kern w:val="2"/>
                <w:sz w:val="24"/>
                <w:szCs w:val="24"/>
                <w:lang w:val="de-DE" w:eastAsia="de-DE" w:bidi="ar-SA"/>
              </w:rPr>
              <w:t>A</w:t>
            </w:r>
            <w:r>
              <w:rPr>
                <w:rFonts w:hint="eastAsia" w:ascii="宋体" w:hAnsi="宋体" w:eastAsia="宋体" w:cs="宋体"/>
                <w:color w:val="auto"/>
                <w:kern w:val="2"/>
                <w:sz w:val="24"/>
                <w:szCs w:val="24"/>
                <w:lang w:val="zh-CN" w:eastAsia="de-DE" w:bidi="ar-SA"/>
              </w:rPr>
              <w:t>价格</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5918" w:type="dxa"/>
            <w:tcBorders>
              <w:top w:val="single" w:color="auto" w:sz="4" w:space="0"/>
              <w:left w:val="single" w:color="auto" w:sz="4" w:space="0"/>
              <w:bottom w:val="single" w:color="auto" w:sz="4" w:space="0"/>
              <w:right w:val="single" w:color="auto" w:sz="4" w:space="0"/>
            </w:tcBorders>
            <w:noWrap/>
            <w:vAlign w:val="center"/>
          </w:tcPr>
          <w:p>
            <w:pPr>
              <w:pStyle w:val="38"/>
              <w:keepNext w:val="0"/>
              <w:keepLines w:val="0"/>
              <w:pageBreakBefore w:val="0"/>
              <w:widowControl w:val="0"/>
              <w:kinsoku/>
              <w:wordWrap/>
              <w:topLinePunct w:val="0"/>
              <w:bidi w:val="0"/>
              <w:adjustRightInd/>
              <w:snapToGrid/>
              <w:spacing w:line="400" w:lineRule="exact"/>
              <w:ind w:left="0" w:right="0" w:firstLine="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磋商报价得分=（磋商基准价／最后磋商报价）× 满分值</w:t>
            </w:r>
          </w:p>
          <w:p>
            <w:pPr>
              <w:pStyle w:val="38"/>
              <w:keepNext w:val="0"/>
              <w:keepLines w:val="0"/>
              <w:pageBreakBefore w:val="0"/>
              <w:widowControl w:val="0"/>
              <w:kinsoku/>
              <w:wordWrap/>
              <w:topLinePunct w:val="0"/>
              <w:bidi w:val="0"/>
              <w:adjustRightInd/>
              <w:snapToGrid/>
              <w:spacing w:line="400" w:lineRule="exact"/>
              <w:ind w:left="0" w:right="0" w:firstLine="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（1）磋商基准价</w:t>
            </w:r>
            <w:r>
              <w:rPr>
                <w:rFonts w:hint="eastAsia" w:ascii="宋体" w:hAnsi="宋体" w:eastAsia="宋体" w:cs="宋体"/>
                <w:color w:val="auto"/>
                <w:kern w:val="2"/>
                <w:sz w:val="24"/>
                <w:szCs w:val="24"/>
                <w:lang w:val="de-DE" w:eastAsia="de-DE" w:bidi="ar-SA"/>
              </w:rPr>
              <w:t>为满足</w:t>
            </w:r>
            <w:r>
              <w:rPr>
                <w:rFonts w:hint="eastAsia" w:ascii="宋体" w:hAnsi="宋体" w:eastAsia="宋体" w:cs="宋体"/>
                <w:color w:val="auto"/>
                <w:kern w:val="2"/>
                <w:sz w:val="24"/>
                <w:szCs w:val="24"/>
                <w:lang w:val="de-DE" w:eastAsia="zh-CN" w:bidi="ar-SA"/>
              </w:rPr>
              <w:t>磋商文件</w:t>
            </w:r>
            <w:r>
              <w:rPr>
                <w:rFonts w:hint="eastAsia" w:ascii="宋体" w:hAnsi="宋体" w:eastAsia="宋体" w:cs="宋体"/>
                <w:color w:val="auto"/>
                <w:kern w:val="2"/>
                <w:sz w:val="24"/>
                <w:szCs w:val="24"/>
                <w:lang w:val="de-DE" w:eastAsia="de-DE" w:bidi="ar-SA"/>
              </w:rPr>
              <w:t>要求且</w:t>
            </w:r>
            <w:r>
              <w:rPr>
                <w:rFonts w:hint="eastAsia" w:ascii="宋体" w:hAnsi="宋体" w:eastAsia="宋体" w:cs="宋体"/>
                <w:color w:val="auto"/>
                <w:kern w:val="2"/>
                <w:sz w:val="24"/>
                <w:szCs w:val="24"/>
                <w:lang w:val="en-US" w:eastAsia="zh-CN" w:bidi="ar-SA"/>
              </w:rPr>
              <w:t>结算</w:t>
            </w:r>
            <w:r>
              <w:rPr>
                <w:rFonts w:hint="eastAsia" w:ascii="宋体" w:hAnsi="宋体" w:eastAsia="宋体" w:cs="宋体"/>
                <w:color w:val="auto"/>
                <w:kern w:val="2"/>
                <w:sz w:val="24"/>
                <w:szCs w:val="24"/>
                <w:lang w:val="de-DE" w:eastAsia="de-DE" w:bidi="ar-SA"/>
              </w:rPr>
              <w:t>系数最低的报价，计算分数时四舍五入取小数点后两位。如：打8.5折，即</w:t>
            </w:r>
            <w:r>
              <w:rPr>
                <w:rFonts w:hint="eastAsia" w:ascii="宋体" w:hAnsi="宋体" w:eastAsia="宋体" w:cs="宋体"/>
                <w:color w:val="auto"/>
                <w:kern w:val="2"/>
                <w:sz w:val="24"/>
                <w:szCs w:val="24"/>
                <w:lang w:val="en-US" w:eastAsia="zh-CN" w:bidi="ar-SA"/>
              </w:rPr>
              <w:t>结算</w:t>
            </w:r>
            <w:r>
              <w:rPr>
                <w:rFonts w:hint="eastAsia" w:ascii="宋体" w:hAnsi="宋体" w:eastAsia="宋体" w:cs="宋体"/>
                <w:color w:val="auto"/>
                <w:kern w:val="2"/>
                <w:sz w:val="24"/>
                <w:szCs w:val="24"/>
                <w:lang w:val="de-DE" w:eastAsia="de-DE" w:bidi="ar-SA"/>
              </w:rPr>
              <w:t>系数为0.85</w:t>
            </w:r>
            <w:r>
              <w:rPr>
                <w:rFonts w:hint="eastAsia" w:ascii="宋体" w:hAnsi="宋体" w:eastAsia="宋体" w:cs="宋体"/>
                <w:i w:val="0"/>
                <w:iCs w:val="0"/>
                <w:color w:val="auto"/>
                <w:sz w:val="24"/>
                <w:szCs w:val="24"/>
                <w:highlight w:val="none"/>
              </w:rPr>
              <w:t>。</w:t>
            </w:r>
          </w:p>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de-DE" w:eastAsia="de-DE" w:bidi="ar-SA"/>
              </w:rPr>
            </w:pPr>
            <w:r>
              <w:rPr>
                <w:rFonts w:hint="eastAsia" w:ascii="宋体" w:hAnsi="宋体" w:eastAsia="宋体" w:cs="宋体"/>
                <w:i w:val="0"/>
                <w:iCs w:val="0"/>
                <w:color w:val="auto"/>
                <w:sz w:val="24"/>
                <w:szCs w:val="24"/>
                <w:highlight w:val="none"/>
              </w:rPr>
              <w:t>（2）因落实政府采购政策进行价格调整的，以调整后的价格计算磋商基准价和最后磋商报价。</w:t>
            </w:r>
            <w:r>
              <w:rPr>
                <w:rFonts w:hint="eastAsia" w:ascii="宋体" w:hAnsi="宋体" w:eastAsia="宋体" w:cs="宋体"/>
                <w:color w:val="auto"/>
                <w:kern w:val="2"/>
                <w:sz w:val="24"/>
                <w:szCs w:val="24"/>
                <w:lang w:val="de-DE" w:eastAsia="de-DE" w:bidi="ar-SA"/>
              </w:rPr>
              <w:br w:type="textWrapping"/>
            </w:r>
            <w:r>
              <w:rPr>
                <w:rFonts w:hint="eastAsia" w:ascii="宋体" w:hAnsi="宋体" w:eastAsia="宋体" w:cs="宋体"/>
                <w:color w:val="auto"/>
                <w:kern w:val="2"/>
                <w:sz w:val="24"/>
                <w:szCs w:val="24"/>
                <w:lang w:val="de-DE" w:eastAsia="de-DE" w:bidi="ar-SA"/>
              </w:rPr>
              <w:t>  注：采购人不接受</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的恶意低价竞争，</w:t>
            </w:r>
            <w:r>
              <w:rPr>
                <w:rFonts w:hint="eastAsia" w:ascii="宋体" w:hAnsi="宋体" w:eastAsia="宋体" w:cs="宋体"/>
                <w:color w:val="auto"/>
                <w:kern w:val="2"/>
                <w:sz w:val="24"/>
                <w:szCs w:val="24"/>
                <w:lang w:val="de-DE" w:eastAsia="zh-CN" w:bidi="ar-SA"/>
              </w:rPr>
              <w:t>磋商小组</w:t>
            </w:r>
            <w:r>
              <w:rPr>
                <w:rFonts w:hint="eastAsia" w:ascii="宋体" w:hAnsi="宋体" w:eastAsia="宋体" w:cs="宋体"/>
                <w:color w:val="auto"/>
                <w:kern w:val="2"/>
                <w:sz w:val="24"/>
                <w:szCs w:val="24"/>
                <w:lang w:val="de-DE" w:eastAsia="de-DE" w:bidi="ar-SA"/>
              </w:rPr>
              <w:t>认为</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的报价明显低于其他通过符合性审查</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的报价，有可能影响产品质量或者不能诚信履约的，要求其在评</w:t>
            </w:r>
            <w:r>
              <w:rPr>
                <w:rFonts w:hint="eastAsia" w:ascii="宋体" w:hAnsi="宋体" w:cs="宋体"/>
                <w:color w:val="auto"/>
                <w:kern w:val="2"/>
                <w:sz w:val="24"/>
                <w:szCs w:val="24"/>
                <w:lang w:val="en-US" w:eastAsia="zh-CN" w:bidi="ar-SA"/>
              </w:rPr>
              <w:t>审</w:t>
            </w:r>
            <w:r>
              <w:rPr>
                <w:rFonts w:hint="eastAsia" w:ascii="宋体" w:hAnsi="宋体" w:eastAsia="宋体" w:cs="宋体"/>
                <w:color w:val="auto"/>
                <w:kern w:val="2"/>
                <w:sz w:val="24"/>
                <w:szCs w:val="24"/>
                <w:lang w:val="de-DE" w:eastAsia="de-DE" w:bidi="ar-SA"/>
              </w:rPr>
              <w:t>现场提供书面说明，并提交相关证明材料，</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不能证明其报价合理性的，</w:t>
            </w:r>
            <w:r>
              <w:rPr>
                <w:rFonts w:hint="eastAsia" w:ascii="宋体" w:hAnsi="宋体" w:eastAsia="宋体" w:cs="宋体"/>
                <w:color w:val="auto"/>
                <w:kern w:val="2"/>
                <w:sz w:val="24"/>
                <w:szCs w:val="24"/>
                <w:lang w:val="de-DE" w:eastAsia="zh-CN" w:bidi="ar-SA"/>
              </w:rPr>
              <w:t>磋商小组</w:t>
            </w:r>
            <w:r>
              <w:rPr>
                <w:rFonts w:hint="eastAsia" w:ascii="宋体" w:hAnsi="宋体" w:eastAsia="宋体" w:cs="宋体"/>
                <w:color w:val="auto"/>
                <w:kern w:val="2"/>
                <w:sz w:val="24"/>
                <w:szCs w:val="24"/>
                <w:lang w:val="de-DE" w:eastAsia="de-DE" w:bidi="ar-SA"/>
              </w:rPr>
              <w:t>将对其作为无效</w:t>
            </w:r>
            <w:r>
              <w:rPr>
                <w:rFonts w:hint="eastAsia" w:ascii="宋体" w:hAnsi="宋体" w:cs="宋体"/>
                <w:color w:val="auto"/>
                <w:kern w:val="2"/>
                <w:sz w:val="24"/>
                <w:szCs w:val="24"/>
                <w:lang w:val="en-US" w:eastAsia="zh-CN" w:bidi="ar-SA"/>
              </w:rPr>
              <w:t>报价</w:t>
            </w:r>
            <w:r>
              <w:rPr>
                <w:rFonts w:hint="eastAsia" w:ascii="宋体" w:hAnsi="宋体" w:eastAsia="宋体" w:cs="宋体"/>
                <w:color w:val="auto"/>
                <w:kern w:val="2"/>
                <w:sz w:val="24"/>
                <w:szCs w:val="24"/>
                <w:lang w:val="de-DE" w:eastAsia="de-DE" w:bidi="ar-SA"/>
              </w:rPr>
              <w:t>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77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因素</w:t>
            </w: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de-DE" w:eastAsia="de-DE" w:bidi="ar-SA"/>
              </w:rPr>
            </w:pPr>
            <w:r>
              <w:rPr>
                <w:rFonts w:hint="eastAsia" w:ascii="宋体" w:hAnsi="宋体" w:eastAsia="宋体" w:cs="宋体"/>
                <w:color w:val="auto"/>
                <w:kern w:val="2"/>
                <w:sz w:val="24"/>
                <w:szCs w:val="24"/>
                <w:lang w:val="en-US" w:eastAsia="zh-CN" w:bidi="ar-SA"/>
              </w:rPr>
              <w:t>B1</w:t>
            </w:r>
            <w:r>
              <w:rPr>
                <w:rFonts w:hint="eastAsia" w:ascii="宋体" w:hAnsi="宋体" w:eastAsia="宋体" w:cs="宋体"/>
                <w:color w:val="auto"/>
                <w:kern w:val="2"/>
                <w:sz w:val="24"/>
                <w:szCs w:val="24"/>
                <w:lang w:val="de-DE" w:eastAsia="zh-CN" w:bidi="ar-SA"/>
              </w:rPr>
              <w:t>生产或仓储能力</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59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de-DE" w:eastAsia="de-DE" w:bidi="ar-SA"/>
              </w:rPr>
            </w:pPr>
            <w:r>
              <w:rPr>
                <w:rFonts w:hint="eastAsia" w:ascii="宋体" w:hAnsi="宋体" w:eastAsia="宋体" w:cs="宋体"/>
                <w:color w:val="auto"/>
                <w:kern w:val="2"/>
                <w:sz w:val="24"/>
                <w:szCs w:val="24"/>
                <w:lang w:val="de-DE" w:eastAsia="zh-CN" w:bidi="ar-SA"/>
              </w:rPr>
              <w:t>根据供应商自有或租赁的仓储仓库总面积（不含低温仓储仓库面积）情况，</w:t>
            </w:r>
            <w:r>
              <w:rPr>
                <w:rFonts w:hint="eastAsia" w:ascii="宋体" w:hAnsi="宋体" w:eastAsia="宋体" w:cs="宋体"/>
                <w:color w:val="auto"/>
                <w:kern w:val="2"/>
                <w:sz w:val="24"/>
                <w:szCs w:val="24"/>
                <w:lang w:val="en-US" w:eastAsia="zh-CN" w:bidi="ar-SA"/>
              </w:rPr>
              <w:t>由磋商小组</w:t>
            </w:r>
            <w:r>
              <w:rPr>
                <w:rFonts w:hint="eastAsia" w:ascii="宋体" w:hAnsi="宋体" w:eastAsia="宋体" w:cs="宋体"/>
                <w:color w:val="auto"/>
                <w:kern w:val="2"/>
                <w:sz w:val="24"/>
                <w:szCs w:val="24"/>
                <w:lang w:val="de-DE" w:eastAsia="zh-CN" w:bidi="ar-SA"/>
              </w:rPr>
              <w:t>进行评分：面积≥</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de-DE" w:eastAsia="zh-CN" w:bidi="ar-SA"/>
              </w:rPr>
              <w:t>00平方米的得</w:t>
            </w: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szCs w:val="24"/>
                <w:lang w:val="de-DE" w:eastAsia="zh-CN" w:bidi="ar-SA"/>
              </w:rPr>
              <w:t>分；</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de-DE" w:eastAsia="zh-CN" w:bidi="ar-SA"/>
              </w:rPr>
              <w:t>00平方米＞面积≥</w:t>
            </w: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de-DE" w:eastAsia="zh-CN" w:bidi="ar-SA"/>
              </w:rPr>
              <w:t>00平方米的得</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de-DE" w:eastAsia="zh-CN" w:bidi="ar-SA"/>
              </w:rPr>
              <w:t>分；</w:t>
            </w: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de-DE" w:eastAsia="zh-CN" w:bidi="ar-SA"/>
              </w:rPr>
              <w:t>00平方米＞面积≥</w:t>
            </w: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szCs w:val="24"/>
                <w:lang w:val="de-DE" w:eastAsia="zh-CN" w:bidi="ar-SA"/>
              </w:rPr>
              <w:t>0平方米的得1分，</w:t>
            </w:r>
            <w:r>
              <w:rPr>
                <w:rFonts w:hint="eastAsia" w:ascii="宋体" w:hAnsi="宋体" w:eastAsia="宋体" w:cs="宋体"/>
                <w:color w:val="auto"/>
                <w:kern w:val="2"/>
                <w:sz w:val="24"/>
                <w:szCs w:val="24"/>
                <w:lang w:val="en-US" w:eastAsia="zh-CN" w:bidi="ar-SA"/>
              </w:rPr>
              <w:t>未提供自有或租赁材料或提供材料不齐全的不得分</w:t>
            </w:r>
            <w:r>
              <w:rPr>
                <w:rFonts w:hint="eastAsia" w:ascii="宋体" w:hAnsi="宋体" w:eastAsia="宋体" w:cs="宋体"/>
                <w:color w:val="auto"/>
                <w:kern w:val="2"/>
                <w:sz w:val="24"/>
                <w:szCs w:val="24"/>
                <w:lang w:val="de-DE" w:eastAsia="zh-CN" w:bidi="ar-SA"/>
              </w:rPr>
              <w:t>。</w:t>
            </w:r>
            <w:r>
              <w:rPr>
                <w:rFonts w:hint="eastAsia" w:ascii="宋体" w:hAnsi="宋体" w:eastAsia="宋体" w:cs="宋体"/>
                <w:color w:val="auto"/>
                <w:kern w:val="2"/>
                <w:sz w:val="24"/>
                <w:szCs w:val="24"/>
                <w:lang w:val="de-DE" w:eastAsia="zh-CN" w:bidi="ar-SA"/>
              </w:rPr>
              <w:br w:type="textWrapping"/>
            </w:r>
            <w:r>
              <w:rPr>
                <w:rFonts w:hint="eastAsia" w:ascii="宋体" w:hAnsi="宋体" w:eastAsia="宋体" w:cs="宋体"/>
                <w:color w:val="auto"/>
                <w:kern w:val="2"/>
                <w:sz w:val="24"/>
                <w:szCs w:val="24"/>
                <w:lang w:val="de-DE" w:eastAsia="zh-CN" w:bidi="ar-SA"/>
              </w:rPr>
              <w:t>评审依据：①自有产权的须提供有效的不动产产权证明及场所实地（含内部、外部）照片；②租赁的须提供有效的租赁合同、提交响应文件截止时间前</w:t>
            </w: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kern w:val="2"/>
                <w:sz w:val="24"/>
                <w:szCs w:val="24"/>
                <w:lang w:val="de-DE" w:eastAsia="zh-CN" w:bidi="ar-SA"/>
              </w:rPr>
              <w:t>个月内任一个月（不含提交响应文件截止当月）双方租赁资金往来的证明、场所实地（含内部、外部）照片。③若为提交响应文件截止当月租赁的，提供租赁合同及场所实地（含内部、外部）照片视为满足上述条件。④若为无偿租赁的还须提供税务部门对该项无偿租赁征收增值税的完税证明及提交响应文件截止时间前六个月内任意</w:t>
            </w: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kern w:val="2"/>
                <w:sz w:val="24"/>
                <w:szCs w:val="24"/>
                <w:lang w:val="de-DE" w:eastAsia="zh-CN" w:bidi="ar-SA"/>
              </w:rPr>
              <w:t>个月（不含提交响应文件截止当月）物流出仓记录。⑤若为</w:t>
            </w:r>
            <w:r>
              <w:rPr>
                <w:rFonts w:hint="eastAsia" w:ascii="宋体" w:hAnsi="宋体" w:eastAsia="宋体" w:cs="宋体"/>
                <w:color w:val="auto"/>
                <w:kern w:val="2"/>
                <w:sz w:val="24"/>
                <w:szCs w:val="24"/>
                <w:lang w:val="en-US" w:eastAsia="zh-CN" w:bidi="ar-SA"/>
              </w:rPr>
              <w:t>提交响应文件</w:t>
            </w:r>
            <w:r>
              <w:rPr>
                <w:rFonts w:hint="eastAsia" w:ascii="宋体" w:hAnsi="宋体" w:eastAsia="宋体" w:cs="宋体"/>
                <w:color w:val="auto"/>
                <w:kern w:val="2"/>
                <w:sz w:val="24"/>
                <w:szCs w:val="24"/>
                <w:lang w:val="de-DE" w:eastAsia="zh-CN" w:bidi="ar-SA"/>
              </w:rPr>
              <w:t>截止时间当月无偿租赁的，提供无偿租赁协议、场所实地（含内部、外部）照片视为满足上述条件。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B2低温仓储能力</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供应商自有或租赁的低温仓储仓库（保鲜、冷藏）的仓储场所的情况，由磋商小组进行评分：有自有或租赁的低温仓储仓库（保鲜、冷藏）的仓储场所的得3分；无自有或租赁的低温仓储仓库（保鲜、冷藏）的仓储场所的不得分。</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de-DE" w:eastAsia="zh-CN" w:bidi="ar-SA"/>
              </w:rPr>
              <w:t>评审依据：</w:t>
            </w:r>
            <w:r>
              <w:rPr>
                <w:rFonts w:hint="eastAsia" w:ascii="宋体" w:hAnsi="宋体" w:eastAsia="宋体" w:cs="宋体"/>
                <w:color w:val="auto"/>
                <w:kern w:val="2"/>
                <w:sz w:val="24"/>
                <w:szCs w:val="24"/>
                <w:lang w:val="en-US" w:eastAsia="zh-CN" w:bidi="ar-SA"/>
              </w:rPr>
              <w:t>①自有产权的须提供场所实地（含内部、外部）照片，照片上应能体现具有保鲜、冷藏的功能（或提供其他证明材料仓储仓库具有保鲜、冷藏功能），并提供不动产产权证明；②租赁的须提供有效的租赁合同、提交响应文件截止时间前六个月内任一个月（不含提交响应文件截止当月）双方租赁资金往来的证明、场所实地（含内部、外部）照片，照片上应能体现具有保鲜、冷藏的功能（或提供其他证明材料仓储仓库具有保鲜、冷藏功能）。③若为提交响应文件截止时间当月租赁的，提供租赁合同及场所实地（含内部、外部）照片，照片上应能体现具有保鲜、冷藏的功能（或提供其他证明材料仓储仓库具有保鲜、冷藏功能）视为满足上述条件。④若为无偿租赁的还须提供税务部门对该项无偿租赁征收增值税的完税证明及提交响应文件截止时间前六个月内任意一个月（不含提交响应文件截止时间当月）物流出仓记录。⑤若为提交响应文件截止时间当月无偿租赁的，提供无偿租赁协议、场所实地（含内部、外部）照片，照片上应能体现具有保鲜、冷藏的功能（或提供其他证明材料仓储仓库具有保鲜、冷藏功能）视为满足上述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B3供货</w:t>
            </w:r>
          </w:p>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能力</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供应商供货能力（重点考核货源渠道等），由磋商小组进行评分：提供一份调味品的合作供货商采购合同的得1分，提供一份粮油的合作供货商采购合同得1分，提供一份冻品的合作供货商采购合同得1分，提供一份干货的合作供货商采购合同得1分，提供一份奶制品合作供货商采购合同得1分，提供一份禽蛋的合作供货商采购合同得1分，提供一份新鲜肉类的合作供货商采购合同的得1分，提供一份新鲜水产品的合作供货商采购合同得1分，提供一份新鲜果蔬的合作供货商采购合同得1分，满分9分，超出上述品类范围的不得分。</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de-DE" w:eastAsia="zh-CN" w:bidi="ar-SA"/>
              </w:rPr>
              <w:t>评审依据：</w:t>
            </w:r>
            <w:r>
              <w:rPr>
                <w:rFonts w:hint="eastAsia" w:ascii="宋体" w:hAnsi="宋体" w:eastAsia="宋体" w:cs="宋体"/>
                <w:color w:val="auto"/>
                <w:kern w:val="2"/>
                <w:sz w:val="24"/>
                <w:szCs w:val="24"/>
                <w:lang w:val="en-US" w:eastAsia="zh-CN" w:bidi="ar-SA"/>
              </w:rPr>
              <w:t>须同时提供当前尚在有效期内的采购合同复印件及提交响应文件截止时间前六个月内任一个月（不含提交响应文件截止当月）双方资金往来的证明、采购发票（若采购发票上未列明具体采购货物名称的须附采购清单）；若为提交响应文件截止时间当月签订的采购合同，提供采购合同复印件的视为满足上述条件。未提供或提供不全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B4检测报告</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4.5</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供应商提供的提交响应文件截止时间前十二个月内（不含提交响应文件截止时间当月），以供应商名义送检的粮油、调味品、冻品、干货、禽蛋、奶制品、新鲜肉、新鲜水产品、新鲜果蔬类检测报告情况，由磋商小组进行评分：任意一种品类提供一份的检测报告的得0.5分，同类型不得分，满分4.5分。</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评审依据：须提供第三方机构出具的封面带有CMA或CNAS标识的检测合格报告复印件,未提供或超出采购包所含品类范围的不得分。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B5安全追溯管理</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按照市场监督管理部门规定的“一品一码”要求，做到食品采购信息可追溯，须按涵盖粮油、调味品、冻品、干货、禽蛋、奶制品、新鲜肉、新鲜水产品、新鲜果蔬类，提供提交响应文件截止时间前六个月内任一个月，食品生产经营追溯管理系统录入信息或政府部门认可的相关系统录入信息，满分3.5分。</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评审依据：须提供相关网络信息截图及网站网址，未提供或提供不全或超出合同包所含品类范围的不得分。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B6车辆配备</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根据供应商在满足磋商文件要求的车辆配备（1辆）的基础上，由磋商小组进行评分：每增加1辆普通配送车辆的得1.5分，每增加1辆冷链车的得1.5分，满分3分。</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评审依据：须提供①自有车辆的所有人应与供应商一致且须提供车辆行驶证及完整的车辆登记证复印件、车辆照片（含车辆内部照片）；②租赁车辆须提供有效期内的租赁合同（若租赁合同有效期未能覆盖本项目服务期，须额外承诺：在原合同到期后，所提供的租赁合同租赁期限需完整覆盖本项目服务期）、车辆所有权证明及租金发票、车辆照片（含车辆内部照片）。③无偿租赁车辆需同时提供以下材料：无偿租赁协议（明确车辆使用权归属及租赁期限覆盖本项目服务期）、车辆所有权证明、提交响应文件截止时间前六个月内（不含提交响应文件截止时间当月）无偿租赁期间的物流出仓记录、税务部门对无偿租赁事项的完税证明（若涉及增值税免税需提供免税备案文件）。</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注：若租赁协议签订于提交响应文件截止当月，须提供车辆所有权证明及承诺函（额外承诺租赁期限覆盖本项目服务期）。材料未提供或提供不全或辨识不清的不得分。（所有证件需在有效期内否则不得分）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B7人员配置</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因本项目配送范围大、配送点较多，为保障服务品质及正常履约的需要，根据供应商对本项目拟投服务人员配置、分工情况，由磋商小组进行评分：投入本项目服务人员≥4人，并设1名固定项目经理的得5分；4人＞投入本合同包服务人员≥2人，并设1名固定项目经理的得3分。</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评审依据：供应商须同时提供①拟投入本项目人员清单，清单内需体现人员分工情况；②提交响应文件截止时间前六个月（不含提交响应文件截止时间当月）中任意一个月供应商为人员缴纳社保的证明材料（当由供应商签约的劳务公司代发工资的，提供签约合同复印件(或扫描件)及劳务公司为其代缴社保缴费的证明材料）；③若供应商为提交响应文件截止时间的当月成立的公司可提供依法缴纳社会保障资金承诺书（格式自拟）视为满足该条件；④所有拟派配送人员有效的健康证复印件。同一人员兼职不同岗位的不重复得分，材料提供不全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B8专业检验技术人员</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供应商为本项目拟配备的检验人员具有食品检验相关证书得3分。</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评审依据：须同时提供对应人员有效的食品检验相关证书、有效的身份证正反面复印件及提交响应文件截止时间前六个月内任一个月（不含提交响应文件截止时间当月）供应商为上述人员缴纳社会保险的证明材料，社保证明材料须由社保中心出具或网上缴纳后打印的具电子章的复印件；若供应商为提交响应文件截止时间的当月成立的公司可提供依法缴纳社会保障资金承诺书（格式自拟）视为满足该条件，未提供或提供不全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B9检测设备</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根据供应商配备的化验检测设备情况进行评分：具备重金属检测、农药残留检测、病害肉检测检测功能的，满足一种功能得1分，满分3分。</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评审依据：须同时提供①化验检测设备清单、设备实物照片、设备彩页或功能介绍；②自有设备须提供购置发票，租赁设备须提供租赁合同及提交响应文件截止时间前六个月内任一个月（不含提交响应文件截止当月）双方租赁资金往来的证明。无偿租赁检测设备需同时提供以下材料：无偿租赁协议（明确设备使用权归属及租赁期限覆盖本项目服务期）、提交响应文件截止时间前六个月内（不含提交响应文件截止时间当月）无偿租赁期间的产品检测记录、税务部门对无偿租赁事项的完税证明（若涉及增值税免税需提供免税备案文件）。</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注：若租赁协议签订于提交响应文件截止当月，须提供租赁方检测设备所有权证明及承诺函（额外承诺租赁期限覆盖本项目服务期）。未提供或提供不全的不得分。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B10退换货服务方案</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各供应商针对本项目提供的退换货服务方案（包括但不限于对不符合采购人要求货物的退换货、对质量不合格货物的退换货、相关补偿措施、提供可替代货物、提供其他帮助等），由磋商小组会进行评分：方案详细、具体、完整，可操作性强，清晰阐述以上内容的得6分；方案较为完整，具备较好的可操作性，能基本阐述以上内容的得5分；方案内容简单、具有可操作性的得4分；未提供方案或内容明显不适用于本项目需求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B11应急方案</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各供应商针对本项目提供的应急方案（包括但不限于临时任务、节假日、重要或大型活动、防洪防台风、自然灾害、停水停电、疫情等情况下的应急预备方案及食物中毒事件应急处理方案），由磋商小组进行评分：方案详细、具体、完整，可操作性强，清晰阐述以上内容的得5分；方案较为完整，具备较好的可操作性，能基本阐述以上内容的得4分；方案内容简单、具有可操作性的得3分；未提供方案或内容明显不适用于本项目需求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B12售后服务方案</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供应商针对本项目提供的售后服务方案（包含但不限于①货物的运输、装卸、配送售后服务等安排计划；②设置服务热线，专人服务，专人跟踪；③服务需求响应时间、响应方式；④临时补货程序，针对发生货物不合格、发生错送、漏送（含缺斤少两及数量不足等）等），由磋商小组进行评分：方案详细、具体、完整，可操作性强，清晰阐述以上内容的得5分；方案较为完整，具备较好的可操作性，能基本阐述以上内容的得4分；方案内容简单、具有可操作性的得3分；未提供方案或内容明显不适用于本项目需求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配送方案</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供应商针对本项目提供的配送方案（包括但不限于配送、运输方案、配送流程图、配送时间、配送保障措施等），由磋商小组进行评分：方案详细、具体、完整，可操作性强，清晰阐述以上内容的得6分；方案较为完整，具备较好的可操作性，能基本阐述以上内容的得5分；方案内容简单、具有可操作性的得4分；未提供方案或内容明显不适用于本项目需求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77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B1</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产品质量保障方案</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591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根据各供应商针对本项目提供的产品质量保障方案（方案应有完整健全的规章制度，包括但不限于原材料采购来源、</w:t>
            </w:r>
            <w:bookmarkStart w:id="140" w:name="_GoBack"/>
            <w:bookmarkEnd w:id="140"/>
            <w:r>
              <w:rPr>
                <w:rFonts w:hint="eastAsia" w:ascii="宋体" w:hAnsi="宋体" w:eastAsia="宋体" w:cs="宋体"/>
                <w:color w:val="auto"/>
                <w:kern w:val="2"/>
                <w:sz w:val="24"/>
                <w:szCs w:val="24"/>
                <w:lang w:val="en-US" w:eastAsia="zh-CN" w:bidi="ar-SA"/>
              </w:rPr>
              <w:t>仓储管理、成品储藏、价格管理、包装、卫生监督管理等），由磋商小组进行评分：方案详细、具体、完整，可操作性强，清晰阐述以上内容的得6分；方案较为完整，具备较好的可操作性，能基本阐述以上内容的得5分；方案内容简单、具有可操作性的得4分；未提供方案或内容明显不适用于本项目需求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770" w:type="dxa"/>
            <w:vMerge w:val="restart"/>
            <w:tcBorders>
              <w:left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商务因素</w:t>
            </w: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C1</w:t>
            </w:r>
            <w:r>
              <w:rPr>
                <w:rFonts w:hint="eastAsia" w:ascii="宋体" w:hAnsi="宋体" w:eastAsia="宋体" w:cs="宋体"/>
                <w:color w:val="auto"/>
                <w:kern w:val="2"/>
                <w:sz w:val="24"/>
                <w:szCs w:val="24"/>
                <w:lang w:val="de-DE" w:eastAsia="de-DE" w:bidi="ar-SA"/>
              </w:rPr>
              <w:t>.</w:t>
            </w:r>
            <w:r>
              <w:rPr>
                <w:rFonts w:hint="eastAsia" w:ascii="宋体" w:hAnsi="宋体" w:eastAsia="宋体" w:cs="宋体"/>
                <w:color w:val="auto"/>
                <w:kern w:val="2"/>
                <w:sz w:val="24"/>
                <w:szCs w:val="24"/>
                <w:lang w:val="en-US" w:eastAsia="zh-CN" w:bidi="ar-SA"/>
              </w:rPr>
              <w:t>管理</w:t>
            </w:r>
            <w:r>
              <w:rPr>
                <w:rFonts w:hint="eastAsia" w:ascii="宋体" w:hAnsi="宋体" w:eastAsia="宋体" w:cs="宋体"/>
                <w:color w:val="auto"/>
                <w:kern w:val="2"/>
                <w:sz w:val="24"/>
                <w:szCs w:val="24"/>
                <w:lang w:val="de-DE" w:eastAsia="de-DE" w:bidi="ar-SA"/>
              </w:rPr>
              <w:t>体系认证</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de-DE" w:eastAsia="zh-CN" w:bidi="ar-SA"/>
              </w:rPr>
            </w:pPr>
            <w:r>
              <w:rPr>
                <w:rFonts w:hint="eastAsia" w:ascii="宋体" w:hAnsi="宋体" w:eastAsia="宋体" w:cs="宋体"/>
                <w:color w:val="auto"/>
                <w:kern w:val="2"/>
                <w:sz w:val="24"/>
                <w:szCs w:val="24"/>
                <w:lang w:val="en-US" w:eastAsia="zh-CN" w:bidi="ar-SA"/>
              </w:rPr>
              <w:t>8</w:t>
            </w:r>
          </w:p>
        </w:tc>
        <w:tc>
          <w:tcPr>
            <w:tcW w:w="59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color w:val="auto"/>
                <w:lang w:val="de-DE" w:eastAsia="de-DE"/>
              </w:rPr>
            </w:pPr>
            <w:r>
              <w:rPr>
                <w:rFonts w:hint="eastAsia" w:ascii="宋体" w:hAnsi="宋体" w:eastAsia="宋体" w:cs="宋体"/>
                <w:color w:val="auto"/>
                <w:kern w:val="2"/>
                <w:sz w:val="24"/>
                <w:szCs w:val="24"/>
                <w:lang w:val="en-US" w:eastAsia="zh-CN" w:bidi="ar-SA"/>
              </w:rPr>
              <w:t>C1</w:t>
            </w:r>
            <w:r>
              <w:rPr>
                <w:rFonts w:hint="eastAsia" w:ascii="宋体" w:hAnsi="宋体" w:eastAsia="宋体" w:cs="宋体"/>
                <w:color w:val="auto"/>
                <w:kern w:val="2"/>
                <w:sz w:val="24"/>
                <w:szCs w:val="24"/>
                <w:lang w:val="de-DE" w:eastAsia="de-DE" w:bidi="ar-SA"/>
              </w:rPr>
              <w:t>.</w:t>
            </w: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具备质量管理体系认证的得</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de-DE" w:eastAsia="de-DE" w:bidi="ar-SA"/>
              </w:rPr>
              <w:t>分。</w:t>
            </w:r>
          </w:p>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de-DE" w:eastAsia="de-DE" w:bidi="ar-SA"/>
              </w:rPr>
            </w:pPr>
            <w:r>
              <w:rPr>
                <w:rFonts w:hint="eastAsia" w:ascii="宋体" w:hAnsi="宋体" w:eastAsia="宋体" w:cs="宋体"/>
                <w:color w:val="auto"/>
                <w:kern w:val="2"/>
                <w:sz w:val="24"/>
                <w:szCs w:val="24"/>
                <w:lang w:val="en-US" w:eastAsia="zh-CN" w:bidi="ar-SA"/>
              </w:rPr>
              <w:t>C1</w:t>
            </w:r>
            <w:r>
              <w:rPr>
                <w:rFonts w:hint="eastAsia" w:ascii="宋体" w:hAnsi="宋体" w:eastAsia="宋体" w:cs="宋体"/>
                <w:color w:val="auto"/>
                <w:kern w:val="2"/>
                <w:sz w:val="24"/>
                <w:szCs w:val="24"/>
                <w:lang w:val="de-DE" w:eastAsia="de-DE" w:bidi="ar-SA"/>
              </w:rPr>
              <w:t>.</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具备</w:t>
            </w:r>
            <w:r>
              <w:rPr>
                <w:rFonts w:hint="eastAsia" w:ascii="宋体" w:hAnsi="宋体" w:eastAsia="宋体" w:cs="宋体"/>
                <w:color w:val="auto"/>
                <w:kern w:val="2"/>
                <w:sz w:val="24"/>
                <w:szCs w:val="24"/>
                <w:lang w:val="en-US" w:eastAsia="zh-CN" w:bidi="ar-SA"/>
              </w:rPr>
              <w:t>环境</w:t>
            </w:r>
            <w:r>
              <w:rPr>
                <w:rFonts w:hint="eastAsia" w:ascii="宋体" w:hAnsi="宋体" w:eastAsia="宋体" w:cs="宋体"/>
                <w:color w:val="auto"/>
                <w:kern w:val="2"/>
                <w:sz w:val="24"/>
                <w:szCs w:val="24"/>
                <w:lang w:val="de-DE" w:eastAsia="de-DE" w:bidi="ar-SA"/>
              </w:rPr>
              <w:t>管理体系认证的得</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de-DE" w:eastAsia="de-DE" w:bidi="ar-SA"/>
              </w:rPr>
              <w:t>分。</w:t>
            </w:r>
          </w:p>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de-DE" w:eastAsia="de-DE" w:bidi="ar-SA"/>
              </w:rPr>
            </w:pPr>
            <w:r>
              <w:rPr>
                <w:rFonts w:hint="eastAsia" w:ascii="宋体" w:hAnsi="宋体" w:eastAsia="宋体" w:cs="宋体"/>
                <w:color w:val="auto"/>
                <w:kern w:val="2"/>
                <w:sz w:val="24"/>
                <w:szCs w:val="24"/>
                <w:lang w:val="en-US" w:eastAsia="zh-CN" w:bidi="ar-SA"/>
              </w:rPr>
              <w:t>C1</w:t>
            </w:r>
            <w:r>
              <w:rPr>
                <w:rFonts w:hint="eastAsia" w:ascii="宋体" w:hAnsi="宋体" w:eastAsia="宋体" w:cs="宋体"/>
                <w:color w:val="auto"/>
                <w:kern w:val="2"/>
                <w:sz w:val="24"/>
                <w:szCs w:val="24"/>
                <w:lang w:val="de-DE" w:eastAsia="de-DE" w:bidi="ar-SA"/>
              </w:rPr>
              <w:t>.3</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具备职业健康管理体系认证的得</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de-DE" w:eastAsia="de-DE" w:bidi="ar-SA"/>
              </w:rPr>
              <w:t>分。</w:t>
            </w:r>
          </w:p>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C1</w:t>
            </w:r>
            <w:r>
              <w:rPr>
                <w:rFonts w:hint="eastAsia" w:ascii="宋体" w:hAnsi="宋体" w:eastAsia="宋体" w:cs="宋体"/>
                <w:color w:val="auto"/>
                <w:kern w:val="2"/>
                <w:sz w:val="24"/>
                <w:szCs w:val="24"/>
                <w:lang w:val="de-DE" w:eastAsia="de-DE" w:bidi="ar-SA"/>
              </w:rPr>
              <w:t>.</w:t>
            </w: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en-US" w:eastAsia="zh-CN" w:bidi="ar-SA"/>
              </w:rPr>
              <w:t>具备供应链管理</w:t>
            </w:r>
            <w:r>
              <w:rPr>
                <w:rFonts w:hint="eastAsia" w:ascii="宋体" w:hAnsi="宋体" w:eastAsia="宋体" w:cs="宋体"/>
                <w:color w:val="auto"/>
                <w:kern w:val="2"/>
                <w:sz w:val="24"/>
                <w:szCs w:val="24"/>
                <w:lang w:val="de-DE" w:eastAsia="de-DE" w:bidi="ar-SA"/>
              </w:rPr>
              <w:t>体系认证</w:t>
            </w:r>
            <w:r>
              <w:rPr>
                <w:rFonts w:hint="eastAsia" w:ascii="宋体" w:hAnsi="宋体" w:eastAsia="宋体" w:cs="宋体"/>
                <w:color w:val="auto"/>
                <w:kern w:val="2"/>
                <w:sz w:val="24"/>
                <w:szCs w:val="24"/>
                <w:lang w:val="en-US" w:eastAsia="zh-CN" w:bidi="ar-SA"/>
              </w:rPr>
              <w:t>的得2分。</w:t>
            </w:r>
          </w:p>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w:t>
            </w:r>
            <w:r>
              <w:rPr>
                <w:rFonts w:hint="eastAsia" w:ascii="宋体" w:hAnsi="宋体" w:eastAsia="宋体" w:cs="宋体"/>
                <w:color w:val="auto"/>
                <w:kern w:val="2"/>
                <w:sz w:val="24"/>
                <w:szCs w:val="24"/>
                <w:lang w:val="de-DE" w:eastAsia="de-DE" w:bidi="ar-SA"/>
              </w:rPr>
              <w:t>须提供有效期内的</w:t>
            </w:r>
            <w:r>
              <w:rPr>
                <w:rFonts w:hint="eastAsia" w:ascii="宋体" w:hAnsi="宋体" w:eastAsia="宋体" w:cs="宋体"/>
                <w:color w:val="auto"/>
                <w:kern w:val="2"/>
                <w:sz w:val="24"/>
                <w:szCs w:val="24"/>
                <w:lang w:val="en-US" w:eastAsia="zh-CN" w:bidi="ar-SA"/>
              </w:rPr>
              <w:t>相应</w:t>
            </w:r>
            <w:r>
              <w:rPr>
                <w:rFonts w:hint="eastAsia" w:ascii="宋体" w:hAnsi="宋体" w:eastAsia="宋体" w:cs="宋体"/>
                <w:color w:val="auto"/>
                <w:kern w:val="2"/>
                <w:sz w:val="24"/>
                <w:szCs w:val="24"/>
                <w:lang w:val="de-DE" w:eastAsia="de-DE" w:bidi="ar-SA"/>
              </w:rPr>
              <w:t>认证证书复印件</w:t>
            </w:r>
            <w:r>
              <w:rPr>
                <w:rFonts w:hint="eastAsia" w:ascii="宋体" w:hAnsi="宋体" w:eastAsia="宋体" w:cs="宋体"/>
                <w:color w:val="auto"/>
                <w:kern w:val="2"/>
                <w:sz w:val="24"/>
                <w:szCs w:val="24"/>
                <w:lang w:val="de-DE" w:eastAsia="zh-CN" w:bidi="ar-SA"/>
              </w:rPr>
              <w:t>【</w:t>
            </w:r>
            <w:r>
              <w:rPr>
                <w:rFonts w:hint="eastAsia" w:ascii="宋体" w:hAnsi="宋体" w:eastAsia="宋体" w:cs="宋体"/>
                <w:color w:val="auto"/>
                <w:kern w:val="2"/>
                <w:sz w:val="24"/>
                <w:szCs w:val="24"/>
                <w:lang w:val="de-DE" w:eastAsia="de-DE" w:bidi="ar-SA"/>
              </w:rPr>
              <w:t>或提供从国家认证认可监督管理委员会（www.cnca.gov.cn）或中国合格评定国家认可委员会(www.cnas.org.cn）官方网站上查询截图（并附上网址链接备查）</w:t>
            </w:r>
            <w:r>
              <w:rPr>
                <w:rFonts w:hint="eastAsia" w:ascii="宋体" w:hAnsi="宋体" w:eastAsia="宋体" w:cs="宋体"/>
                <w:color w:val="auto"/>
                <w:kern w:val="2"/>
                <w:sz w:val="24"/>
                <w:szCs w:val="24"/>
                <w:lang w:val="de-DE" w:eastAsia="zh-CN" w:bidi="ar-SA"/>
              </w:rPr>
              <w:t>】</w:t>
            </w:r>
            <w:r>
              <w:rPr>
                <w:rFonts w:hint="eastAsia" w:ascii="宋体" w:hAnsi="宋体" w:eastAsia="宋体" w:cs="宋体"/>
                <w:color w:val="auto"/>
                <w:kern w:val="2"/>
                <w:sz w:val="24"/>
                <w:szCs w:val="24"/>
                <w:lang w:val="de-DE" w:eastAsia="de-DE" w:bidi="ar-SA"/>
              </w:rPr>
              <w:t>，未提供不得分。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770" w:type="dxa"/>
            <w:vMerge w:val="continue"/>
            <w:tcBorders>
              <w:left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C2</w:t>
            </w:r>
            <w:r>
              <w:rPr>
                <w:rFonts w:hint="eastAsia" w:ascii="宋体" w:hAnsi="宋体" w:eastAsia="宋体" w:cs="宋体"/>
                <w:color w:val="auto"/>
                <w:kern w:val="2"/>
                <w:sz w:val="24"/>
                <w:szCs w:val="24"/>
                <w:lang w:val="de-DE" w:eastAsia="de-DE" w:bidi="ar-SA"/>
              </w:rPr>
              <w:t>.食品安全险</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de-DE" w:eastAsia="zh-CN" w:bidi="ar-SA"/>
              </w:rPr>
            </w:pPr>
            <w:r>
              <w:rPr>
                <w:rFonts w:hint="eastAsia" w:ascii="宋体" w:hAnsi="宋体" w:eastAsia="宋体" w:cs="宋体"/>
                <w:color w:val="auto"/>
                <w:kern w:val="2"/>
                <w:sz w:val="24"/>
                <w:szCs w:val="24"/>
                <w:lang w:val="en-US" w:eastAsia="zh-CN" w:bidi="ar-SA"/>
              </w:rPr>
              <w:t>5</w:t>
            </w:r>
          </w:p>
        </w:tc>
        <w:tc>
          <w:tcPr>
            <w:tcW w:w="59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C2</w:t>
            </w:r>
            <w:r>
              <w:rPr>
                <w:rFonts w:hint="eastAsia" w:ascii="宋体" w:hAnsi="宋体" w:eastAsia="宋体" w:cs="宋体"/>
                <w:color w:val="auto"/>
                <w:kern w:val="2"/>
                <w:sz w:val="24"/>
                <w:szCs w:val="24"/>
                <w:lang w:val="de-DE" w:eastAsia="de-DE" w:bidi="ar-SA"/>
              </w:rPr>
              <w:t>.为保障食品安全问题，</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有购买食品安全责任险或承诺</w:t>
            </w:r>
            <w:r>
              <w:rPr>
                <w:rFonts w:hint="eastAsia" w:ascii="宋体" w:hAnsi="宋体" w:eastAsia="宋体" w:cs="宋体"/>
                <w:color w:val="auto"/>
                <w:kern w:val="2"/>
                <w:sz w:val="24"/>
                <w:szCs w:val="24"/>
                <w:lang w:val="de-DE" w:eastAsia="zh-CN" w:bidi="ar-SA"/>
              </w:rPr>
              <w:t>成交后</w:t>
            </w:r>
            <w:r>
              <w:rPr>
                <w:rFonts w:hint="eastAsia" w:ascii="宋体" w:hAnsi="宋体" w:eastAsia="宋体" w:cs="宋体"/>
                <w:color w:val="auto"/>
                <w:kern w:val="2"/>
                <w:sz w:val="24"/>
                <w:szCs w:val="24"/>
                <w:lang w:val="de-DE" w:eastAsia="de-DE" w:bidi="ar-SA"/>
              </w:rPr>
              <w:t>为本项目购买食品安全责任险的得</w:t>
            </w: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szCs w:val="24"/>
                <w:lang w:val="de-DE" w:eastAsia="de-DE" w:bidi="ar-SA"/>
              </w:rPr>
              <w:t>分。若已购买食品安全责任险的，须同时提供有效的保险合同、有效期内的食品安全保险单、购买发票复印件及付款凭证，未提供或提供不全的不得分。若承诺</w:t>
            </w:r>
            <w:r>
              <w:rPr>
                <w:rFonts w:hint="eastAsia" w:ascii="宋体" w:hAnsi="宋体" w:eastAsia="宋体" w:cs="宋体"/>
                <w:color w:val="auto"/>
                <w:kern w:val="2"/>
                <w:sz w:val="24"/>
                <w:szCs w:val="24"/>
                <w:lang w:val="de-DE" w:eastAsia="zh-CN" w:bidi="ar-SA"/>
              </w:rPr>
              <w:t>成交后</w:t>
            </w:r>
            <w:r>
              <w:rPr>
                <w:rFonts w:hint="eastAsia" w:ascii="宋体" w:hAnsi="宋体" w:eastAsia="宋体" w:cs="宋体"/>
                <w:color w:val="auto"/>
                <w:kern w:val="2"/>
                <w:sz w:val="24"/>
                <w:szCs w:val="24"/>
                <w:lang w:val="de-DE" w:eastAsia="de-DE" w:bidi="ar-SA"/>
              </w:rPr>
              <w:t>购买食品安全责任险的，须提供书面承诺函并加盖</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公章视同满足本项要求，格式自拟。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770" w:type="dxa"/>
            <w:vMerge w:val="continue"/>
            <w:tcBorders>
              <w:left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C3</w:t>
            </w:r>
            <w:r>
              <w:rPr>
                <w:rFonts w:hint="eastAsia" w:ascii="宋体" w:hAnsi="宋体" w:eastAsia="宋体" w:cs="宋体"/>
                <w:color w:val="auto"/>
                <w:kern w:val="2"/>
                <w:sz w:val="24"/>
                <w:szCs w:val="24"/>
                <w:lang w:val="de-DE" w:eastAsia="de-DE" w:bidi="ar-SA"/>
              </w:rPr>
              <w:t>.满意度服务</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59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C3</w:t>
            </w:r>
            <w:r>
              <w:rPr>
                <w:rFonts w:hint="eastAsia" w:ascii="宋体" w:hAnsi="宋体" w:eastAsia="宋体" w:cs="宋体"/>
                <w:color w:val="auto"/>
                <w:kern w:val="2"/>
                <w:sz w:val="24"/>
                <w:szCs w:val="24"/>
                <w:lang w:val="de-DE" w:eastAsia="de-DE" w:bidi="ar-SA"/>
              </w:rPr>
              <w:t>.根据</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提供的自2022年1月1日至</w:t>
            </w:r>
            <w:r>
              <w:rPr>
                <w:rFonts w:hint="eastAsia" w:ascii="宋体" w:hAnsi="宋体" w:eastAsia="宋体" w:cs="宋体"/>
                <w:color w:val="auto"/>
                <w:kern w:val="2"/>
                <w:sz w:val="24"/>
                <w:szCs w:val="24"/>
                <w:lang w:val="de-DE" w:eastAsia="zh-CN" w:bidi="ar-SA"/>
              </w:rPr>
              <w:t>提交响应文件截止时间</w:t>
            </w:r>
            <w:r>
              <w:rPr>
                <w:rFonts w:hint="eastAsia" w:ascii="宋体" w:hAnsi="宋体" w:eastAsia="宋体" w:cs="宋体"/>
                <w:color w:val="auto"/>
                <w:kern w:val="2"/>
                <w:sz w:val="24"/>
                <w:szCs w:val="24"/>
                <w:lang w:val="de-DE" w:eastAsia="de-DE" w:bidi="ar-SA"/>
              </w:rPr>
              <w:t>止由</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已完成或正在履行的类似食材配送项目（为已完成项目</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lang w:val="de-DE" w:eastAsia="de-DE" w:bidi="ar-SA"/>
              </w:rPr>
              <w:t>满意度评价落款时间需在合同履行完成后）业主满意度服务评价情况进行打分，每提供一份肯定性评价意见（优、优秀、90分或及以上或同等意义的材料）的得1分，满分</w:t>
            </w: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kern w:val="2"/>
                <w:sz w:val="24"/>
                <w:szCs w:val="24"/>
                <w:lang w:val="de-DE" w:eastAsia="de-DE" w:bidi="ar-SA"/>
              </w:rPr>
              <w:t>分。 需提供采购合同及加盖采购人单位公章的服务评价表复印件，同时提供服务单位联系人及固定办公电话，供采购人现场核实查验，所有材料缺一不可，否则不得分。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770" w:type="dxa"/>
            <w:vMerge w:val="continue"/>
            <w:tcBorders>
              <w:left w:val="single" w:color="auto" w:sz="4" w:space="0"/>
              <w:right w:val="single" w:color="auto" w:sz="4" w:space="0"/>
            </w:tcBorders>
            <w:noWrap/>
            <w:vAlign w:val="top"/>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sz w:val="24"/>
                <w:szCs w:val="24"/>
                <w:lang w:val="zh-CN"/>
              </w:rPr>
            </w:pPr>
          </w:p>
        </w:tc>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C4</w:t>
            </w:r>
            <w:r>
              <w:rPr>
                <w:rFonts w:hint="eastAsia" w:ascii="宋体" w:hAnsi="宋体" w:eastAsia="宋体" w:cs="宋体"/>
                <w:color w:val="auto"/>
                <w:kern w:val="2"/>
                <w:sz w:val="24"/>
                <w:szCs w:val="24"/>
                <w:lang w:val="de-DE" w:eastAsia="de-DE" w:bidi="ar-SA"/>
              </w:rPr>
              <w:t>.服务案例情况</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59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C4</w:t>
            </w:r>
            <w:r>
              <w:rPr>
                <w:rFonts w:hint="eastAsia" w:ascii="宋体" w:hAnsi="宋体" w:eastAsia="宋体" w:cs="宋体"/>
                <w:color w:val="auto"/>
                <w:kern w:val="2"/>
                <w:sz w:val="24"/>
                <w:szCs w:val="24"/>
                <w:lang w:val="de-DE" w:eastAsia="de-DE" w:bidi="ar-SA"/>
              </w:rPr>
              <w:t>.根据</w:t>
            </w:r>
            <w:r>
              <w:rPr>
                <w:rFonts w:hint="eastAsia" w:ascii="宋体" w:hAnsi="宋体" w:eastAsia="宋体" w:cs="宋体"/>
                <w:color w:val="auto"/>
                <w:kern w:val="2"/>
                <w:sz w:val="24"/>
                <w:szCs w:val="24"/>
                <w:lang w:val="de-DE" w:eastAsia="zh-CN" w:bidi="ar-SA"/>
              </w:rPr>
              <w:t>供应商</w:t>
            </w:r>
            <w:r>
              <w:rPr>
                <w:rFonts w:hint="eastAsia" w:ascii="宋体" w:hAnsi="宋体" w:eastAsia="宋体" w:cs="宋体"/>
                <w:color w:val="auto"/>
                <w:kern w:val="2"/>
                <w:sz w:val="24"/>
                <w:szCs w:val="24"/>
                <w:lang w:val="de-DE" w:eastAsia="de-DE" w:bidi="ar-SA"/>
              </w:rPr>
              <w:t>自2022年1月1日以来(合同签订时间为准)已完成或正在履行的类似食材配送项目服务经验情况进行评分：每提供一份服务案例得</w:t>
            </w: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de-DE" w:eastAsia="de-DE" w:bidi="ar-SA"/>
              </w:rPr>
              <w:t>分，满分</w:t>
            </w: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kern w:val="2"/>
                <w:sz w:val="24"/>
                <w:szCs w:val="24"/>
                <w:lang w:val="de-DE" w:eastAsia="de-DE" w:bidi="ar-SA"/>
              </w:rPr>
              <w:t>分。需提供合同复印件，未提供或提供不符合要求的不得分。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10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合     计</w:t>
            </w:r>
          </w:p>
        </w:tc>
        <w:tc>
          <w:tcPr>
            <w:tcW w:w="59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autoSpaceDE w:val="0"/>
              <w:autoSpaceDN w:val="0"/>
              <w:bidi w:val="0"/>
              <w:adjustRightInd w:val="0"/>
              <w:spacing w:line="400" w:lineRule="exact"/>
              <w:jc w:val="center"/>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9026"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bidi w:val="0"/>
              <w:spacing w:line="400" w:lineRule="exact"/>
              <w:jc w:val="left"/>
              <w:textAlignment w:val="center"/>
              <w:rPr>
                <w:rFonts w:hint="default" w:ascii="宋体" w:hAnsi="宋体" w:eastAsia="宋体" w:cs="宋体"/>
                <w:b/>
                <w:bCs/>
                <w:color w:val="auto"/>
                <w:kern w:val="0"/>
                <w:sz w:val="24"/>
                <w:szCs w:val="24"/>
                <w:lang w:val="en-US" w:eastAsia="zh-CN"/>
              </w:rPr>
            </w:pPr>
            <w:r>
              <w:rPr>
                <w:rFonts w:hint="eastAsia" w:ascii="宋体" w:hAnsi="宋体" w:eastAsia="宋体" w:cs="宋体"/>
                <w:snapToGrid w:val="0"/>
                <w:color w:val="auto"/>
                <w:kern w:val="0"/>
                <w:sz w:val="24"/>
                <w:szCs w:val="24"/>
              </w:rPr>
              <w:t>各</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的</w:t>
            </w:r>
            <w:r>
              <w:rPr>
                <w:rFonts w:hint="eastAsia" w:ascii="宋体" w:hAnsi="宋体" w:eastAsia="宋体" w:cs="宋体"/>
                <w:snapToGrid w:val="0"/>
                <w:color w:val="auto"/>
                <w:kern w:val="0"/>
                <w:sz w:val="24"/>
                <w:szCs w:val="24"/>
                <w:lang w:val="en-US" w:eastAsia="zh-CN"/>
              </w:rPr>
              <w:t>技术</w:t>
            </w:r>
            <w:r>
              <w:rPr>
                <w:rFonts w:hint="eastAsia" w:ascii="宋体" w:hAnsi="宋体" w:eastAsia="宋体" w:cs="宋体"/>
                <w:snapToGrid w:val="0"/>
                <w:color w:val="auto"/>
                <w:kern w:val="0"/>
                <w:sz w:val="24"/>
                <w:szCs w:val="24"/>
              </w:rPr>
              <w:t>部分得分B=B1+B2</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+B</w:t>
            </w:r>
            <w:r>
              <w:rPr>
                <w:rFonts w:hint="eastAsia" w:ascii="宋体" w:hAnsi="宋体" w:eastAsia="宋体" w:cs="宋体"/>
                <w:snapToGrid w:val="0"/>
                <w:color w:val="auto"/>
                <w:kern w:val="0"/>
                <w:sz w:val="24"/>
                <w:szCs w:val="24"/>
                <w:lang w:val="en-US" w:eastAsia="zh-CN"/>
              </w:rPr>
              <w:t>1</w:t>
            </w:r>
            <w:r>
              <w:rPr>
                <w:rFonts w:hint="eastAsia" w:ascii="宋体" w:hAnsi="宋体" w:cs="宋体"/>
                <w:snapToGrid w:val="0"/>
                <w:color w:val="auto"/>
                <w:kern w:val="0"/>
                <w:sz w:val="24"/>
                <w:szCs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26"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bidi w:val="0"/>
              <w:spacing w:line="400" w:lineRule="exact"/>
              <w:jc w:val="left"/>
              <w:textAlignment w:val="center"/>
              <w:rPr>
                <w:rFonts w:hint="eastAsia" w:ascii="宋体" w:hAnsi="宋体" w:eastAsia="宋体" w:cs="宋体"/>
                <w:b/>
                <w:bCs/>
                <w:color w:val="auto"/>
                <w:kern w:val="0"/>
                <w:sz w:val="24"/>
                <w:szCs w:val="24"/>
              </w:rPr>
            </w:pPr>
            <w:r>
              <w:rPr>
                <w:rFonts w:hint="eastAsia" w:ascii="宋体" w:hAnsi="宋体" w:eastAsia="宋体" w:cs="宋体"/>
                <w:snapToGrid w:val="0"/>
                <w:color w:val="auto"/>
                <w:kern w:val="0"/>
                <w:sz w:val="24"/>
                <w:szCs w:val="24"/>
              </w:rPr>
              <w:t>各</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的</w:t>
            </w:r>
            <w:r>
              <w:rPr>
                <w:rFonts w:hint="eastAsia" w:ascii="宋体" w:hAnsi="宋体" w:eastAsia="宋体" w:cs="宋体"/>
                <w:snapToGrid w:val="0"/>
                <w:color w:val="auto"/>
                <w:kern w:val="0"/>
                <w:sz w:val="24"/>
                <w:szCs w:val="24"/>
                <w:lang w:val="en-US" w:eastAsia="zh-CN"/>
              </w:rPr>
              <w:t>商务</w:t>
            </w:r>
            <w:r>
              <w:rPr>
                <w:rFonts w:hint="eastAsia" w:ascii="宋体" w:hAnsi="宋体" w:eastAsia="宋体" w:cs="宋体"/>
                <w:snapToGrid w:val="0"/>
                <w:color w:val="auto"/>
                <w:kern w:val="0"/>
                <w:sz w:val="24"/>
                <w:szCs w:val="24"/>
              </w:rPr>
              <w:t>部分得分C=C1+C2+C3+C4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26" w:type="dxa"/>
            <w:gridSpan w:val="5"/>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bidi w:val="0"/>
              <w:spacing w:line="400" w:lineRule="exact"/>
              <w:jc w:val="left"/>
              <w:textAlignment w:val="top"/>
              <w:rPr>
                <w:rFonts w:hint="eastAsia" w:ascii="宋体" w:hAnsi="宋体" w:eastAsia="宋体" w:cs="宋体"/>
                <w:b/>
                <w:bCs/>
                <w:color w:val="auto"/>
                <w:kern w:val="0"/>
                <w:sz w:val="24"/>
                <w:szCs w:val="24"/>
              </w:rPr>
            </w:pPr>
            <w:r>
              <w:rPr>
                <w:rFonts w:hint="eastAsia" w:ascii="宋体" w:hAnsi="宋体" w:eastAsia="宋体" w:cs="宋体"/>
                <w:snapToGrid w:val="0"/>
                <w:color w:val="auto"/>
                <w:kern w:val="0"/>
                <w:sz w:val="24"/>
                <w:szCs w:val="24"/>
              </w:rPr>
              <w:t>各</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的最终得分为A+B+C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26"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注：1.评分项中涉及的相关证明材料（如证书、公告、合同、通知书、验收证明、荣誉证明等）若有属于“可以通过互联网或者相关信息系统查询的信息”，</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可不提供复印件，提供查询网址链接、证书编号（或提供查询所需信息）视同响应评分项要求。若</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通过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提供的查询网址链接无法查询或查询到信息不符合</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要求的，</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将按照不利于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的内容进行认定。此条款表述若与上述评分项表述有矛盾，以此条款为准。</w:t>
            </w:r>
          </w:p>
          <w:p>
            <w:pPr>
              <w:keepNext w:val="0"/>
              <w:keepLines w:val="0"/>
              <w:pageBreakBefore w:val="0"/>
              <w:kinsoku/>
              <w:wordWrap/>
              <w:bidi w:val="0"/>
              <w:spacing w:line="400" w:lineRule="exact"/>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sz w:val="24"/>
                <w:szCs w:val="24"/>
              </w:rPr>
              <w:t>2.评分项中涉及的“人社部颁发的”指中华人民共和国人力资源和社会保障部或中华人民共和国人力资源和社会保障部备案公布的用人单位和社会培训评价组织颁发的均可。</w:t>
            </w:r>
          </w:p>
        </w:tc>
      </w:tr>
    </w:tbl>
    <w:p>
      <w:pPr>
        <w:topLinePunct/>
        <w:autoSpaceDE w:val="0"/>
        <w:autoSpaceDN w:val="0"/>
        <w:spacing w:after="0" w:line="360" w:lineRule="auto"/>
        <w:rPr>
          <w:rFonts w:hint="eastAsia" w:ascii="宋体" w:hAnsi="宋体" w:eastAsia="宋体" w:cs="宋体"/>
          <w:b/>
          <w:bCs/>
          <w:color w:val="auto"/>
          <w:sz w:val="24"/>
          <w:szCs w:val="24"/>
          <w:highlight w:val="none"/>
        </w:rPr>
      </w:pPr>
    </w:p>
    <w:p>
      <w:pPr>
        <w:topLinePunct/>
        <w:autoSpaceDE w:val="0"/>
        <w:autoSpaceDN w:val="0"/>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2.3 落实政府采购政策进行价格调整的规则：</w:t>
      </w:r>
    </w:p>
    <w:tbl>
      <w:tblPr>
        <w:tblStyle w:val="30"/>
        <w:tblW w:w="8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40"/>
        <w:gridCol w:w="1061"/>
        <w:gridCol w:w="4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40"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政府采购政策</w:t>
            </w:r>
          </w:p>
        </w:tc>
        <w:tc>
          <w:tcPr>
            <w:tcW w:w="1061"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价格扣除规则</w:t>
            </w:r>
          </w:p>
        </w:tc>
        <w:tc>
          <w:tcPr>
            <w:tcW w:w="4791"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140"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节约能源政策</w:t>
            </w:r>
          </w:p>
        </w:tc>
        <w:tc>
          <w:tcPr>
            <w:tcW w:w="5852" w:type="dxa"/>
            <w:gridSpan w:val="2"/>
            <w:noWrap w:val="0"/>
            <w:vAlign w:val="center"/>
          </w:tcPr>
          <w:p>
            <w:pPr>
              <w:pStyle w:val="38"/>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40"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保护环境政策</w:t>
            </w:r>
          </w:p>
        </w:tc>
        <w:tc>
          <w:tcPr>
            <w:tcW w:w="5852" w:type="dxa"/>
            <w:gridSpan w:val="2"/>
            <w:noWrap w:val="0"/>
            <w:vAlign w:val="center"/>
          </w:tcPr>
          <w:p>
            <w:pPr>
              <w:pStyle w:val="38"/>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40"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促进中小企业</w:t>
            </w:r>
          </w:p>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5852" w:type="dxa"/>
            <w:gridSpan w:val="2"/>
            <w:vMerge w:val="restart"/>
            <w:noWrap w:val="0"/>
            <w:vAlign w:val="center"/>
          </w:tcPr>
          <w:p>
            <w:pPr>
              <w:pStyle w:val="38"/>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本项目专门面向中小企业采购，不再进行价格扣除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40"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促进残疾人就业政策</w:t>
            </w:r>
          </w:p>
        </w:tc>
        <w:tc>
          <w:tcPr>
            <w:tcW w:w="5852" w:type="dxa"/>
            <w:gridSpan w:val="2"/>
            <w:vMerge w:val="continue"/>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40"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支持监狱企业发展政策</w:t>
            </w:r>
          </w:p>
        </w:tc>
        <w:tc>
          <w:tcPr>
            <w:tcW w:w="5852" w:type="dxa"/>
            <w:gridSpan w:val="2"/>
            <w:vMerge w:val="continue"/>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p>
        </w:tc>
      </w:tr>
    </w:tbl>
    <w:p>
      <w:pPr>
        <w:rPr>
          <w:rFonts w:hint="eastAsia" w:ascii="宋体" w:hAnsi="宋体" w:eastAsia="宋体" w:cs="宋体"/>
          <w:color w:val="auto"/>
          <w:sz w:val="24"/>
          <w:szCs w:val="24"/>
        </w:rPr>
        <w:sectPr>
          <w:footerReference r:id="rId7" w:type="default"/>
          <w:pgSz w:w="11906" w:h="16839"/>
          <w:pgMar w:top="1431" w:right="1435" w:bottom="1241" w:left="1435" w:header="0" w:footer="1051" w:gutter="0"/>
          <w:pgNumType w:fmt="decimal"/>
          <w:cols w:space="720" w:num="1"/>
        </w:sectPr>
      </w:pPr>
    </w:p>
    <w:bookmarkEnd w:id="43"/>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6" w:name="_Toc29753"/>
      <w:bookmarkStart w:id="47" w:name="_Toc222"/>
      <w:r>
        <w:rPr>
          <w:rFonts w:hint="eastAsia" w:ascii="宋体" w:hAnsi="宋体" w:eastAsia="宋体" w:cs="宋体"/>
          <w:b/>
          <w:bCs/>
          <w:color w:val="auto"/>
          <w:sz w:val="28"/>
          <w:szCs w:val="28"/>
          <w:highlight w:val="none"/>
        </w:rPr>
        <w:t>第四章  采购合同文本</w:t>
      </w:r>
      <w:bookmarkEnd w:id="46"/>
    </w:p>
    <w:p>
      <w:pPr>
        <w:pStyle w:val="15"/>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pStyle w:val="15"/>
        <w:keepNext w:val="0"/>
        <w:keepLines w:val="0"/>
        <w:pageBreakBefore w:val="0"/>
        <w:widowControl w:val="0"/>
        <w:kinsoku/>
        <w:wordWrap/>
        <w:overflowPunct/>
        <w:bidi w:val="0"/>
        <w:adjustRightInd/>
        <w:jc w:val="center"/>
        <w:textAlignment w:val="auto"/>
        <w:outlineLvl w:val="9"/>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合 同 书</w:t>
      </w:r>
    </w:p>
    <w:p>
      <w:pPr>
        <w:pStyle w:val="15"/>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合同编号：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宋体" w:hAnsi="宋体" w:eastAsia="宋体" w:cs="宋体"/>
          <w:b w:val="0"/>
          <w:bCs/>
          <w:color w:val="auto"/>
          <w:sz w:val="24"/>
          <w:szCs w:val="24"/>
          <w:highlight w:val="none"/>
        </w:rPr>
      </w:pPr>
    </w:p>
    <w:p>
      <w:pPr>
        <w:pStyle w:val="15"/>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pStyle w:val="15"/>
        <w:keepNext w:val="0"/>
        <w:keepLines w:val="0"/>
        <w:pageBreakBefore w:val="0"/>
        <w:widowControl w:val="0"/>
        <w:tabs>
          <w:tab w:val="left" w:pos="3045"/>
        </w:tabs>
        <w:kinsoku/>
        <w:wordWrap/>
        <w:overflowPunct/>
        <w:bidi w:val="0"/>
        <w:adjustRightIn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pPr>
        <w:pStyle w:val="15"/>
        <w:keepNext w:val="0"/>
        <w:keepLines w:val="0"/>
        <w:pageBreakBefore w:val="0"/>
        <w:widowControl w:val="0"/>
        <w:kinsoku/>
        <w:wordWrap/>
        <w:overflowPunct/>
        <w:bidi w:val="0"/>
        <w:adjustRightInd/>
        <w:spacing w:line="360" w:lineRule="auto"/>
        <w:jc w:val="both"/>
        <w:textAlignment w:val="auto"/>
        <w:rPr>
          <w:rFonts w:hint="eastAsia" w:ascii="宋体" w:hAnsi="宋体" w:eastAsia="宋体" w:cs="宋体"/>
          <w:b w:val="0"/>
          <w:bCs/>
          <w:color w:val="auto"/>
          <w:sz w:val="24"/>
          <w:szCs w:val="24"/>
          <w:highlight w:val="none"/>
        </w:rPr>
      </w:pPr>
    </w:p>
    <w:p>
      <w:pPr>
        <w:pStyle w:val="15"/>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1"/>
        <w:rPr>
          <w:rFonts w:hint="eastAsia" w:ascii="宋体" w:hAnsi="宋体" w:eastAsia="宋体" w:cs="宋体"/>
          <w:b w:val="0"/>
          <w:bCs/>
          <w:color w:val="auto"/>
          <w:sz w:val="24"/>
          <w:szCs w:val="24"/>
          <w:highlight w:val="none"/>
          <w:lang w:eastAsia="zh-CN"/>
        </w:rPr>
      </w:pPr>
      <w:bookmarkStart w:id="48" w:name="_Toc26360"/>
      <w:bookmarkStart w:id="49" w:name="_Toc16329"/>
      <w:r>
        <w:rPr>
          <w:rFonts w:hint="eastAsia" w:ascii="宋体" w:hAnsi="宋体" w:eastAsia="宋体" w:cs="宋体"/>
          <w:b w:val="0"/>
          <w:bCs/>
          <w:color w:val="auto"/>
          <w:sz w:val="24"/>
          <w:szCs w:val="24"/>
          <w:highlight w:val="none"/>
        </w:rPr>
        <w:t xml:space="preserve">甲    方： </w:t>
      </w:r>
      <w:bookmarkEnd w:id="48"/>
      <w:bookmarkEnd w:id="49"/>
      <w:r>
        <w:rPr>
          <w:rFonts w:hint="eastAsia" w:ascii="宋体" w:hAnsi="宋体" w:cs="宋体"/>
          <w:b w:val="0"/>
          <w:bCs/>
          <w:color w:val="auto"/>
          <w:sz w:val="24"/>
          <w:szCs w:val="24"/>
          <w:highlight w:val="none"/>
          <w:u w:val="single"/>
          <w:lang w:eastAsia="zh-CN"/>
        </w:rPr>
        <w:t>国家税务总局邵武市税务局</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乙    方： </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 xml:space="preserve">日    期：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日</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宋体" w:hAnsi="宋体" w:eastAsia="宋体" w:cs="宋体"/>
          <w:b/>
          <w:color w:val="auto"/>
          <w:sz w:val="24"/>
          <w:szCs w:val="24"/>
          <w:highlight w:val="none"/>
        </w:rPr>
      </w:pPr>
      <w:r>
        <w:rPr>
          <w:rFonts w:ascii="宋体" w:hAnsi="宋体" w:cs="宋体"/>
          <w:b/>
          <w:bCs/>
          <w:color w:val="auto"/>
          <w:sz w:val="28"/>
          <w:highlight w:val="none"/>
          <w:u w:val="single"/>
        </w:rPr>
        <w:br w:type="page"/>
      </w:r>
      <w:r>
        <w:rPr>
          <w:rFonts w:hint="eastAsia" w:ascii="宋体" w:hAnsi="宋体" w:eastAsia="宋体" w:cs="宋体"/>
          <w:b/>
          <w:color w:val="auto"/>
          <w:sz w:val="24"/>
          <w:szCs w:val="24"/>
          <w:highlight w:val="none"/>
        </w:rPr>
        <w:t>合同条款前附表</w:t>
      </w:r>
    </w:p>
    <w:tbl>
      <w:tblPr>
        <w:tblStyle w:val="2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6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合同类型</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定价方式</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207" w:type="dxa"/>
            <w:gridSpan w:val="2"/>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c>
          <w:tcPr>
            <w:tcW w:w="5475"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c>
          <w:tcPr>
            <w:tcW w:w="547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restart"/>
            <w:tcBorders>
              <w:top w:val="single" w:color="auto" w:sz="6"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甲方相关部门</w:t>
            </w: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甲方采购部门</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需求部门</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乙方企业性质</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小型企业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微型企业    </w:t>
            </w:r>
          </w:p>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监狱企业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残疾人福利性单位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本合同服务内容为：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合同付款</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pPr>
              <w:pStyle w:val="39"/>
              <w:keepNext w:val="0"/>
              <w:keepLines w:val="0"/>
              <w:pageBreakBefore w:val="0"/>
              <w:numPr>
                <w:ilvl w:val="0"/>
                <w:numId w:val="0"/>
              </w:numPr>
              <w:tabs>
                <w:tab w:val="left" w:pos="840"/>
              </w:tabs>
              <w:kinsoku/>
              <w:wordWrap/>
              <w:overflowPunct/>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rPr>
            </w:pPr>
          </w:p>
          <w:p>
            <w:pPr>
              <w:pStyle w:val="39"/>
              <w:keepNext w:val="0"/>
              <w:keepLines w:val="0"/>
              <w:pageBreakBefore w:val="0"/>
              <w:numPr>
                <w:ilvl w:val="0"/>
                <w:numId w:val="0"/>
              </w:numPr>
              <w:tabs>
                <w:tab w:val="left" w:pos="840"/>
              </w:tabs>
              <w:kinsoku/>
              <w:wordWrap/>
              <w:overflowPunct/>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履约保证金及返还</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自合同签订之日起至服务期满</w:t>
            </w:r>
            <w:r>
              <w:rPr>
                <w:rFonts w:hint="eastAsia" w:ascii="宋体" w:hAnsi="宋体" w:eastAsia="宋体" w:cs="宋体"/>
                <w:color w:val="auto"/>
                <w:sz w:val="24"/>
                <w:szCs w:val="24"/>
                <w:highlight w:val="none"/>
                <w:lang w:eastAsia="zh-CN"/>
              </w:rPr>
              <w:t>验收合格</w:t>
            </w:r>
            <w:r>
              <w:rPr>
                <w:rFonts w:hint="eastAsia" w:ascii="宋体" w:hAnsi="宋体" w:eastAsia="宋体" w:cs="宋体"/>
                <w:color w:val="auto"/>
                <w:sz w:val="24"/>
                <w:szCs w:val="24"/>
                <w:highlight w:val="none"/>
              </w:rPr>
              <w:t>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eastAsia="zh-CN"/>
              </w:rPr>
              <w:t>项目服务期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合同履约地点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合同约定地点或甲方指定地点</w:t>
            </w:r>
          </w:p>
        </w:tc>
      </w:tr>
    </w:tbl>
    <w:p>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default" w:ascii="Times New Roman" w:hAnsi="Times New Roman" w:cs="Times New Roman"/>
          <w:b/>
          <w:color w:val="auto"/>
          <w:sz w:val="24"/>
          <w:highlight w:val="none"/>
        </w:rPr>
      </w:pPr>
      <w:r>
        <w:rPr>
          <w:rFonts w:hint="eastAsia" w:ascii="宋体" w:hAnsi="宋体" w:cs="宋体"/>
          <w:b/>
          <w:color w:val="auto"/>
          <w:sz w:val="24"/>
          <w:highlight w:val="none"/>
        </w:rPr>
        <w:t xml:space="preserve">一   合  同 </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u w:val="single"/>
          <w:lang w:eastAsia="zh-CN"/>
        </w:rPr>
        <w:t>国家税务总局邵武市税务局</w:t>
      </w:r>
      <w:r>
        <w:rPr>
          <w:rFonts w:hint="eastAsia" w:ascii="宋体" w:hAnsi="宋体" w:eastAsia="宋体" w:cs="宋体"/>
          <w:color w:val="auto"/>
          <w:sz w:val="22"/>
          <w:szCs w:val="22"/>
          <w:highlight w:val="none"/>
        </w:rPr>
        <w:t>（以下简称“甲方”）通过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式</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公司（以下简称“乙方”）为《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。甲乙双方同意按照该项目</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约定的内容，签署《</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合同书》（合同编号：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，以下简称“合同”)。</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0" w:name="_Toc11041"/>
      <w:bookmarkStart w:id="51" w:name="_Toc4627"/>
      <w:r>
        <w:rPr>
          <w:rFonts w:hint="eastAsia" w:ascii="宋体" w:hAnsi="宋体" w:eastAsia="宋体" w:cs="宋体"/>
          <w:b/>
          <w:color w:val="auto"/>
          <w:sz w:val="22"/>
          <w:szCs w:val="22"/>
          <w:highlight w:val="none"/>
        </w:rPr>
        <w:t>1. 合同文件</w:t>
      </w:r>
      <w:bookmarkEnd w:id="50"/>
      <w:bookmarkEnd w:id="51"/>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本合同所附下列文件是构成本合同不可分割的部分：</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（1）合同通用条款；</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（2）报价表（总报价表和分项报价表）；</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）采购文件；</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2" w:name="_Toc9580"/>
      <w:bookmarkStart w:id="53" w:name="_Toc19921"/>
      <w:r>
        <w:rPr>
          <w:rFonts w:hint="eastAsia" w:ascii="宋体" w:hAnsi="宋体" w:eastAsia="宋体" w:cs="宋体"/>
          <w:b/>
          <w:color w:val="auto"/>
          <w:sz w:val="22"/>
          <w:szCs w:val="22"/>
          <w:highlight w:val="none"/>
        </w:rPr>
        <w:t>2. 合同范围和条件</w:t>
      </w:r>
      <w:bookmarkEnd w:id="52"/>
      <w:bookmarkEnd w:id="53"/>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本合同的范围和条件应与上述合同文件的规定相一致。</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32" w:firstLineChars="196"/>
        <w:outlineLvl w:val="1"/>
        <w:rPr>
          <w:rFonts w:hint="eastAsia" w:ascii="宋体" w:hAnsi="宋体" w:eastAsia="宋体" w:cs="宋体"/>
          <w:b/>
          <w:color w:val="auto"/>
          <w:sz w:val="22"/>
          <w:szCs w:val="22"/>
          <w:highlight w:val="none"/>
        </w:rPr>
      </w:pPr>
      <w:bookmarkStart w:id="54" w:name="_Toc4439"/>
      <w:bookmarkStart w:id="55" w:name="_Toc25418"/>
      <w:r>
        <w:rPr>
          <w:rFonts w:hint="eastAsia" w:ascii="宋体" w:hAnsi="宋体" w:eastAsia="宋体" w:cs="宋体"/>
          <w:b/>
          <w:color w:val="auto"/>
          <w:sz w:val="22"/>
          <w:szCs w:val="22"/>
          <w:highlight w:val="none"/>
        </w:rPr>
        <w:t>3. 合同金额</w:t>
      </w:r>
      <w:bookmarkEnd w:id="54"/>
      <w:bookmarkEnd w:id="55"/>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本合同金额为人民币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rPr>
        <w:t>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400" w:lineRule="exact"/>
        <w:ind w:firstLine="441" w:firstLineChars="200"/>
        <w:outlineLvl w:val="1"/>
        <w:rPr>
          <w:rFonts w:hint="eastAsia" w:ascii="宋体" w:hAnsi="宋体" w:eastAsia="宋体" w:cs="宋体"/>
          <w:b/>
          <w:color w:val="auto"/>
          <w:sz w:val="22"/>
          <w:szCs w:val="22"/>
          <w:highlight w:val="none"/>
        </w:rPr>
      </w:pPr>
      <w:bookmarkStart w:id="56" w:name="_Toc26416"/>
      <w:bookmarkStart w:id="57" w:name="_Toc28641"/>
      <w:r>
        <w:rPr>
          <w:rFonts w:hint="eastAsia" w:ascii="宋体" w:hAnsi="宋体" w:eastAsia="宋体" w:cs="宋体"/>
          <w:b/>
          <w:color w:val="auto"/>
          <w:sz w:val="22"/>
          <w:szCs w:val="22"/>
          <w:highlight w:val="none"/>
          <w:lang w:val="en"/>
        </w:rPr>
        <w:t>4.</w:t>
      </w:r>
      <w:r>
        <w:rPr>
          <w:rFonts w:hint="eastAsia" w:ascii="宋体" w:hAnsi="宋体" w:eastAsia="宋体" w:cs="宋体"/>
          <w:b/>
          <w:color w:val="auto"/>
          <w:sz w:val="22"/>
          <w:szCs w:val="22"/>
          <w:highlight w:val="none"/>
        </w:rPr>
        <w:t>付款条件</w:t>
      </w:r>
      <w:bookmarkEnd w:id="56"/>
      <w:bookmarkEnd w:id="57"/>
    </w:p>
    <w:p>
      <w:pPr>
        <w:pStyle w:val="39"/>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合同以人民币结算，付款方式：</w:t>
      </w:r>
    </w:p>
    <w:p>
      <w:pPr>
        <w:pStyle w:val="14"/>
        <w:rPr>
          <w:rFonts w:hint="eastAsia" w:ascii="宋体" w:hAnsi="宋体" w:eastAsia="宋体" w:cs="宋体"/>
          <w:color w:val="auto"/>
          <w:kern w:val="2"/>
          <w:sz w:val="22"/>
          <w:szCs w:val="22"/>
          <w:highlight w:val="none"/>
          <w:lang w:val="en-US" w:eastAsia="zh-CN" w:bidi="ar-SA"/>
        </w:rPr>
      </w:pPr>
      <w:bookmarkStart w:id="58" w:name="_Toc28883"/>
      <w:bookmarkStart w:id="59" w:name="_Toc6077"/>
    </w:p>
    <w:p>
      <w:pPr>
        <w:pStyle w:val="14"/>
        <w:rPr>
          <w:rFonts w:hint="eastAsia" w:ascii="宋体" w:hAnsi="宋体" w:eastAsia="宋体" w:cs="宋体"/>
          <w:color w:val="auto"/>
          <w:kern w:val="2"/>
          <w:sz w:val="22"/>
          <w:szCs w:val="22"/>
          <w:highlight w:val="none"/>
          <w:lang w:val="en-US" w:eastAsia="zh-CN" w:bidi="ar-SA"/>
        </w:rPr>
      </w:pP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5. 合同签订</w:t>
      </w:r>
      <w:r>
        <w:rPr>
          <w:rFonts w:hint="eastAsia" w:ascii="宋体" w:hAnsi="宋体" w:eastAsia="宋体" w:cs="宋体"/>
          <w:b/>
          <w:color w:val="auto"/>
          <w:sz w:val="22"/>
          <w:szCs w:val="22"/>
          <w:highlight w:val="none"/>
          <w:lang w:eastAsia="zh-CN"/>
        </w:rPr>
        <w:t>及生效</w:t>
      </w:r>
      <w:bookmarkEnd w:id="58"/>
      <w:bookmarkEnd w:id="59"/>
    </w:p>
    <w:p>
      <w:pPr>
        <w:pStyle w:val="39"/>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u w:val="single"/>
          <w:lang w:val="en"/>
        </w:rPr>
        <w:t xml:space="preserve">   </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由甲乙双方</w:t>
      </w:r>
      <w:r>
        <w:rPr>
          <w:rFonts w:hint="eastAsia" w:ascii="宋体" w:hAnsi="宋体" w:eastAsia="宋体" w:cs="宋体"/>
          <w:color w:val="auto"/>
          <w:sz w:val="22"/>
          <w:szCs w:val="22"/>
          <w:highlight w:val="none"/>
          <w:lang w:eastAsia="zh-CN"/>
        </w:rPr>
        <w:t>法定代表人或被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后生效。</w:t>
      </w:r>
    </w:p>
    <w:p>
      <w:pPr>
        <w:pStyle w:val="39"/>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乙方由</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签订合同的，应提供</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身份证复印件；乙方由</w:t>
      </w:r>
      <w:r>
        <w:rPr>
          <w:rFonts w:hint="eastAsia" w:ascii="宋体" w:hAnsi="宋体" w:eastAsia="宋体" w:cs="宋体"/>
          <w:color w:val="auto"/>
          <w:sz w:val="22"/>
          <w:szCs w:val="22"/>
          <w:highlight w:val="none"/>
          <w:lang w:eastAsia="zh-CN"/>
        </w:rPr>
        <w:t>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签订合同的，</w:t>
      </w:r>
      <w:r>
        <w:rPr>
          <w:rFonts w:hint="eastAsia" w:ascii="宋体" w:hAnsi="宋体" w:eastAsia="宋体" w:cs="宋体"/>
          <w:color w:val="auto"/>
          <w:sz w:val="22"/>
          <w:szCs w:val="22"/>
          <w:highlight w:val="none"/>
          <w:lang w:eastAsia="zh-CN"/>
        </w:rPr>
        <w:t>应</w:t>
      </w:r>
      <w:r>
        <w:rPr>
          <w:rFonts w:hint="eastAsia" w:ascii="宋体" w:hAnsi="宋体" w:eastAsia="宋体" w:cs="宋体"/>
          <w:color w:val="auto"/>
          <w:sz w:val="22"/>
          <w:szCs w:val="22"/>
          <w:highlight w:val="none"/>
        </w:rPr>
        <w:t>提供授权</w:t>
      </w:r>
      <w:r>
        <w:rPr>
          <w:rFonts w:hint="eastAsia" w:ascii="宋体" w:hAnsi="宋体" w:eastAsia="宋体" w:cs="宋体"/>
          <w:color w:val="auto"/>
          <w:sz w:val="22"/>
          <w:szCs w:val="22"/>
          <w:highlight w:val="none"/>
          <w:lang w:eastAsia="zh-CN"/>
        </w:rPr>
        <w:t>委托</w:t>
      </w:r>
      <w:r>
        <w:rPr>
          <w:rFonts w:hint="eastAsia" w:ascii="宋体" w:hAnsi="宋体" w:eastAsia="宋体" w:cs="宋体"/>
          <w:color w:val="auto"/>
          <w:sz w:val="22"/>
          <w:szCs w:val="22"/>
          <w:highlight w:val="none"/>
        </w:rPr>
        <w:t>书和</w:t>
      </w:r>
      <w:r>
        <w:rPr>
          <w:rFonts w:hint="eastAsia" w:ascii="宋体" w:hAnsi="宋体" w:eastAsia="宋体" w:cs="宋体"/>
          <w:color w:val="auto"/>
          <w:sz w:val="22"/>
          <w:szCs w:val="22"/>
          <w:highlight w:val="none"/>
          <w:lang w:eastAsia="zh-CN"/>
        </w:rPr>
        <w:t>法定代表人及被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身份证复印件。</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cs="宋体"/>
          <w:color w:val="auto"/>
          <w:sz w:val="22"/>
          <w:szCs w:val="22"/>
          <w:highlight w:val="none"/>
          <w:lang w:eastAsia="zh-CN"/>
        </w:rPr>
        <w:t>国家税务总局邵武市税务局</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乙方：</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签字：</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盖章：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盖章： </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年    月    日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w:t>
      </w:r>
    </w:p>
    <w:p>
      <w:pPr>
        <w:topLinePunct/>
        <w:autoSpaceDE w:val="0"/>
        <w:autoSpaceDN w:val="0"/>
        <w:spacing w:line="460" w:lineRule="exact"/>
        <w:rPr>
          <w:rFonts w:hint="eastAsia" w:ascii="宋体" w:hAnsi="宋体" w:cs="宋体"/>
          <w:b/>
          <w:color w:val="auto"/>
          <w:sz w:val="24"/>
          <w:highlight w:val="none"/>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60" w:name="_Toc19962"/>
      <w:bookmarkStart w:id="61" w:name="_Toc30156"/>
      <w:r>
        <w:rPr>
          <w:rFonts w:hint="eastAsia" w:ascii="宋体" w:hAnsi="宋体" w:eastAsia="宋体" w:cs="宋体"/>
          <w:b/>
          <w:color w:val="auto"/>
          <w:sz w:val="22"/>
          <w:szCs w:val="22"/>
          <w:highlight w:val="none"/>
        </w:rPr>
        <w:t>1. 定义</w:t>
      </w:r>
      <w:bookmarkEnd w:id="60"/>
      <w:bookmarkEnd w:id="61"/>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本合同下列术语应解释为：</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1.1“甲方”是指</w:t>
      </w:r>
      <w:r>
        <w:rPr>
          <w:rFonts w:hint="eastAsia" w:ascii="宋体" w:hAnsi="宋体" w:cs="宋体"/>
          <w:color w:val="auto"/>
          <w:sz w:val="22"/>
          <w:szCs w:val="22"/>
          <w:highlight w:val="none"/>
          <w:u w:val="single"/>
          <w:lang w:eastAsia="zh-CN"/>
        </w:rPr>
        <w:t>国家税务总局邵武市税务局</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1.1.1“甲方采购部门”见“合同条款前附表”第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项“甲方采购部门”。</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1.2“乙方”见“合同条款前附表”第</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项“乙方名称”。</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“合同”系指甲乙双方签订的、合同格式中载明的甲乙双方所达成的协议，包括所有的附件、附录和上述文件所提到的构成合同的所有文件。</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“天”除非特别指出，“天”均为自然天。</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62" w:name="_Toc13700"/>
      <w:bookmarkStart w:id="63" w:name="_Toc24368"/>
      <w:r>
        <w:rPr>
          <w:rFonts w:hint="eastAsia" w:ascii="宋体" w:hAnsi="宋体" w:eastAsia="宋体" w:cs="宋体"/>
          <w:b/>
          <w:color w:val="auto"/>
          <w:sz w:val="22"/>
          <w:szCs w:val="22"/>
          <w:highlight w:val="none"/>
        </w:rPr>
        <w:t>2. 标准</w:t>
      </w:r>
      <w:bookmarkEnd w:id="62"/>
      <w:bookmarkEnd w:id="63"/>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乙方为甲方</w:t>
      </w:r>
      <w:r>
        <w:rPr>
          <w:rFonts w:hint="eastAsia" w:ascii="宋体" w:hAnsi="宋体" w:eastAsia="宋体" w:cs="宋体"/>
          <w:color w:val="auto"/>
          <w:sz w:val="22"/>
          <w:szCs w:val="22"/>
          <w:highlight w:val="none"/>
          <w:lang w:eastAsia="zh-CN"/>
        </w:rPr>
        <w:t>交付或</w:t>
      </w:r>
      <w:r>
        <w:rPr>
          <w:rFonts w:hint="eastAsia" w:ascii="宋体" w:hAnsi="宋体" w:eastAsia="宋体" w:cs="宋体"/>
          <w:color w:val="auto"/>
          <w:sz w:val="22"/>
          <w:szCs w:val="22"/>
          <w:highlight w:val="none"/>
        </w:rPr>
        <w:t>提供的服务应符合</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所述的</w:t>
      </w:r>
      <w:r>
        <w:rPr>
          <w:rFonts w:hint="eastAsia" w:ascii="宋体" w:hAnsi="宋体" w:eastAsia="宋体" w:cs="宋体"/>
          <w:color w:val="auto"/>
          <w:sz w:val="22"/>
          <w:szCs w:val="22"/>
          <w:highlight w:val="none"/>
          <w:lang w:eastAsia="zh-CN"/>
        </w:rPr>
        <w:t>标准</w:t>
      </w:r>
      <w:r>
        <w:rPr>
          <w:rFonts w:hint="eastAsia" w:ascii="宋体" w:hAnsi="宋体" w:eastAsia="宋体" w:cs="宋体"/>
          <w:color w:val="auto"/>
          <w:sz w:val="22"/>
          <w:szCs w:val="22"/>
          <w:highlight w:val="none"/>
        </w:rPr>
        <w:t>，如果没有提及适用标准，则应符合相应的国家标准。这些标准必须是有关机构发布的最新版本的标准。</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除非技术要求中另有规定，计量单位均采用中华人民共和国法定计量单位。</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64" w:name="_Toc24638"/>
      <w:bookmarkStart w:id="65" w:name="_Toc25879"/>
      <w:r>
        <w:rPr>
          <w:rFonts w:hint="eastAsia" w:ascii="宋体" w:hAnsi="宋体" w:eastAsia="宋体" w:cs="宋体"/>
          <w:b/>
          <w:color w:val="auto"/>
          <w:sz w:val="22"/>
          <w:szCs w:val="22"/>
          <w:highlight w:val="none"/>
        </w:rPr>
        <w:t>3. 服务</w:t>
      </w:r>
      <w:bookmarkEnd w:id="64"/>
      <w:bookmarkEnd w:id="65"/>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3.1 本项目的“服务”见“合同条款前附表”第</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项“服务内容”。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乙方应保证所提供的服务符合合同规定的技术要求。如不符时，乙方应负全责并尽快处理解决，由此造成的损失和相关费用由乙方负责，甲方保留终止合同及索赔的权利。</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乙方应保证通过执行合同中全部方案后，可以取得本合同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的结果，达到本合同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的预期目标。对任何情况下出现的问题，应尽快提出解决方案。</w:t>
      </w:r>
    </w:p>
    <w:p>
      <w:pPr>
        <w:keepNext w:val="0"/>
        <w:keepLines w:val="0"/>
        <w:pageBreakBefore w:val="0"/>
        <w:widowControl w:val="0"/>
        <w:tabs>
          <w:tab w:val="left" w:pos="0"/>
          <w:tab w:val="left" w:pos="54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如果乙方提供的服务和解决方案不符合甲方要求，或在规定的时间内没有弥补缺陷，甲方有权采取一切必要的补救措施，由此产生的费用全部由乙方负责。</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除合同条款另行规定外，伴随服务的费用应含在合同价中，不单独进行支付。</w:t>
      </w:r>
    </w:p>
    <w:p>
      <w:pPr>
        <w:keepNext w:val="0"/>
        <w:keepLines w:val="0"/>
        <w:pageBreakBefore w:val="0"/>
        <w:widowControl w:val="0"/>
        <w:tabs>
          <w:tab w:val="left" w:pos="0"/>
          <w:tab w:val="left" w:pos="540"/>
        </w:tabs>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66" w:name="_Toc3471"/>
      <w:bookmarkStart w:id="67" w:name="_Toc14903"/>
      <w:r>
        <w:rPr>
          <w:rFonts w:hint="eastAsia" w:ascii="宋体" w:hAnsi="宋体" w:eastAsia="宋体" w:cs="宋体"/>
          <w:b/>
          <w:color w:val="auto"/>
          <w:sz w:val="22"/>
          <w:szCs w:val="22"/>
          <w:highlight w:val="none"/>
        </w:rPr>
        <w:t>4. 知识产权</w:t>
      </w:r>
      <w:bookmarkEnd w:id="66"/>
      <w:bookmarkEnd w:id="67"/>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乙方应保证所提供</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服务免受第三方提出侵犯其知识产权（专利权、商标权、</w:t>
      </w:r>
      <w:r>
        <w:rPr>
          <w:rFonts w:hint="eastAsia" w:ascii="宋体" w:hAnsi="宋体" w:eastAsia="宋体" w:cs="宋体"/>
          <w:color w:val="auto"/>
          <w:sz w:val="22"/>
          <w:szCs w:val="22"/>
          <w:highlight w:val="none"/>
          <w:lang w:eastAsia="zh-CN"/>
        </w:rPr>
        <w:t>软件著作权、</w:t>
      </w:r>
      <w:r>
        <w:rPr>
          <w:rFonts w:hint="eastAsia" w:ascii="宋体" w:hAnsi="宋体" w:eastAsia="宋体" w:cs="宋体"/>
          <w:color w:val="auto"/>
          <w:sz w:val="22"/>
          <w:szCs w:val="22"/>
          <w:highlight w:val="none"/>
        </w:rPr>
        <w:t>版权等）的起诉。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乙方不得利用本项目实施过程中所产生的成果（包括发明、发现、可运行系统、源代码及相关技术资料、文档等），另行自行开发本合同业务范围内供纳税人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使用的软件或产品，不得利用开发便利变相收费或搭车收费。</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68" w:name="_Toc31645"/>
      <w:bookmarkStart w:id="69" w:name="_Toc3072"/>
      <w:r>
        <w:rPr>
          <w:rFonts w:hint="eastAsia" w:ascii="宋体" w:hAnsi="宋体" w:eastAsia="宋体" w:cs="宋体"/>
          <w:b/>
          <w:color w:val="auto"/>
          <w:sz w:val="22"/>
          <w:szCs w:val="22"/>
          <w:highlight w:val="none"/>
        </w:rPr>
        <w:t>5. 保密条款</w:t>
      </w:r>
      <w:bookmarkEnd w:id="68"/>
      <w:bookmarkEnd w:id="69"/>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甲乙双方应对在本合同签订或履行过程中所接触的对方信息，包括但不限于知识产权、技术资料、技术诀窍、内部管理及其他相关信息，负有保密义务。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应以审慎态度避免泄漏、公开或传播甲方的信息；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在开发过程中对数据的处理方式应事先得到甲方的许可；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未经甲方书面许可，不得对有关信息进行修改、补充、复制；</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未经甲方书面许可，不得将信息以任何方式（如E-mail）携带出甲方场所；</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未经甲方书面许可，不得将信息透露给任何其他人； </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严禁在提交的软件</w:t>
      </w:r>
      <w:r>
        <w:rPr>
          <w:rFonts w:hint="eastAsia" w:ascii="宋体" w:hAnsi="宋体" w:eastAsia="宋体" w:cs="宋体"/>
          <w:color w:val="auto"/>
          <w:sz w:val="22"/>
          <w:szCs w:val="22"/>
          <w:highlight w:val="none"/>
          <w:lang w:eastAsia="zh-CN"/>
        </w:rPr>
        <w:t>产品</w:t>
      </w:r>
      <w:r>
        <w:rPr>
          <w:rFonts w:hint="eastAsia" w:ascii="宋体" w:hAnsi="宋体" w:eastAsia="宋体" w:cs="宋体"/>
          <w:color w:val="auto"/>
          <w:sz w:val="22"/>
          <w:szCs w:val="22"/>
          <w:highlight w:val="none"/>
        </w:rPr>
        <w:t>中设置远程维护接口和后门程序；</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不得进行系统软硬件设备的远程维护；</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甲方以书面形式提出的其他保密措施。</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保密期限不受合同有效期的限制，在合同有效期结束后，信息接受方仍应承担保密义务，直至该等信息成为公开信息。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 甲乙双方如出现泄密行为，泄密方应承担相关的法律责任，包括但是不限于对由此给对方造成的经济损失进行赔偿。</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70" w:name="_Toc31015"/>
      <w:bookmarkStart w:id="71" w:name="_Toc27929"/>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lang w:eastAsia="zh-CN"/>
        </w:rPr>
        <w:t>履约</w:t>
      </w:r>
      <w:r>
        <w:rPr>
          <w:rFonts w:hint="eastAsia" w:ascii="宋体" w:hAnsi="宋体" w:eastAsia="宋体" w:cs="宋体"/>
          <w:b/>
          <w:color w:val="auto"/>
          <w:sz w:val="22"/>
          <w:szCs w:val="22"/>
          <w:highlight w:val="none"/>
        </w:rPr>
        <w:t>验收要求</w:t>
      </w:r>
      <w:bookmarkEnd w:id="70"/>
      <w:bookmarkEnd w:id="71"/>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严格按照采购合同开展履约验收。验收时,</w:t>
      </w:r>
      <w:r>
        <w:rPr>
          <w:rFonts w:hint="eastAsia" w:ascii="宋体" w:hAnsi="宋体" w:eastAsia="宋体" w:cs="宋体"/>
          <w:color w:val="auto"/>
          <w:sz w:val="22"/>
          <w:szCs w:val="22"/>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宋体" w:hAnsi="宋体" w:eastAsia="宋体" w:cs="宋体"/>
          <w:color w:val="auto"/>
          <w:sz w:val="22"/>
          <w:szCs w:val="22"/>
          <w:highlight w:val="none"/>
        </w:rPr>
        <w:t>验收结束后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应当出具验收意见，列明合同事项、验收标准及验收情况</w:t>
      </w:r>
      <w:r>
        <w:rPr>
          <w:rFonts w:hint="eastAsia" w:ascii="宋体" w:hAnsi="宋体" w:eastAsia="宋体" w:cs="宋体"/>
          <w:color w:val="auto"/>
          <w:sz w:val="22"/>
          <w:szCs w:val="22"/>
          <w:highlight w:val="none"/>
          <w:lang w:eastAsia="zh-CN"/>
        </w:rPr>
        <w:t>，由全体验收人员签字</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.2具体</w:t>
      </w:r>
      <w:r>
        <w:rPr>
          <w:rFonts w:hint="eastAsia" w:ascii="宋体" w:hAnsi="宋体" w:eastAsia="宋体" w:cs="宋体"/>
          <w:color w:val="auto"/>
          <w:sz w:val="22"/>
          <w:szCs w:val="22"/>
          <w:highlight w:val="none"/>
          <w:lang w:eastAsia="zh-CN"/>
        </w:rPr>
        <w:t>履约</w:t>
      </w:r>
      <w:r>
        <w:rPr>
          <w:rFonts w:hint="eastAsia" w:ascii="宋体" w:hAnsi="宋体" w:eastAsia="宋体" w:cs="宋体"/>
          <w:color w:val="auto"/>
          <w:sz w:val="22"/>
          <w:szCs w:val="22"/>
          <w:highlight w:val="none"/>
        </w:rPr>
        <w:t>验收要求详见</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文件。</w:t>
      </w:r>
    </w:p>
    <w:p>
      <w:pPr>
        <w:keepNext w:val="0"/>
        <w:keepLines w:val="0"/>
        <w:pageBreakBefore w:val="0"/>
        <w:widowControl w:val="0"/>
        <w:tabs>
          <w:tab w:val="left" w:pos="0"/>
          <w:tab w:val="left" w:pos="540"/>
        </w:tabs>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72" w:name="_Toc27741"/>
      <w:bookmarkStart w:id="73" w:name="_Toc10405"/>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履约保证金</w:t>
      </w:r>
      <w:bookmarkEnd w:id="72"/>
      <w:bookmarkEnd w:id="73"/>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需提交履约保证金的项目，乙方应按照“合同条款前附表”第 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 xml:space="preserve"> 项“履约保证金及返还”提交履约保证金。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履约保证金的金额</w:t>
      </w:r>
      <w:r>
        <w:rPr>
          <w:rFonts w:hint="eastAsia" w:ascii="宋体" w:hAnsi="宋体" w:eastAsia="宋体" w:cs="宋体"/>
          <w:color w:val="auto"/>
          <w:sz w:val="22"/>
          <w:szCs w:val="22"/>
          <w:highlight w:val="none"/>
          <w:lang w:eastAsia="zh-CN"/>
        </w:rPr>
        <w:t>可用于</w:t>
      </w:r>
      <w:r>
        <w:rPr>
          <w:rFonts w:hint="eastAsia" w:ascii="宋体" w:hAnsi="宋体" w:eastAsia="宋体" w:cs="宋体"/>
          <w:color w:val="auto"/>
          <w:sz w:val="22"/>
          <w:szCs w:val="22"/>
          <w:highlight w:val="none"/>
        </w:rPr>
        <w:t>补偿甲方因乙方不能完成其合同义务而蒙受的损失。</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 乙方不履行合同或者履行合同义务不符合约定使得合同目的不能实现，履约保证金不予退还，给甲方造成的损失超过履约保证金数额的，还应当对超过部分予以赔偿。</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 履约保证金在合同履行期满后，扣除相应款项（如有）且双方无争议后，凭返还申请等资料一次性无息返还，详见“合同条款前附表”第</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项“履约保证金及返还”。</w:t>
      </w:r>
    </w:p>
    <w:p>
      <w:pPr>
        <w:keepNext w:val="0"/>
        <w:keepLines w:val="0"/>
        <w:pageBreakBefore w:val="0"/>
        <w:widowControl w:val="0"/>
        <w:tabs>
          <w:tab w:val="left" w:pos="0"/>
          <w:tab w:val="left" w:pos="540"/>
        </w:tabs>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74" w:name="_Toc29418"/>
      <w:bookmarkStart w:id="75" w:name="_Toc18030"/>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．履约延误</w:t>
      </w:r>
      <w:bookmarkEnd w:id="74"/>
      <w:bookmarkEnd w:id="75"/>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 乙方应按照本合同的规定提供服务。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 除不可抗力和根据合同规定延期取得甲方同意而不收取误期赔偿费之外，乙方延误工期，将按合同规定被收取误期赔偿费。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，乙方可要求</w:t>
      </w:r>
      <w:r>
        <w:rPr>
          <w:rFonts w:hint="eastAsia" w:ascii="宋体" w:hAnsi="宋体" w:eastAsia="宋体" w:cs="宋体"/>
          <w:color w:val="auto"/>
          <w:sz w:val="22"/>
          <w:szCs w:val="22"/>
          <w:highlight w:val="none"/>
          <w:lang w:eastAsia="zh-CN"/>
        </w:rPr>
        <w:t>甲方按</w:t>
      </w:r>
      <w:r>
        <w:rPr>
          <w:rFonts w:hint="eastAsia" w:ascii="宋体" w:hAnsi="宋体" w:eastAsia="宋体" w:cs="宋体"/>
          <w:color w:val="auto"/>
          <w:sz w:val="22"/>
          <w:szCs w:val="22"/>
          <w:highlight w:val="none"/>
        </w:rPr>
        <w:t>银行</w:t>
      </w:r>
      <w:r>
        <w:rPr>
          <w:rFonts w:hint="eastAsia" w:ascii="宋体" w:hAnsi="宋体" w:eastAsia="宋体" w:cs="宋体"/>
          <w:color w:val="auto"/>
          <w:sz w:val="22"/>
          <w:szCs w:val="22"/>
          <w:highlight w:val="none"/>
          <w:lang w:eastAsia="zh-CN"/>
        </w:rPr>
        <w:t>同期</w:t>
      </w:r>
      <w:r>
        <w:rPr>
          <w:rFonts w:hint="eastAsia" w:ascii="宋体" w:hAnsi="宋体" w:eastAsia="宋体" w:cs="宋体"/>
          <w:color w:val="auto"/>
          <w:sz w:val="22"/>
          <w:szCs w:val="22"/>
          <w:highlight w:val="none"/>
        </w:rPr>
        <w:t>活期存款</w:t>
      </w:r>
      <w:r>
        <w:rPr>
          <w:rFonts w:hint="eastAsia" w:ascii="宋体" w:hAnsi="宋体" w:eastAsia="宋体" w:cs="宋体"/>
          <w:color w:val="auto"/>
          <w:sz w:val="22"/>
          <w:szCs w:val="22"/>
          <w:highlight w:val="none"/>
          <w:lang w:eastAsia="zh-CN"/>
        </w:rPr>
        <w:t>利率支付逾期利息</w:t>
      </w:r>
      <w:r>
        <w:rPr>
          <w:rFonts w:hint="eastAsia" w:ascii="宋体" w:hAnsi="宋体" w:eastAsia="宋体" w:cs="宋体"/>
          <w:color w:val="auto"/>
          <w:sz w:val="22"/>
          <w:szCs w:val="22"/>
          <w:highlight w:val="none"/>
        </w:rPr>
        <w:t>。特殊原因逾期返还的，双方协商解决。</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76" w:name="_Toc4367"/>
      <w:bookmarkStart w:id="77" w:name="_Toc30607"/>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 违约责任</w:t>
      </w:r>
      <w:bookmarkEnd w:id="76"/>
      <w:bookmarkEnd w:id="77"/>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乙方没有按照时限要求提供服务，且在甲方指定的延长期限内没有采取补救措施，甲方有权自行采取其他方式进行补救，乙方除按合同第</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条约定向甲方支付误期违约金外，另外甲方所发生的一切费用和甲方损失，甲方有权从应付的乙方的合同款项中扣除，不足扣除的乙方应另行支付。</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.3 除应支付甲方违约金等外，甲方有权根据合同或有关部门出具的检验证书向乙方提出索赔。</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.4 如果乙方对差异负有责任而甲方提出索赔，乙方同意按照下列方式解决索赔事宜：</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对于本协议未约定的、招标（采购）文件（技术部分）中约定的违约处理条款，按招标（采购）文件（技术部分）相关约定执行；对本协议与招标（采购）文件（技术部分）约定不同的违约处理条款，以本协议约定为准。</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78" w:name="_Toc9396"/>
      <w:bookmarkStart w:id="79" w:name="_Toc22238"/>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 不可抗力</w:t>
      </w:r>
      <w:bookmarkEnd w:id="78"/>
      <w:bookmarkEnd w:id="79"/>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本条所述的“不可抗力”系指双方不可预见、不可避免、不可克服的客观情况，但不包括双方的违约或疏忽。这些事件包括但不限于：战争、严重火灾、洪水、台风、地震等。</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如果乙方因不可抗力而导致合同实施延误或不能履行合同义务，不应承担误期赔偿或终止合同的责任。</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80" w:name="_Toc3785"/>
      <w:bookmarkStart w:id="81" w:name="_Toc12476"/>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 争端的解决</w:t>
      </w:r>
      <w:bookmarkEnd w:id="80"/>
      <w:bookmarkEnd w:id="81"/>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甲乙双方应</w:t>
      </w:r>
      <w:r>
        <w:rPr>
          <w:rFonts w:hint="eastAsia" w:ascii="宋体" w:hAnsi="宋体" w:eastAsia="宋体" w:cs="宋体"/>
          <w:color w:val="auto"/>
          <w:sz w:val="22"/>
          <w:szCs w:val="22"/>
          <w:highlight w:val="none"/>
          <w:lang w:eastAsia="zh-CN"/>
        </w:rPr>
        <w:t>首先</w:t>
      </w:r>
      <w:r>
        <w:rPr>
          <w:rFonts w:hint="eastAsia" w:ascii="宋体" w:hAnsi="宋体" w:eastAsia="宋体" w:cs="宋体"/>
          <w:color w:val="auto"/>
          <w:sz w:val="22"/>
          <w:szCs w:val="22"/>
          <w:highlight w:val="none"/>
        </w:rPr>
        <w:t>通过友好协商解决在执行本合同中所发生的或与本合同有关的一切争端。如从协商开始</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天内仍不能解决，</w:t>
      </w:r>
      <w:r>
        <w:rPr>
          <w:rFonts w:hint="eastAsia" w:ascii="宋体" w:hAnsi="宋体" w:eastAsia="宋体" w:cs="宋体"/>
          <w:color w:val="auto"/>
          <w:sz w:val="22"/>
          <w:szCs w:val="22"/>
          <w:highlight w:val="none"/>
          <w:lang w:eastAsia="zh-CN"/>
        </w:rPr>
        <w:t>可以按合同约定的方式提起诉讼</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.1诉讼应向甲方所在地提起诉讼。</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.2诉讼费除人民法院另有判决外，应由败诉方负担。</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.3在诉讼期间，除正在进行诉讼部分外，本</w:t>
      </w:r>
      <w:r>
        <w:rPr>
          <w:rFonts w:hint="eastAsia" w:ascii="宋体" w:hAnsi="宋体" w:eastAsia="宋体" w:cs="宋体"/>
          <w:color w:val="auto"/>
          <w:sz w:val="22"/>
          <w:szCs w:val="22"/>
          <w:highlight w:val="none"/>
        </w:rPr>
        <w:t>合同的其它部分应继续执行。</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82" w:name="_Toc7090"/>
      <w:bookmarkStart w:id="83" w:name="_Toc1745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违约终止合同</w:t>
      </w:r>
      <w:bookmarkEnd w:id="82"/>
      <w:bookmarkEnd w:id="83"/>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12.1.1 </w:t>
      </w:r>
      <w:r>
        <w:rPr>
          <w:rFonts w:hint="eastAsia" w:ascii="宋体" w:hAnsi="宋体" w:eastAsia="宋体" w:cs="宋体"/>
          <w:color w:val="auto"/>
          <w:sz w:val="22"/>
          <w:szCs w:val="22"/>
          <w:highlight w:val="none"/>
          <w:lang w:eastAsia="zh-CN"/>
        </w:rPr>
        <w:t>乙方不履行合同业务或者履行合同义务不符合合同约定；</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如果乙方未能在合同规定的期限或甲方同意延长的期限内提供服务；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因乙方人员自身技术能力、经验不足等问题造成甲方发生重大紧急故障，带来重大影响和损失的；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乙方对重大紧急故障没有及时响应，或不能在规定时间内解决处理故障、恢复正常运行的；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不能满足本项目技术需求的管理要求和规范，且经多次整改无明显改进的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在合同服务期内，同一个应用系统在升级完善、运行维护支持服务过程中，出现5次经甲乙双方确认的用户投诉的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12.1.7 </w:t>
      </w:r>
      <w:r>
        <w:rPr>
          <w:rFonts w:hint="eastAsia" w:ascii="宋体" w:hAnsi="宋体" w:eastAsia="宋体" w:cs="宋体"/>
          <w:color w:val="auto"/>
          <w:sz w:val="22"/>
          <w:szCs w:val="22"/>
          <w:highlight w:val="none"/>
        </w:rPr>
        <w:t>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使用的软件或产品的，或利用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12.1.8 乙方在本项目实施过程中发生违反网络安全规定行为造成不良后果的。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xml:space="preserve"> 乙方提供的服务侵犯甲方、第三方知识产权等合法权益的；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 乙方或乙方人员造成甲方或第三方经济损失而拒不赔偿的；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乙方转让其应履行的合同义务，或未经甲方同意采取分包方式履行合同</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乙方有其他严重违约行为的。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如果甲方根据上述第1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.1条的规定，终止了全部或部分合同，甲方可以适当的条件和方法</w:t>
      </w:r>
      <w:r>
        <w:rPr>
          <w:rFonts w:hint="eastAsia" w:ascii="宋体" w:hAnsi="宋体" w:cs="宋体"/>
          <w:color w:val="auto"/>
          <w:sz w:val="22"/>
          <w:szCs w:val="22"/>
          <w:highlight w:val="none"/>
          <w:lang w:val="en-US" w:eastAsia="zh-CN"/>
        </w:rPr>
        <w:t>向第三方</w:t>
      </w:r>
      <w:r>
        <w:rPr>
          <w:rFonts w:hint="eastAsia" w:ascii="宋体" w:hAnsi="宋体" w:eastAsia="宋体" w:cs="宋体"/>
          <w:color w:val="auto"/>
          <w:sz w:val="22"/>
          <w:szCs w:val="22"/>
          <w:highlight w:val="none"/>
        </w:rPr>
        <w:t>购买乙方未能提供的服务，乙方应对甲方购买类似服务所超出的费用负责。同时，乙方应继续执行合同中未终止的部分。</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84" w:name="_Toc29805"/>
      <w:bookmarkStart w:id="85" w:name="_Toc32253"/>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破产终止合同</w:t>
      </w:r>
      <w:bookmarkEnd w:id="84"/>
      <w:bookmarkEnd w:id="85"/>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如果乙方破产或无清偿能力，甲方可在任何时候以书面形式通知乙方终止合同而不给乙方补偿。</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.2该终止合同将不损害或影响甲方已经采取或将要采取的任何行动或补救措施的权力。</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86" w:name="_Toc25634"/>
      <w:bookmarkStart w:id="87" w:name="_Toc21386"/>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 其他情况的终止合同</w:t>
      </w:r>
      <w:bookmarkEnd w:id="86"/>
      <w:bookmarkEnd w:id="87"/>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乙方在执行合同的过程中发生重大事故或变故，对履行合同有直接影响的，甲方可以提出终止合同而不给予乙方任何补偿。</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在服务期内，由于甲方工作计划调整，推广使用新应用系统导致本项目相关服务停止的，甲方可以提出终止合同而不给予乙方任何补偿。</w:t>
      </w:r>
    </w:p>
    <w:p>
      <w:pPr>
        <w:keepNext w:val="0"/>
        <w:keepLines w:val="0"/>
        <w:pageBreakBefore w:val="0"/>
        <w:widowControl w:val="0"/>
        <w:tabs>
          <w:tab w:val="left" w:pos="700"/>
        </w:tabs>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88" w:name="_Toc26374"/>
      <w:bookmarkStart w:id="89" w:name="_Toc82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 合同修改或变更</w:t>
      </w:r>
      <w:bookmarkEnd w:id="88"/>
      <w:bookmarkEnd w:id="89"/>
    </w:p>
    <w:p>
      <w:pPr>
        <w:keepNext w:val="0"/>
        <w:keepLines w:val="0"/>
        <w:pageBreakBefore w:val="0"/>
        <w:widowControl w:val="0"/>
        <w:kinsoku/>
        <w:wordWrap/>
        <w:overflowPunct/>
        <w:bidi w:val="0"/>
        <w:adjustRightInd/>
        <w:snapToGrid/>
        <w:spacing w:line="400" w:lineRule="exact"/>
        <w:ind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合同如有未尽事宜，须经甲乙双方共同协商，做出补充约定，并签订书面补充合同或变更协议。补充合同或变更协议作为本合同的一部分，与本合同具有同等效力。</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 除了双方签署书面修改或变更协议，并成为本合同不可分割的一部分的情况之外，本合同的条款不得有任何变化或修改。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由于采购人项目统一规划等原因导致本项目停止部分服务的，甲方将启动合同变更程序，与乙方协商变更相关合同条款。</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90" w:name="_Toc12870"/>
      <w:bookmarkStart w:id="91" w:name="_Toc11723"/>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转让和分包</w:t>
      </w:r>
      <w:bookmarkEnd w:id="90"/>
      <w:bookmarkEnd w:id="91"/>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除甲方事先书面同意外，乙方不得部分转让或全部转让其应履行的合同义务。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16.2 未经甲方同意，乙方不得采取分包方式履行合同。经甲方同意分包履行合同的，乙方就采购项目及分包项目向甲方负责，分包供应商就分包项目承担责任。</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92" w:name="_Toc23771"/>
      <w:bookmarkStart w:id="93" w:name="_Toc1517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合同语言</w:t>
      </w:r>
      <w:bookmarkEnd w:id="92"/>
      <w:bookmarkEnd w:id="93"/>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本合同语言为中文。</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双方交换的与合同有关的信件和其他文件应用合同语言书写。</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94" w:name="_Toc12419"/>
      <w:bookmarkStart w:id="95" w:name="_Toc11412"/>
      <w:r>
        <w:rPr>
          <w:rFonts w:hint="eastAsia" w:ascii="宋体" w:hAnsi="宋体" w:eastAsia="宋体" w:cs="宋体"/>
          <w:b/>
          <w:color w:val="auto"/>
          <w:sz w:val="22"/>
          <w:szCs w:val="22"/>
          <w:highlight w:val="none"/>
          <w:lang w:val="en-US" w:eastAsia="zh-CN"/>
        </w:rPr>
        <w:t>18</w:t>
      </w:r>
      <w:r>
        <w:rPr>
          <w:rFonts w:hint="eastAsia" w:ascii="宋体" w:hAnsi="宋体" w:eastAsia="宋体" w:cs="宋体"/>
          <w:b/>
          <w:color w:val="auto"/>
          <w:sz w:val="22"/>
          <w:szCs w:val="22"/>
          <w:highlight w:val="none"/>
        </w:rPr>
        <w:t>. 适用法律</w:t>
      </w:r>
      <w:bookmarkEnd w:id="94"/>
      <w:bookmarkEnd w:id="95"/>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.1 本合同按照中华人民共和国现行法律进行解释。</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 本合同的履行、违约责任和解决争议的方法等适用《中华人民共和国</w:t>
      </w:r>
      <w:r>
        <w:rPr>
          <w:rFonts w:hint="eastAsia" w:ascii="宋体" w:hAnsi="宋体" w:eastAsia="宋体" w:cs="宋体"/>
          <w:color w:val="auto"/>
          <w:sz w:val="22"/>
          <w:szCs w:val="22"/>
          <w:highlight w:val="none"/>
          <w:lang w:eastAsia="zh-CN"/>
        </w:rPr>
        <w:t>民法典（合同编）</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96" w:name="_Toc4664"/>
      <w:bookmarkStart w:id="97" w:name="_Toc1985"/>
      <w:r>
        <w:rPr>
          <w:rFonts w:hint="eastAsia" w:ascii="宋体" w:hAnsi="宋体" w:eastAsia="宋体" w:cs="宋体"/>
          <w:b/>
          <w:color w:val="auto"/>
          <w:sz w:val="22"/>
          <w:szCs w:val="22"/>
          <w:highlight w:val="none"/>
          <w:lang w:val="en-US" w:eastAsia="zh-CN"/>
        </w:rPr>
        <w:t>19</w:t>
      </w:r>
      <w:r>
        <w:rPr>
          <w:rFonts w:hint="eastAsia" w:ascii="宋体" w:hAnsi="宋体" w:eastAsia="宋体" w:cs="宋体"/>
          <w:b/>
          <w:color w:val="auto"/>
          <w:sz w:val="22"/>
          <w:szCs w:val="22"/>
          <w:highlight w:val="none"/>
        </w:rPr>
        <w:t>. 税费</w:t>
      </w:r>
      <w:bookmarkEnd w:id="96"/>
      <w:bookmarkEnd w:id="97"/>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 合同服务的所有税费均已包含于合同价中，甲方不再另行支付。</w:t>
      </w:r>
    </w:p>
    <w:p>
      <w:pPr>
        <w:keepNext w:val="0"/>
        <w:keepLines w:val="0"/>
        <w:pageBreakBefore w:val="0"/>
        <w:widowControl w:val="0"/>
        <w:tabs>
          <w:tab w:val="left" w:pos="700"/>
        </w:tabs>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98" w:name="_Toc6527"/>
      <w:bookmarkStart w:id="99" w:name="_Toc11519"/>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 合同生效</w:t>
      </w:r>
      <w:bookmarkEnd w:id="98"/>
      <w:bookmarkEnd w:id="99"/>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.1 本合同一式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份，由甲乙双方法定代表人或被授权人签字并盖章后生效。</w:t>
      </w:r>
    </w:p>
    <w:p>
      <w:pPr>
        <w:keepNext w:val="0"/>
        <w:keepLines w:val="0"/>
        <w:pageBreakBefore w:val="0"/>
        <w:widowControl w:val="0"/>
        <w:kinsoku/>
        <w:wordWrap/>
        <w:overflowPunct/>
        <w:bidi w:val="0"/>
        <w:adjustRightInd/>
        <w:snapToGrid/>
        <w:spacing w:line="360" w:lineRule="auto"/>
        <w:textAlignment w:val="auto"/>
        <w:rPr>
          <w:rFonts w:hint="default" w:ascii="Times New Roman" w:hAnsi="Times New Roman" w:cs="Times New Roman"/>
          <w:color w:val="auto"/>
          <w:sz w:val="21"/>
          <w:szCs w:val="21"/>
          <w:highlight w:val="none"/>
        </w:rPr>
        <w:sectPr>
          <w:footerReference r:id="rId8" w:type="default"/>
          <w:pgSz w:w="11907" w:h="16839"/>
          <w:pgMar w:top="1440" w:right="1746" w:bottom="1440" w:left="1746" w:header="1148" w:footer="709" w:gutter="0"/>
          <w:pgNumType w:fmt="decimal"/>
          <w:cols w:space="720" w:num="1"/>
          <w:docGrid w:linePitch="360" w:charSpace="0"/>
        </w:sect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outlineLvl w:val="0"/>
        <w:rPr>
          <w:rFonts w:hint="eastAsia" w:ascii="宋体" w:hAnsi="宋体" w:cs="宋体"/>
          <w:b/>
          <w:color w:val="auto"/>
          <w:sz w:val="24"/>
          <w:szCs w:val="24"/>
          <w:highlight w:val="none"/>
          <w:lang w:eastAsia="zh-CN"/>
        </w:rPr>
      </w:pPr>
      <w:bookmarkStart w:id="100" w:name="_Toc3171"/>
      <w:bookmarkStart w:id="101" w:name="_Toc30503"/>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lang w:val="en-US" w:eastAsia="zh-CN"/>
        </w:rPr>
        <w:t xml:space="preserve">   采购文件及响应文件</w:t>
      </w:r>
      <w:r>
        <w:rPr>
          <w:rFonts w:hint="eastAsia" w:ascii="宋体" w:hAnsi="宋体" w:cs="宋体"/>
          <w:b/>
          <w:color w:val="auto"/>
          <w:sz w:val="24"/>
          <w:szCs w:val="24"/>
          <w:highlight w:val="none"/>
          <w:lang w:eastAsia="zh-CN"/>
        </w:rPr>
        <w:t>（如有必要，可另附）</w:t>
      </w:r>
      <w:bookmarkEnd w:id="100"/>
      <w:bookmarkEnd w:id="10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报价表（总报价表和分项报价表，如有需要可另附）</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102" w:name="_Toc132880668"/>
      <w:bookmarkStart w:id="103" w:name="_Toc22952"/>
      <w:r>
        <w:rPr>
          <w:rFonts w:hint="eastAsia" w:ascii="宋体" w:hAnsi="宋体" w:eastAsia="宋体" w:cs="宋体"/>
          <w:b/>
          <w:bCs/>
          <w:color w:val="auto"/>
          <w:sz w:val="28"/>
          <w:szCs w:val="28"/>
          <w:highlight w:val="none"/>
        </w:rPr>
        <w:t>第五章　响应文件格式</w:t>
      </w:r>
      <w:bookmarkEnd w:id="102"/>
      <w:bookmarkEnd w:id="103"/>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供应商必须按下列文本格式，如实提供具有法律效力的资格证明文件和真实有效的其他文件资料，任何不按下列文本格式提供或有实质性变更将由供应商承担风险。</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1.供应商应按照本章规定填写和提交全部格式文件以及其他有关资料，混乱的编排导致响应文件被误读或查找不到，后果由供应商承担。</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104" w:name="_Toc32247"/>
      <w:bookmarkStart w:id="105" w:name="_Toc32231"/>
      <w:r>
        <w:rPr>
          <w:rFonts w:hint="eastAsia" w:ascii="宋体" w:hAnsi="宋体" w:eastAsia="宋体" w:cs="宋体"/>
          <w:color w:val="auto"/>
          <w:sz w:val="24"/>
          <w:szCs w:val="24"/>
          <w:highlight w:val="none"/>
        </w:rPr>
        <w:t>2.所附表格中要求回答的全部问题和信息都必须正面回答。</w:t>
      </w:r>
      <w:bookmarkEnd w:id="104"/>
      <w:bookmarkEnd w:id="105"/>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3.资格声明文件的签字人应保证全部声明和问题的回答是真实的和准确的。</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4.磋商小组将应用供应商提交的资料并根据自己的判断，决定供应商履行合同的合格性及能力。</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106" w:name="_Toc22828"/>
      <w:bookmarkStart w:id="107" w:name="_Toc13140"/>
      <w:r>
        <w:rPr>
          <w:rFonts w:hint="eastAsia" w:ascii="宋体" w:hAnsi="宋体" w:eastAsia="宋体" w:cs="宋体"/>
          <w:color w:val="auto"/>
          <w:sz w:val="24"/>
          <w:szCs w:val="24"/>
          <w:highlight w:val="none"/>
        </w:rPr>
        <w:t>5.全部文件应按供应商须知中规定的语言提交。</w:t>
      </w:r>
      <w:bookmarkEnd w:id="106"/>
      <w:bookmarkEnd w:id="107"/>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6.以下格式文件为要求填写内容的固定格式，供应商不得擅自修改格式，其他未提供格式的文件和资料由供应商自行设计编制格式填写。</w:t>
      </w:r>
    </w:p>
    <w:p>
      <w:pPr>
        <w:adjustRightInd w:val="0"/>
        <w:snapToGrid w:val="0"/>
        <w:spacing w:beforeLines="20" w:after="4" w:line="360" w:lineRule="auto"/>
        <w:ind w:firstLine="481" w:firstLineChars="200"/>
        <w:jc w:val="center"/>
        <w:rPr>
          <w:rFonts w:hint="eastAsia" w:ascii="宋体" w:hAnsi="宋体" w:eastAsia="宋体" w:cs="宋体"/>
          <w:b/>
          <w:bCs/>
          <w:color w:val="auto"/>
          <w:sz w:val="24"/>
          <w:szCs w:val="24"/>
          <w:highlight w:val="none"/>
        </w:rPr>
      </w:pPr>
    </w:p>
    <w:p>
      <w:pPr>
        <w:ind w:firstLine="481" w:firstLineChars="200"/>
        <w:jc w:val="center"/>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600" w:lineRule="auto"/>
        <w:jc w:val="center"/>
        <w:rPr>
          <w:rFonts w:hint="eastAsia" w:ascii="宋体" w:hAnsi="宋体" w:eastAsia="宋体" w:cs="宋体"/>
          <w:b/>
          <w:color w:val="auto"/>
          <w:kern w:val="0"/>
          <w:sz w:val="24"/>
          <w:szCs w:val="24"/>
          <w:highlight w:val="none"/>
        </w:rPr>
      </w:pPr>
    </w:p>
    <w:p>
      <w:pPr>
        <w:pStyle w:val="12"/>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商务部分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2"/>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  授权委托书</w:t>
      </w:r>
    </w:p>
    <w:p>
      <w:pPr>
        <w:adjustRightInd w:val="0"/>
        <w:snapToGrid w:val="0"/>
        <w:spacing w:after="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1-1法定代表人授权委托书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(适用于授权代表参加磋商)</w:t>
      </w:r>
    </w:p>
    <w:p>
      <w:pPr>
        <w:pStyle w:val="15"/>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p>
    <w:p>
      <w:pPr>
        <w:pStyle w:val="15"/>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》（项目编号：_______）</w:t>
      </w:r>
      <w:r>
        <w:rPr>
          <w:rFonts w:hint="eastAsia" w:ascii="宋体" w:hAnsi="宋体" w:eastAsia="宋体" w:cs="宋体"/>
          <w:color w:val="auto"/>
          <w:kern w:val="0"/>
          <w:sz w:val="24"/>
          <w:szCs w:val="24"/>
          <w:highlight w:val="none"/>
        </w:rPr>
        <w:t>磋商、澄清、</w:t>
      </w:r>
      <w:r>
        <w:rPr>
          <w:rFonts w:hint="eastAsia" w:ascii="宋体" w:hAnsi="宋体" w:eastAsia="宋体" w:cs="宋体"/>
          <w:color w:val="auto"/>
          <w:sz w:val="24"/>
          <w:szCs w:val="24"/>
          <w:highlight w:val="none"/>
        </w:rPr>
        <w:t>合同的执行，以本公司名义处理一切与之有关的事务。</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本授权书于______年______月_____日生效，特此声明。</w:t>
      </w:r>
    </w:p>
    <w:p>
      <w:pPr>
        <w:pStyle w:val="15"/>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w:t>
      </w:r>
    </w:p>
    <w:p>
      <w:pPr>
        <w:pStyle w:val="15"/>
        <w:adjustRightInd w:val="0"/>
        <w:snapToGrid w:val="0"/>
        <w:spacing w:line="360" w:lineRule="auto"/>
        <w:rPr>
          <w:rFonts w:hint="eastAsia" w:ascii="宋体" w:hAnsi="宋体" w:eastAsia="宋体" w:cs="宋体"/>
          <w:color w:val="auto"/>
          <w:sz w:val="24"/>
          <w:szCs w:val="24"/>
          <w:highlight w:val="none"/>
        </w:rPr>
      </w:pPr>
    </w:p>
    <w:tbl>
      <w:tblPr>
        <w:tblStyle w:val="29"/>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b/>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val="en-US" w:eastAsia="zh-CN"/>
              </w:rPr>
              <w:t>与</w:t>
            </w:r>
            <w:r>
              <w:rPr>
                <w:rFonts w:hint="eastAsia" w:ascii="宋体" w:hAnsi="宋体" w:eastAsia="宋体" w:cs="宋体"/>
                <w:b/>
                <w:color w:val="auto"/>
                <w:sz w:val="24"/>
                <w:szCs w:val="24"/>
                <w:highlight w:val="none"/>
              </w:rPr>
              <w:t>授权代表</w:t>
            </w:r>
            <w:r>
              <w:rPr>
                <w:rFonts w:hint="eastAsia" w:ascii="宋体" w:hAnsi="宋体" w:eastAsia="宋体" w:cs="宋体"/>
                <w:color w:val="auto"/>
                <w:sz w:val="24"/>
                <w:szCs w:val="24"/>
                <w:highlight w:val="none"/>
              </w:rPr>
              <w:t>身份证复印件</w:t>
            </w: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tc>
      </w:tr>
    </w:tbl>
    <w:p>
      <w:pPr>
        <w:pStyle w:val="15"/>
        <w:keepNext w:val="0"/>
        <w:keepLines w:val="0"/>
        <w:pageBreakBefore w:val="0"/>
        <w:widowControl w:val="0"/>
        <w:kinsoku/>
        <w:wordWrap/>
        <w:overflowPunct/>
        <w:bidi w:val="0"/>
        <w:adjustRightInd w:val="0"/>
        <w:snapToGrid w:val="0"/>
        <w:spacing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授权代表联系电话：____________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keepNext w:val="0"/>
        <w:keepLines w:val="0"/>
        <w:pageBreakBefore w:val="0"/>
        <w:widowControl w:val="0"/>
        <w:tabs>
          <w:tab w:val="left" w:pos="312"/>
        </w:tabs>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或加盖名章。</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1-2法定代表人身份证明复印件</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(适用于法定代表人参加磋商)</w:t>
      </w:r>
    </w:p>
    <w:p>
      <w:pPr>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p>
    <w:tbl>
      <w:tblPr>
        <w:tblStyle w:val="29"/>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tc>
      </w:tr>
    </w:tbl>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法定代表人作为磋商代表参与磋商活动的，仅须提供法定代表人身份证复印件</w:t>
      </w:r>
      <w:r>
        <w:rPr>
          <w:rFonts w:hint="eastAsia" w:ascii="宋体" w:hAnsi="宋体" w:eastAsia="宋体" w:cs="宋体"/>
          <w:color w:val="auto"/>
          <w:sz w:val="24"/>
          <w:szCs w:val="24"/>
          <w:highlight w:val="none"/>
        </w:rPr>
        <w:t>。</w:t>
      </w:r>
    </w:p>
    <w:p>
      <w:pPr>
        <w:pStyle w:val="15"/>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1-3自然人授权委托书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(适用于自然人参加磋商)</w:t>
      </w:r>
    </w:p>
    <w:p>
      <w:pPr>
        <w:pStyle w:val="15"/>
        <w:rPr>
          <w:rFonts w:hint="eastAsia" w:ascii="宋体" w:hAnsi="宋体" w:eastAsia="宋体" w:cs="宋体"/>
          <w:b w:val="0"/>
          <w:bCs w:val="0"/>
          <w:color w:val="auto"/>
          <w:sz w:val="24"/>
          <w:szCs w:val="24"/>
          <w:highlight w:val="none"/>
        </w:rPr>
      </w:pPr>
    </w:p>
    <w:p>
      <w:pPr>
        <w:pStyle w:val="1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本授权书声明：我________(姓名、身份证号码)系自然人，现授权委托____________(姓名、身份证号码)以本人名义参加《</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    ）的磋商活动，并代表本人全权办理针对上述项目的磋商、签约等具体事务和签署相关文件。</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pStyle w:val="15"/>
        <w:spacing w:line="360" w:lineRule="auto"/>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5"/>
        <w:spacing w:line="360" w:lineRule="auto"/>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5"/>
        <w:spacing w:line="360" w:lineRule="auto"/>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pPr>
        <w:pStyle w:val="15"/>
        <w:spacing w:line="360" w:lineRule="auto"/>
        <w:ind w:firstLine="480" w:firstLineChars="200"/>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被授权人参与磋商活动的，</w:t>
      </w:r>
      <w:r>
        <w:rPr>
          <w:rFonts w:hint="eastAsia" w:ascii="宋体" w:hAnsi="宋体" w:eastAsia="宋体" w:cs="宋体"/>
          <w:color w:val="auto"/>
          <w:sz w:val="24"/>
          <w:szCs w:val="24"/>
          <w:highlight w:val="none"/>
        </w:rPr>
        <w:t>须提供《自然人授权委托书》，《自然人授权委托书》应当按本格式要求签字并由自然人在签名处加盖食指指印。</w:t>
      </w:r>
    </w:p>
    <w:p>
      <w:pPr>
        <w:pStyle w:val="15"/>
        <w:spacing w:line="360" w:lineRule="auto"/>
        <w:ind w:firstLine="480" w:firstLineChars="200"/>
        <w:rPr>
          <w:rFonts w:hint="eastAsia" w:ascii="宋体" w:hAnsi="宋体" w:eastAsia="宋体" w:cs="宋体"/>
          <w:color w:val="auto"/>
          <w:sz w:val="24"/>
          <w:szCs w:val="24"/>
          <w:highlight w:val="none"/>
        </w:rPr>
      </w:pPr>
    </w:p>
    <w:p>
      <w:pPr>
        <w:pStyle w:val="15"/>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格式2  磋商响应函</w:t>
      </w:r>
    </w:p>
    <w:p>
      <w:pPr>
        <w:pStyle w:val="15"/>
        <w:topLinePunct/>
        <w:autoSpaceDE w:val="0"/>
        <w:autoSpaceDN w:val="0"/>
        <w:adjustRightInd w:val="0"/>
        <w:snapToGrid w:val="0"/>
        <w:spacing w:line="360" w:lineRule="auto"/>
        <w:rPr>
          <w:rFonts w:hint="eastAsia" w:ascii="宋体" w:hAnsi="宋体" w:eastAsia="宋体" w:cs="宋体"/>
          <w:color w:val="auto"/>
          <w:sz w:val="24"/>
          <w:szCs w:val="24"/>
          <w:highlight w:val="none"/>
        </w:rPr>
      </w:pPr>
    </w:p>
    <w:p>
      <w:pPr>
        <w:pStyle w:val="15"/>
        <w:keepNext w:val="0"/>
        <w:keepLines w:val="0"/>
        <w:pageBreakBefore w:val="0"/>
        <w:widowControl w:val="0"/>
        <w:kinsoku/>
        <w:wordWrap/>
        <w:overflowPunct/>
        <w:topLinePunct/>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5"/>
        <w:keepNext w:val="0"/>
        <w:keepLines w:val="0"/>
        <w:pageBreakBefore w:val="0"/>
        <w:widowControl w:val="0"/>
        <w:kinsoku/>
        <w:wordWrap/>
        <w:overflowPunct/>
        <w:topLinePunct/>
        <w:autoSpaceDE w:val="0"/>
        <w:autoSpaceDN w:val="0"/>
        <w:bidi w:val="0"/>
        <w:adjustRightInd w:val="0"/>
        <w:snapToGri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根据______（项目名称）（项目编号：______）的磋商邀请，______（姓名、职务）代表供应商______（供应商名称、地址）参加项目磋商的有关活动。据此函，作如下承诺：</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1.同意在本项目采购文件中规定的开标日起</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u w:val="none"/>
        </w:rPr>
        <w:t>天</w:t>
      </w:r>
      <w:r>
        <w:rPr>
          <w:rFonts w:hint="eastAsia" w:ascii="宋体" w:hAnsi="宋体" w:eastAsia="宋体" w:cs="宋体"/>
          <w:color w:val="auto"/>
          <w:sz w:val="24"/>
          <w:szCs w:val="24"/>
          <w:highlight w:val="none"/>
        </w:rPr>
        <w:t>遵守本响应文件中的承诺，且在期满之前均具有约束力。</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（6）法律、行政法规规定的其他条件。 </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3.具备本项目采购文件中规定的其他要求和资质条件。</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4.提供供应商须知规定的全部响应文件。</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5.已详细审阅全部采购文件（包括</w:t>
      </w:r>
      <w:r>
        <w:rPr>
          <w:rFonts w:hint="eastAsia" w:ascii="宋体" w:hAnsi="宋体" w:eastAsia="宋体" w:cs="宋体"/>
          <w:color w:val="auto"/>
          <w:sz w:val="24"/>
          <w:szCs w:val="24"/>
          <w:highlight w:val="none"/>
          <w:lang w:val="en-US" w:eastAsia="zh-CN"/>
        </w:rPr>
        <w:t>项目采购需求和</w:t>
      </w:r>
      <w:r>
        <w:rPr>
          <w:rFonts w:hint="eastAsia" w:ascii="宋体" w:hAnsi="宋体" w:eastAsia="宋体" w:cs="宋体"/>
          <w:color w:val="auto"/>
          <w:sz w:val="24"/>
          <w:szCs w:val="24"/>
          <w:highlight w:val="none"/>
        </w:rPr>
        <w:t>采购文件澄清函），理解供应商须知的所有条款。</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outlineLvl w:val="1"/>
        <w:rPr>
          <w:rFonts w:hint="eastAsia" w:ascii="宋体" w:hAnsi="宋体" w:eastAsia="宋体" w:cs="宋体"/>
          <w:color w:val="auto"/>
          <w:sz w:val="24"/>
          <w:szCs w:val="24"/>
          <w:highlight w:val="none"/>
        </w:rPr>
      </w:pPr>
      <w:bookmarkStart w:id="108" w:name="_Toc27055"/>
      <w:bookmarkStart w:id="109" w:name="_Toc23619"/>
      <w:r>
        <w:rPr>
          <w:rFonts w:hint="eastAsia" w:ascii="宋体" w:hAnsi="宋体" w:eastAsia="宋体" w:cs="宋体"/>
          <w:color w:val="auto"/>
          <w:sz w:val="24"/>
          <w:szCs w:val="24"/>
          <w:highlight w:val="none"/>
        </w:rPr>
        <w:t>6.完全理解贵方“最低报价不能作为成交的保证”的规定。</w:t>
      </w:r>
      <w:bookmarkEnd w:id="108"/>
      <w:bookmarkEnd w:id="109"/>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7.接受采购文件中全部合同条款，且无任何异议；保证忠实地执行双方所签订的合同，并承担合同规定的责任和义务。</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8.完全满足和响应采购文件中的各项商务和技术要求，若有偏差，已在响应文件中明确说明。</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9.愿意提供任何与磋商有关的数据、情况和技术资料等。若贵方需要，愿意提供一切证明材料。</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10.我方已详细审核全部响应文件、参考资料及有关附件，确认无误。</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11.对本次采购内容及与本项目有关的知识产权、技术资料、商业秘密及相关信息保密。</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12.已知悉并承诺遵守采购文件中关于供应链安全管理的全部要求。</w:t>
      </w:r>
    </w:p>
    <w:p>
      <w:pPr>
        <w:pStyle w:val="39"/>
        <w:numPr>
          <w:ilvl w:val="0"/>
          <w:numId w:val="0"/>
        </w:numPr>
        <w:tabs>
          <w:tab w:val="left" w:pos="420"/>
        </w:tabs>
        <w:topLinePunct/>
        <w:autoSpaceDE w:val="0"/>
        <w:autoSpaceDN w:val="0"/>
        <w:snapToGrid w:val="0"/>
        <w:spacing w:after="0" w:line="360" w:lineRule="auto"/>
        <w:ind w:firstLine="489" w:firstLineChars="204"/>
        <w:rPr>
          <w:rFonts w:hint="eastAsia" w:ascii="宋体" w:hAnsi="宋体" w:eastAsia="宋体" w:cs="宋体"/>
          <w:color w:val="auto"/>
          <w:sz w:val="24"/>
          <w:szCs w:val="24"/>
          <w:highlight w:val="none"/>
        </w:rPr>
      </w:pPr>
    </w:p>
    <w:p>
      <w:pPr>
        <w:pStyle w:val="39"/>
        <w:numPr>
          <w:ilvl w:val="0"/>
          <w:numId w:val="0"/>
        </w:numPr>
        <w:tabs>
          <w:tab w:val="left" w:pos="420"/>
        </w:tabs>
        <w:topLinePunct/>
        <w:autoSpaceDE w:val="0"/>
        <w:autoSpaceDN w:val="0"/>
        <w:snapToGrid w:val="0"/>
        <w:spacing w:after="0" w:line="360" w:lineRule="auto"/>
        <w:jc w:val="left"/>
        <w:rPr>
          <w:rFonts w:hint="eastAsia" w:ascii="宋体" w:hAnsi="宋体" w:eastAsia="宋体" w:cs="宋体"/>
          <w:color w:val="auto"/>
          <w:sz w:val="24"/>
          <w:szCs w:val="24"/>
          <w:highlight w:val="none"/>
        </w:rPr>
      </w:pP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法定代表人（签字或签章）/授权代表（签字）：____________</w:t>
      </w: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供应商地址：____________</w:t>
      </w: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pPr>
        <w:pStyle w:val="39"/>
        <w:numPr>
          <w:ilvl w:val="0"/>
          <w:numId w:val="0"/>
        </w:numPr>
        <w:tabs>
          <w:tab w:val="left" w:pos="420"/>
        </w:tabs>
        <w:topLinePunct/>
        <w:autoSpaceDE w:val="0"/>
        <w:autoSpaceDN w:val="0"/>
        <w:snapToGrid w:val="0"/>
        <w:spacing w:after="0"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期：____________          </w:t>
      </w:r>
    </w:p>
    <w:p>
      <w:pPr>
        <w:tabs>
          <w:tab w:val="left" w:pos="1230"/>
        </w:tabs>
        <w:topLinePunct/>
        <w:autoSpaceDE w:val="0"/>
        <w:autoSpaceDN w:val="0"/>
        <w:snapToGrid w:val="0"/>
        <w:spacing w:line="400" w:lineRule="exact"/>
        <w:ind w:left="36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adjustRightInd w:val="0"/>
        <w:snapToGrid w:val="0"/>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供应商应当按上述格式要求加盖与供应商名称全称一致的标准公章，并签署法定代表人或</w:t>
      </w:r>
      <w:r>
        <w:rPr>
          <w:rFonts w:hint="eastAsia" w:ascii="宋体" w:hAnsi="宋体" w:eastAsia="宋体" w:cs="宋体"/>
          <w:bCs/>
          <w:color w:val="auto"/>
          <w:sz w:val="24"/>
          <w:szCs w:val="24"/>
          <w:highlight w:val="none"/>
        </w:rPr>
        <w:t>授权代表</w:t>
      </w:r>
      <w:r>
        <w:rPr>
          <w:rFonts w:hint="eastAsia" w:ascii="宋体" w:hAnsi="宋体" w:eastAsia="宋体" w:cs="宋体"/>
          <w:color w:val="auto"/>
          <w:sz w:val="24"/>
          <w:szCs w:val="24"/>
          <w:highlight w:val="none"/>
        </w:rPr>
        <w:t>的全名或加盖名章。</w:t>
      </w: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格式3  磋商报价表</w:t>
      </w:r>
    </w:p>
    <w:p>
      <w:pPr>
        <w:widowControl/>
        <w:spacing w:after="0" w:line="240" w:lineRule="auto"/>
        <w:jc w:val="center"/>
        <w:outlineLvl w:val="1"/>
        <w:rPr>
          <w:rFonts w:hint="eastAsia" w:ascii="宋体" w:hAnsi="宋体" w:eastAsia="宋体" w:cs="宋体"/>
          <w:b/>
          <w:bCs/>
          <w:color w:val="auto"/>
          <w:kern w:val="2"/>
          <w:sz w:val="24"/>
          <w:szCs w:val="24"/>
          <w:highlight w:val="none"/>
        </w:rPr>
      </w:pPr>
      <w:bookmarkStart w:id="110" w:name="_Toc14016"/>
      <w:bookmarkStart w:id="111" w:name="_Toc32364"/>
      <w:r>
        <w:rPr>
          <w:rFonts w:hint="eastAsia" w:ascii="宋体" w:hAnsi="宋体" w:eastAsia="宋体" w:cs="宋体"/>
          <w:b/>
          <w:bCs/>
          <w:color w:val="auto"/>
          <w:sz w:val="28"/>
          <w:szCs w:val="28"/>
          <w:highlight w:val="none"/>
        </w:rPr>
        <w:t>1.报价一览表（总报价表）</w:t>
      </w:r>
      <w:bookmarkEnd w:id="110"/>
      <w:bookmarkEnd w:id="111"/>
    </w:p>
    <w:p>
      <w:pPr>
        <w:pStyle w:val="15"/>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9"/>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650"/>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bookmarkStart w:id="112" w:name="OLE_LINK1"/>
            <w:r>
              <w:rPr>
                <w:rFonts w:hint="eastAsia" w:ascii="宋体" w:hAnsi="宋体" w:eastAsia="宋体" w:cs="宋体"/>
                <w:b/>
                <w:color w:val="auto"/>
                <w:sz w:val="24"/>
                <w:szCs w:val="24"/>
                <w:highlight w:val="none"/>
              </w:rPr>
              <w:t>序号</w:t>
            </w:r>
          </w:p>
        </w:tc>
        <w:tc>
          <w:tcPr>
            <w:tcW w:w="3650"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lang w:val="en-US" w:eastAsia="zh-CN"/>
              </w:rPr>
              <w:t>结算</w:t>
            </w:r>
            <w:r>
              <w:rPr>
                <w:rFonts w:hint="eastAsia" w:ascii="宋体" w:hAnsi="宋体" w:eastAsia="宋体" w:cs="宋体"/>
                <w:b/>
                <w:bCs/>
                <w:color w:val="auto"/>
                <w:sz w:val="24"/>
                <w:szCs w:val="24"/>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p>
        </w:tc>
        <w:tc>
          <w:tcPr>
            <w:tcW w:w="3650" w:type="dxa"/>
            <w:noWrap/>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国家税务总局邵武市税务局食堂食材配送分散采购项目</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自合同生效之日起半年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lang w:eastAsia="zh-CN"/>
        </w:rPr>
      </w:pPr>
      <w:bookmarkStart w:id="113" w:name="OLE_LINK4"/>
      <w:r>
        <w:rPr>
          <w:rFonts w:hint="eastAsia" w:ascii="宋体" w:hAnsi="宋体" w:eastAsia="宋体" w:cs="宋体"/>
          <w:color w:val="auto"/>
          <w:sz w:val="24"/>
          <w:szCs w:val="24"/>
          <w:highlight w:val="none"/>
        </w:rPr>
        <w:t>1.本项目报价均不接受任何形式的赠送、“零”报价。</w:t>
      </w:r>
      <w:r>
        <w:rPr>
          <w:rFonts w:hint="eastAsia" w:ascii="宋体" w:hAnsi="宋体" w:cs="宋体"/>
          <w:color w:val="auto"/>
          <w:sz w:val="24"/>
          <w:szCs w:val="24"/>
          <w:lang w:val="en-US" w:eastAsia="zh-CN"/>
        </w:rPr>
        <w:t>按结算系数进行报价，</w:t>
      </w:r>
      <w:r>
        <w:rPr>
          <w:rFonts w:hint="eastAsia" w:ascii="宋体" w:hAnsi="宋体" w:eastAsia="宋体" w:cs="宋体"/>
          <w:color w:val="auto"/>
          <w:sz w:val="24"/>
          <w:szCs w:val="24"/>
        </w:rPr>
        <w:t>如打8.5折，即</w:t>
      </w:r>
      <w:r>
        <w:rPr>
          <w:rFonts w:hint="eastAsia" w:ascii="宋体" w:hAnsi="宋体" w:eastAsia="宋体" w:cs="宋体"/>
          <w:color w:val="auto"/>
          <w:sz w:val="24"/>
          <w:szCs w:val="24"/>
          <w:lang w:val="en-US" w:eastAsia="zh-CN"/>
        </w:rPr>
        <w:t>结算</w:t>
      </w:r>
      <w:r>
        <w:rPr>
          <w:rFonts w:hint="eastAsia" w:ascii="宋体" w:hAnsi="宋体" w:eastAsia="宋体" w:cs="宋体"/>
          <w:color w:val="auto"/>
          <w:sz w:val="24"/>
          <w:szCs w:val="24"/>
        </w:rPr>
        <w:t>系数为0.85</w:t>
      </w:r>
      <w:r>
        <w:rPr>
          <w:rFonts w:hint="eastAsia" w:ascii="宋体" w:hAnsi="宋体" w:cs="宋体"/>
          <w:color w:val="auto"/>
          <w:sz w:val="24"/>
          <w:szCs w:val="24"/>
          <w:lang w:eastAsia="zh-CN"/>
        </w:rPr>
        <w:t>。</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bookmarkEnd w:id="113"/>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4" w:name="_Toc21660"/>
      <w:bookmarkStart w:id="115" w:name="_Toc10069"/>
      <w:r>
        <w:rPr>
          <w:rFonts w:hint="eastAsia" w:ascii="宋体" w:hAnsi="宋体" w:eastAsia="宋体" w:cs="宋体"/>
          <w:color w:val="auto"/>
          <w:sz w:val="24"/>
          <w:szCs w:val="24"/>
          <w:highlight w:val="none"/>
        </w:rPr>
        <w:t>3.供应商应根据《采购文件-技术部分》相关要求填报。</w:t>
      </w:r>
      <w:bookmarkEnd w:id="112"/>
      <w:bookmarkEnd w:id="114"/>
      <w:bookmarkEnd w:id="115"/>
    </w:p>
    <w:p>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p>
    <w:p>
      <w:pPr>
        <w:adjustRightInd w:val="0"/>
        <w:snapToGrid w:val="0"/>
        <w:spacing w:after="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bookmarkStart w:id="116" w:name="_Toc11134"/>
      <w:bookmarkStart w:id="117" w:name="_Toc2415"/>
      <w:r>
        <w:rPr>
          <w:rFonts w:hint="eastAsia" w:ascii="宋体" w:hAnsi="宋体" w:eastAsia="宋体" w:cs="宋体"/>
          <w:b/>
          <w:bCs/>
          <w:color w:val="auto"/>
          <w:sz w:val="28"/>
          <w:szCs w:val="28"/>
          <w:highlight w:val="none"/>
        </w:rPr>
        <w:t>2.分项报价表</w:t>
      </w:r>
      <w:bookmarkEnd w:id="116"/>
      <w:bookmarkEnd w:id="117"/>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 分项报价表</w:t>
      </w:r>
    </w:p>
    <w:p>
      <w:pPr>
        <w:pStyle w:val="15"/>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9"/>
        <w:tblW w:w="8572" w:type="dxa"/>
        <w:jc w:val="center"/>
        <w:tblLayout w:type="fixed"/>
        <w:tblCellMar>
          <w:top w:w="0" w:type="dxa"/>
          <w:left w:w="108" w:type="dxa"/>
          <w:bottom w:w="0" w:type="dxa"/>
          <w:right w:w="108" w:type="dxa"/>
        </w:tblCellMar>
      </w:tblPr>
      <w:tblGrid>
        <w:gridCol w:w="644"/>
        <w:gridCol w:w="2929"/>
        <w:gridCol w:w="2645"/>
        <w:gridCol w:w="2354"/>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929" w:type="dxa"/>
            <w:tcBorders>
              <w:top w:val="single" w:color="auto" w:sz="4" w:space="0"/>
              <w:left w:val="nil"/>
              <w:bottom w:val="single" w:color="auto" w:sz="4" w:space="0"/>
              <w:right w:val="single" w:color="auto" w:sz="4" w:space="0"/>
            </w:tcBorders>
            <w:noWrap w:val="0"/>
            <w:vAlign w:val="center"/>
          </w:tcPr>
          <w:p>
            <w:pPr>
              <w:widowControl/>
              <w:spacing w:after="0" w:line="240" w:lineRule="auto"/>
              <w:ind w:left="-84" w:leftChars="-40" w:firstLine="93" w:firstLineChars="39"/>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内容</w:t>
            </w:r>
          </w:p>
        </w:tc>
        <w:tc>
          <w:tcPr>
            <w:tcW w:w="2645" w:type="dxa"/>
            <w:tcBorders>
              <w:top w:val="single" w:color="auto" w:sz="4" w:space="0"/>
              <w:left w:val="nil"/>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lang w:val="en-US" w:eastAsia="zh-CN"/>
              </w:rPr>
              <w:t>结算</w:t>
            </w:r>
            <w:r>
              <w:rPr>
                <w:rFonts w:hint="eastAsia" w:ascii="宋体" w:hAnsi="宋体" w:eastAsia="宋体" w:cs="宋体"/>
                <w:b/>
                <w:bCs/>
                <w:color w:val="auto"/>
                <w:sz w:val="24"/>
                <w:szCs w:val="24"/>
              </w:rPr>
              <w:t>系数</w:t>
            </w:r>
          </w:p>
        </w:tc>
        <w:tc>
          <w:tcPr>
            <w:tcW w:w="2354"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29" w:type="dxa"/>
            <w:tcBorders>
              <w:top w:val="single" w:color="auto" w:sz="4" w:space="0"/>
              <w:left w:val="nil"/>
              <w:bottom w:val="single" w:color="auto" w:sz="4" w:space="0"/>
              <w:right w:val="single" w:color="auto" w:sz="4" w:space="0"/>
            </w:tcBorders>
            <w:noWrap w:val="0"/>
            <w:vAlign w:val="center"/>
          </w:tcPr>
          <w:p>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highlight w:val="none"/>
                <w:lang w:eastAsia="zh-CN"/>
              </w:rPr>
              <w:t>国家税务总局邵武市税务局食堂食材配送分散采购项目</w:t>
            </w:r>
          </w:p>
        </w:tc>
        <w:tc>
          <w:tcPr>
            <w:tcW w:w="2645"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1.本项目报价均不接受任何形式的赠送、“零”报价。</w:t>
      </w:r>
      <w:r>
        <w:rPr>
          <w:rFonts w:hint="eastAsia" w:ascii="宋体" w:hAnsi="宋体" w:cs="宋体"/>
          <w:color w:val="auto"/>
          <w:sz w:val="24"/>
          <w:szCs w:val="24"/>
          <w:lang w:val="en-US" w:eastAsia="zh-CN"/>
        </w:rPr>
        <w:t>按结算系数进行报价，</w:t>
      </w:r>
      <w:r>
        <w:rPr>
          <w:rFonts w:hint="eastAsia" w:ascii="宋体" w:hAnsi="宋体" w:eastAsia="宋体" w:cs="宋体"/>
          <w:color w:val="auto"/>
          <w:sz w:val="24"/>
          <w:szCs w:val="24"/>
        </w:rPr>
        <w:t>如打8.5折，即</w:t>
      </w:r>
      <w:r>
        <w:rPr>
          <w:rFonts w:hint="eastAsia" w:ascii="宋体" w:hAnsi="宋体" w:eastAsia="宋体" w:cs="宋体"/>
          <w:color w:val="auto"/>
          <w:sz w:val="24"/>
          <w:szCs w:val="24"/>
          <w:lang w:val="en-US" w:eastAsia="zh-CN"/>
        </w:rPr>
        <w:t>结算</w:t>
      </w:r>
      <w:r>
        <w:rPr>
          <w:rFonts w:hint="eastAsia" w:ascii="宋体" w:hAnsi="宋体" w:eastAsia="宋体" w:cs="宋体"/>
          <w:color w:val="auto"/>
          <w:sz w:val="24"/>
          <w:szCs w:val="24"/>
        </w:rPr>
        <w:t>系数为0.85</w:t>
      </w:r>
      <w:r>
        <w:rPr>
          <w:rFonts w:hint="eastAsia" w:ascii="宋体" w:hAnsi="宋体" w:cs="宋体"/>
          <w:color w:val="auto"/>
          <w:sz w:val="24"/>
          <w:szCs w:val="24"/>
          <w:lang w:eastAsia="zh-CN"/>
        </w:rPr>
        <w:t>。</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3.本表仅供参考，可扩展。</w:t>
      </w:r>
    </w:p>
    <w:p>
      <w:pPr>
        <w:pStyle w:val="15"/>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5"/>
        <w:spacing w:line="400" w:lineRule="exact"/>
        <w:ind w:firstLine="481" w:firstLineChars="200"/>
        <w:jc w:val="center"/>
        <w:rPr>
          <w:rFonts w:hint="eastAsia" w:hAnsi="宋体" w:cs="宋体"/>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kern w:val="2"/>
          <w:sz w:val="28"/>
          <w:szCs w:val="28"/>
          <w:highlight w:val="none"/>
          <w:lang w:val="en-US" w:eastAsia="zh-CN" w:bidi="ar-SA"/>
        </w:rPr>
        <w:t>3.最后报价承诺书</w:t>
      </w:r>
    </w:p>
    <w:p>
      <w:pPr>
        <w:pStyle w:val="15"/>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lang w:val="en-US" w:eastAsia="zh-CN"/>
        </w:rPr>
        <w:t xml:space="preserve">        </w:t>
      </w:r>
      <w:r>
        <w:rPr>
          <w:rFonts w:hint="eastAsia" w:hAnsi="宋体" w:cs="宋体"/>
          <w:color w:val="auto"/>
          <w:sz w:val="24"/>
          <w:szCs w:val="24"/>
        </w:rPr>
        <w:t>次报价书)</w:t>
      </w:r>
    </w:p>
    <w:p>
      <w:pPr>
        <w:pStyle w:val="15"/>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hAnsi="宋体" w:cs="宋体"/>
          <w:color w:val="auto"/>
          <w:sz w:val="24"/>
          <w:szCs w:val="24"/>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9"/>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供应商名称</w:t>
            </w:r>
          </w:p>
        </w:tc>
        <w:tc>
          <w:tcPr>
            <w:tcW w:w="6356" w:type="dxa"/>
            <w:noWrap w:val="0"/>
            <w:vAlign w:val="center"/>
          </w:tcPr>
          <w:p>
            <w:pPr>
              <w:pStyle w:val="15"/>
              <w:spacing w:line="400" w:lineRule="exact"/>
              <w:jc w:val="center"/>
              <w:rPr>
                <w:rFonts w:hint="eastAsia" w:hAnsi="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磋商范围</w:t>
            </w:r>
          </w:p>
        </w:tc>
        <w:tc>
          <w:tcPr>
            <w:tcW w:w="6356" w:type="dxa"/>
            <w:noWrap w:val="0"/>
            <w:vAlign w:val="center"/>
          </w:tcPr>
          <w:p>
            <w:pPr>
              <w:pStyle w:val="15"/>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最后报价</w:t>
            </w:r>
          </w:p>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(详见备注说明)</w:t>
            </w:r>
          </w:p>
        </w:tc>
        <w:tc>
          <w:tcPr>
            <w:tcW w:w="6356" w:type="dxa"/>
            <w:noWrap w:val="0"/>
            <w:vAlign w:val="center"/>
          </w:tcPr>
          <w:p>
            <w:pPr>
              <w:pStyle w:val="15"/>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p>
            <w:pPr>
              <w:pStyle w:val="15"/>
              <w:spacing w:line="400" w:lineRule="exact"/>
              <w:jc w:val="left"/>
              <w:rPr>
                <w:rFonts w:hint="eastAsia" w:hAnsi="宋体" w:cs="宋体"/>
                <w:color w:val="auto"/>
                <w:kern w:val="2"/>
                <w:sz w:val="24"/>
                <w:szCs w:val="24"/>
                <w:lang w:val="en-US" w:eastAsia="zh-CN"/>
              </w:rPr>
            </w:pPr>
          </w:p>
          <w:p>
            <w:pPr>
              <w:pStyle w:val="15"/>
              <w:spacing w:line="400" w:lineRule="exact"/>
              <w:jc w:val="left"/>
              <w:rPr>
                <w:rFonts w:hint="eastAsia" w:hAnsi="宋体" w:cs="宋体"/>
                <w:color w:val="auto"/>
                <w:kern w:val="2"/>
                <w:sz w:val="24"/>
                <w:szCs w:val="24"/>
                <w:u w:val="single"/>
                <w:lang w:val="en-US" w:eastAsia="zh-CN"/>
              </w:rPr>
            </w:pPr>
            <w:r>
              <w:rPr>
                <w:rFonts w:hint="eastAsia" w:hAnsi="宋体" w:cs="宋体"/>
                <w:color w:val="auto"/>
                <w:kern w:val="2"/>
                <w:sz w:val="24"/>
                <w:szCs w:val="24"/>
                <w:lang w:val="en-US" w:eastAsia="zh-CN"/>
              </w:rPr>
              <w:t>结算系数：</w:t>
            </w:r>
            <w:r>
              <w:rPr>
                <w:rFonts w:hint="eastAsia" w:hAnsi="宋体" w:cs="宋体"/>
                <w:color w:val="auto"/>
                <w:kern w:val="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服务期限</w:t>
            </w:r>
          </w:p>
        </w:tc>
        <w:tc>
          <w:tcPr>
            <w:tcW w:w="6356"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自合同生效之日起半年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备注说明</w:t>
            </w:r>
          </w:p>
        </w:tc>
        <w:tc>
          <w:tcPr>
            <w:tcW w:w="6356" w:type="dxa"/>
            <w:noWrap w:val="0"/>
            <w:vAlign w:val="center"/>
          </w:tcPr>
          <w:p>
            <w:pPr>
              <w:pStyle w:val="15"/>
              <w:spacing w:line="400" w:lineRule="exact"/>
              <w:jc w:val="center"/>
              <w:rPr>
                <w:rFonts w:hint="eastAsia" w:hAnsi="宋体" w:cs="宋体"/>
                <w:color w:val="auto"/>
                <w:kern w:val="2"/>
                <w:sz w:val="24"/>
                <w:szCs w:val="24"/>
                <w:lang w:val="en-US" w:eastAsia="zh-CN"/>
              </w:rPr>
            </w:pPr>
          </w:p>
        </w:tc>
      </w:tr>
    </w:tbl>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rPr>
          <w:rFonts w:hint="eastAsia" w:hAnsi="宋体" w:cs="宋体"/>
          <w:color w:val="auto"/>
          <w:sz w:val="24"/>
          <w:szCs w:val="24"/>
        </w:rPr>
      </w:pP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w:t>
      </w:r>
      <w:r>
        <w:rPr>
          <w:rFonts w:hint="eastAsia" w:hAnsi="宋体" w:cs="宋体"/>
          <w:color w:val="auto"/>
          <w:sz w:val="24"/>
          <w:szCs w:val="24"/>
          <w:lang w:val="en-US" w:eastAsia="zh-CN"/>
        </w:rPr>
        <w:t>后</w:t>
      </w:r>
      <w:r>
        <w:rPr>
          <w:rFonts w:hint="eastAsia" w:hAnsi="宋体" w:cs="宋体"/>
          <w:color w:val="auto"/>
          <w:sz w:val="24"/>
          <w:szCs w:val="24"/>
        </w:rPr>
        <w:t>报价承诺书》由供应商在磋商现场依磋商情况填写，请加盖公章后带至磋商现场备填(不需装订在响应文件内)。</w:t>
      </w:r>
    </w:p>
    <w:p>
      <w:pPr>
        <w:pStyle w:val="15"/>
        <w:spacing w:line="400" w:lineRule="exact"/>
        <w:ind w:firstLine="480" w:firstLineChars="200"/>
        <w:rPr>
          <w:rFonts w:hint="eastAsia" w:hAnsi="宋体" w:cs="宋体"/>
          <w:color w:val="auto"/>
          <w:sz w:val="24"/>
          <w:szCs w:val="24"/>
        </w:rPr>
      </w:pP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格式4  商务条款偏离表</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1.商务条款无需条对条应答，如无偏离，请在此表中填写“无偏离”；如有偏离，请在此表中应答为“正/负偏离”并说明偏离情况。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2.如《采购文件-商务部分》中有标注★号的，则为实质性要求，必须满足，如应答为“负偏离”，将导致响应无效。</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8" w:name="_Toc11302"/>
      <w:bookmarkStart w:id="119" w:name="_Toc22038"/>
      <w:r>
        <w:rPr>
          <w:rFonts w:hint="eastAsia" w:ascii="宋体" w:hAnsi="宋体" w:eastAsia="宋体" w:cs="宋体"/>
          <w:color w:val="auto"/>
          <w:sz w:val="24"/>
          <w:szCs w:val="24"/>
          <w:highlight w:val="none"/>
        </w:rPr>
        <w:t>3.本表可扩展。</w:t>
      </w:r>
      <w:bookmarkEnd w:id="118"/>
      <w:bookmarkEnd w:id="119"/>
    </w:p>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b/>
          <w:bCs/>
          <w:color w:val="auto"/>
          <w:sz w:val="24"/>
          <w:szCs w:val="24"/>
          <w:highlight w:val="none"/>
        </w:rPr>
      </w:pP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格式5  供应商具备资格证明文件</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60"/>
        <w:gridCol w:w="170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3456" w:type="pct"/>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3456" w:type="pct"/>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456" w:type="pct"/>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5"/>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widowControl/>
        <w:spacing w:after="0" w:line="240" w:lineRule="auto"/>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营业执照</w:t>
      </w:r>
    </w:p>
    <w:p>
      <w:pPr>
        <w:widowControl/>
        <w:spacing w:after="0" w:line="24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根据资格条件要求提供相应材料。</w:t>
      </w:r>
    </w:p>
    <w:p>
      <w:pPr>
        <w:widowControl/>
        <w:spacing w:after="0" w:line="240" w:lineRule="auto"/>
        <w:jc w:val="center"/>
        <w:rPr>
          <w:rFonts w:hint="eastAsia" w:ascii="宋体" w:hAnsi="宋体" w:eastAsia="宋体" w:cs="宋体"/>
          <w:b/>
          <w:bCs/>
          <w:color w:val="auto"/>
          <w:sz w:val="28"/>
          <w:szCs w:val="28"/>
          <w:highlight w:val="none"/>
        </w:rPr>
      </w:pP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 xml:space="preserve"> 财务状况报告</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依法缴纳税收的相关材料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依法缴纳社会保障资金的相关材料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pStyle w:val="2"/>
        <w:numPr>
          <w:ilvl w:val="0"/>
          <w:numId w:val="0"/>
        </w:numPr>
        <w:ind w:leftChars="200"/>
        <w:rPr>
          <w:rFonts w:hint="eastAsia" w:ascii="宋体" w:hAnsi="宋体" w:eastAsia="宋体" w:cs="宋体"/>
          <w:b/>
          <w:bCs/>
          <w:color w:val="auto"/>
          <w:kern w:val="2"/>
          <w:sz w:val="28"/>
          <w:szCs w:val="28"/>
          <w:highlight w:val="none"/>
          <w:lang w:val="en-US" w:eastAsia="zh-CN" w:bidi="ar-SA"/>
        </w:rPr>
      </w:pPr>
    </w:p>
    <w:p>
      <w:pPr>
        <w:pStyle w:val="2"/>
        <w:numPr>
          <w:ilvl w:val="0"/>
          <w:numId w:val="0"/>
        </w:numPr>
        <w:ind w:left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2"/>
          <w:sz w:val="28"/>
          <w:szCs w:val="28"/>
          <w:highlight w:val="none"/>
          <w:lang w:val="en-US" w:eastAsia="zh-CN" w:bidi="ar-SA"/>
        </w:rPr>
        <w:t>5-6《食品经营许可证》或《食品生产许可证》或《食品药品经营许可证》或《食品药品生产经营许可证》</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具备履行合同所必需的设备和专业技术能力的声明函</w:t>
      </w:r>
    </w:p>
    <w:p>
      <w:pPr>
        <w:pStyle w:val="15"/>
        <w:snapToGrid w:val="0"/>
        <w:spacing w:line="360" w:lineRule="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cs="宋体"/>
          <w:color w:val="auto"/>
          <w:kern w:val="2"/>
        </w:rPr>
      </w:pPr>
      <w:r>
        <w:rPr>
          <w:rFonts w:hint="eastAsia" w:ascii="宋体" w:hAnsi="宋体" w:cs="宋体"/>
          <w:color w:val="auto"/>
          <w:kern w:val="2"/>
        </w:rPr>
        <w:t>我方具备履行合同所必需的设备和专业技术能力，否则产生不利后果由我方承担责任。</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eastAsia="宋体" w:cs="宋体"/>
          <w:color w:val="auto"/>
          <w:kern w:val="2"/>
          <w:lang w:eastAsia="zh-CN"/>
        </w:rPr>
      </w:pPr>
      <w:r>
        <w:rPr>
          <w:rFonts w:hint="eastAsia" w:ascii="宋体" w:hAnsi="宋体" w:cs="宋体"/>
          <w:color w:val="auto"/>
          <w:kern w:val="2"/>
        </w:rPr>
        <w:t>特此声明</w:t>
      </w:r>
      <w:r>
        <w:rPr>
          <w:rFonts w:hint="eastAsia" w:ascii="宋体" w:hAnsi="宋体" w:cs="宋体"/>
          <w:color w:val="auto"/>
          <w:kern w:val="2"/>
          <w:lang w:eastAsia="zh-CN"/>
        </w:rPr>
        <w:t>！</w:t>
      </w:r>
    </w:p>
    <w:p>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参加本次政府采购活动前三年内在经营活动中</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pPr>
        <w:pStyle w:val="15"/>
        <w:topLinePunct/>
        <w:autoSpaceDE w:val="0"/>
        <w:autoSpaceDN w:val="0"/>
        <w:snapToGrid w:val="0"/>
        <w:spacing w:line="360" w:lineRule="auto"/>
        <w:jc w:val="center"/>
        <w:rPr>
          <w:rFonts w:hint="eastAsia" w:ascii="宋体" w:hAnsi="宋体" w:eastAsia="宋体" w:cs="宋体"/>
          <w:b/>
          <w:color w:val="auto"/>
          <w:w w:val="150"/>
          <w:sz w:val="24"/>
          <w:szCs w:val="24"/>
          <w:highlight w:val="none"/>
        </w:rPr>
      </w:pPr>
    </w:p>
    <w:p>
      <w:pPr>
        <w:pStyle w:val="15"/>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我单位在参加本次采购活动前三年内在经营活动中没有《政府采购法》第二十二条第一款第（五）项所称重大违法记录，包括：</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我单位未因经营活动中的违法行为受到刑事处罚或者责令停产停业、吊销许可证或者执照、较大数额罚款等行政处罚。</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参加政府采购活动前</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年内无行贿犯罪记录的书面声明</w:t>
      </w:r>
    </w:p>
    <w:p>
      <w:pPr>
        <w:widowControl/>
        <w:spacing w:after="0" w:line="240" w:lineRule="auto"/>
        <w:jc w:val="center"/>
        <w:rPr>
          <w:rFonts w:hint="eastAsia" w:ascii="宋体" w:hAnsi="宋体" w:eastAsia="宋体" w:cs="宋体"/>
          <w:color w:val="auto"/>
          <w:sz w:val="24"/>
          <w:szCs w:val="24"/>
          <w:highlight w:val="none"/>
        </w:rPr>
      </w:pPr>
    </w:p>
    <w:p>
      <w:pPr>
        <w:pStyle w:val="15"/>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具备法律、行政法规规定的其他条件的证明材料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格式6  中小企业声明函</w:t>
      </w:r>
    </w:p>
    <w:p>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pPr>
        <w:widowControl/>
        <w:spacing w:after="0" w:line="360" w:lineRule="auto"/>
        <w:ind w:firstLine="480" w:firstLineChars="200"/>
        <w:jc w:val="left"/>
        <w:rPr>
          <w:rFonts w:hint="eastAsia" w:ascii="宋体" w:hAnsi="宋体" w:eastAsia="宋体" w:cs="宋体"/>
          <w:color w:val="auto"/>
          <w:kern w:val="0"/>
          <w:sz w:val="24"/>
          <w:szCs w:val="24"/>
          <w:highlight w:val="none"/>
        </w:rPr>
      </w:pP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hAnsi="宋体" w:cs="宋体"/>
          <w:i w:val="0"/>
          <w:iCs w:val="0"/>
          <w:color w:val="auto"/>
          <w:sz w:val="24"/>
          <w:szCs w:val="24"/>
          <w:highlight w:val="none"/>
          <w:u w:val="single"/>
          <w:lang w:eastAsia="zh-CN"/>
        </w:rPr>
        <w:t>国家税务总局邵武市税务局</w:t>
      </w:r>
      <w:r>
        <w:rPr>
          <w:rFonts w:hint="eastAsia" w:ascii="宋体" w:hAnsi="宋体" w:eastAsia="宋体" w:cs="宋体"/>
          <w:color w:val="auto"/>
          <w:sz w:val="24"/>
          <w:szCs w:val="24"/>
          <w:highlight w:val="none"/>
        </w:rPr>
        <w:t>的</w:t>
      </w:r>
      <w:r>
        <w:rPr>
          <w:rFonts w:hint="eastAsia" w:hAnsi="宋体" w:cs="宋体"/>
          <w:i w:val="0"/>
          <w:iCs w:val="0"/>
          <w:color w:val="auto"/>
          <w:sz w:val="24"/>
          <w:szCs w:val="24"/>
          <w:highlight w:val="none"/>
          <w:u w:val="single"/>
          <w:lang w:eastAsia="zh-CN"/>
        </w:rPr>
        <w:t>国家税务总局邵武市税务局食堂食材配送分散采购项目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pPr>
        <w:pStyle w:val="15"/>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val="0"/>
          <w:color w:val="auto"/>
          <w:sz w:val="24"/>
          <w:szCs w:val="24"/>
          <w:highlight w:val="none"/>
        </w:rPr>
        <w:t>.</w:t>
      </w:r>
      <w:r>
        <w:rPr>
          <w:rFonts w:hint="eastAsia" w:hAnsi="宋体" w:cs="宋体"/>
          <w:i w:val="0"/>
          <w:iCs w:val="0"/>
          <w:color w:val="auto"/>
          <w:sz w:val="24"/>
          <w:szCs w:val="24"/>
          <w:highlight w:val="none"/>
          <w:u w:val="single"/>
          <w:lang w:eastAsia="zh-CN"/>
        </w:rPr>
        <w:t>国家税务总局邵武市税务局食堂食材配送分散采购项目</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w:t>
      </w:r>
      <w:r>
        <w:rPr>
          <w:rFonts w:hint="eastAsia" w:ascii="宋体" w:hAnsi="宋体" w:eastAsia="宋体" w:cs="宋体"/>
          <w:i w:val="0"/>
          <w:iCs w:val="0"/>
          <w:color w:val="auto"/>
          <w:sz w:val="24"/>
          <w:szCs w:val="24"/>
          <w:highlight w:val="none"/>
        </w:rPr>
        <w:t>）企业为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pPr>
        <w:pStyle w:val="15"/>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u w:val="single"/>
        </w:rPr>
        <w:t xml:space="preserve"> （标的名称） </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i w:val="0"/>
          <w:iCs w:val="0"/>
          <w:color w:val="auto"/>
          <w:sz w:val="24"/>
          <w:szCs w:val="24"/>
          <w:highlight w:val="none"/>
        </w:rPr>
        <w:t>；承建（承接）企业为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w:t>
      </w:r>
      <w:bookmarkStart w:id="120" w:name="OLE_LINK3"/>
      <w:r>
        <w:rPr>
          <w:rFonts w:hint="eastAsia" w:ascii="宋体" w:hAnsi="宋体" w:eastAsia="宋体" w:cs="宋体"/>
          <w:color w:val="auto"/>
          <w:sz w:val="24"/>
          <w:szCs w:val="24"/>
          <w:highlight w:val="none"/>
        </w:rPr>
        <w:t>不属于大企业的分支机构，不存在控股股东为大企业的情形，也不存在与大企业的负责人为同一人的情形。</w:t>
      </w:r>
      <w:bookmarkEnd w:id="120"/>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pPr>
        <w:pStyle w:val="15"/>
        <w:snapToGrid w:val="0"/>
        <w:spacing w:line="360" w:lineRule="auto"/>
        <w:ind w:firstLine="480" w:firstLineChars="200"/>
        <w:rPr>
          <w:rFonts w:hint="eastAsia" w:ascii="宋体" w:hAnsi="宋体" w:eastAsia="宋体" w:cs="宋体"/>
          <w:color w:val="auto"/>
          <w:sz w:val="24"/>
          <w:szCs w:val="24"/>
          <w:highlight w:val="none"/>
        </w:rPr>
      </w:pPr>
    </w:p>
    <w:p>
      <w:pPr>
        <w:pStyle w:val="15"/>
        <w:snapToGrid w:val="0"/>
        <w:spacing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5"/>
        <w:snapToGrid w:val="0"/>
        <w:spacing w:line="360" w:lineRule="auto"/>
        <w:ind w:firstLine="480" w:firstLineChars="200"/>
        <w:rPr>
          <w:rFonts w:hint="eastAsia" w:ascii="宋体" w:hAnsi="宋体" w:eastAsia="宋体" w:cs="宋体"/>
          <w:color w:val="auto"/>
          <w:sz w:val="24"/>
          <w:szCs w:val="24"/>
          <w:highlight w:val="none"/>
        </w:rPr>
      </w:pPr>
    </w:p>
    <w:p>
      <w:pPr>
        <w:pStyle w:val="15"/>
        <w:snapToGrid w:val="0"/>
        <w:spacing w:line="360" w:lineRule="auto"/>
        <w:ind w:firstLine="480" w:firstLineChars="200"/>
        <w:rPr>
          <w:rFonts w:hint="eastAsia" w:ascii="宋体" w:hAnsi="宋体" w:eastAsia="宋体" w:cs="宋体"/>
          <w:color w:val="auto"/>
          <w:sz w:val="24"/>
          <w:szCs w:val="24"/>
          <w:highlight w:val="none"/>
        </w:rPr>
      </w:pPr>
    </w:p>
    <w:p>
      <w:pPr>
        <w:widowControl/>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pPr>
        <w:pStyle w:val="15"/>
        <w:snapToGrid w:val="0"/>
        <w:spacing w:line="360" w:lineRule="auto"/>
        <w:ind w:firstLine="480" w:firstLineChars="200"/>
        <w:rPr>
          <w:rFonts w:hint="eastAsia" w:ascii="宋体" w:hAnsi="宋体" w:eastAsia="宋体" w:cs="宋体"/>
          <w:color w:val="auto"/>
          <w:sz w:val="24"/>
          <w:szCs w:val="24"/>
          <w:highlight w:val="none"/>
        </w:rPr>
      </w:pPr>
    </w:p>
    <w:p>
      <w:pPr>
        <w:pStyle w:val="15"/>
        <w:topLinePunct/>
        <w:autoSpaceDE w:val="0"/>
        <w:autoSpaceDN w:val="0"/>
        <w:spacing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21" w:name="_Toc15089"/>
      <w:bookmarkStart w:id="122" w:name="_Toc5684"/>
      <w:r>
        <w:rPr>
          <w:rFonts w:hint="eastAsia" w:ascii="宋体" w:hAnsi="宋体" w:eastAsia="宋体" w:cs="宋体"/>
          <w:b/>
          <w:bCs/>
          <w:color w:val="auto"/>
          <w:kern w:val="2"/>
          <w:sz w:val="32"/>
          <w:szCs w:val="32"/>
          <w:highlight w:val="none"/>
          <w:lang w:val="en-US" w:eastAsia="zh-CN" w:bidi="ar-SA"/>
        </w:rPr>
        <w:t>格式7  残疾人福利性单位声明函</w:t>
      </w:r>
      <w:bookmarkEnd w:id="121"/>
      <w:bookmarkEnd w:id="122"/>
    </w:p>
    <w:p>
      <w:pPr>
        <w:spacing w:line="588" w:lineRule="exact"/>
        <w:rPr>
          <w:rFonts w:hint="eastAsia" w:ascii="宋体" w:hAnsi="宋体" w:eastAsia="宋体" w:cs="宋体"/>
          <w:b/>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opLinePunct/>
        <w:autoSpaceDE w:val="0"/>
        <w:autoSpaceDN w:val="0"/>
        <w:spacing w:line="460" w:lineRule="exact"/>
        <w:jc w:val="center"/>
        <w:rPr>
          <w:rFonts w:hint="eastAsia" w:ascii="宋体" w:hAnsi="宋体" w:eastAsia="宋体" w:cs="宋体"/>
          <w:color w:val="auto"/>
          <w:spacing w:val="6"/>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bookmarkStart w:id="123" w:name="_Toc665197788"/>
      <w:bookmarkStart w:id="124" w:name="_Toc240142232"/>
      <w:bookmarkStart w:id="125" w:name="_Toc1229686241"/>
      <w:bookmarkStart w:id="126" w:name="_Toc1062827402"/>
      <w:bookmarkStart w:id="127" w:name="_Toc579775874"/>
      <w:bookmarkStart w:id="128" w:name="_Toc2129800646"/>
      <w:bookmarkStart w:id="129" w:name="_Toc989815653"/>
      <w:bookmarkStart w:id="130" w:name="_Toc315564887"/>
      <w:bookmarkStart w:id="131" w:name="_Toc18814"/>
      <w:bookmarkStart w:id="132" w:name="_Toc1093498656"/>
      <w:r>
        <w:rPr>
          <w:rFonts w:hint="eastAsia" w:ascii="宋体" w:hAnsi="宋体" w:eastAsia="宋体" w:cs="宋体"/>
          <w:b/>
          <w:bCs/>
          <w:color w:val="auto"/>
          <w:sz w:val="24"/>
          <w:szCs w:val="24"/>
          <w:highlight w:val="none"/>
        </w:rPr>
        <w:br w:type="page"/>
      </w:r>
    </w:p>
    <w:p>
      <w:pPr>
        <w:adjustRightInd w:val="0"/>
        <w:snapToGrid w:val="0"/>
        <w:spacing w:after="0" w:line="360" w:lineRule="auto"/>
        <w:jc w:val="center"/>
        <w:rPr>
          <w:rFonts w:hint="eastAsia" w:ascii="宋体" w:hAnsi="宋体" w:eastAsia="宋体" w:cs="宋体"/>
          <w:b/>
          <w:bCs/>
          <w:color w:val="auto"/>
          <w:sz w:val="24"/>
          <w:szCs w:val="24"/>
          <w:highlight w:val="none"/>
        </w:rPr>
      </w:pPr>
    </w:p>
    <w:p>
      <w:pPr>
        <w:spacing w:line="600" w:lineRule="auto"/>
        <w:jc w:val="center"/>
        <w:rPr>
          <w:rFonts w:hint="eastAsia" w:ascii="宋体" w:hAnsi="宋体" w:eastAsia="宋体" w:cs="宋体"/>
          <w:b/>
          <w:color w:val="auto"/>
          <w:kern w:val="0"/>
          <w:sz w:val="24"/>
          <w:szCs w:val="24"/>
          <w:highlight w:val="none"/>
        </w:rPr>
      </w:pPr>
    </w:p>
    <w:p>
      <w:pPr>
        <w:pStyle w:val="12"/>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lang w:val="en-US" w:eastAsia="zh-CN"/>
        </w:rPr>
        <w:t>技术</w:t>
      </w:r>
      <w:r>
        <w:rPr>
          <w:rFonts w:hint="eastAsia" w:ascii="宋体" w:hAnsi="宋体" w:eastAsia="宋体" w:cs="宋体"/>
          <w:b/>
          <w:bCs w:val="0"/>
          <w:color w:val="auto"/>
          <w:kern w:val="0"/>
          <w:sz w:val="52"/>
          <w:szCs w:val="52"/>
          <w:highlight w:val="none"/>
        </w:rPr>
        <w:t>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2"/>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spacing w:line="600" w:lineRule="auto"/>
        <w:jc w:val="center"/>
        <w:rPr>
          <w:rFonts w:hint="eastAsia" w:ascii="宋体" w:hAnsi="宋体" w:eastAsia="宋体" w:cs="宋体"/>
          <w:b/>
          <w:color w:val="auto"/>
          <w:kern w:val="0"/>
          <w:sz w:val="24"/>
          <w:szCs w:val="24"/>
          <w:highlight w:val="none"/>
        </w:rPr>
      </w:pPr>
    </w:p>
    <w:p>
      <w:pPr>
        <w:pStyle w:val="12"/>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End w:id="123"/>
      <w:bookmarkEnd w:id="124"/>
      <w:bookmarkEnd w:id="125"/>
      <w:bookmarkEnd w:id="126"/>
      <w:bookmarkEnd w:id="127"/>
      <w:bookmarkEnd w:id="128"/>
      <w:bookmarkEnd w:id="129"/>
      <w:bookmarkEnd w:id="130"/>
      <w:bookmarkEnd w:id="131"/>
      <w:bookmarkEnd w:id="132"/>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 xml:space="preserve"> 技术条款偏离表</w:t>
      </w:r>
    </w:p>
    <w:tbl>
      <w:tblPr>
        <w:tblStyle w:val="29"/>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6" w:type="dxa"/>
            <w:noWrap/>
            <w:vAlign w:val="top"/>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技术部分序号</w:t>
            </w: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技术部分内容要求</w:t>
            </w: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应答情况</w:t>
            </w: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偏离（无/正/负）</w:t>
            </w: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请按照</w:t>
      </w:r>
      <w:r>
        <w:rPr>
          <w:rFonts w:hint="eastAsia" w:ascii="宋体" w:hAnsi="宋体" w:eastAsia="宋体" w:cs="宋体"/>
          <w:color w:val="auto"/>
          <w:sz w:val="24"/>
          <w:szCs w:val="24"/>
          <w:highlight w:val="none"/>
        </w:rPr>
        <w:t>《采购文件-技术部分》内容</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条对条应答。如有偏离，请在此表中应答为“正/负偏离”并说明偏离情况；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pStyle w:val="40"/>
        <w:spacing w:after="156"/>
        <w:ind w:firstLine="4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jc w:val="cente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widowControl/>
        <w:spacing w:after="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服务方案、实施方案及技术方案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kern w:val="0"/>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kern w:val="0"/>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kern w:val="0"/>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kern w:val="0"/>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kern w:val="0"/>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kern w:val="0"/>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kern w:val="0"/>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kern w:val="0"/>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jc w:val="cente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t xml:space="preserve"> 技术力量一览表</w:t>
      </w:r>
    </w:p>
    <w:tbl>
      <w:tblPr>
        <w:tblStyle w:val="29"/>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after="0" w:line="40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r>
              <w:rPr>
                <w:rFonts w:hint="eastAsia" w:ascii="宋体" w:hAnsi="宋体" w:cs="宋体"/>
                <w:b w:val="0"/>
                <w:bCs w:val="0"/>
                <w:color w:val="auto"/>
                <w:sz w:val="24"/>
                <w:szCs w:val="24"/>
                <w:highlight w:val="none"/>
                <w:lang w:val="en-US" w:eastAsia="zh-CN"/>
              </w:rPr>
              <w:t>项目团队其他</w:t>
            </w:r>
            <w:r>
              <w:rPr>
                <w:rFonts w:hint="eastAsia" w:ascii="宋体" w:hAnsi="宋体" w:eastAsia="宋体" w:cs="宋体"/>
                <w:b w:val="0"/>
                <w:bCs w:val="0"/>
                <w:color w:val="auto"/>
                <w:sz w:val="24"/>
                <w:szCs w:val="24"/>
                <w:highlight w:val="none"/>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both"/>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line="460" w:lineRule="exact"/>
        <w:rPr>
          <w:rFonts w:hint="eastAsia" w:ascii="宋体" w:hAnsi="宋体" w:eastAsia="宋体" w:cs="宋体"/>
          <w:bCs/>
          <w:color w:val="auto"/>
          <w:w w:val="150"/>
          <w:sz w:val="24"/>
          <w:szCs w:val="24"/>
          <w:highlight w:val="green"/>
          <w:shd w:val="clear" w:color="auto" w:fill="FFFF00"/>
        </w:rPr>
      </w:pPr>
    </w:p>
    <w:p>
      <w:pPr>
        <w:topLinePunct/>
        <w:autoSpaceDE w:val="0"/>
        <w:autoSpaceDN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 xml:space="preserve"> 技术人员简历表</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    别</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出生日期</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   历</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公司职务</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任职时间</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本项目任职</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人员级别</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从事XXXX年限</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w:t>
            </w:r>
          </w:p>
        </w:tc>
        <w:tc>
          <w:tcPr>
            <w:tcW w:w="766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工作简历及主要业绩</w:t>
            </w:r>
          </w:p>
          <w:p>
            <w:pPr>
              <w:keepNext w:val="0"/>
              <w:keepLines w:val="0"/>
              <w:pageBreakBefore w:val="0"/>
              <w:widowControl w:val="0"/>
              <w:kinsoku/>
              <w:wordWrap/>
              <w:overflowPunct/>
              <w:topLinePunct w:val="0"/>
              <w:autoSpaceDE/>
              <w:autoSpaceDN/>
              <w:bidi w:val="0"/>
              <w:adjustRightInd w:val="0"/>
              <w:snapToGrid/>
              <w:spacing w:after="0" w:line="400" w:lineRule="exact"/>
              <w:textAlignment w:val="auto"/>
              <w:rPr>
                <w:rFonts w:hint="eastAsia" w:ascii="宋体" w:hAnsi="宋体" w:eastAsia="宋体" w:cs="宋体"/>
                <w:color w:val="auto"/>
                <w:sz w:val="24"/>
                <w:szCs w:val="24"/>
                <w:highlight w:val="none"/>
              </w:rPr>
            </w:pPr>
          </w:p>
        </w:tc>
      </w:tr>
    </w:tbl>
    <w:p>
      <w:pPr>
        <w:widowControl/>
        <w:spacing w:after="0" w:line="240" w:lineRule="auto"/>
        <w:jc w:val="left"/>
        <w:rPr>
          <w:rFonts w:hint="eastAsia" w:ascii="宋体" w:hAnsi="宋体" w:eastAsia="宋体" w:cs="宋体"/>
          <w:color w:val="auto"/>
          <w:sz w:val="24"/>
          <w:szCs w:val="24"/>
          <w:highlight w:val="none"/>
        </w:rPr>
      </w:pPr>
    </w:p>
    <w:p>
      <w:pPr>
        <w:pStyle w:val="39"/>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 xml:space="preserve"> 评标内容对应表</w:t>
      </w:r>
    </w:p>
    <w:p>
      <w:pPr>
        <w:spacing w:line="440" w:lineRule="exact"/>
        <w:ind w:firstLine="204" w:firstLineChars="8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 xml:space="preserve">名称：                          </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编号∶ </w:t>
      </w:r>
    </w:p>
    <w:tbl>
      <w:tblPr>
        <w:tblStyle w:val="29"/>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316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指标要求</w:t>
            </w:r>
          </w:p>
        </w:tc>
        <w:tc>
          <w:tcPr>
            <w:tcW w:w="273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文件响应情况</w:t>
            </w:r>
          </w:p>
        </w:tc>
        <w:tc>
          <w:tcPr>
            <w:tcW w:w="1482"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noWrap w:val="0"/>
            <w:vAlign w:val="top"/>
          </w:tcPr>
          <w:p>
            <w:pPr>
              <w:spacing w:line="44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技术部分</w:t>
            </w: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noWrap w:val="0"/>
            <w:vAlign w:val="center"/>
          </w:tcPr>
          <w:p>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商务部分</w:t>
            </w:r>
          </w:p>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bl>
    <w:p>
      <w:pPr>
        <w:spacing w:line="440" w:lineRule="exact"/>
        <w:rPr>
          <w:rFonts w:hint="eastAsia" w:ascii="宋体" w:hAnsi="宋体" w:eastAsia="宋体" w:cs="宋体"/>
          <w:color w:val="auto"/>
          <w:sz w:val="24"/>
          <w:szCs w:val="24"/>
        </w:rPr>
      </w:pPr>
    </w:p>
    <w:p>
      <w:pPr>
        <w:spacing w:line="440" w:lineRule="exact"/>
        <w:rPr>
          <w:rFonts w:hint="eastAsia" w:ascii="宋体" w:hAnsi="宋体" w:eastAsia="宋体" w:cs="宋体"/>
          <w:snapToGrid w:val="0"/>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val="en-US" w:eastAsia="zh-CN"/>
        </w:rPr>
        <w:t>供应商需</w:t>
      </w:r>
      <w:r>
        <w:rPr>
          <w:rFonts w:hint="eastAsia" w:ascii="宋体" w:hAnsi="宋体" w:eastAsia="宋体" w:cs="宋体"/>
          <w:color w:val="auto"/>
          <w:sz w:val="24"/>
          <w:szCs w:val="24"/>
        </w:rPr>
        <w:t>将</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文件中的相关内容按上述要求及以上格式，逐条对应填写</w:t>
      </w:r>
      <w:r>
        <w:rPr>
          <w:rFonts w:hint="eastAsia" w:ascii="宋体" w:hAnsi="宋体" w:eastAsia="宋体" w:cs="宋体"/>
          <w:snapToGrid w:val="0"/>
          <w:color w:val="auto"/>
          <w:sz w:val="24"/>
          <w:szCs w:val="24"/>
        </w:rPr>
        <w:t>，以便</w:t>
      </w:r>
      <w:r>
        <w:rPr>
          <w:rFonts w:hint="eastAsia" w:ascii="宋体" w:hAnsi="宋体" w:cs="宋体"/>
          <w:snapToGrid w:val="0"/>
          <w:color w:val="auto"/>
          <w:sz w:val="24"/>
          <w:szCs w:val="24"/>
          <w:lang w:val="en-US" w:eastAsia="zh-CN"/>
        </w:rPr>
        <w:t>磋商小组</w:t>
      </w:r>
      <w:r>
        <w:rPr>
          <w:rFonts w:hint="eastAsia" w:ascii="宋体" w:hAnsi="宋体" w:eastAsia="宋体" w:cs="宋体"/>
          <w:snapToGrid w:val="0"/>
          <w:color w:val="auto"/>
          <w:sz w:val="24"/>
          <w:szCs w:val="24"/>
        </w:rPr>
        <w:t>进行评</w:t>
      </w:r>
      <w:r>
        <w:rPr>
          <w:rFonts w:hint="eastAsia" w:ascii="宋体" w:hAnsi="宋体" w:cs="宋体"/>
          <w:snapToGrid w:val="0"/>
          <w:color w:val="auto"/>
          <w:sz w:val="24"/>
          <w:szCs w:val="24"/>
          <w:lang w:val="en-US" w:eastAsia="zh-CN"/>
        </w:rPr>
        <w:t>审</w:t>
      </w:r>
      <w:r>
        <w:rPr>
          <w:rFonts w:hint="eastAsia" w:ascii="宋体" w:hAnsi="宋体" w:eastAsia="宋体" w:cs="宋体"/>
          <w:snapToGrid w:val="0"/>
          <w:color w:val="auto"/>
          <w:sz w:val="24"/>
          <w:szCs w:val="24"/>
        </w:rPr>
        <w:t>，未按以上格式逐条填写导致条理不清，解释不明的，</w:t>
      </w:r>
      <w:r>
        <w:rPr>
          <w:rFonts w:hint="eastAsia" w:ascii="宋体" w:hAnsi="宋体" w:cs="宋体"/>
          <w:color w:val="auto"/>
          <w:sz w:val="24"/>
          <w:szCs w:val="24"/>
          <w:lang w:val="en-US" w:eastAsia="zh-CN"/>
        </w:rPr>
        <w:t>磋商小组</w:t>
      </w:r>
      <w:r>
        <w:rPr>
          <w:rFonts w:hint="eastAsia" w:ascii="宋体" w:hAnsi="宋体" w:eastAsia="宋体" w:cs="宋体"/>
          <w:snapToGrid w:val="0"/>
          <w:color w:val="auto"/>
          <w:sz w:val="24"/>
          <w:szCs w:val="24"/>
        </w:rPr>
        <w:t>将做出不利于</w:t>
      </w:r>
      <w:r>
        <w:rPr>
          <w:rFonts w:hint="eastAsia" w:ascii="宋体" w:hAnsi="宋体" w:cs="宋体"/>
          <w:snapToGrid w:val="0"/>
          <w:color w:val="auto"/>
          <w:sz w:val="24"/>
          <w:szCs w:val="24"/>
          <w:lang w:val="en-US" w:eastAsia="zh-CN"/>
        </w:rPr>
        <w:t>供应商</w:t>
      </w:r>
      <w:r>
        <w:rPr>
          <w:rFonts w:hint="eastAsia" w:ascii="宋体" w:hAnsi="宋体" w:eastAsia="宋体" w:cs="宋体"/>
          <w:snapToGrid w:val="0"/>
          <w:color w:val="auto"/>
          <w:sz w:val="24"/>
          <w:szCs w:val="24"/>
        </w:rPr>
        <w:t>的</w:t>
      </w:r>
      <w:r>
        <w:rPr>
          <w:rFonts w:hint="eastAsia" w:ascii="宋体" w:hAnsi="宋体" w:eastAsia="宋体" w:cs="宋体"/>
          <w:color w:val="auto"/>
          <w:sz w:val="24"/>
          <w:szCs w:val="24"/>
        </w:rPr>
        <w:t>判断</w:t>
      </w:r>
      <w:r>
        <w:rPr>
          <w:rFonts w:hint="eastAsia" w:ascii="宋体" w:hAnsi="宋体" w:eastAsia="宋体" w:cs="宋体"/>
          <w:snapToGrid w:val="0"/>
          <w:color w:val="auto"/>
          <w:sz w:val="24"/>
          <w:szCs w:val="24"/>
        </w:rPr>
        <w:t>。</w:t>
      </w:r>
    </w:p>
    <w:p>
      <w:pPr>
        <w:spacing w:line="440" w:lineRule="exact"/>
        <w:rPr>
          <w:rFonts w:hint="eastAsia" w:ascii="宋体" w:hAnsi="宋体" w:eastAsia="宋体" w:cs="宋体"/>
          <w:b/>
          <w:color w:val="auto"/>
          <w:sz w:val="24"/>
          <w:szCs w:val="24"/>
        </w:rPr>
      </w:pP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7"/>
        <w:jc w:val="center"/>
        <w:rPr>
          <w:rFonts w:hint="eastAsia" w:ascii="宋体" w:hAnsi="宋体" w:cs="宋体"/>
          <w:b/>
          <w:color w:val="auto"/>
          <w:sz w:val="72"/>
          <w:szCs w:val="72"/>
        </w:rPr>
      </w:pPr>
      <w:r>
        <w:rPr>
          <w:rFonts w:hint="eastAsia" w:ascii="宋体" w:hAnsi="宋体" w:cs="宋体"/>
          <w:b/>
          <w:color w:val="auto"/>
          <w:sz w:val="72"/>
          <w:szCs w:val="72"/>
        </w:rPr>
        <w:br w:type="page"/>
      </w:r>
      <w:bookmarkStart w:id="133" w:name="_Toc24618"/>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供应商认为需要提交的其他材料</w:t>
      </w:r>
      <w:r>
        <w:rPr>
          <w:rFonts w:hint="eastAsia" w:ascii="宋体" w:hAnsi="宋体" w:cs="宋体"/>
          <w:b/>
          <w:color w:val="auto"/>
          <w:sz w:val="72"/>
          <w:szCs w:val="72"/>
        </w:rPr>
        <w:br w:type="page"/>
      </w:r>
    </w:p>
    <w:p>
      <w:pPr>
        <w:pStyle w:val="7"/>
        <w:jc w:val="center"/>
        <w:rPr>
          <w:rFonts w:hint="eastAsia" w:ascii="宋体" w:hAnsi="宋体" w:cs="宋体"/>
          <w:b/>
          <w:color w:val="auto"/>
          <w:sz w:val="72"/>
          <w:szCs w:val="72"/>
        </w:rPr>
      </w:pPr>
    </w:p>
    <w:p>
      <w:pPr>
        <w:pStyle w:val="7"/>
        <w:jc w:val="center"/>
        <w:rPr>
          <w:rFonts w:hint="eastAsia" w:ascii="宋体" w:hAnsi="宋体" w:cs="宋体"/>
          <w:b/>
          <w:color w:val="auto"/>
          <w:sz w:val="72"/>
          <w:szCs w:val="72"/>
        </w:rPr>
      </w:pPr>
      <w:r>
        <w:rPr>
          <w:rFonts w:hint="eastAsia" w:ascii="宋体" w:hAnsi="宋体" w:cs="宋体"/>
          <w:b/>
          <w:color w:val="auto"/>
          <w:sz w:val="72"/>
          <w:szCs w:val="72"/>
        </w:rPr>
        <w:t>竞争性磋商文件</w:t>
      </w:r>
      <w:bookmarkEnd w:id="47"/>
      <w:bookmarkEnd w:id="133"/>
    </w:p>
    <w:p>
      <w:pPr>
        <w:pStyle w:val="7"/>
        <w:jc w:val="center"/>
        <w:rPr>
          <w:rFonts w:hint="eastAsia" w:ascii="宋体" w:hAnsi="宋体" w:cs="宋体"/>
          <w:b/>
          <w:color w:val="auto"/>
          <w:sz w:val="72"/>
          <w:szCs w:val="72"/>
        </w:rPr>
      </w:pPr>
      <w:bookmarkStart w:id="134" w:name="_Toc4811"/>
      <w:bookmarkStart w:id="135" w:name="_Toc17751"/>
      <w:r>
        <w:rPr>
          <w:rFonts w:hint="eastAsia" w:ascii="宋体" w:hAnsi="宋体" w:cs="宋体"/>
          <w:b/>
          <w:color w:val="auto"/>
          <w:sz w:val="72"/>
          <w:szCs w:val="72"/>
        </w:rPr>
        <w:t>（</w:t>
      </w:r>
      <w:r>
        <w:rPr>
          <w:rFonts w:hint="eastAsia" w:ascii="宋体" w:hAnsi="宋体" w:cs="宋体"/>
          <w:b/>
          <w:color w:val="auto"/>
          <w:sz w:val="72"/>
          <w:szCs w:val="72"/>
          <w:lang w:val="en-US" w:eastAsia="zh-CN"/>
        </w:rPr>
        <w:t>技术</w:t>
      </w:r>
      <w:r>
        <w:rPr>
          <w:rFonts w:hint="eastAsia" w:ascii="宋体" w:hAnsi="宋体" w:cs="宋体"/>
          <w:b/>
          <w:color w:val="auto"/>
          <w:sz w:val="72"/>
          <w:szCs w:val="72"/>
        </w:rPr>
        <w:t>部分）</w:t>
      </w:r>
      <w:bookmarkEnd w:id="134"/>
      <w:bookmarkEnd w:id="135"/>
    </w:p>
    <w:p>
      <w:pPr>
        <w:pStyle w:val="15"/>
        <w:ind w:firstLine="1400" w:firstLineChars="500"/>
        <w:rPr>
          <w:rFonts w:hint="eastAsia" w:ascii="宋体" w:hAnsi="宋体" w:eastAsia="宋体" w:cs="宋体"/>
          <w:color w:val="auto"/>
          <w:kern w:val="0"/>
          <w:sz w:val="28"/>
          <w:szCs w:val="28"/>
        </w:rPr>
      </w:pPr>
    </w:p>
    <w:p>
      <w:pPr>
        <w:bidi w:val="0"/>
        <w:rPr>
          <w:rFonts w:hint="eastAsia" w:ascii="宋体" w:hAnsi="宋体" w:eastAsia="宋体" w:cs="宋体"/>
          <w:color w:val="auto"/>
          <w:sz w:val="24"/>
          <w:szCs w:val="24"/>
          <w:highlight w:val="none"/>
        </w:rPr>
      </w:pPr>
    </w:p>
    <w:p>
      <w:pPr>
        <w:pStyle w:val="2"/>
        <w:numPr>
          <w:ilvl w:val="0"/>
          <w:numId w:val="0"/>
        </w:numPr>
        <w:ind w:leftChars="200"/>
        <w:rPr>
          <w:rFonts w:hint="eastAsia"/>
          <w:color w:val="auto"/>
        </w:rPr>
      </w:pPr>
    </w:p>
    <w:p>
      <w:pPr>
        <w:pStyle w:val="15"/>
        <w:ind w:firstLine="280" w:firstLineChars="100"/>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国家税务总局邵武市税务局食堂食材配送分散采购项目</w:t>
      </w:r>
    </w:p>
    <w:p>
      <w:pPr>
        <w:pStyle w:val="15"/>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ZXWT-2025-373</w:t>
      </w:r>
    </w:p>
    <w:p>
      <w:pPr>
        <w:pStyle w:val="15"/>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国家税务总局邵武市税务局</w:t>
      </w:r>
    </w:p>
    <w:p>
      <w:pPr>
        <w:pStyle w:val="15"/>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2"/>
        <w:numPr>
          <w:ilvl w:val="0"/>
          <w:numId w:val="0"/>
        </w:numPr>
        <w:ind w:leftChars="200"/>
        <w:rPr>
          <w:rFonts w:hint="eastAsia"/>
          <w:color w:val="auto"/>
        </w:rPr>
      </w:pPr>
    </w:p>
    <w:p>
      <w:pPr>
        <w:pStyle w:val="5"/>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国家税务总局邵武市税务局</w:t>
      </w:r>
    </w:p>
    <w:p>
      <w:pPr>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17日</w:t>
      </w:r>
    </w:p>
    <w:p>
      <w:pPr>
        <w:topLinePunct/>
        <w:autoSpaceDE w:val="0"/>
        <w:autoSpaceDN w:val="0"/>
        <w:jc w:val="center"/>
        <w:rPr>
          <w:rFonts w:hint="eastAsia" w:ascii="宋体" w:hAnsi="宋体" w:eastAsia="宋体" w:cs="宋体"/>
          <w:b/>
          <w:bCs/>
          <w:color w:val="auto"/>
          <w:sz w:val="28"/>
          <w:szCs w:val="28"/>
          <w:highlight w:val="yellow"/>
        </w:rPr>
      </w:pPr>
      <w:r>
        <w:rPr>
          <w:rFonts w:hint="eastAsia" w:ascii="宋体" w:hAnsi="宋体" w:eastAsia="宋体" w:cs="宋体"/>
          <w:b w:val="0"/>
          <w:bCs/>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bCs/>
          <w:color w:val="auto"/>
          <w:highlight w:val="none"/>
          <w:lang w:val="en-US" w:eastAsia="zh-CN"/>
        </w:rPr>
      </w:pPr>
      <w:bookmarkStart w:id="136" w:name="_Toc132880669"/>
      <w:bookmarkStart w:id="137" w:name="_Toc31314"/>
      <w:r>
        <w:rPr>
          <w:rFonts w:hint="eastAsia" w:ascii="宋体" w:hAnsi="宋体" w:eastAsia="宋体" w:cs="宋体"/>
          <w:b/>
          <w:bCs/>
          <w:color w:val="auto"/>
          <w:sz w:val="28"/>
          <w:szCs w:val="28"/>
          <w:highlight w:val="none"/>
        </w:rPr>
        <w:t>第六章  项目采购需求</w:t>
      </w:r>
      <w:bookmarkEnd w:id="136"/>
      <w:bookmarkEnd w:id="137"/>
      <w:bookmarkStart w:id="138" w:name="_Toc132880670"/>
      <w:bookmarkStart w:id="139" w:name="_Toc12903"/>
    </w:p>
    <w:bookmarkEnd w:id="138"/>
    <w:bookmarkEnd w:id="139"/>
    <w:p>
      <w:pPr>
        <w:pStyle w:val="47"/>
        <w:keepNext w:val="0"/>
        <w:keepLines w:val="0"/>
        <w:pageBreakBefore w:val="0"/>
        <w:kinsoku/>
        <w:wordWrap/>
        <w:bidi w:val="0"/>
        <w:spacing w:line="400" w:lineRule="exact"/>
        <w:ind w:firstLine="422"/>
        <w:rPr>
          <w:rFonts w:hint="eastAsia" w:ascii="宋体" w:hAnsi="宋体" w:eastAsia="宋体" w:cs="宋体"/>
          <w:color w:val="auto"/>
          <w:sz w:val="24"/>
          <w:szCs w:val="24"/>
        </w:rPr>
      </w:pPr>
      <w:r>
        <w:rPr>
          <w:rFonts w:hint="eastAsia" w:ascii="宋体" w:hAnsi="宋体" w:eastAsia="宋体" w:cs="宋体"/>
          <w:b/>
          <w:bCs/>
          <w:color w:val="auto"/>
          <w:sz w:val="24"/>
          <w:szCs w:val="24"/>
        </w:rPr>
        <w:t>一、项目背景</w:t>
      </w:r>
    </w:p>
    <w:p>
      <w:pPr>
        <w:keepNext w:val="0"/>
        <w:keepLines w:val="0"/>
        <w:pageBreakBefore w:val="0"/>
        <w:kinsoku/>
        <w:wordWrap/>
        <w:bidi w:val="0"/>
        <w:spacing w:before="0" w:after="0"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本次采购内容主要是国家税务总局</w:t>
      </w:r>
      <w:r>
        <w:rPr>
          <w:rFonts w:hint="eastAsia" w:ascii="宋体" w:hAnsi="宋体" w:eastAsia="宋体" w:cs="宋体"/>
          <w:color w:val="auto"/>
          <w:sz w:val="24"/>
          <w:szCs w:val="24"/>
          <w:lang w:eastAsia="zh-CN"/>
        </w:rPr>
        <w:t>邵武</w:t>
      </w:r>
      <w:r>
        <w:rPr>
          <w:rFonts w:hint="eastAsia" w:ascii="宋体" w:hAnsi="宋体" w:eastAsia="宋体" w:cs="宋体"/>
          <w:color w:val="auto"/>
          <w:sz w:val="24"/>
          <w:szCs w:val="24"/>
        </w:rPr>
        <w:t>市税务局食堂食材配送分散采购项目，</w:t>
      </w:r>
      <w:r>
        <w:rPr>
          <w:rFonts w:hint="eastAsia" w:ascii="宋体" w:hAnsi="宋体" w:eastAsia="宋体" w:cs="宋体"/>
          <w:color w:val="auto"/>
          <w:sz w:val="24"/>
          <w:szCs w:val="24"/>
          <w:lang w:val="en-US" w:eastAsia="zh-CN"/>
        </w:rPr>
        <w:t>服务期半年，</w:t>
      </w:r>
      <w:r>
        <w:rPr>
          <w:rFonts w:hint="eastAsia" w:ascii="宋体" w:hAnsi="宋体" w:eastAsia="宋体" w:cs="宋体"/>
          <w:color w:val="auto"/>
          <w:sz w:val="24"/>
          <w:szCs w:val="24"/>
        </w:rPr>
        <w:t>预算预估</w:t>
      </w:r>
      <w:r>
        <w:rPr>
          <w:rFonts w:hint="eastAsia" w:ascii="宋体" w:hAnsi="宋体" w:eastAsia="宋体" w:cs="宋体"/>
          <w:color w:val="auto"/>
          <w:sz w:val="24"/>
          <w:szCs w:val="24"/>
          <w:lang w:val="en-US" w:eastAsia="zh-CN"/>
        </w:rPr>
        <w:t>48</w:t>
      </w:r>
      <w:r>
        <w:rPr>
          <w:rFonts w:hint="eastAsia" w:ascii="宋体" w:hAnsi="宋体" w:eastAsia="宋体" w:cs="宋体"/>
          <w:color w:val="auto"/>
          <w:sz w:val="24"/>
          <w:szCs w:val="24"/>
        </w:rPr>
        <w:t>万元，服务内容为食堂食材配送。所采购服务商须保障采购人食堂用餐食材需求，配送范围：大米、面粉、禽蛋、食用油、干货、调味品、烘焙材料、各类蔬菜、水果、豆制品、奶制品、新鲜肉类、冷冻食品、新鲜水产品、各类辅料等。为更好的选取优质优价、服务质量好的食材供应商，确保稳定配送，本项目本次拟采购</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年期配送服务。</w:t>
      </w:r>
    </w:p>
    <w:p>
      <w:pPr>
        <w:pStyle w:val="47"/>
        <w:keepNext w:val="0"/>
        <w:keepLines w:val="0"/>
        <w:pageBreakBefore w:val="0"/>
        <w:kinsoku/>
        <w:wordWrap/>
        <w:bidi w:val="0"/>
        <w:spacing w:line="400" w:lineRule="exact"/>
        <w:ind w:firstLine="422"/>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二、采购内容</w:t>
      </w:r>
    </w:p>
    <w:tbl>
      <w:tblPr>
        <w:tblStyle w:val="60"/>
        <w:tblW w:w="8528" w:type="dxa"/>
        <w:tblCellSpacing w:w="0" w:type="dxa"/>
        <w:tblInd w:w="236" w:type="dxa"/>
        <w:tblLayout w:type="autofit"/>
        <w:tblCellMar>
          <w:top w:w="15" w:type="dxa"/>
          <w:left w:w="15" w:type="dxa"/>
          <w:bottom w:w="15" w:type="dxa"/>
          <w:right w:w="15" w:type="dxa"/>
        </w:tblCellMar>
      </w:tblPr>
      <w:tblGrid>
        <w:gridCol w:w="634"/>
        <w:gridCol w:w="1287"/>
        <w:gridCol w:w="1436"/>
        <w:gridCol w:w="1464"/>
        <w:gridCol w:w="3707"/>
      </w:tblGrid>
      <w:tr>
        <w:tblPrEx>
          <w:tblCellMar>
            <w:top w:w="15" w:type="dxa"/>
            <w:left w:w="15" w:type="dxa"/>
            <w:bottom w:w="15" w:type="dxa"/>
            <w:right w:w="15" w:type="dxa"/>
          </w:tblCellMar>
        </w:tblPrEx>
        <w:trPr>
          <w:trHeight w:val="1509" w:hRule="atLeast"/>
          <w:tblCellSpacing w:w="0" w:type="dxa"/>
        </w:trPr>
        <w:tc>
          <w:tcPr>
            <w:tcW w:w="634"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采购包</w:t>
            </w:r>
          </w:p>
        </w:tc>
        <w:tc>
          <w:tcPr>
            <w:tcW w:w="1287"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项目名称</w:t>
            </w:r>
          </w:p>
        </w:tc>
        <w:tc>
          <w:tcPr>
            <w:tcW w:w="1436"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服务期限</w:t>
            </w:r>
          </w:p>
        </w:tc>
        <w:tc>
          <w:tcPr>
            <w:tcW w:w="1464"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预估采购金额</w:t>
            </w:r>
          </w:p>
        </w:tc>
        <w:tc>
          <w:tcPr>
            <w:tcW w:w="3707"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简要概况</w:t>
            </w:r>
          </w:p>
        </w:tc>
      </w:tr>
      <w:tr>
        <w:tblPrEx>
          <w:tblCellMar>
            <w:top w:w="15" w:type="dxa"/>
            <w:left w:w="15" w:type="dxa"/>
            <w:bottom w:w="15" w:type="dxa"/>
            <w:right w:w="15" w:type="dxa"/>
          </w:tblCellMar>
        </w:tblPrEx>
        <w:trPr>
          <w:trHeight w:val="3107" w:hRule="atLeast"/>
          <w:tblCellSpacing w:w="0" w:type="dxa"/>
        </w:trPr>
        <w:tc>
          <w:tcPr>
            <w:tcW w:w="634"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w:t>
            </w:r>
          </w:p>
        </w:tc>
        <w:tc>
          <w:tcPr>
            <w:tcW w:w="1287" w:type="dxa"/>
            <w:tcBorders>
              <w:bottom w:val="single" w:color="000000" w:sz="8" w:space="0"/>
              <w:right w:val="single" w:color="000000" w:sz="8" w:space="0"/>
            </w:tcBorders>
            <w:noWrap w:val="0"/>
            <w:tcMar>
              <w:top w:w="0" w:type="dxa"/>
              <w:left w:w="108" w:type="dxa"/>
              <w:bottom w:w="0" w:type="dxa"/>
              <w:right w:w="128" w:type="dxa"/>
            </w:tcMar>
            <w:vAlign w:val="center"/>
          </w:tcPr>
          <w:p>
            <w:pPr>
              <w:pStyle w:val="59"/>
              <w:keepNext w:val="0"/>
              <w:keepLines w:val="0"/>
              <w:pageBreakBefore w:val="0"/>
              <w:kinsoku/>
              <w:wordWrap/>
              <w:bidi w:val="0"/>
              <w:spacing w:line="400" w:lineRule="exact"/>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b w:val="0"/>
                <w:bCs w:val="0"/>
                <w:i w:val="0"/>
                <w:iCs w:val="0"/>
                <w:smallCaps w:val="0"/>
                <w:color w:val="auto"/>
                <w:spacing w:val="0"/>
                <w:sz w:val="24"/>
                <w:szCs w:val="24"/>
              </w:rPr>
              <w:t>国家税务总局</w:t>
            </w:r>
            <w:r>
              <w:rPr>
                <w:rFonts w:hint="eastAsia" w:ascii="宋体" w:hAnsi="宋体" w:eastAsia="宋体" w:cs="宋体"/>
                <w:b w:val="0"/>
                <w:bCs w:val="0"/>
                <w:i w:val="0"/>
                <w:iCs w:val="0"/>
                <w:smallCaps w:val="0"/>
                <w:color w:val="auto"/>
                <w:spacing w:val="0"/>
                <w:sz w:val="24"/>
                <w:szCs w:val="24"/>
                <w:lang w:eastAsia="zh-CN"/>
              </w:rPr>
              <w:t>邵武</w:t>
            </w:r>
            <w:r>
              <w:rPr>
                <w:rFonts w:hint="eastAsia" w:ascii="宋体" w:hAnsi="宋体" w:eastAsia="宋体" w:cs="宋体"/>
                <w:b w:val="0"/>
                <w:bCs w:val="0"/>
                <w:i w:val="0"/>
                <w:iCs w:val="0"/>
                <w:smallCaps w:val="0"/>
                <w:color w:val="auto"/>
                <w:spacing w:val="0"/>
                <w:sz w:val="24"/>
                <w:szCs w:val="24"/>
              </w:rPr>
              <w:t>市税务局食堂食材配送分散采购项目</w:t>
            </w:r>
          </w:p>
        </w:tc>
        <w:tc>
          <w:tcPr>
            <w:tcW w:w="1436" w:type="dxa"/>
            <w:tcBorders>
              <w:bottom w:val="single" w:color="000000" w:sz="8" w:space="0"/>
              <w:right w:val="single" w:color="000000" w:sz="8" w:space="0"/>
            </w:tcBorders>
            <w:noWrap w:val="0"/>
            <w:tcMar>
              <w:top w:w="0" w:type="dxa"/>
              <w:left w:w="108" w:type="dxa"/>
              <w:bottom w:w="0" w:type="dxa"/>
              <w:right w:w="128" w:type="dxa"/>
            </w:tcMar>
            <w:vAlign w:val="center"/>
          </w:tcPr>
          <w:p>
            <w:pPr>
              <w:pStyle w:val="59"/>
              <w:keepNext w:val="0"/>
              <w:keepLines w:val="0"/>
              <w:pageBreakBefore w:val="0"/>
              <w:kinsoku/>
              <w:wordWrap/>
              <w:bidi w:val="0"/>
              <w:spacing w:line="400" w:lineRule="exact"/>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b w:val="0"/>
                <w:bCs w:val="0"/>
                <w:i w:val="0"/>
                <w:iCs w:val="0"/>
                <w:smallCaps w:val="0"/>
                <w:color w:val="auto"/>
                <w:sz w:val="24"/>
                <w:szCs w:val="24"/>
                <w:lang w:val="en-US" w:eastAsia="zh-CN"/>
              </w:rPr>
              <w:t>2025年10月1日至2026年3月31日</w:t>
            </w:r>
          </w:p>
        </w:tc>
        <w:tc>
          <w:tcPr>
            <w:tcW w:w="1464" w:type="dxa"/>
            <w:tcBorders>
              <w:bottom w:val="single" w:color="000000" w:sz="8" w:space="0"/>
              <w:right w:val="single" w:color="000000" w:sz="8" w:space="0"/>
            </w:tcBorders>
            <w:noWrap w:val="0"/>
            <w:tcMar>
              <w:top w:w="0" w:type="dxa"/>
              <w:left w:w="108" w:type="dxa"/>
              <w:bottom w:w="0" w:type="dxa"/>
              <w:right w:w="128" w:type="dxa"/>
            </w:tcMar>
            <w:vAlign w:val="center"/>
          </w:tcPr>
          <w:p>
            <w:pPr>
              <w:pStyle w:val="59"/>
              <w:keepNext w:val="0"/>
              <w:keepLines w:val="0"/>
              <w:pageBreakBefore w:val="0"/>
              <w:kinsoku/>
              <w:wordWrap/>
              <w:bidi w:val="0"/>
              <w:spacing w:line="400" w:lineRule="exact"/>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b w:val="0"/>
                <w:bCs w:val="0"/>
                <w:i w:val="0"/>
                <w:iCs w:val="0"/>
                <w:smallCaps w:val="0"/>
                <w:color w:val="auto"/>
                <w:sz w:val="24"/>
                <w:szCs w:val="24"/>
                <w:lang w:val="en-US" w:eastAsia="zh-CN"/>
              </w:rPr>
              <w:t>48</w:t>
            </w:r>
            <w:r>
              <w:rPr>
                <w:rFonts w:hint="eastAsia" w:ascii="宋体" w:hAnsi="宋体" w:eastAsia="宋体" w:cs="宋体"/>
                <w:b w:val="0"/>
                <w:bCs w:val="0"/>
                <w:i w:val="0"/>
                <w:iCs w:val="0"/>
                <w:smallCaps w:val="0"/>
                <w:color w:val="auto"/>
                <w:sz w:val="24"/>
                <w:szCs w:val="24"/>
              </w:rPr>
              <w:t>万元</w:t>
            </w:r>
          </w:p>
        </w:tc>
        <w:tc>
          <w:tcPr>
            <w:tcW w:w="3707" w:type="dxa"/>
            <w:tcBorders>
              <w:bottom w:val="single" w:color="000000" w:sz="8" w:space="0"/>
              <w:right w:val="single" w:color="000000" w:sz="8" w:space="0"/>
            </w:tcBorders>
            <w:noWrap w:val="0"/>
            <w:tcMar>
              <w:top w:w="0" w:type="dxa"/>
              <w:left w:w="108" w:type="dxa"/>
              <w:bottom w:w="0" w:type="dxa"/>
              <w:right w:w="128" w:type="dxa"/>
            </w:tcMar>
            <w:vAlign w:val="center"/>
          </w:tcPr>
          <w:p>
            <w:pPr>
              <w:pStyle w:val="59"/>
              <w:keepNext w:val="0"/>
              <w:keepLines w:val="0"/>
              <w:pageBreakBefore w:val="0"/>
              <w:kinsoku/>
              <w:wordWrap/>
              <w:bidi w:val="0"/>
              <w:spacing w:line="400" w:lineRule="exact"/>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b w:val="0"/>
                <w:bCs w:val="0"/>
                <w:i w:val="0"/>
                <w:iCs w:val="0"/>
                <w:smallCaps w:val="0"/>
                <w:color w:val="auto"/>
                <w:sz w:val="24"/>
                <w:szCs w:val="24"/>
                <w:lang w:eastAsia="zh-CN"/>
              </w:rPr>
              <w:t>成交人</w:t>
            </w:r>
            <w:r>
              <w:rPr>
                <w:rFonts w:hint="eastAsia" w:ascii="宋体" w:hAnsi="宋体" w:eastAsia="宋体" w:cs="宋体"/>
                <w:b w:val="0"/>
                <w:bCs w:val="0"/>
                <w:i w:val="0"/>
                <w:iCs w:val="0"/>
                <w:smallCaps w:val="0"/>
                <w:color w:val="auto"/>
                <w:sz w:val="24"/>
                <w:szCs w:val="24"/>
              </w:rPr>
              <w:t>须保障采购人食堂用餐食材需求，配送范围：大米、面粉、禽蛋、食用油、豆制品、奶制品、调味品、烘焙材料、各类辅料，各类蔬菜、水果，新鲜肉类、新鲜水产品，冷冻食品（水产品冻品、肉类冻品）、干货等。</w:t>
            </w:r>
          </w:p>
        </w:tc>
      </w:tr>
    </w:tbl>
    <w:p>
      <w:pPr>
        <w:pStyle w:val="40"/>
        <w:keepNext w:val="0"/>
        <w:keepLines w:val="0"/>
        <w:pageBreakBefore w:val="0"/>
        <w:numPr>
          <w:ilvl w:val="0"/>
          <w:numId w:val="2"/>
        </w:numPr>
        <w:kinsoku/>
        <w:wordWrap/>
        <w:bidi w:val="0"/>
        <w:spacing w:after="156" w:line="400" w:lineRule="exact"/>
        <w:ind w:firstLine="481"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技术和服务要求</w:t>
      </w:r>
    </w:p>
    <w:p>
      <w:pPr>
        <w:keepNext w:val="0"/>
        <w:keepLines w:val="0"/>
        <w:pageBreakBefore w:val="0"/>
        <w:kinsoku/>
        <w:wordWrap/>
        <w:bidi w:val="0"/>
        <w:adjustRightInd w:val="0"/>
        <w:snapToGrid w:val="0"/>
        <w:spacing w:line="400" w:lineRule="exact"/>
        <w:ind w:firstLine="481"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1.质量要求</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人提供的所有货物必须符合《中华人民共和国食品安全法》《中华人民共和国农产品质量安全法》《中华人民共和国产品质量法》及国家行业标准的有关规定，供应的货物应留有三分之二（含）以上的保质期限且大小均匀，货物验收实行索证制度。具体要求如下：</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（1）稻米的质量检验标准</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米的品质是由多方面因素决定的，主要有大米的品种、成熟情况、含水量，主要的方法和标准是大米的外观形态及大米的存放时间长短等。综合上述因素，检验大米的品质，以其粒形、腹白、硬度及其新鲜度来确定。</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米的粒形：以米粒形均匀、整齐、重量轻、没有碎米和爆腰米的品质为较好，相反则差。碎米是指米的体积在整粒的2/3以下的米，爆腰米为米粒上有裂纹的米，易碎、口味较差。</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米的腹白：米粒上呈乳白色的部分叫腹白，没有腹白的米，体积小、硬度低，易碎，蛋白质含量低，品质差。</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米的硬度：米能承担机械压力的程度叫米的硬度，凡是硬度大的米品质就高。硬度小的米，品质就差，易成碎米。</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　米的新鲜度：米的品质检验除上述三种外，对其新鲜度和卫生状况的检查是最主要的方面。新鲜的米有清香味和光泽、无米糠和其它杂物、无虫害、无异味、无霉味，用手摸时滑爽、干燥。而陈米则颜色暗淡无光、染有虫害痕迹，甚至发霉、粘连结块，煮熟食用，质感粗糙、口味差。</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（2）面粉的品质检验标准</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面粉品质好坏有较明显的区别，主要从含水量、颜色、面筋质和新鲜度等几个方面进行品质检验。</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水分：国家规定面粉含水量在12-13%间，含水量正常的面粉用手捏有滑爽的感觉，如捏而有形不散，则含水量过多，不易存放。</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面粉的颜色随着面粉加工的精度不同而不同,颜色越白精度越高,但其维生素含量低,如果保管时间过长或保管条件潮湿,面粉的颜色就会加深,品质降低。</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面筋质：面筋质决定面粉品质，面筋质含量高，品质就好，但也有一定的含量标准，如果过高其它成分就相应减少，品质就不一定好。</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　新鲜度：新鲜的面粉有正常气味，颜色较淡。如是带有腐败味、霉味、颜色发深的面粉已陈，如因水分过多，产生发霉、结块现象，表明已变质，新鲜程度是鉴定面粉品质的基本标准和方法。</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　成交人提供的面粉必须符合GB1355小麦粉国家标准并拥有“SC”食品生产许可证。</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　特制一等：灰分(以干基计)≤0.70%；粗细度：全部通过CB36号筛，留存在CB42号筛的不超过10.0%；面筋质（以湿重计）：≥26.0%；含砂量：≤0.02%；磁性金属物≤0.003g/Kg；水分≤14.0%；脂肪酸值（以湿基计）：≤80；气味、口味：正常。</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⑦　特制二等：灰分(以干基计)≤0.85%；粗细度：全部通过CB30号筛，留存在CB36号筛的不超过10.0%；面筋质（以湿重计）：≥25.0%；含砂量：≤0.02%；磁性金属物≤0.003g/Kg；水分≤14.0%；脂肪酸值（以湿基计）：≤80；气味、口味：正常。</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⑧　标准粉：灰分(以干基计)≤1.10%；粗细度：全部通过CB20号筛，留存在CB30号筛的不超过20.0%；面筋质（以湿重计）：≥24.0%；含砂量：≤0.02%；磁性金属物≤0.003g/Kg；水分≤13.5%；脂肪酸值（以湿基计）：≤80；气味、口味：正常。</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⑨　普通粉：灰分(以干基计)≤1.40%；粗细度：全部通过CB20号筛；面筋质（以湿重计）：≥22.0%；含砂量：≤0.02%；磁性金属物≤0.003g/Kg；水分≤13.5%；脂肪酸值（以湿基计）：≤80；气味、口味：正常。</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（3）淀粉的品质检验标准</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淀粉的品质因不同的加工原料而有差别，因此对淀粉的品质检验，除考虑其固有品质外，应从其加工纯度和是否含有其它杂质及含水量等方面来检验。纯度愈高，杂质愈少，含水量愈低，其品质愈好。</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（4）禽蛋品质检验标准</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成交人提供的禽蛋应符合GB 2749国家标准。</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色泽：具有禽蛋固有的色泽；</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组织形态：蛋壳清洁、无破裂，打开后蛋黄凸起、完整、有韧性，蛋白澄清透明、稀稠分明；</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气味：具有货物固有的气味，无异味；</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　杂质：无杂质，内容物不得有血块及其他组织异物。</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（5）副食品、烘焙材料及其他类</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所有的副食品及烘焙材料必须符合国家卫生标准和质量要求。</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糖、味精、酱油、醋、豆制品、生粉等必须具有“SC”食品生产许可证。</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（6）奶制品</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巴氏杀菌乳：成交人提供的巴氏杀菌乳应符合GB19645国家标准,要求当天鲜奶并提供全程冷链运输配送；</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色泽：呈乳白色或微黄色；</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滋味、气味：具有乳固有的香味，无异味；</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　组织状态：呈均匀一致液体，无凝块、无沉淀、无正常视力可见异物。</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　发酵乳：成交人提供的发酵乳应符合GB19302国家标准。</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　色泽：色泽均匀一致，呈乳白色或微黄色（风味发酵乳：具有添加成分相符的色泽）；</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⑦　滋味、气味：具有发酵乳特有的滋味、气味（风味发酵乳：具有添加成分相符的滋味和气味）；</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⑧　组织状态：组织细腻、均匀，允许有少量乳清析出；风味发酵乳具有添加成分特有的组织状态。</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⑨　其他奶制品必须符合卫生质量要求及国家相关标准。</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（7）蔬菜</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成交人提供的必须是新鲜蔬菜，质量必须符合国家食品卫生管理相关标准及法规要求：</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农药残留不得超过《食品中农药最大残留限量》（GB2763）国家标准；</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不得提供腐烂变质、黄叶、烂叶及带泥巴的蔬菜；</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蔬菜外表不得人为喷洒水分和有过多的虫孔；</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　不得提供过长的菜头和菜根。</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　当季当地和农家有机蔬菜优先。</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（8）水果</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成交人提供的必须是新鲜水果，质量必须符合国家食品卫生管理相关标准及法规要求：</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农药残留不得超过《食品中农药最大残留限量》（GB2763）国家标准；</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②　果形端正，大小均匀，无畸形果，带果柄，果实无萎焉； </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果面新鲜洁净，无刺划伤，无压痕，无病虫害，无病斑，无腐烂；</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　口感正常，具有水果特有的风味；</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成交人每批蔬菜、水果必须出具一份农药残留检测报告。</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（9）新鲜肉类、新鲜水产品类等：</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猪、牛、羊、鸡、鸭等鲜肉类及其制品，海水产的鱼、虾、贝、蟹、藻、头足等鲜水货物类及其制品。</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成交人提供的猪、牛、羊、鸡、鸭等新鲜肉类必须符合GB2707、GB16869国家标准，每批次猪、牛、羊、鸡、鸭等新鲜肉类必须提供动物货物检验检疫合格证明，且符合食品卫生相关标准及法规要求。</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猪、牛、羊等新鲜肉类:无异味、无酸败味；</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鸡、鸭等新鲜肉类：表皮和肌肉切面有光泽，具有禽类品种应有的气味，无异味。</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成交人提供的鱼、虾、贝、蟹、藻、头足等新鲜水货物类必须符合GB 2733国家标准，泥海螺、河海蟹、海螃蟆、河海虾、淡海水贝类必须鲜活，且符合食品卫生相关标准及法规要求。</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（10）冻品、干货等：</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动物肉类冻品包含猪、牛、羊、鸡、鸭等冷冻肉类及其制品，海淡水类冷冻品包含鱼、虾、贝、蟹、藻、头足等冻水货物类及其制品。</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成交人提供的猪、牛、羊、鸡、鸭等冻肉类必须符合GB2707、GB16869国家标准，每批次猪、牛、羊、鸡、鸭等冻肉类必须提供动物货物检验检疫合格证明，且符合食品卫生相关标准及法规要求。</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猪、牛、羊等冻肉类:无异味、无酸败味；</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鸡、鸭等冻肉类：表皮和肌肉切面有光泽，具有禽类品种应有的气味，无异味。</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成交人提供的鱼、虾、贝、蟹、藻、头足等冻水货物类必须符合GB 2733国家标准，泥海螺、河海蟹、海螃蟆、河海虾、淡海水贝类必须新鲜急冻，且符合食品卫生相关标准及法规要求。</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几种主要干货制品的质量标准：</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肉皮：作为干肉皮，无论什么部位，体表洁净无毛，白亮无残余肥膘，无虫蛀，干爽，敲击时响声清脆，质量均匀为好，反之则为次之，如已发霉，并有哈喇味，即已变质。</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玉兰片：玉兰片以色泽黄白、洁净、肉厚、纤维少、节较密、体长不超过10-17CM的为最好，肉薄节疏、纤维多而粗老的质量较差。</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黄花菜：又名金针菜，干燥、有清香味，菜色黄亮，身条长而粗壮，条杆粗细均匀者为佳。</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　黑木耳：黑木耳的质量一般以条形大而完整，耳瓣舒展少卷曲，内厚黑，富于光泽，体干不霉，无杂质和碎者为优，反之则差。</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　银耳：银耳又称白木耳，以朵大、色洁白、有光泽，无杂质，根小，干度足，完整者为佳品，朵小、色黄、根大、无光泽，散碎者次之；黄黑色者质量最次，依上述标准可将银耳分为上中下三等。质量好的银耳，根部易酥烂，食之柔软，质量次则根部大而发硬。</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　香菇：根据采收季节和形状不同，香菇又分为花菇、厚菇、薄茹和姑丁四类，其中以花菇质量最好，厚茹次之，薄菇再次之，菇丁质量最差。</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A、花菇：朵小柄短，呈半球状，菇伞顶面有似菊花似的白色裂纹，肉厚、菌盖色泽淡黑，菇底褶，通过加工呈淡黄色，身干、质嫩、有芳香气味者为质好香菇。</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B、厚菇：形状如伞，顶面无花纹，呈黑色并略有光泽，质嫩、肉厚、朵稍大，质量稍次。</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C、薄菇：形状扁平、开伞、朵大、肉薄、菌盖表面浅褐色，菌褶白色，菌柄稍高，浅咖啡色，基部稍带红色或红褐色，质量比花菇厚，味淡。</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D、菇丁：是指未充分发育的香菇,个小，直径在2CM以下，味淡质差。</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⑦　腐竹：腐竹又名豆腐皮和油皮，有一、二、三级品之分。</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一级品：色泽黄亮、干燥筋韧、耐贮、无碎块。</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二级品：颜色较一级品灰黄，干燥无碎块。</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三级品：颜色更灰黄、无光泽、易碎、筋韧性差。</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⑧　粉丝：质量好的粉丝，粉条细长、白净、晶莹透明、丝条均匀、整齐、干燥，不易折断，无斑点、黑迹，无霉变，有粉丝特有的光泽。</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⑨　蹄筋：猪蹄筋的质量首先从蹄筋抽取的部位区别，后蹄筋体长而圆、粗状、光滑的品质好。前蹄筋体短而扁细、品质较差、保管完好的蹄筋应呈白色、无杂质、干、硬度高。</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⑩　干贝：上等干贝粒大完整、黄亮干燥、肉质结饱满，肉丝清晰、粗且有特殊香气。粒小、碎破、色淡无光泽者较次。破碎、发黑发霉的为变质品。</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⑪　鱿鱼：市场上常见的鱿鱼有椭圆形和长形，选购时应注意：体干、体形完整、光亮洁净、淡粉红色、片大头小、肉厚者为优。体形部分蜷曲，尾部和背部红中透暗，两侧有微红点、体小而宽、肉薄者为次品。</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⑫　紫菜：紫菜属海产红藻类植物，因鲜紫菜叶较宽大，经干制成长方块形，散片状卷筒，其中以卷筒形柔嫩微脆、叶薄、色紫清香鲜美的为品质最优。</w:t>
      </w:r>
    </w:p>
    <w:p>
      <w:pPr>
        <w:keepNext w:val="0"/>
        <w:keepLines w:val="0"/>
        <w:pageBreakBefore w:val="0"/>
        <w:kinsoku/>
        <w:wordWrap/>
        <w:bidi w:val="0"/>
        <w:adjustRightInd w:val="0"/>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⑬　鱼肚：其标准一般为体大整齐、肚厚、身干、光洁明亮、无虫蛀腐者好；灰暗、肉薄、体小则次之，有虫蛀、颜色发黑、变霉则为变质品。</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highlight w:val="none"/>
          <w:lang w:val="en-US" w:eastAsia="zh-CN"/>
        </w:rPr>
        <w:t>团队要求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2.1基本要求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供应商拟配置于本项目的服务人员：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2.1.1不得有涉黄、涉赌、涉毒、涉黑以及有任何的违法、违纪等不良记录。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拟配置于本项目的配送人员，所有人员均应持证（健康证）上岗，保持良好的服务态度，穿戴整齐，规范佩戴口罩。本项目要求专人专车负责配送，成交后向采购人提供配送人员有效的身份证件和车辆行驶证证件。成交人须派固定车辆和司机负责送货上门(车牌号及送货人员名单应报采购人备案），如遇人员调整应提前3日书面报备采购人，未经采购人同意不得擅自更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成交后须派固定服务对接人员，协调具体的配送事宜。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2.1.3成交人负责本项目履约过程中的服务人员的安全教育、安全保障、安全责任、保密教育、保密责任。成交人负责本项目的服务人员须签订安全保密协议。</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2.1.4成交人应向采购人提供本项目服务人员姓名、身份证信息及24小时服务电话。服务人员如有变更，应提前3日书面报备采购人，未经采购人同意不得擅自更换。</w:t>
      </w:r>
    </w:p>
    <w:p>
      <w:pPr>
        <w:keepNext w:val="0"/>
        <w:keepLines w:val="0"/>
        <w:pageBreakBefore w:val="0"/>
        <w:numPr>
          <w:ilvl w:val="0"/>
          <w:numId w:val="0"/>
        </w:numPr>
        <w:kinsoku/>
        <w:wordWrap/>
        <w:bidi w:val="0"/>
        <w:spacing w:line="400" w:lineRule="exact"/>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3.管理实施要求</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采购人每天对成交人的到货时间、到货及时性、应到品种、实际到货品种、货物品质、退货情况、产品退货率等进行记录，每月进行综合考评，对成交人的不诚信行为进行警告、严重警告、承担扣除服务费及发送整改函等处理。</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3.2成交人应按合同约定供货，成交人不得转包、分包。否则采购人有权单方解除合同，并另行采购所需货物由此带来的一切损失和费用由成交人承担。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3.3成交人应遵守采购人单位的各项规定。</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3.4成交人除不可抗力外，不得因其他任何理由延迟送货。因成交人原因延误交货日期的（采购单位要求推迟的除外），采购人有权另行采购，并由成交人承担由此产生的一切损失和费用。</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3.5成交人在接到采购人下达的订单后，应严格按照订单指定的商标、名称、产地、规格和重量等要求提供货物，不得擅自变更。否则采购人有权拒收。</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采购人按合同对商品进行认真验收，对不符合规格要求的商品，采购人无条件退货；成交人未能履行采购文件和合同所约定事项、供应不合格的、假冒伪劣、以次充好的商品或供货时的商品与供应商响应文件中的承诺不符，采购人退货后将记录在案，并根据规定对成交人予以处理。成交人除要承担采购人因此产生的一切损失和费用外，情节严重的，采购人有权立即单方解除合同，并另行采购所需货物，由此带来的一切损失及费用由成交人承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3.7成交人按所供应商品的销售额开具国家正式发票。成交人应确保发票真实、合法、合规，如因发票问题导致采购人无法报销，相关责任及损失由成交人承担。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3.8成交人对所有供货商品保证质量安全合格。若被有效投诉2次或造成一起安全（监管和食品卫生）事故的，采购人有权立即单方解除合同。采购人有权自行采购，由此带来的一切损失及费用由成交人承担。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3.9食品溯源要求。成交人对食品供应链进行明确，所有食品的来源清晰，包装食品要有SC标志。生产食品的源头与成交人要有固定的合法的供应关系，严禁收购非标准产品供应。</w:t>
      </w:r>
      <w:r>
        <w:rPr>
          <w:rFonts w:hint="eastAsia" w:ascii="宋体" w:hAnsi="宋体" w:eastAsia="宋体" w:cs="宋体"/>
          <w:b/>
          <w:bCs/>
          <w:color w:val="auto"/>
          <w:sz w:val="24"/>
          <w:szCs w:val="24"/>
          <w:highlight w:val="none"/>
          <w:lang w:val="en-US" w:eastAsia="zh-CN"/>
        </w:rPr>
        <w:t>供应商若成交，提供给采购人的食材，均需对食品的来源和质量标准要有详尽的描述，并提出验收的行业标准和感官标准。如该品牌商品无质量标准，则需由成交人按国家和行业的要求自行描述。</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3.10不服从管理。在配送过程中与采购单位工作人员、采购人管理人员发生冲突、争执、打架斗殴等行为，采购人有权要求更换送货人员。情节严重时，采购人有权单方解除合同。采购人另行采购所需货物，造成的一切经济损失由成交人承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违章。成交人应严格遵守采购人的管理制度，服从采购人的管理。配送过程中不得发生违章行为，因违章造成的一切损失由成交人负全部责任。在合同期内若成交人接到采购人要求终止或解除供货合同的书面形式通知时，成交人应无条件终止合同。</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成交人代理采购的所有产品必须是正规渠道生产加工、正规商场和市场销售的产品。采购人有权知晓成交人采购渠道和采购场所并且进行调查，成交人必须无条件配合采购人调查，如拒绝或不配合，采购人有权单方解除合同并追究全部损失。</w:t>
      </w:r>
    </w:p>
    <w:p>
      <w:pPr>
        <w:keepNext w:val="0"/>
        <w:keepLines w:val="0"/>
        <w:pageBreakBefore w:val="0"/>
        <w:numPr>
          <w:ilvl w:val="0"/>
          <w:numId w:val="0"/>
        </w:numPr>
        <w:kinsoku/>
        <w:wordWrap/>
        <w:bidi w:val="0"/>
        <w:spacing w:line="400" w:lineRule="exact"/>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4.具体要求</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4.1配送运输</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4.1.1食品周转必须采用符合卫生标准的外包装和运载工具，并且要定期消毒、保持清洁。食品堆放科学合理，避免食品交叉污染。</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4.1.2运输过程中，各产品装框分类，整齐码放，防止交叉污染和相互挤压等情况。</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4.1.3增强安全意识。食品或食品原料装车以后中途不得离人，必须有人看管，防止有人投毒等意外事故发生。</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4.1.4采购的食品及食品原料装车以后，坚持配送人员负责到底的原则，即中途不得更换送货人员，以防止出现差错而责任难以区分的情况。</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4.1.5凡是装载过农药、化肥、异味浓烈、有毒物品的车辆不得用来运输食品及食品原料。</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4.1.6成交人应负责将采购的物资，在规定时间内将所需食材送达且搬运至采购人指定地点，配合采购人完成食材的过称验收工作，需冷藏运输的食材须采用冷链配送车辆配送。如遇特殊情况，则按照采购人指定的时间地点进行配送，成交人应配合。</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4.1.7成交人须派固定车辆和司机负责送货上门(车牌号及送货人员名单应报采购人备案），如遇人员调整应提前报采购人备案。成交人须派固定服务对接人员，协调具体的配送事宜。所有人员均应持证（健康证）上岗，保持良好的服务态度，穿戴整齐，规范佩戴口罩。</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4.1.8卫生清洁：运输车厢的内仓（包括地面、墙面和顶面）应使用抗腐蚀、防潮、易清洁消毒的材料。运输车辆应当保持清洁，无霉斑、鼠迹、苍蝇、蟑螂等，不得存放有毒、有害物品及个人生活用品，具有有效的防疫措施。运输车辆要每日消毒，保持清洁，车厢内无不良气味、异味。每日提供车辆消毒证明。</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4.1.9配送时须确保温度保持恒定，配送车辆温度做好记录并存档，采购人随时查验。食品应当有必要的保温设备并在整个运输过程中保持安全的温度。特别是对于长途运输的食品，保证食品在运输全过程处于合适的温度范围。</w:t>
      </w:r>
    </w:p>
    <w:p>
      <w:pPr>
        <w:keepNext w:val="0"/>
        <w:keepLines w:val="0"/>
        <w:pageBreakBefore w:val="0"/>
        <w:numPr>
          <w:ilvl w:val="0"/>
          <w:numId w:val="0"/>
        </w:numPr>
        <w:kinsoku/>
        <w:wordWrap/>
        <w:bidi w:val="0"/>
        <w:spacing w:line="400" w:lineRule="exact"/>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4.1.10车辆配备：成交人应至少配备1辆配送车辆（自有或租赁均可），并根据采购人实际需要相应增加。</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4.2保障要求</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4.2.1成交人必须在订货及配送过程中与采购单位保持密切配合。应根据采购单位采购人员下发的采购单内容进行采购配送，且保证所采购的产品质量完全合格。</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4.2.2肉制品、冻品必须附带本批次动物制品检验检疫合格证。蔬菜类必须附带本批次农药残留检测报告。</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4.2.3对有质量问题、来路不明、腐烂变质、价格偏高、超出采购单要求重量部分、存在其他食品安全隐患的原材料，采购人有权拒绝收货、退货。</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4.2.4送货人需要进入库房、加工区时，必须遵守采购人的相关管理规定。</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4.2.5送货人负责将所供应产品搬运到指定地点，摆放整齐。</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4.2.6成交人具有符合规定的场所。成交人应遵守国家及地方有关环保、节能减排等法律法规，因违反环保规定导致采购人被追责的，相关责任及损失由成交人承担。</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4.2.7成交人应对所供货物按国家有关标准进行配送，不得短斤少两、以次充好。验收时采购人若发现成交人所供货物重量不符合要求，采购人有权拒收、退回，成交人应负全部责任。采购人以现场测量实际重量结算。</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4.2.8成交人应接受采购人意见进行整改、及时退换货、遵守采购人管理制度及相关规定，满足采购人特殊采购模式的需求。若采购人突发应急采购，可允许采购人指定专人从成交人就近提货点提取所需货物。</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4.2.9成交人必须按时按量按质将货物送到采购人指定地点，并由采购人当面核实重量，并按照采购文件中列明的标准进行验收。验收完毕后，双方必须在货物收货清单（格式自定，但必须包括货物单价、数量、重量、合价等内容）上签名确认，货物收货清单作为采购人支付货款的依据之一。收货时由成交人及采购人严格按照质量标准要求规定共同进行验收，成交人必须按照采购人执行的索证制度的时间规定提供对应品种的检验检疫检测报告等证明材料。</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4.2.10对所供的货物提供“三包”，对质量不合格产品实行包换、包退。食品应安全清洁，并符合相关验收标准，食品应无损伤、腐烂现象、无寄生虫或已受虫害现象，对温度有要求的食品应确定食品的中心温度符合要求，保证在必要的保鲜或冷冻设施设备中储藏，转运车辆温度记录有留档可现场查验。若食品出现质量问题，成交人应在接到采购人通知后主城区配送点应于60分钟内、乡镇配送点可延长至90分钟内无条件退换到位。</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4.2.11成交人应按照采购人的采购需求（种类、品牌、数量、规格等）进行供应，且按采购需求进行分包、单独包装、加工等，供应的蔬菜、肉类、水产品由成交人按采购人特定需求免费切割、初步加工等，否则采购人有权拒收或更换，由此产生的费用由成交人承担。供应的蔬菜水果品种应尽可能多样化，根据季节特点，合理搭配叶类蔬菜、瓜类蔬菜和根茎类蔬菜供应比例。成交人必须按采购人每天蔬菜、肉类、水产品、调味品供应量、品种数量等要求供应，不能以任何理由拒送，否则视为违约处理。因供应商原因导致无法供货的，采购人采购人有权直接从第三方采购，相关费用及差价由成交人承担，且不影响采购人对成交人违约责任的追究。如遇台风、暴雨等不可预见原因造成个别品种的临时调整，应事先通知采购人，采购人同意确认后方可调整。因不可抗力导致无法履约的，受影响方应及时提供官方证明文件，双方可协商变更或解除合同。</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4.2.12食品送达采购人指定地点必须外包装完整，包装呈干爽状态，食品包装必须符合国家规范，不得使用有毒、有害的容器具进行存放转运，食品包装上必须有原产地的标识，应注明：制造商名称和厂址、食品名称和重（容）量、生产日期和保质期限以及规格。</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4.3供货时间</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4.3.1米面油、干货、奶制品、调味品等食材于下单后第二日9：00之前送达，除此之外其他食材须每日上午06:30之前送达（乡镇配送点可延长至07:00前送达）依据订单将采购人所需的合格食品送到采购人指定地点。</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4.3.2成交人接到采购人送货通知后，须负责将采购的所有物资在规定的时间内运至采购人要求的地点。采购人最早提前1天将准确的订购品种、数量告知成交人。成交人根据采购人指定时间将食材送至指定地点，全年无休。如遇紧急情况需调整配送时间、配送地点或配送次数的，应当在采购人提报需求后30分钟内响应并确认，主城区配送点应于60分钟内、乡镇配送点可延长至90分钟内将物资备齐并送至指定地点。个别品种无法完成备货的应当在需求提报时提出调整建议，不得增加配送费、加急费等相关费用。</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4.3.3采购人认定成交人所送货物与采购人订单或合同要求不符时或货物送达之前被损坏，有权要求退货或换货。成交人应在接到采购人通知后，30分钟内响应并确认，主城区配送点应于60分钟内、乡镇配送点可延长至90分钟内更换到位。</w:t>
      </w:r>
    </w:p>
    <w:p>
      <w:pPr>
        <w:keepNext w:val="0"/>
        <w:keepLines w:val="0"/>
        <w:pageBreakBefore w:val="0"/>
        <w:numPr>
          <w:ilvl w:val="0"/>
          <w:numId w:val="0"/>
        </w:numPr>
        <w:kinsoku/>
        <w:wordWrap/>
        <w:bidi w:val="0"/>
        <w:spacing w:line="400" w:lineRule="exact"/>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5.风险管控要求</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5.1违约责任及处理</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成交人存在下列情形之一的，均视为成交人违约,给采购人造成损失的，还需另行支付相应的赔偿并承担采购人因维护自身合法权利的而产生的所有费用包括但不限于律师费、诉讼费、保全费、保全保险费、公告费等。若当期服务费不足以扣除违约金的，成交人应在采购人书面通知后5日内补足差额，逾期未支付的，采购人有权暂停付款或解除合同。</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人发生违约情形，有申辩解释的权利。若因不可抗力或有其他正当理由，成交人能提出合理的解决方案，且采购人对成交人解释的理由及处理方案表示认可的，可免予扣除部分服务费。不可抗力的范围应严格限定为不可预见、不可避免且不可克服的客观情况，由成交人承担全部举证责任，采购人有权最终认定是否构成不可抗力。</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成交人未按采购人订货单要求的品种、品牌、规格、数量进行供货或未能按时供货或当日无法供货(不可抗力因素导致的除外)，导致采购人当日无法获取充足的物资的，采购人按订购的本批次相应物资价值的1.2倍要求成交人支付违约金，并有权在当期服务费中予以扣除，超过2次采购人有权解除本合同。</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5.1.2成交人供货数量、重量误差超过±5%即构成违约情形。若成交人存在短斤少两（短斤少两的部分超过当日采购量的5%）、弄虚作假，以次充好的问题，或所供物资为假冒伪劣、侵犯他人知识产权、来源不明的“三无”商品，则每发现1次，采购人按订购的本批次相应物资价值的1.2倍要求成交人支付违约金，并有权在当期服务费中予以扣除，超过2次采购人有权解除本合同。</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5.1.3成交人提供的物资合格证明材料(包括但不限于物资检疫检测报告、化验单、合格证等)与本批次物资不符或存在造假时，采购人有权拒收本批次全部物资，采购人按订购的本批次相应物资价值的1.2倍要求成交人支付违约金，并有权在当期服务费中予以扣除。同时采购人有权解除本合同。</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5.1.4成交人所供应物资的剩余保质期不得少于全部保质期的三分之二，若成交人所供的货物剩余保质期与磋商文件要求不符或已过保质期或腐败变质的，采购人有权拒收不合格物资，采购人按订购的本批次相应物资价值的1.2倍要求成交人支付违约金，并有权在当期服务费中予以扣除，超过2次采购人有权解除本合同。</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5.1.5成交人必须无条件接受工商、卫生监督等部门安全工作检查小组对食品安全方面的监督管理、检查考核。若因成交人原因造成采购方人员发生食物中毒等食品卫生安全事故，经市级以上疾控部门认定的食源性致病因素后，成交人应承担所有赔偿责任及赔偿采购人相关经济损失（包括但不限于医疗费、误工费、护理费等），同时采购人有权终止本合同。</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5.1.6采购人根据情况不定期组成抽查小组对成交人的供应食材全过程各环节进行抽查监督，包含但不限于配送食材质量、配送车辆卫生、储存环境、食材原料保存方法、配送服务人员卫生习惯、食品安全隐患等方面。抽查出现成交人不合格的情况，出现第一次至第三次由采购人按次扣除当期服务费200元，第四次至第六次由采购人按次扣除当期服务费300元，第七次以上（含第七次）视为成交人严重违约，采购人有权单方解除合同。</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5.1.7采购人有权对成交人供应的货物进行定期与不定期的抽样检验，采购人对有疑义的货物有权要求双方代表到场共同提取样品共同封存并送到双认可的送权威部门检测，成交人须无条件配合，</w:t>
      </w:r>
      <w:r>
        <w:rPr>
          <w:rFonts w:hint="eastAsia" w:ascii="宋体" w:hAnsi="宋体" w:eastAsia="宋体" w:cs="宋体"/>
          <w:b w:val="0"/>
          <w:bCs w:val="0"/>
          <w:color w:val="auto"/>
          <w:sz w:val="24"/>
          <w:szCs w:val="24"/>
          <w:highlight w:val="none"/>
          <w:lang w:val="en-US" w:eastAsia="zh-CN"/>
        </w:rPr>
        <w:t>成交人不得以合同争议、结算争议等为由拒绝履行供货、配合验收、配合调查等义务，</w:t>
      </w:r>
      <w:r>
        <w:rPr>
          <w:rFonts w:hint="eastAsia" w:ascii="宋体" w:hAnsi="宋体" w:eastAsia="宋体" w:cs="宋体"/>
          <w:color w:val="auto"/>
          <w:sz w:val="24"/>
          <w:szCs w:val="24"/>
          <w:highlight w:val="none"/>
          <w:lang w:val="en-US" w:eastAsia="zh-CN"/>
        </w:rPr>
        <w:t>抽检合格的检验费用由采购人支出，抽检不合格的即为成交人“货物质量不符合要求”,检验费用由成交人支付，采购人按订购的本批次相应物资价值的2倍要求成交人支付违约金，并有权在当期服务费中予以扣除，超过2次抽检不合格，采购人有权解除本合同。</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5.1.8成交人提供价格资料造假的，采购人有权对已购食材价格虚高部分进行核准据实结算，采购人按已购食材相应物资价值的1.2倍要求成交人支付违约金，并有权在当期服务费中予以扣除，超过2次采购人有权解除本合同。</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5.1.9成交人在送货途中运输、保管所产生的费用由成交人承担。若交接前货物发生损毁的、其他原因造成财产损失的，其损失由成交人自行承担。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5.1.10若因成交人原因，导致采购人同任何第三方发生法律纠纷（包括但不限于人身权纠纷、知识产权纠纷、物权纠纷等）而对外赔偿的，由此产生的法律责任及赔偿责任均由成交人承担，采购人有权追偿。</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因成交人违约被终止合同，应赔偿采购人相关经济损失，同时要承担相关法律责任。合同解除后，成交人应在采购人要求的合理期限内完成未结事项的交接、退还采购人财产、资料等，逾期未交接的，采购人有权自行处理，由此产生的损失由供应商承担。合同解除后，双方应在10个工作日内完成库存货物的清点、结算及交接。采购人有权自行或委托第三方进行替代采购，由此产生的合理费用及差价损失由成交人承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5.1.11其它要求：本项目不允许成交人以任何名义和理由进行转包，如有发现，采购人有权单方终止合同，视为成交人违约，成交人需另行支付相应的赔偿。本采购文件未明确的其它约定事项或条款，待采购人与成交人签订合同时，由双方协商订立。</w:t>
      </w:r>
    </w:p>
    <w:p>
      <w:pPr>
        <w:keepNext w:val="0"/>
        <w:keepLines w:val="0"/>
        <w:pageBreakBefore w:val="0"/>
        <w:numPr>
          <w:ilvl w:val="0"/>
          <w:numId w:val="0"/>
        </w:numPr>
        <w:kinsoku/>
        <w:wordWrap/>
        <w:bidi w:val="0"/>
        <w:spacing w:line="400" w:lineRule="exact"/>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6.履约验收要求</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6.1总体要求：成交人应安排专人在采购人指定地点配合称重及验收。</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6.2具体要求</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6.2.1成交人应按采购人订单规定的品种及要求供应所需货物，货物短缺时须在采购人规定时间内调配补齐所缺品种。若要更换品种须经采购人同意后方可更换。</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6.2.2货物送至采购人指定交货地点后，成交人应安排专人在采购人指定地点配合称重及验收，由采购人对货物进行验收，验收完毕后，双方必须在货物收货清单（格式自定，但必须包括货物品牌、单价、数量、重量、合价等内容）上签名确认，货物收货清单作为采购人支付货款的依据之一。如对验收结果有异议，成交人应在当日书面提出，逾期视为无异议。</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6.2.3采购人有权对不符合质量要求的货物予以退货或要求换货，采购人要求换货或补货的，应由成交人重新供货直至合格，有关供货再行验收，以及给采购人造成的一切损失及费用由成交人承担。累计两次项目验收不合格的，采购人可立即终止合同，采购人有权另行采购所需货物，由此带来的一切损失由成交人承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6.2.4质量要求：成交人供应的货物必须符合《中华人民共和国食品安全法》、《中华人民共和国农产品质量安全法》、《中华人民共和国产品质量法》等国家行业标准及南平市食品监管的有关规定，保证来源正规安全，均符合国家规定的质量、卫生、安全和防疫标准，并具有相关的检验检疫合格证明。成交人对提供货物的质量、卫生、食品安全和防疫措施承担全部责任，且所有的货物保质期不得低于三分之二。允许采购人随时查阅货物各环节相关记录（包含原料采购记录及进货发票单据、原辅料的合格证明及验收记录、原辅料进出仓记录、生产过程记录、成品进出仓记录、成品检验报告&lt;自检、送检&gt;、销售记录、须冷链运输的货物提供冷链运输记录）等。</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6.2.5数量、重量要求：货物重量若有标准件按标准件抽样称重，并按抽样重量计算，没有标准件按实际过磅重量计算；成交人供货的过磅货物数量或重量不低于或高于订单采购货物的5%，超出采购数量部分不予结算，缺少部分成交人须于货物到达采购人指定地点主城区配送点应于60分钟内、乡镇配送点可延长至90分钟内之内按订单的所列数量补齐。</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6.2.6退换货要求：成交人所送货物与采购人订单或合同要求不符时或货物送达之前被损坏，采购人有权单方认定货物不合格并直接退货或要求换货，无需双方确认。成交人须接受免费提供包换、包退服务，并应在接到采购人通知后30分钟内响应并确认，主城区配送点应于60分钟内、乡镇配送点可延长至90分钟内无条件退换到位。</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6.2.7应急保障要求：成交人应提供自然灾害、公共卫生事件、停水、停电、防疫等特殊情况下供应物资应急预备方案。</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6.2.8成交人应接受采购人的意见及时进行整改，遵守采购人管理的有关规定，满足采购人的需求。成交人在收到采购人的整改函未能及时整改超过2次，采购人有权立即终止合同，并另行采购所需货物，由此带来的一切损失及费用由成交人承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6.2.9抽查发现食品安全质量问题的处理</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危及人身安全的食品质量问题采取零容忍措施，一经发现，当日所送同批次产品全部退货，如发现腐败变质肉类等，成交人承担由此造成的一切经济损失及费用，采购人有权追究成交人责任，有权立即终止合同。另行采购所需货物，由此带来的一切损失及费用由成交人承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（2）若抽查未发现问题，而在加工食用前发现部分产品质量问题，应立即通知采购人使用单位伙食物资验收小组及供应商，将问题产品退货处理。</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（3）抽查发现资质证照不全问题的处理</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畜禽冻肉类整批产品无政府部门出具的动植物检疫合格证明的全部退货；</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发现部分畜禽冻肉类产品无政府部门出具的动植物检疫合格证明，全部退货；</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整批产品有省地市出具的动植物检疫合格证明，随箱产品合格证不齐全的，全部退货；</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（4）发现私宰肉或伪造相关证明文件的处理：采购人有权立即终止合同，并另行采购所需货物，由此带来的一切损失及费用由成交人承担。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6.2.10退（补）货流程</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不符合质量要求的货物由采购人使用单位验收人员提出清退，如双方对质量或重量有争议的，可由双方共同封存复检样本，并送具有检验资质的第三方检测机构检测，检测结果作为最终处理依据。对数量不足或部分退货的，则成交人在不影响供应的前提下尽快补送。在退货过程中，对有碍公共卫生安全的食品，应按国家有关规定处理或进行协议销毁，不退货给成交人。</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6.3供应商配送服务考核表</w:t>
      </w:r>
    </w:p>
    <w:tbl>
      <w:tblPr>
        <w:tblStyle w:val="52"/>
        <w:tblW w:w="5000" w:type="pct"/>
        <w:tblCellSpacing w:w="0" w:type="dxa"/>
        <w:tblInd w:w="0" w:type="dxa"/>
        <w:tblLayout w:type="autofit"/>
        <w:tblCellMar>
          <w:top w:w="15" w:type="dxa"/>
          <w:left w:w="15" w:type="dxa"/>
          <w:bottom w:w="15" w:type="dxa"/>
          <w:right w:w="15" w:type="dxa"/>
        </w:tblCellMar>
      </w:tblPr>
      <w:tblGrid>
        <w:gridCol w:w="1346"/>
        <w:gridCol w:w="700"/>
        <w:gridCol w:w="5786"/>
        <w:gridCol w:w="1176"/>
      </w:tblGrid>
      <w:tr>
        <w:tblPrEx>
          <w:tblCellMar>
            <w:top w:w="15" w:type="dxa"/>
            <w:left w:w="15" w:type="dxa"/>
            <w:bottom w:w="15" w:type="dxa"/>
            <w:right w:w="15" w:type="dxa"/>
          </w:tblCellMar>
        </w:tblPrEx>
        <w:trPr>
          <w:trHeight w:val="375" w:hRule="atLeast"/>
          <w:tblCellSpacing w:w="0" w:type="dxa"/>
        </w:trPr>
        <w:tc>
          <w:tcPr>
            <w:tcW w:w="5000" w:type="pct"/>
            <w:gridSpan w:val="4"/>
            <w:tcBorders>
              <w:top w:val="single" w:color="000000" w:sz="8" w:space="0"/>
              <w:left w:val="single" w:color="000000" w:sz="8" w:space="0"/>
              <w:right w:val="single" w:color="000000" w:sz="8" w:space="0"/>
            </w:tcBorders>
            <w:noWrap/>
            <w:tcMar>
              <w:top w:w="0" w:type="dxa"/>
              <w:left w:w="118" w:type="dxa"/>
              <w:bottom w:w="0" w:type="dxa"/>
              <w:right w:w="118" w:type="dxa"/>
            </w:tcMar>
            <w:vAlign w:val="center"/>
          </w:tcPr>
          <w:p>
            <w:pPr>
              <w:keepNext w:val="0"/>
              <w:keepLines w:val="0"/>
              <w:pageBreakBefore w:val="0"/>
              <w:kinsoku/>
              <w:wordWrap/>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供应商服务质量评议考核标准表(总分100分)</w:t>
            </w:r>
          </w:p>
        </w:tc>
      </w:tr>
      <w:tr>
        <w:tblPrEx>
          <w:tblCellMar>
            <w:top w:w="15" w:type="dxa"/>
            <w:left w:w="15" w:type="dxa"/>
            <w:bottom w:w="15" w:type="dxa"/>
            <w:right w:w="15" w:type="dxa"/>
          </w:tblCellMar>
        </w:tblPrEx>
        <w:trPr>
          <w:trHeight w:val="23" w:hRule="atLeast"/>
          <w:tblCellSpacing w:w="0" w:type="dxa"/>
        </w:trPr>
        <w:tc>
          <w:tcPr>
            <w:tcW w:w="693" w:type="pct"/>
            <w:vMerge w:val="restart"/>
            <w:tcBorders>
              <w:top w:val="single" w:color="000000" w:sz="8" w:space="0"/>
              <w:left w:val="single" w:color="000000" w:sz="8" w:space="0"/>
              <w:bottom w:val="nil"/>
              <w:right w:val="single" w:color="000000" w:sz="8" w:space="0"/>
            </w:tcBorders>
            <w:noWrap/>
            <w:tcMar>
              <w:top w:w="0" w:type="dxa"/>
              <w:left w:w="11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质量类、服务类</w:t>
            </w:r>
          </w:p>
        </w:tc>
        <w:tc>
          <w:tcPr>
            <w:tcW w:w="315" w:type="pct"/>
            <w:tcBorders>
              <w:top w:val="single" w:color="000000" w:sz="8" w:space="0"/>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393" w:type="pct"/>
            <w:tcBorders>
              <w:top w:val="single" w:color="000000" w:sz="8" w:space="0"/>
              <w:bottom w:val="single" w:color="000000" w:sz="8" w:space="0"/>
              <w:right w:val="single" w:color="000000" w:sz="8" w:space="0"/>
            </w:tcBorders>
            <w:noWrap/>
            <w:tcMar>
              <w:top w:w="0" w:type="dxa"/>
              <w:left w:w="118" w:type="dxa"/>
              <w:bottom w:w="0" w:type="dxa"/>
              <w:right w:w="118" w:type="dxa"/>
            </w:tcMar>
            <w:vAlign w:val="center"/>
          </w:tcPr>
          <w:p>
            <w:pPr>
              <w:keepNext w:val="0"/>
              <w:keepLines w:val="0"/>
              <w:pageBreakBefore w:val="0"/>
              <w:kinsoku/>
              <w:wordWrap/>
              <w:bidi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考核标准</w:t>
            </w:r>
          </w:p>
        </w:tc>
        <w:tc>
          <w:tcPr>
            <w:tcW w:w="596" w:type="pct"/>
            <w:tcBorders>
              <w:top w:val="single" w:color="000000" w:sz="8" w:space="0"/>
              <w:bottom w:val="single" w:color="000000" w:sz="8" w:space="0"/>
              <w:right w:val="single" w:color="000000" w:sz="8" w:space="0"/>
            </w:tcBorders>
            <w:noWrap/>
            <w:tcMar>
              <w:top w:w="0" w:type="dxa"/>
              <w:left w:w="118" w:type="dxa"/>
              <w:bottom w:w="0" w:type="dxa"/>
              <w:right w:w="118" w:type="dxa"/>
            </w:tcMar>
            <w:vAlign w:val="center"/>
          </w:tcPr>
          <w:p>
            <w:pPr>
              <w:keepNext w:val="0"/>
              <w:keepLines w:val="0"/>
              <w:pageBreakBefore w:val="0"/>
              <w:kinsoku/>
              <w:wordWrap/>
              <w:bidi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减分值</w:t>
            </w:r>
          </w:p>
          <w:p>
            <w:pPr>
              <w:keepNext w:val="0"/>
              <w:keepLines w:val="0"/>
              <w:pageBreakBefore w:val="0"/>
              <w:kinsoku/>
              <w:wordWrap/>
              <w:bidi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(分/次)</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配送食材不新鲜，闻有异味，有霉变情况的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配送食材被水浸泡后增重的，存在缺斤少两的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配送食材外包装破损，导致食材外观污损或变形的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配送的食材混杂，有明显异物的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配送的同品类食材存在以次充好的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配送未经检疫的肉类及其它食材原料的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配送成品原料无规定包装的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退换货的食材仍然发现存在不合格情况的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经抽查发现配送的食材原料检验不合格的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配送的食材无正当理由私自调换外包装的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有保存温度要求的食材未使用相关冷链车进行配送的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配送成品原料无生产批号或“三期”的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未及时响应采购人食材需求，出现逾期供货</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配送的食材价格高于市场价格</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配送的冷冻制品外置时间长，验收阶段前已出现化冰严重的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配送人员不服从采购人现场管理的，不配合称重及验收的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对食材供应抽查监督存在敷衍、阻挠等不配合情况的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对不符合配送条件的食材未及时进行退换货的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收到采购人的整改函后，未能按要求及时整改的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r>
      <w:tr>
        <w:tblPrEx>
          <w:tblCellMar>
            <w:top w:w="15" w:type="dxa"/>
            <w:left w:w="15" w:type="dxa"/>
            <w:bottom w:w="15" w:type="dxa"/>
            <w:right w:w="15" w:type="dxa"/>
          </w:tblCellMar>
        </w:tblPrEx>
        <w:trPr>
          <w:trHeight w:val="464"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配送的食材存在食品安全问题，造成采购方人员发生食物中毒等食品卫生安全事故的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配送的食材或预包装食品等合格证明材料、检疫检测报告、化验单、合格证等与实际不符或存在造假的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配送的食材剩余保质期与采购文件要求不符或已过保质期或腐败变质的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未征得采购人书面同意擅自更换配送食材品种、范围的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15" w:type="dxa"/>
            <w:left w:w="15" w:type="dxa"/>
            <w:bottom w:w="15" w:type="dxa"/>
            <w:right w:w="15" w:type="dxa"/>
          </w:tblCellMar>
        </w:tblPrEx>
        <w:trPr>
          <w:trHeight w:val="23" w:hRule="atLeast"/>
          <w:tblCellSpacing w:w="0" w:type="dxa"/>
        </w:trPr>
        <w:tc>
          <w:tcPr>
            <w:tcW w:w="693" w:type="pct"/>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400" w:lineRule="exact"/>
              <w:rPr>
                <w:rFonts w:hint="eastAsia" w:ascii="宋体" w:hAnsi="宋体" w:eastAsia="宋体" w:cs="宋体"/>
                <w:color w:val="auto"/>
                <w:sz w:val="24"/>
                <w:szCs w:val="24"/>
                <w:highlight w:val="none"/>
              </w:rPr>
            </w:pP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3393"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因成交人原因，导致采购人同任何第三方发生法律纠纷的</w:t>
            </w:r>
          </w:p>
        </w:tc>
        <w:tc>
          <w:tcPr>
            <w:tcW w:w="596"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tblPrEx>
          <w:tblCellMar>
            <w:top w:w="15" w:type="dxa"/>
            <w:left w:w="15" w:type="dxa"/>
            <w:bottom w:w="15" w:type="dxa"/>
            <w:right w:w="15" w:type="dxa"/>
          </w:tblCellMar>
        </w:tblPrEx>
        <w:trPr>
          <w:trHeight w:val="539" w:hRule="atLeast"/>
          <w:tblCellSpacing w:w="0" w:type="dxa"/>
        </w:trPr>
        <w:tc>
          <w:tcPr>
            <w:tcW w:w="693" w:type="pct"/>
            <w:tcBorders>
              <w:left w:val="single" w:color="000000" w:sz="8" w:space="0"/>
              <w:bottom w:val="single" w:color="000000" w:sz="8" w:space="0"/>
              <w:right w:val="single" w:color="000000" w:sz="8" w:space="0"/>
            </w:tcBorders>
            <w:noWrap/>
            <w:tcMar>
              <w:top w:w="0" w:type="dxa"/>
              <w:left w:w="11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其他未尽事项</w:t>
            </w:r>
          </w:p>
        </w:tc>
        <w:tc>
          <w:tcPr>
            <w:tcW w:w="315" w:type="pct"/>
            <w:tcBorders>
              <w:bottom w:val="single" w:color="000000" w:sz="8" w:space="0"/>
              <w:right w:val="single" w:color="000000" w:sz="8" w:space="0"/>
            </w:tcBorders>
            <w:noWrap/>
            <w:tcMar>
              <w:top w:w="0" w:type="dxa"/>
              <w:left w:w="10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3990" w:type="pct"/>
            <w:gridSpan w:val="2"/>
            <w:tcBorders>
              <w:bottom w:val="single" w:color="000000" w:sz="8" w:space="0"/>
              <w:right w:val="single" w:color="000000" w:sz="8" w:space="0"/>
            </w:tcBorders>
            <w:noWrap/>
            <w:tcMar>
              <w:top w:w="0" w:type="dxa"/>
              <w:left w:w="11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其他怠于履约，违反采购文件相关约定的，每次扣2分</w:t>
            </w:r>
          </w:p>
        </w:tc>
      </w:tr>
      <w:tr>
        <w:tblPrEx>
          <w:tblCellMar>
            <w:top w:w="15" w:type="dxa"/>
            <w:left w:w="15" w:type="dxa"/>
            <w:bottom w:w="15" w:type="dxa"/>
            <w:right w:w="15" w:type="dxa"/>
          </w:tblCellMar>
        </w:tblPrEx>
        <w:trPr>
          <w:trHeight w:val="1980" w:hRule="atLeast"/>
          <w:tblCellSpacing w:w="0" w:type="dxa"/>
        </w:trPr>
        <w:tc>
          <w:tcPr>
            <w:tcW w:w="5000" w:type="pct"/>
            <w:gridSpan w:val="4"/>
            <w:tcBorders>
              <w:left w:val="single" w:color="000000" w:sz="8" w:space="0"/>
              <w:bottom w:val="single" w:color="000000" w:sz="8" w:space="0"/>
              <w:right w:val="single" w:color="000000" w:sz="8" w:space="0"/>
            </w:tcBorders>
            <w:noWrap/>
            <w:tcMar>
              <w:top w:w="0" w:type="dxa"/>
              <w:left w:w="118" w:type="dxa"/>
              <w:bottom w:w="0" w:type="dxa"/>
              <w:right w:w="118" w:type="dxa"/>
            </w:tcMar>
            <w:vAlign w:val="center"/>
          </w:tcPr>
          <w:p>
            <w:pPr>
              <w:keepNext w:val="0"/>
              <w:keepLines w:val="0"/>
              <w:pageBreakBefore w:val="0"/>
              <w:kinsoku/>
              <w:wordWrap/>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考核说明：</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1.本项目的考核总分为：100分，按量化减分制考核。考核得分90分及以上合格；考核得分89-80分（含）按采购人要求进行整改；考核得分79分及以下或者累计2个月考核得分不合格（90分以下），采购人有权要求解除合同，并要求成交人赔偿由此给采购人带来的一切经济损失。</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2.考核结果作为采购人判断成交人是否能继续履行合同的主要依据。</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3.采购人每月一次对供应商服务质量进行评议统计。采购人行使某项权利不视为放弃其他权利，部分条款无效不影响其他条款效力。采购人每月一次对供应商服务质量进行评议统计。 供应商对考核扣分事项享有5个工作日内书面申辩权利，采购人应在收到申辩后3个工作日内予以书面答复。</w:t>
            </w:r>
          </w:p>
        </w:tc>
      </w:tr>
    </w:tbl>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注：采购人有权对配送服务考核表、服务内容、验收标准、配送要求等相关内容在签订政府采购合同时，或在项目执行过程中根据实际情况进行调整。</w:t>
      </w:r>
    </w:p>
    <w:p>
      <w:pPr>
        <w:keepNext w:val="0"/>
        <w:keepLines w:val="0"/>
        <w:pageBreakBefore w:val="0"/>
        <w:numPr>
          <w:ilvl w:val="0"/>
          <w:numId w:val="2"/>
        </w:numPr>
        <w:kinsoku/>
        <w:wordWrap/>
        <w:bidi w:val="0"/>
        <w:spacing w:line="400" w:lineRule="exact"/>
        <w:ind w:left="0" w:leftChars="0"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商务条件</w:t>
      </w:r>
    </w:p>
    <w:p>
      <w:pPr>
        <w:keepNext w:val="0"/>
        <w:keepLines w:val="0"/>
        <w:pageBreakBefore w:val="0"/>
        <w:numPr>
          <w:ilvl w:val="0"/>
          <w:numId w:val="0"/>
        </w:numPr>
        <w:kinsoku/>
        <w:wordWrap/>
        <w:bidi w:val="0"/>
        <w:spacing w:line="400" w:lineRule="exact"/>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1.付款方式</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人应于每月20日前开具上月供货发票并附相关凭证提交采购人，采购人在收到供货发票后经核对无误及时予以支付相应货款。结算价=基准价×成交结算系数，按实际采购量结算。当实际采购用量低于预估用量时，成交人不得要求采购人按预估用量结算。</w:t>
      </w:r>
    </w:p>
    <w:p>
      <w:pPr>
        <w:keepNext w:val="0"/>
        <w:keepLines w:val="0"/>
        <w:pageBreakBefore w:val="0"/>
        <w:numPr>
          <w:ilvl w:val="0"/>
          <w:numId w:val="0"/>
        </w:numPr>
        <w:kinsoku/>
        <w:wordWrap/>
        <w:bidi w:val="0"/>
        <w:spacing w:line="400" w:lineRule="exact"/>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2.配送地点</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（1）福建省邵武市福寿中路68号国家税务总局邵武市税务局大楼3层市局机关食堂。</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（2）福建省邵武市吴家塘镇S1号楼国家税务总局邵武市税务局吴家塘税务分局。</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（3）福建省邵武市拿口镇庄上村迎宾街318号国家税务总局邵武市税务局拿口税务分局。</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（4）福建省邵武市和平镇聚奎路13号国家税务总局邵武市税务局和平税务分局。</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（5）福建省邵武市下沙镇下沙街西路3号国家税务总局邵武市税务局下沙税务分局</w:t>
      </w:r>
    </w:p>
    <w:p>
      <w:pPr>
        <w:keepNext w:val="0"/>
        <w:keepLines w:val="0"/>
        <w:pageBreakBefore w:val="0"/>
        <w:numPr>
          <w:ilvl w:val="0"/>
          <w:numId w:val="0"/>
        </w:numPr>
        <w:kinsoku/>
        <w:wordWrap/>
        <w:bidi w:val="0"/>
        <w:spacing w:line="400" w:lineRule="exact"/>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3.项目实施时间要求</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自合同生效之日起半年。</w:t>
      </w:r>
    </w:p>
    <w:p>
      <w:pPr>
        <w:keepNext w:val="0"/>
        <w:keepLines w:val="0"/>
        <w:pageBreakBefore w:val="0"/>
        <w:kinsoku/>
        <w:wordWrap/>
        <w:bidi w:val="0"/>
        <w:spacing w:line="400" w:lineRule="exact"/>
        <w:ind w:firstLine="481"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4.保密要求</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成交人要做好项目保密工作，不得将合同转包或分包。成交人及其工作人员在履行合同过程中知悉的采购人的国家秘密、工作秘密、业务信息、员工信息等均应严格保密，泄密方应承担相应法律责任。未经采购人书面同意不得向第三方披露、泄露或用于本合同以外的目的，采购人有权追究其法律责任并要求赔偿损失。保密期限为永久。</w:t>
      </w:r>
    </w:p>
    <w:p>
      <w:pPr>
        <w:keepNext w:val="0"/>
        <w:keepLines w:val="0"/>
        <w:pageBreakBefore w:val="0"/>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4.2成交人负责本项目的服务人员须签订安全保密协议。成交人应采取有效措施保障采购人信息安全，因成交人原因导致采购人信息泄露、丢失、被盗用等，须承担全部责任并赔偿采购人损失。</w:t>
      </w:r>
    </w:p>
    <w:p>
      <w:pPr>
        <w:keepNext w:val="0"/>
        <w:keepLines w:val="0"/>
        <w:pageBreakBefore w:val="0"/>
        <w:numPr>
          <w:ilvl w:val="0"/>
          <w:numId w:val="0"/>
        </w:numPr>
        <w:kinsoku/>
        <w:wordWrap/>
        <w:bidi w:val="0"/>
        <w:spacing w:line="400" w:lineRule="exact"/>
        <w:ind w:firstLine="481"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5.验收要求：</w:t>
      </w:r>
      <w:r>
        <w:rPr>
          <w:rFonts w:hint="eastAsia" w:ascii="宋体" w:hAnsi="宋体" w:eastAsia="宋体" w:cs="宋体"/>
          <w:color w:val="auto"/>
          <w:sz w:val="24"/>
          <w:szCs w:val="24"/>
          <w:highlight w:val="none"/>
          <w:lang w:val="en-US" w:eastAsia="zh-CN"/>
        </w:rPr>
        <w:t>验收安排：成交人必须按时按量按质将货物送到采购人指定地点，并由采购人按照采购文件中列明的标准按日验收，按月考核。</w:t>
      </w:r>
    </w:p>
    <w:p>
      <w:pPr>
        <w:pStyle w:val="49"/>
        <w:keepNext w:val="0"/>
        <w:keepLines w:val="0"/>
        <w:pageBreakBefore w:val="0"/>
        <w:kinsoku/>
        <w:wordWrap/>
        <w:bidi w:val="0"/>
        <w:spacing w:before="0" w:after="0" w:line="400" w:lineRule="exact"/>
        <w:ind w:firstLine="481"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lang w:val="en-US" w:eastAsia="zh-CN"/>
        </w:rPr>
        <w:t>6.报价要求：</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以</w:t>
      </w:r>
      <w:r>
        <w:rPr>
          <w:rFonts w:hint="eastAsia" w:ascii="宋体" w:hAnsi="宋体" w:eastAsia="宋体" w:cs="宋体"/>
          <w:b/>
          <w:bCs/>
          <w:color w:val="auto"/>
          <w:sz w:val="24"/>
          <w:szCs w:val="24"/>
          <w:lang w:val="en-US" w:eastAsia="zh-CN"/>
        </w:rPr>
        <w:t>结算</w:t>
      </w:r>
      <w:r>
        <w:rPr>
          <w:rFonts w:hint="eastAsia" w:ascii="宋体" w:hAnsi="宋体" w:eastAsia="宋体" w:cs="宋体"/>
          <w:b/>
          <w:bCs/>
          <w:color w:val="auto"/>
          <w:sz w:val="24"/>
          <w:szCs w:val="24"/>
        </w:rPr>
        <w:t>系数进行报价（如打8.5折，即</w:t>
      </w:r>
      <w:r>
        <w:rPr>
          <w:rFonts w:hint="eastAsia" w:ascii="宋体" w:hAnsi="宋体" w:eastAsia="宋体" w:cs="宋体"/>
          <w:b/>
          <w:bCs/>
          <w:color w:val="auto"/>
          <w:sz w:val="24"/>
          <w:szCs w:val="24"/>
          <w:lang w:val="en-US" w:eastAsia="zh-CN"/>
        </w:rPr>
        <w:t>结算</w:t>
      </w:r>
      <w:r>
        <w:rPr>
          <w:rFonts w:hint="eastAsia" w:ascii="宋体" w:hAnsi="宋体" w:eastAsia="宋体" w:cs="宋体"/>
          <w:b/>
          <w:bCs/>
          <w:color w:val="auto"/>
          <w:sz w:val="24"/>
          <w:szCs w:val="24"/>
        </w:rPr>
        <w:t>系数为0.85），供货价格以各有效</w:t>
      </w:r>
      <w:r>
        <w:rPr>
          <w:rFonts w:hint="eastAsia" w:ascii="宋体" w:hAnsi="宋体" w:cs="宋体"/>
          <w:b/>
          <w:bCs/>
          <w:color w:val="auto"/>
          <w:sz w:val="24"/>
          <w:szCs w:val="24"/>
          <w:lang w:val="en-US" w:eastAsia="zh-CN"/>
        </w:rPr>
        <w:t>供应商</w:t>
      </w:r>
      <w:r>
        <w:rPr>
          <w:rFonts w:hint="eastAsia" w:ascii="宋体" w:hAnsi="宋体" w:eastAsia="宋体" w:cs="宋体"/>
          <w:b/>
          <w:bCs/>
          <w:color w:val="auto"/>
          <w:sz w:val="24"/>
          <w:szCs w:val="24"/>
        </w:rPr>
        <w:t>报价</w:t>
      </w:r>
      <w:r>
        <w:rPr>
          <w:rFonts w:hint="eastAsia" w:ascii="宋体" w:hAnsi="宋体" w:eastAsia="宋体" w:cs="宋体"/>
          <w:b/>
          <w:bCs/>
          <w:color w:val="auto"/>
          <w:kern w:val="0"/>
          <w:sz w:val="24"/>
          <w:szCs w:val="24"/>
          <w:lang w:eastAsia="zh-CN"/>
        </w:rPr>
        <w:t>南平</w:t>
      </w:r>
      <w:r>
        <w:rPr>
          <w:rFonts w:hint="eastAsia" w:ascii="宋体" w:hAnsi="宋体" w:eastAsia="宋体" w:cs="宋体"/>
          <w:b/>
          <w:bCs/>
          <w:color w:val="auto"/>
          <w:kern w:val="0"/>
          <w:sz w:val="24"/>
          <w:szCs w:val="24"/>
        </w:rPr>
        <w:t>市政府官方农产品市场报价的优惠程度确定。</w:t>
      </w:r>
      <w:r>
        <w:rPr>
          <w:rFonts w:hint="eastAsia" w:ascii="宋体" w:hAnsi="宋体" w:eastAsia="宋体" w:cs="宋体"/>
          <w:color w:val="auto"/>
          <w:kern w:val="0"/>
          <w:sz w:val="24"/>
          <w:szCs w:val="24"/>
        </w:rPr>
        <w:t>具体是</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"http://cddrc.chengdu.gov.cn/" \h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南平市</w:t>
      </w:r>
      <w:r>
        <w:rPr>
          <w:rFonts w:hint="eastAsia" w:ascii="宋体" w:hAnsi="宋体" w:eastAsia="宋体" w:cs="宋体"/>
          <w:color w:val="auto"/>
          <w:kern w:val="0"/>
          <w:sz w:val="24"/>
          <w:szCs w:val="24"/>
        </w:rPr>
        <w:t>发改委网http://fgw.</w:t>
      </w:r>
      <w:r>
        <w:rPr>
          <w:rFonts w:hint="eastAsia" w:ascii="宋体" w:hAnsi="宋体" w:eastAsia="宋体" w:cs="宋体"/>
          <w:color w:val="auto"/>
          <w:kern w:val="0"/>
          <w:sz w:val="24"/>
          <w:szCs w:val="24"/>
          <w:lang w:val="en-US"/>
        </w:rPr>
        <w:t>np</w:t>
      </w:r>
      <w:r>
        <w:rPr>
          <w:rFonts w:hint="eastAsia" w:ascii="宋体" w:hAnsi="宋体" w:eastAsia="宋体" w:cs="宋体"/>
          <w:color w:val="auto"/>
          <w:kern w:val="0"/>
          <w:sz w:val="24"/>
          <w:szCs w:val="24"/>
        </w:rPr>
        <w:t>.gov.cn/”网上公布的价格为当期市场基准价为取数来源</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rPr>
        <w:t>。以此方式确定的基准价，如因上述网站信息发布的时效等因素导致该基准价明显高于供货当日实际市场价，采购人有权与供应商协商对基准价进行合适的下调。若出现上述两网站都没有列出报价的农产品品目，则由采购人任意选取一家大型超市门店与</w:t>
      </w:r>
      <w:r>
        <w:rPr>
          <w:rFonts w:hint="eastAsia" w:ascii="宋体" w:hAnsi="宋体" w:cs="宋体"/>
          <w:color w:val="auto"/>
          <w:kern w:val="0"/>
          <w:sz w:val="24"/>
          <w:szCs w:val="24"/>
          <w:lang w:val="en-US" w:eastAsia="zh-CN"/>
        </w:rPr>
        <w:t>成交</w:t>
      </w:r>
      <w:r>
        <w:rPr>
          <w:rFonts w:hint="eastAsia" w:ascii="宋体" w:hAnsi="宋体" w:eastAsia="宋体" w:cs="宋体"/>
          <w:color w:val="auto"/>
          <w:kern w:val="0"/>
          <w:sz w:val="24"/>
          <w:szCs w:val="24"/>
        </w:rPr>
        <w:t>供应商一起现场采集所需农产品品目价格作为该品目基准价。</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以此为基准价提出其农产品供货</w:t>
      </w:r>
      <w:r>
        <w:rPr>
          <w:rFonts w:hint="eastAsia" w:ascii="宋体" w:hAnsi="宋体" w:cs="宋体"/>
          <w:color w:val="auto"/>
          <w:kern w:val="0"/>
          <w:sz w:val="24"/>
          <w:szCs w:val="24"/>
          <w:lang w:val="en-US" w:eastAsia="zh-CN"/>
        </w:rPr>
        <w:t>结算系数</w:t>
      </w:r>
      <w:r>
        <w:rPr>
          <w:rFonts w:hint="eastAsia" w:ascii="宋体" w:hAnsi="宋体" w:eastAsia="宋体" w:cs="宋体"/>
          <w:color w:val="auto"/>
          <w:kern w:val="0"/>
          <w:sz w:val="24"/>
          <w:szCs w:val="24"/>
        </w:rPr>
        <w:t>，按</w:t>
      </w:r>
      <w:r>
        <w:rPr>
          <w:rFonts w:hint="eastAsia" w:ascii="宋体" w:hAnsi="宋体" w:cs="宋体"/>
          <w:color w:val="auto"/>
          <w:kern w:val="0"/>
          <w:sz w:val="24"/>
          <w:szCs w:val="24"/>
          <w:lang w:val="en-US" w:eastAsia="zh-CN"/>
        </w:rPr>
        <w:t>结算系数</w:t>
      </w:r>
      <w:r>
        <w:rPr>
          <w:rFonts w:hint="eastAsia" w:ascii="宋体" w:hAnsi="宋体" w:eastAsia="宋体" w:cs="宋体"/>
          <w:color w:val="auto"/>
          <w:kern w:val="0"/>
          <w:sz w:val="24"/>
          <w:szCs w:val="24"/>
        </w:rPr>
        <w:t>高低确定价格得分，本次</w:t>
      </w:r>
      <w:r>
        <w:rPr>
          <w:rFonts w:hint="eastAsia" w:ascii="宋体" w:hAnsi="宋体" w:cs="宋体"/>
          <w:color w:val="auto"/>
          <w:kern w:val="0"/>
          <w:sz w:val="24"/>
          <w:szCs w:val="24"/>
          <w:lang w:val="en-US" w:eastAsia="zh-CN"/>
        </w:rPr>
        <w:t>采购</w:t>
      </w:r>
      <w:r>
        <w:rPr>
          <w:rFonts w:hint="eastAsia" w:ascii="宋体" w:hAnsi="宋体" w:eastAsia="宋体" w:cs="宋体"/>
          <w:color w:val="auto"/>
          <w:kern w:val="0"/>
          <w:sz w:val="24"/>
          <w:szCs w:val="24"/>
        </w:rPr>
        <w:t>不接受高于基准价的报价</w:t>
      </w:r>
      <w:r>
        <w:rPr>
          <w:rFonts w:hint="eastAsia" w:ascii="宋体" w:hAnsi="宋体" w:eastAsia="宋体" w:cs="宋体"/>
          <w:color w:val="auto"/>
          <w:sz w:val="24"/>
          <w:szCs w:val="24"/>
        </w:rPr>
        <w:t>。结算价=基准价×</w:t>
      </w:r>
      <w:r>
        <w:rPr>
          <w:rFonts w:hint="eastAsia" w:ascii="宋体" w:hAnsi="宋体" w:eastAsia="宋体" w:cs="宋体"/>
          <w:color w:val="auto"/>
          <w:sz w:val="24"/>
          <w:szCs w:val="24"/>
          <w:lang w:val="en-US" w:eastAsia="zh-CN"/>
        </w:rPr>
        <w:t>结算</w:t>
      </w:r>
      <w:r>
        <w:rPr>
          <w:rFonts w:hint="eastAsia" w:ascii="宋体" w:hAnsi="宋体" w:eastAsia="宋体" w:cs="宋体"/>
          <w:color w:val="auto"/>
          <w:sz w:val="24"/>
          <w:szCs w:val="24"/>
        </w:rPr>
        <w:t>系数。</w:t>
      </w:r>
    </w:p>
    <w:p>
      <w:pPr>
        <w:keepNext w:val="0"/>
        <w:keepLines w:val="0"/>
        <w:pageBreakBefore w:val="0"/>
        <w:numPr>
          <w:ilvl w:val="0"/>
          <w:numId w:val="0"/>
        </w:numPr>
        <w:kinsoku/>
        <w:wordWrap/>
        <w:bidi w:val="0"/>
        <w:spacing w:line="400" w:lineRule="exact"/>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7.其他要求：</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7.1服务期内，成交人的服务人员所发生一切意外事件，均由成交人承担。成交人应为其服务人员依法购买工伤保险等相关保险，因未投保导致的任何损失由成交人自行承担。</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7.2采购文件未明确的其他约定事项或条款，应以补充协议形式经双方法定代表人签字并加盖公章后生效。</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本次采购量只是根据往年使用量测算的预估使用量，实际采购量有可能低于此预估数，当实际采购用量低于预估用量时，成交人不得要求采购人按预估用量结算。参与投标的供应商要充分评估并承担实际采购量低于预估量的风险，不得以采购量低于预估量为由要求采购人赔偿、补偿或主张任何权利。</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供应商报价应是完成本项目全部工作内容的价格体现，包括但不限于产品生产、运输、冷藏、搬运、人工费；从业人员服装；工具费用；人身意外伤害费用；责任风险费用；加班工资、高温补贴等；过年、过节等福利费用；管理费；税收；安全费用以及国家规定的各项税费等一切费用，供应商不得再向采购人主张任何费用。</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采购人如有特殊情况和临时补货，成交人在接到采购人供货通知后，主城区配送点应于60分钟内，按采购人通知的品种、数量、规格等需求送达，乡镇配送点可延长至90分钟内送达。成交人负责食材的装卸、运输以及搬运至指定地点，所需费用由成交人承担。</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如在采购需求过程中即成交人无法提供货物或提供的货物品质不符合采购人要求或无法满足食品安全要求或因价格因素不满足采购人要求的，采购人有权直接从第三方采购，相关费用及差价由成交人承担，且不影响采购人对成交人违约责任的追究。成交人</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以后对于非成交人主观原因导致无法提供的货物，成交人需向采购人提供书面证明材料。</w:t>
      </w:r>
    </w:p>
    <w:p>
      <w:pPr>
        <w:keepNext w:val="0"/>
        <w:keepLines w:val="0"/>
        <w:pageBreakBefore w:val="0"/>
        <w:numPr>
          <w:ilvl w:val="0"/>
          <w:numId w:val="0"/>
        </w:numPr>
        <w:kinsoku/>
        <w:wordWrap/>
        <w:bidi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7.7成交人配送的食材不得来自因疫情、环境污染等因素存在潜在食品安全风险的高危地区。高危地区认定应以国务院联防联控机制公布的官方名单为准。</w:t>
      </w:r>
    </w:p>
    <w:p>
      <w:pPr>
        <w:keepNext w:val="0"/>
        <w:keepLines w:val="0"/>
        <w:pageBreakBefore w:val="0"/>
        <w:kinsoku/>
        <w:wordWrap/>
        <w:bidi w:val="0"/>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须按</w:t>
      </w:r>
      <w:r>
        <w:rPr>
          <w:rFonts w:hint="eastAsia" w:ascii="宋体" w:hAnsi="宋体" w:eastAsia="宋体" w:cs="宋体"/>
          <w:bCs/>
          <w:snapToGrid w:val="0"/>
          <w:color w:val="auto"/>
          <w:kern w:val="0"/>
          <w:sz w:val="24"/>
          <w:szCs w:val="24"/>
        </w:rPr>
        <w:t>采购</w:t>
      </w:r>
      <w:r>
        <w:rPr>
          <w:rFonts w:hint="eastAsia" w:ascii="宋体" w:hAnsi="宋体" w:eastAsia="宋体" w:cs="宋体"/>
          <w:color w:val="auto"/>
          <w:sz w:val="24"/>
          <w:szCs w:val="24"/>
        </w:rPr>
        <w:t>包</w:t>
      </w:r>
      <w:r>
        <w:rPr>
          <w:rFonts w:hint="eastAsia" w:ascii="宋体" w:hAnsi="宋体" w:cs="宋体"/>
          <w:color w:val="auto"/>
          <w:sz w:val="24"/>
          <w:szCs w:val="24"/>
          <w:lang w:val="en-US" w:eastAsia="zh-CN"/>
        </w:rPr>
        <w:t>报价</w:t>
      </w:r>
      <w:r>
        <w:rPr>
          <w:rFonts w:hint="eastAsia" w:ascii="宋体" w:hAnsi="宋体" w:cs="宋体"/>
          <w:color w:val="auto"/>
          <w:sz w:val="24"/>
          <w:szCs w:val="24"/>
          <w:lang w:eastAsia="zh-CN"/>
        </w:rPr>
        <w:t>，</w:t>
      </w:r>
      <w:r>
        <w:rPr>
          <w:rFonts w:hint="eastAsia" w:ascii="宋体" w:hAnsi="宋体" w:eastAsia="宋体" w:cs="宋体"/>
          <w:color w:val="auto"/>
          <w:sz w:val="24"/>
          <w:szCs w:val="24"/>
        </w:rPr>
        <w:t>不得仅对一个</w:t>
      </w:r>
      <w:r>
        <w:rPr>
          <w:rFonts w:hint="eastAsia" w:ascii="宋体" w:hAnsi="宋体" w:eastAsia="宋体" w:cs="宋体"/>
          <w:bCs/>
          <w:snapToGrid w:val="0"/>
          <w:color w:val="auto"/>
          <w:kern w:val="0"/>
          <w:sz w:val="24"/>
          <w:szCs w:val="24"/>
        </w:rPr>
        <w:t>采购</w:t>
      </w:r>
      <w:r>
        <w:rPr>
          <w:rFonts w:hint="eastAsia" w:ascii="宋体" w:hAnsi="宋体" w:eastAsia="宋体" w:cs="宋体"/>
          <w:color w:val="auto"/>
          <w:sz w:val="24"/>
          <w:szCs w:val="24"/>
        </w:rPr>
        <w:t>包中的部分内容进行</w:t>
      </w:r>
      <w:r>
        <w:rPr>
          <w:rFonts w:hint="eastAsia" w:ascii="宋体" w:hAnsi="宋体" w:cs="宋体"/>
          <w:color w:val="auto"/>
          <w:sz w:val="24"/>
          <w:szCs w:val="24"/>
          <w:lang w:val="en-US" w:eastAsia="zh-CN"/>
        </w:rPr>
        <w:t>报价</w:t>
      </w:r>
      <w:r>
        <w:rPr>
          <w:rFonts w:hint="eastAsia" w:ascii="宋体" w:hAnsi="宋体" w:eastAsia="宋体" w:cs="宋体"/>
          <w:color w:val="auto"/>
          <w:sz w:val="24"/>
          <w:szCs w:val="24"/>
        </w:rPr>
        <w:t>，否则其</w:t>
      </w:r>
      <w:r>
        <w:rPr>
          <w:rFonts w:hint="eastAsia" w:ascii="宋体" w:hAnsi="宋体" w:cs="宋体"/>
          <w:color w:val="auto"/>
          <w:sz w:val="24"/>
          <w:szCs w:val="24"/>
          <w:lang w:val="en-US" w:eastAsia="zh-CN"/>
        </w:rPr>
        <w:t>响应文件</w:t>
      </w:r>
      <w:r>
        <w:rPr>
          <w:rFonts w:hint="eastAsia" w:ascii="宋体" w:hAnsi="宋体" w:eastAsia="宋体" w:cs="宋体"/>
          <w:color w:val="auto"/>
          <w:sz w:val="24"/>
          <w:szCs w:val="24"/>
        </w:rPr>
        <w:t>将被拒绝。评</w:t>
      </w:r>
      <w:r>
        <w:rPr>
          <w:rFonts w:hint="eastAsia" w:ascii="宋体" w:hAnsi="宋体" w:cs="宋体"/>
          <w:color w:val="auto"/>
          <w:sz w:val="24"/>
          <w:szCs w:val="24"/>
          <w:lang w:val="en-US" w:eastAsia="zh-CN"/>
        </w:rPr>
        <w:t>审</w:t>
      </w:r>
      <w:r>
        <w:rPr>
          <w:rFonts w:hint="eastAsia" w:ascii="宋体" w:hAnsi="宋体" w:eastAsia="宋体" w:cs="宋体"/>
          <w:color w:val="auto"/>
          <w:sz w:val="24"/>
          <w:szCs w:val="24"/>
        </w:rPr>
        <w:t>与授标以</w:t>
      </w:r>
      <w:r>
        <w:rPr>
          <w:rFonts w:hint="eastAsia" w:ascii="宋体" w:hAnsi="宋体" w:eastAsia="宋体" w:cs="宋体"/>
          <w:bCs/>
          <w:snapToGrid w:val="0"/>
          <w:color w:val="auto"/>
          <w:kern w:val="0"/>
          <w:sz w:val="24"/>
          <w:szCs w:val="24"/>
        </w:rPr>
        <w:t>采购</w:t>
      </w:r>
      <w:r>
        <w:rPr>
          <w:rFonts w:hint="eastAsia" w:ascii="宋体" w:hAnsi="宋体" w:eastAsia="宋体" w:cs="宋体"/>
          <w:color w:val="auto"/>
          <w:sz w:val="24"/>
          <w:szCs w:val="24"/>
        </w:rPr>
        <w:t>包为单位。</w:t>
      </w:r>
    </w:p>
    <w:p>
      <w:pPr>
        <w:keepNext w:val="0"/>
        <w:keepLines w:val="0"/>
        <w:pageBreakBefore w:val="0"/>
        <w:kinsoku/>
        <w:wordWrap/>
        <w:bidi w:val="0"/>
        <w:adjustRightInd w:val="0"/>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xml:space="preserve">本项目中如涉及商品包装和快递包装的，其包装需求标准应不低于《关于印发&lt;商品包装政府采购需求标准（试行）&gt;、&lt;快递包装政府采购需求标准（试行）&gt;的通知》（财办库〔2020〕123 号）规定的包装要求。 </w:t>
      </w:r>
    </w:p>
    <w:p>
      <w:pPr>
        <w:keepNext w:val="0"/>
        <w:keepLines w:val="0"/>
        <w:pageBreakBefore w:val="0"/>
        <w:kinsoku/>
        <w:wordWrap/>
        <w:bidi w:val="0"/>
        <w:adjustRightInd w:val="0"/>
        <w:snapToGrid w:val="0"/>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未明确的其它约定事项或条款，待采购人与</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签订合同时，由双方协商订立。</w:t>
      </w:r>
    </w:p>
    <w:sectPr>
      <w:headerReference r:id="rId9"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Cambria">
    <w:altName w:val="FreeSerif"/>
    <w:panose1 w:val="02040503050406030204"/>
    <w:charset w:val="00"/>
    <w:family w:val="roman"/>
    <w:pitch w:val="default"/>
    <w:sig w:usb0="00000000" w:usb1="00000000" w:usb2="02000000" w:usb3="00000000" w:csb0="2000019F" w:csb1="00000000"/>
  </w:font>
  <w:font w:name="方正大标宋简体">
    <w:altName w:val="方正书宋_GBK"/>
    <w:panose1 w:val="02010601030101010101"/>
    <w:charset w:val="86"/>
    <w:family w:val="script"/>
    <w:pitch w:val="default"/>
    <w:sig w:usb0="00000000" w:usb1="00000000" w:usb2="00000000" w:usb3="00000000" w:csb0="00040000" w:csb1="00000000"/>
  </w:font>
  <w:font w:name="MetaPlusLF">
    <w:altName w:val="URW Bookman"/>
    <w:panose1 w:val="00000000000000000000"/>
    <w:charset w:val="00"/>
    <w:family w:val="auto"/>
    <w:pitch w:val="default"/>
    <w:sig w:usb0="00000000" w:usb1="00000000" w:usb2="00000000" w:usb3="00000000" w:csb0="00000097" w:csb1="00000000"/>
  </w:font>
  <w:font w:name="Wingdings 2">
    <w:altName w:val="Standard Symbols PS"/>
    <w:panose1 w:val="05020102010507070707"/>
    <w:charset w:val="02"/>
    <w:family w:val="auto"/>
    <w:pitch w:val="default"/>
    <w:sig w:usb0="00000000" w:usb1="00000000" w:usb2="00000000" w:usb3="00000000" w:csb0="8000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JB/h/NAQAAiQMAAA4A&#10;AAAAAAAAAQAgAAAANAEAAGRycy9lMm9Eb2MueG1sUEsFBgAAAAAGAAYAWQEAAHMFA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3"/>
      </w:rPr>
    </w:pPr>
    <w:r>
      <w:fldChar w:fldCharType="begin"/>
    </w:r>
    <w:r>
      <w:rPr>
        <w:rStyle w:val="33"/>
      </w:rPr>
      <w:instrText xml:space="preserve">PAGE  </w:instrText>
    </w:r>
    <w:r>
      <w:fldChar w:fldCharType="end"/>
    </w:r>
  </w:p>
  <w:p>
    <w:pPr>
      <w:pStyle w:val="17"/>
    </w:pPr>
  </w:p>
  <w:p/>
  <w:p/>
  <w:p/>
  <w:p/>
  <w:p/>
  <w:p/>
  <w:p/>
  <w:p/>
  <w:p/>
  <w:p/>
  <w:p/>
  <w:p/>
  <w:p/>
  <w:p/>
  <w:p/>
  <w:p/>
  <w:p/>
  <w:p/>
  <w:p/>
  <w:p/>
  <w:p/>
  <w:p/>
  <w:p/>
  <w:p/>
  <w:p/>
  <w:p/>
  <w:p/>
  <w:p/>
  <w:p/>
  <w:p/>
  <w:p/>
  <w:p/>
  <w:p/>
  <w:p/>
  <w:p/>
  <w:p/>
  <w:p/>
  <w:p/>
  <w:p/>
  <w:p/>
  <w:p/>
  <w:p/>
  <w:p/>
  <w:p/>
  <w:p/>
  <w:p/>
  <w:p/>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BZD+LUzgEAAIkDAAAO&#10;AAAAAAAAAAEAIAAAADQBAABkcnMvZTJvRG9jLnhtbFBLBQYAAAAABgAGAFkBAAB0BQ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980"/>
      </w:tabs>
      <w:spacing w:line="176" w:lineRule="auto"/>
      <w:ind w:left="332"/>
      <w:rPr>
        <w:rFonts w:ascii="Calibri" w:hAnsi="Calibri" w:eastAsia="Calibri" w:cs="Calibri"/>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32"/>
      <w:rPr>
        <w:rFonts w:ascii="Calibri" w:hAnsi="Calibri" w:eastAsia="Calibri" w:cs="Calibri"/>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9CB91"/>
    <w:multiLevelType w:val="singleLevel"/>
    <w:tmpl w:val="F8C9CB91"/>
    <w:lvl w:ilvl="0" w:tentative="0">
      <w:start w:val="3"/>
      <w:numFmt w:val="chineseCounting"/>
      <w:suff w:val="nothing"/>
      <w:lvlText w:val="%1、"/>
      <w:lvlJc w:val="left"/>
      <w:rPr>
        <w:rFonts w:hint="eastAsia"/>
      </w:rPr>
    </w:lvl>
  </w:abstractNum>
  <w:abstractNum w:abstractNumId="1">
    <w:nsid w:val="418DC410"/>
    <w:multiLevelType w:val="singleLevel"/>
    <w:tmpl w:val="418DC410"/>
    <w:lvl w:ilvl="0" w:tentative="0">
      <w:start w:val="1"/>
      <w:numFmt w:val="decimal"/>
      <w:pStyle w:val="3"/>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89a6e010-2d44-48ff-9fa5-81c90fc158c7"/>
  </w:docVars>
  <w:rsids>
    <w:rsidRoot w:val="00000000"/>
    <w:rsid w:val="00124D16"/>
    <w:rsid w:val="001F7F7E"/>
    <w:rsid w:val="00634488"/>
    <w:rsid w:val="00936276"/>
    <w:rsid w:val="00A416B0"/>
    <w:rsid w:val="00C14B91"/>
    <w:rsid w:val="00FF1B92"/>
    <w:rsid w:val="012D1688"/>
    <w:rsid w:val="013052AA"/>
    <w:rsid w:val="01395070"/>
    <w:rsid w:val="01BC3EA8"/>
    <w:rsid w:val="01D86637"/>
    <w:rsid w:val="01DB2915"/>
    <w:rsid w:val="01DD11F5"/>
    <w:rsid w:val="01E0373D"/>
    <w:rsid w:val="021F620A"/>
    <w:rsid w:val="0224300A"/>
    <w:rsid w:val="02902A6D"/>
    <w:rsid w:val="02924A37"/>
    <w:rsid w:val="029D3276"/>
    <w:rsid w:val="02B475B0"/>
    <w:rsid w:val="03060F81"/>
    <w:rsid w:val="030F6088"/>
    <w:rsid w:val="031E62CB"/>
    <w:rsid w:val="0335576D"/>
    <w:rsid w:val="037D0DA7"/>
    <w:rsid w:val="03824AAC"/>
    <w:rsid w:val="03842010"/>
    <w:rsid w:val="03930584"/>
    <w:rsid w:val="03E2006E"/>
    <w:rsid w:val="040D758B"/>
    <w:rsid w:val="04131BA8"/>
    <w:rsid w:val="042B5143"/>
    <w:rsid w:val="045B2BCC"/>
    <w:rsid w:val="047D1717"/>
    <w:rsid w:val="049A4077"/>
    <w:rsid w:val="04A15406"/>
    <w:rsid w:val="04BF5DB3"/>
    <w:rsid w:val="04C63BD8"/>
    <w:rsid w:val="04EC6640"/>
    <w:rsid w:val="04F574FF"/>
    <w:rsid w:val="050F05C1"/>
    <w:rsid w:val="051D01F9"/>
    <w:rsid w:val="052A4C32"/>
    <w:rsid w:val="057B067D"/>
    <w:rsid w:val="05924D4E"/>
    <w:rsid w:val="05951CB0"/>
    <w:rsid w:val="05F85B6E"/>
    <w:rsid w:val="060774EA"/>
    <w:rsid w:val="06295AE6"/>
    <w:rsid w:val="067E2971"/>
    <w:rsid w:val="068A2BE1"/>
    <w:rsid w:val="06913258"/>
    <w:rsid w:val="06B07B82"/>
    <w:rsid w:val="06FD0BBC"/>
    <w:rsid w:val="07040256"/>
    <w:rsid w:val="07097292"/>
    <w:rsid w:val="0721282E"/>
    <w:rsid w:val="07342561"/>
    <w:rsid w:val="076F6FBB"/>
    <w:rsid w:val="07991AC0"/>
    <w:rsid w:val="079E7F01"/>
    <w:rsid w:val="081449F9"/>
    <w:rsid w:val="0898267C"/>
    <w:rsid w:val="08C36927"/>
    <w:rsid w:val="08DA08BA"/>
    <w:rsid w:val="091B0441"/>
    <w:rsid w:val="091B5662"/>
    <w:rsid w:val="092B1742"/>
    <w:rsid w:val="09401BE1"/>
    <w:rsid w:val="094333A8"/>
    <w:rsid w:val="09510A7C"/>
    <w:rsid w:val="096C5132"/>
    <w:rsid w:val="09CA66CE"/>
    <w:rsid w:val="09E33DCA"/>
    <w:rsid w:val="09F9539C"/>
    <w:rsid w:val="0A18743A"/>
    <w:rsid w:val="0A27015B"/>
    <w:rsid w:val="0A304E58"/>
    <w:rsid w:val="0A530F50"/>
    <w:rsid w:val="0A8D27DE"/>
    <w:rsid w:val="0ABC39D2"/>
    <w:rsid w:val="0ACC6D0D"/>
    <w:rsid w:val="0AD41C47"/>
    <w:rsid w:val="0ADF4592"/>
    <w:rsid w:val="0AF02450"/>
    <w:rsid w:val="0AF53C19"/>
    <w:rsid w:val="0B3F3282"/>
    <w:rsid w:val="0B5D195B"/>
    <w:rsid w:val="0B654503"/>
    <w:rsid w:val="0BD03763"/>
    <w:rsid w:val="0BE34A57"/>
    <w:rsid w:val="0C5660B3"/>
    <w:rsid w:val="0C6B6E73"/>
    <w:rsid w:val="0C7D0506"/>
    <w:rsid w:val="0C7E71B4"/>
    <w:rsid w:val="0CA21D1B"/>
    <w:rsid w:val="0CE74EA1"/>
    <w:rsid w:val="0CF3732E"/>
    <w:rsid w:val="0CF52313"/>
    <w:rsid w:val="0D194323"/>
    <w:rsid w:val="0D1A741A"/>
    <w:rsid w:val="0D4903E8"/>
    <w:rsid w:val="0D6E42F3"/>
    <w:rsid w:val="0D8A34B8"/>
    <w:rsid w:val="0D96694A"/>
    <w:rsid w:val="0DB00748"/>
    <w:rsid w:val="0DB05DD3"/>
    <w:rsid w:val="0DB9758E"/>
    <w:rsid w:val="0DBF4B4E"/>
    <w:rsid w:val="0DC27C32"/>
    <w:rsid w:val="0E0D7EFC"/>
    <w:rsid w:val="0E0E7B83"/>
    <w:rsid w:val="0E213113"/>
    <w:rsid w:val="0E715E49"/>
    <w:rsid w:val="0E7E1417"/>
    <w:rsid w:val="0EC75A69"/>
    <w:rsid w:val="0EF9473A"/>
    <w:rsid w:val="0F0A5C76"/>
    <w:rsid w:val="0F2162CD"/>
    <w:rsid w:val="0FAC491B"/>
    <w:rsid w:val="0FC06ED2"/>
    <w:rsid w:val="0FD85A54"/>
    <w:rsid w:val="0FEF53FB"/>
    <w:rsid w:val="10340294"/>
    <w:rsid w:val="10362DC0"/>
    <w:rsid w:val="105B30F1"/>
    <w:rsid w:val="10612472"/>
    <w:rsid w:val="108F6A5A"/>
    <w:rsid w:val="10A9762F"/>
    <w:rsid w:val="10B46161"/>
    <w:rsid w:val="10DC162F"/>
    <w:rsid w:val="10E637F4"/>
    <w:rsid w:val="10F56DD4"/>
    <w:rsid w:val="11196324"/>
    <w:rsid w:val="11380EA0"/>
    <w:rsid w:val="11427629"/>
    <w:rsid w:val="11553800"/>
    <w:rsid w:val="117F2AB0"/>
    <w:rsid w:val="118539B9"/>
    <w:rsid w:val="11DD66DC"/>
    <w:rsid w:val="120A10DF"/>
    <w:rsid w:val="124F16C1"/>
    <w:rsid w:val="12650510"/>
    <w:rsid w:val="126975C3"/>
    <w:rsid w:val="12764506"/>
    <w:rsid w:val="1287490F"/>
    <w:rsid w:val="12961F0E"/>
    <w:rsid w:val="12B55B84"/>
    <w:rsid w:val="12BD6CF7"/>
    <w:rsid w:val="12EF1A32"/>
    <w:rsid w:val="13076BFB"/>
    <w:rsid w:val="13255454"/>
    <w:rsid w:val="13517FF7"/>
    <w:rsid w:val="137133DE"/>
    <w:rsid w:val="139B6F7B"/>
    <w:rsid w:val="13A03D77"/>
    <w:rsid w:val="13A04ADA"/>
    <w:rsid w:val="13AD7CBC"/>
    <w:rsid w:val="13D6315D"/>
    <w:rsid w:val="14171240"/>
    <w:rsid w:val="14792E21"/>
    <w:rsid w:val="14A3624C"/>
    <w:rsid w:val="14F926F4"/>
    <w:rsid w:val="14FC60B6"/>
    <w:rsid w:val="152C35F9"/>
    <w:rsid w:val="15353DDC"/>
    <w:rsid w:val="155E1D5B"/>
    <w:rsid w:val="156E4DA1"/>
    <w:rsid w:val="158929F6"/>
    <w:rsid w:val="15A07014"/>
    <w:rsid w:val="15C84B35"/>
    <w:rsid w:val="15EA6EB7"/>
    <w:rsid w:val="1623221F"/>
    <w:rsid w:val="16261A07"/>
    <w:rsid w:val="162C7C3B"/>
    <w:rsid w:val="16351E52"/>
    <w:rsid w:val="16421E79"/>
    <w:rsid w:val="165C118C"/>
    <w:rsid w:val="165D68C3"/>
    <w:rsid w:val="169D782C"/>
    <w:rsid w:val="16A3500D"/>
    <w:rsid w:val="16B80B15"/>
    <w:rsid w:val="16E92044"/>
    <w:rsid w:val="172B0B5F"/>
    <w:rsid w:val="172F6E5D"/>
    <w:rsid w:val="172F7842"/>
    <w:rsid w:val="1767428D"/>
    <w:rsid w:val="17D363F7"/>
    <w:rsid w:val="180B6151"/>
    <w:rsid w:val="18131F69"/>
    <w:rsid w:val="18405C70"/>
    <w:rsid w:val="185302ED"/>
    <w:rsid w:val="18575DED"/>
    <w:rsid w:val="187F73B4"/>
    <w:rsid w:val="189D389E"/>
    <w:rsid w:val="19185CD4"/>
    <w:rsid w:val="19563A81"/>
    <w:rsid w:val="195E16BF"/>
    <w:rsid w:val="19603148"/>
    <w:rsid w:val="19831B12"/>
    <w:rsid w:val="19916771"/>
    <w:rsid w:val="199B570B"/>
    <w:rsid w:val="19A66F03"/>
    <w:rsid w:val="19A90B8D"/>
    <w:rsid w:val="19C07C84"/>
    <w:rsid w:val="1A0F6C1A"/>
    <w:rsid w:val="1A1D1E6A"/>
    <w:rsid w:val="1A262A10"/>
    <w:rsid w:val="1A2E706A"/>
    <w:rsid w:val="1A385A6D"/>
    <w:rsid w:val="1A5255B1"/>
    <w:rsid w:val="1A8A0842"/>
    <w:rsid w:val="1AD9322C"/>
    <w:rsid w:val="1AE239C6"/>
    <w:rsid w:val="1AED4FBA"/>
    <w:rsid w:val="1B501C36"/>
    <w:rsid w:val="1B8756CA"/>
    <w:rsid w:val="1BE418C7"/>
    <w:rsid w:val="1BE85270"/>
    <w:rsid w:val="1C1222ED"/>
    <w:rsid w:val="1C132598"/>
    <w:rsid w:val="1C1D66F5"/>
    <w:rsid w:val="1C2E409E"/>
    <w:rsid w:val="1C49522F"/>
    <w:rsid w:val="1C624076"/>
    <w:rsid w:val="1C625E8F"/>
    <w:rsid w:val="1C85059B"/>
    <w:rsid w:val="1C9D1FFD"/>
    <w:rsid w:val="1C9D512C"/>
    <w:rsid w:val="1CD80D2E"/>
    <w:rsid w:val="1CD961B0"/>
    <w:rsid w:val="1D086921"/>
    <w:rsid w:val="1D127003"/>
    <w:rsid w:val="1D24677C"/>
    <w:rsid w:val="1D2642A2"/>
    <w:rsid w:val="1D3505EC"/>
    <w:rsid w:val="1D36039F"/>
    <w:rsid w:val="1D694C91"/>
    <w:rsid w:val="1D6B7F07"/>
    <w:rsid w:val="1D7A5409"/>
    <w:rsid w:val="1D8A53D5"/>
    <w:rsid w:val="1D9C08F7"/>
    <w:rsid w:val="1DEB7BDC"/>
    <w:rsid w:val="1DEF2C3F"/>
    <w:rsid w:val="1E065784"/>
    <w:rsid w:val="1E110AAE"/>
    <w:rsid w:val="1E276C97"/>
    <w:rsid w:val="1E297E7C"/>
    <w:rsid w:val="1E314019"/>
    <w:rsid w:val="1E326C77"/>
    <w:rsid w:val="1E3429EF"/>
    <w:rsid w:val="1E3C6ED2"/>
    <w:rsid w:val="1E4D6B9A"/>
    <w:rsid w:val="1E605592"/>
    <w:rsid w:val="1F2D678C"/>
    <w:rsid w:val="1FC33BE4"/>
    <w:rsid w:val="1FD44489"/>
    <w:rsid w:val="205053D8"/>
    <w:rsid w:val="20955F6A"/>
    <w:rsid w:val="20CD4614"/>
    <w:rsid w:val="20F76668"/>
    <w:rsid w:val="212E6EB9"/>
    <w:rsid w:val="21582E98"/>
    <w:rsid w:val="21626FF0"/>
    <w:rsid w:val="217512DD"/>
    <w:rsid w:val="21983295"/>
    <w:rsid w:val="21BD0A95"/>
    <w:rsid w:val="226D6AA8"/>
    <w:rsid w:val="227069BF"/>
    <w:rsid w:val="22794E74"/>
    <w:rsid w:val="22954F1C"/>
    <w:rsid w:val="22A5210D"/>
    <w:rsid w:val="22D66761"/>
    <w:rsid w:val="23005595"/>
    <w:rsid w:val="231F6A45"/>
    <w:rsid w:val="233A0E7B"/>
    <w:rsid w:val="23594F50"/>
    <w:rsid w:val="23713D9D"/>
    <w:rsid w:val="23751ADF"/>
    <w:rsid w:val="23A10440"/>
    <w:rsid w:val="23BC326A"/>
    <w:rsid w:val="23F1071B"/>
    <w:rsid w:val="2468430B"/>
    <w:rsid w:val="249266C1"/>
    <w:rsid w:val="2518097B"/>
    <w:rsid w:val="25186BC6"/>
    <w:rsid w:val="251D43AD"/>
    <w:rsid w:val="25270E21"/>
    <w:rsid w:val="254648CC"/>
    <w:rsid w:val="254D37F4"/>
    <w:rsid w:val="256A4F48"/>
    <w:rsid w:val="25ED3406"/>
    <w:rsid w:val="26261F5F"/>
    <w:rsid w:val="263A491A"/>
    <w:rsid w:val="263E440B"/>
    <w:rsid w:val="264F5B79"/>
    <w:rsid w:val="268C786C"/>
    <w:rsid w:val="26D22DCF"/>
    <w:rsid w:val="26F23447"/>
    <w:rsid w:val="26F471BF"/>
    <w:rsid w:val="26FA69DA"/>
    <w:rsid w:val="27027B2E"/>
    <w:rsid w:val="272E1AD7"/>
    <w:rsid w:val="27535103"/>
    <w:rsid w:val="27E7113F"/>
    <w:rsid w:val="27EF027C"/>
    <w:rsid w:val="27FC5C7A"/>
    <w:rsid w:val="28165840"/>
    <w:rsid w:val="281E30AB"/>
    <w:rsid w:val="28700B65"/>
    <w:rsid w:val="287A6993"/>
    <w:rsid w:val="289E6B98"/>
    <w:rsid w:val="28A04ED3"/>
    <w:rsid w:val="28BB61E6"/>
    <w:rsid w:val="29057B0C"/>
    <w:rsid w:val="29163C7F"/>
    <w:rsid w:val="291C5438"/>
    <w:rsid w:val="29337295"/>
    <w:rsid w:val="293421DB"/>
    <w:rsid w:val="296A07EA"/>
    <w:rsid w:val="29BE6BC8"/>
    <w:rsid w:val="29C16A0B"/>
    <w:rsid w:val="2A0C4820"/>
    <w:rsid w:val="2A105854"/>
    <w:rsid w:val="2A111E36"/>
    <w:rsid w:val="2A1C74B2"/>
    <w:rsid w:val="2A3B7451"/>
    <w:rsid w:val="2A565288"/>
    <w:rsid w:val="2A5744DB"/>
    <w:rsid w:val="2A577B8D"/>
    <w:rsid w:val="2A666952"/>
    <w:rsid w:val="2B2E7A6E"/>
    <w:rsid w:val="2B404781"/>
    <w:rsid w:val="2B4101B8"/>
    <w:rsid w:val="2B696830"/>
    <w:rsid w:val="2B8F5708"/>
    <w:rsid w:val="2BEA0B91"/>
    <w:rsid w:val="2BEF1E49"/>
    <w:rsid w:val="2C0559CB"/>
    <w:rsid w:val="2C131E96"/>
    <w:rsid w:val="2C1B476C"/>
    <w:rsid w:val="2C25135A"/>
    <w:rsid w:val="2C8608B9"/>
    <w:rsid w:val="2CD2018C"/>
    <w:rsid w:val="2CDF446E"/>
    <w:rsid w:val="2CDF621C"/>
    <w:rsid w:val="2D2D25FE"/>
    <w:rsid w:val="2D367DBD"/>
    <w:rsid w:val="2D62421E"/>
    <w:rsid w:val="2D7746A6"/>
    <w:rsid w:val="2D800808"/>
    <w:rsid w:val="2D855015"/>
    <w:rsid w:val="2D9E60D7"/>
    <w:rsid w:val="2DD35D80"/>
    <w:rsid w:val="2E0979F4"/>
    <w:rsid w:val="2E444563"/>
    <w:rsid w:val="2E70537D"/>
    <w:rsid w:val="2EB24F0D"/>
    <w:rsid w:val="2EBF00B3"/>
    <w:rsid w:val="2F6628DC"/>
    <w:rsid w:val="2F6B65A7"/>
    <w:rsid w:val="2F7754DD"/>
    <w:rsid w:val="2F7A5541"/>
    <w:rsid w:val="2F8337D6"/>
    <w:rsid w:val="2FA8516F"/>
    <w:rsid w:val="2FC305C0"/>
    <w:rsid w:val="2FEE796F"/>
    <w:rsid w:val="30010B15"/>
    <w:rsid w:val="30054645"/>
    <w:rsid w:val="30185CCC"/>
    <w:rsid w:val="30215B55"/>
    <w:rsid w:val="302E3742"/>
    <w:rsid w:val="3034062C"/>
    <w:rsid w:val="304F3E33"/>
    <w:rsid w:val="30B3181E"/>
    <w:rsid w:val="30C6397A"/>
    <w:rsid w:val="31177BD5"/>
    <w:rsid w:val="31252C6C"/>
    <w:rsid w:val="314444BE"/>
    <w:rsid w:val="314A744F"/>
    <w:rsid w:val="31BD45C7"/>
    <w:rsid w:val="31CC2E8C"/>
    <w:rsid w:val="321E77E6"/>
    <w:rsid w:val="322841C1"/>
    <w:rsid w:val="323060B2"/>
    <w:rsid w:val="32620388"/>
    <w:rsid w:val="32A01F1E"/>
    <w:rsid w:val="32A221C5"/>
    <w:rsid w:val="32E14A9C"/>
    <w:rsid w:val="32FF3174"/>
    <w:rsid w:val="331108DD"/>
    <w:rsid w:val="33230E62"/>
    <w:rsid w:val="333B34C9"/>
    <w:rsid w:val="33527747"/>
    <w:rsid w:val="33582884"/>
    <w:rsid w:val="33AD2BD0"/>
    <w:rsid w:val="33C315E0"/>
    <w:rsid w:val="33C7466E"/>
    <w:rsid w:val="33D61160"/>
    <w:rsid w:val="33F20F2A"/>
    <w:rsid w:val="340E3279"/>
    <w:rsid w:val="340F5638"/>
    <w:rsid w:val="342235BE"/>
    <w:rsid w:val="34346E4D"/>
    <w:rsid w:val="34517FB3"/>
    <w:rsid w:val="34580754"/>
    <w:rsid w:val="3485672A"/>
    <w:rsid w:val="34980548"/>
    <w:rsid w:val="35066A31"/>
    <w:rsid w:val="351A0C8A"/>
    <w:rsid w:val="354632DC"/>
    <w:rsid w:val="35642908"/>
    <w:rsid w:val="35A53185"/>
    <w:rsid w:val="35B7678E"/>
    <w:rsid w:val="35D11B70"/>
    <w:rsid w:val="36496DE4"/>
    <w:rsid w:val="36592B9B"/>
    <w:rsid w:val="36C77154"/>
    <w:rsid w:val="36F76C4D"/>
    <w:rsid w:val="37222F49"/>
    <w:rsid w:val="373602E2"/>
    <w:rsid w:val="37461371"/>
    <w:rsid w:val="375D2B5F"/>
    <w:rsid w:val="37611E7D"/>
    <w:rsid w:val="37863E63"/>
    <w:rsid w:val="37A020E5"/>
    <w:rsid w:val="37AB38CA"/>
    <w:rsid w:val="37BC7885"/>
    <w:rsid w:val="37E44966"/>
    <w:rsid w:val="37E666B0"/>
    <w:rsid w:val="38267DA4"/>
    <w:rsid w:val="38443FB2"/>
    <w:rsid w:val="384D3CF2"/>
    <w:rsid w:val="38514471"/>
    <w:rsid w:val="38524F08"/>
    <w:rsid w:val="38602622"/>
    <w:rsid w:val="386F48F8"/>
    <w:rsid w:val="387E5179"/>
    <w:rsid w:val="38935C71"/>
    <w:rsid w:val="38CE389D"/>
    <w:rsid w:val="391157F4"/>
    <w:rsid w:val="39164FB6"/>
    <w:rsid w:val="39331DC9"/>
    <w:rsid w:val="394D0F3D"/>
    <w:rsid w:val="3962445C"/>
    <w:rsid w:val="39642E69"/>
    <w:rsid w:val="39662ED0"/>
    <w:rsid w:val="39AA1A47"/>
    <w:rsid w:val="39E9639E"/>
    <w:rsid w:val="39FE7D95"/>
    <w:rsid w:val="3A5C6756"/>
    <w:rsid w:val="3A62434D"/>
    <w:rsid w:val="3A6C39BB"/>
    <w:rsid w:val="3A723312"/>
    <w:rsid w:val="3B0E7CA9"/>
    <w:rsid w:val="3B714E2B"/>
    <w:rsid w:val="3BE42422"/>
    <w:rsid w:val="3C045180"/>
    <w:rsid w:val="3C2C7FB3"/>
    <w:rsid w:val="3C3A346E"/>
    <w:rsid w:val="3C4936B2"/>
    <w:rsid w:val="3C59493B"/>
    <w:rsid w:val="3CA37266"/>
    <w:rsid w:val="3CEF4259"/>
    <w:rsid w:val="3D2B057A"/>
    <w:rsid w:val="3D4F538F"/>
    <w:rsid w:val="3D820C29"/>
    <w:rsid w:val="3D8D6CC9"/>
    <w:rsid w:val="3DA9265A"/>
    <w:rsid w:val="3DEB2C72"/>
    <w:rsid w:val="3DFD29A6"/>
    <w:rsid w:val="3E0536F0"/>
    <w:rsid w:val="3E1C47FE"/>
    <w:rsid w:val="3E701D54"/>
    <w:rsid w:val="3E9C09D1"/>
    <w:rsid w:val="3ED63997"/>
    <w:rsid w:val="3EDE7B8A"/>
    <w:rsid w:val="3EFB5137"/>
    <w:rsid w:val="3F702A77"/>
    <w:rsid w:val="3FB13A48"/>
    <w:rsid w:val="3FBA180C"/>
    <w:rsid w:val="3FBD32CD"/>
    <w:rsid w:val="3FC96FE3"/>
    <w:rsid w:val="3FEA1E48"/>
    <w:rsid w:val="3FF1682D"/>
    <w:rsid w:val="401133A3"/>
    <w:rsid w:val="402C3D57"/>
    <w:rsid w:val="40411F10"/>
    <w:rsid w:val="4066706E"/>
    <w:rsid w:val="406867A1"/>
    <w:rsid w:val="40774FC4"/>
    <w:rsid w:val="40BF3F42"/>
    <w:rsid w:val="40C505C9"/>
    <w:rsid w:val="40E165AE"/>
    <w:rsid w:val="40F51D1B"/>
    <w:rsid w:val="40F736DC"/>
    <w:rsid w:val="411A4E32"/>
    <w:rsid w:val="412E1EDF"/>
    <w:rsid w:val="41554571"/>
    <w:rsid w:val="416B2691"/>
    <w:rsid w:val="41BC23C1"/>
    <w:rsid w:val="41CF5EAE"/>
    <w:rsid w:val="42066721"/>
    <w:rsid w:val="4208730F"/>
    <w:rsid w:val="42224789"/>
    <w:rsid w:val="4227643D"/>
    <w:rsid w:val="423A2F5F"/>
    <w:rsid w:val="424C79A5"/>
    <w:rsid w:val="427D5E63"/>
    <w:rsid w:val="42825E7B"/>
    <w:rsid w:val="429D7C3C"/>
    <w:rsid w:val="43107D57"/>
    <w:rsid w:val="432A1125"/>
    <w:rsid w:val="43321338"/>
    <w:rsid w:val="433E2195"/>
    <w:rsid w:val="4346094B"/>
    <w:rsid w:val="4352109E"/>
    <w:rsid w:val="43747DE7"/>
    <w:rsid w:val="43955508"/>
    <w:rsid w:val="43CC3C6E"/>
    <w:rsid w:val="43F43D47"/>
    <w:rsid w:val="440305EA"/>
    <w:rsid w:val="4437742D"/>
    <w:rsid w:val="443C3945"/>
    <w:rsid w:val="44472BCC"/>
    <w:rsid w:val="448A3F42"/>
    <w:rsid w:val="448F0595"/>
    <w:rsid w:val="44A2581D"/>
    <w:rsid w:val="44AC2A30"/>
    <w:rsid w:val="44E84854"/>
    <w:rsid w:val="44F62D94"/>
    <w:rsid w:val="453B6B56"/>
    <w:rsid w:val="45486BFC"/>
    <w:rsid w:val="455159D2"/>
    <w:rsid w:val="456A3521"/>
    <w:rsid w:val="45742769"/>
    <w:rsid w:val="4602765B"/>
    <w:rsid w:val="46252A99"/>
    <w:rsid w:val="466B2BA2"/>
    <w:rsid w:val="46941322"/>
    <w:rsid w:val="46AC6D17"/>
    <w:rsid w:val="46C73B51"/>
    <w:rsid w:val="46D47A5D"/>
    <w:rsid w:val="46E11CFC"/>
    <w:rsid w:val="47021D0D"/>
    <w:rsid w:val="473016F6"/>
    <w:rsid w:val="47741147"/>
    <w:rsid w:val="47AA594C"/>
    <w:rsid w:val="47B02837"/>
    <w:rsid w:val="48256292"/>
    <w:rsid w:val="482A213A"/>
    <w:rsid w:val="48464EF3"/>
    <w:rsid w:val="485853A8"/>
    <w:rsid w:val="487877F8"/>
    <w:rsid w:val="489F114E"/>
    <w:rsid w:val="48AF74E9"/>
    <w:rsid w:val="48DA5DBD"/>
    <w:rsid w:val="49465201"/>
    <w:rsid w:val="496D45F2"/>
    <w:rsid w:val="4970701E"/>
    <w:rsid w:val="49BA14B8"/>
    <w:rsid w:val="4A365988"/>
    <w:rsid w:val="4A40486C"/>
    <w:rsid w:val="4A657B03"/>
    <w:rsid w:val="4AA047C0"/>
    <w:rsid w:val="4ACE3700"/>
    <w:rsid w:val="4AE83552"/>
    <w:rsid w:val="4AEF0023"/>
    <w:rsid w:val="4B09426C"/>
    <w:rsid w:val="4B6577C5"/>
    <w:rsid w:val="4B683D72"/>
    <w:rsid w:val="4B823380"/>
    <w:rsid w:val="4B983D0E"/>
    <w:rsid w:val="4BA6467C"/>
    <w:rsid w:val="4BAD4101"/>
    <w:rsid w:val="4BB15521"/>
    <w:rsid w:val="4BC80BED"/>
    <w:rsid w:val="4BFA0524"/>
    <w:rsid w:val="4C4F4680"/>
    <w:rsid w:val="4C6F4A6E"/>
    <w:rsid w:val="4C8754B1"/>
    <w:rsid w:val="4CC74B2D"/>
    <w:rsid w:val="4CE33A94"/>
    <w:rsid w:val="4CE916F9"/>
    <w:rsid w:val="4CF86289"/>
    <w:rsid w:val="4CFF45DE"/>
    <w:rsid w:val="4D0D7549"/>
    <w:rsid w:val="4D1C13E2"/>
    <w:rsid w:val="4D767489"/>
    <w:rsid w:val="4D92059A"/>
    <w:rsid w:val="4DA97542"/>
    <w:rsid w:val="4DBA5D92"/>
    <w:rsid w:val="4DD57C74"/>
    <w:rsid w:val="4DE374C2"/>
    <w:rsid w:val="4DEF5FB2"/>
    <w:rsid w:val="4E01203E"/>
    <w:rsid w:val="4E294664"/>
    <w:rsid w:val="4E2F3344"/>
    <w:rsid w:val="4E381C20"/>
    <w:rsid w:val="4E9B0E76"/>
    <w:rsid w:val="4E9E5247"/>
    <w:rsid w:val="4EF70F4D"/>
    <w:rsid w:val="4F0040A4"/>
    <w:rsid w:val="4F166011"/>
    <w:rsid w:val="4F2B1620"/>
    <w:rsid w:val="4F367AC5"/>
    <w:rsid w:val="4F76490F"/>
    <w:rsid w:val="4FC36084"/>
    <w:rsid w:val="4FF04118"/>
    <w:rsid w:val="50650662"/>
    <w:rsid w:val="509D6294"/>
    <w:rsid w:val="50BC1CBA"/>
    <w:rsid w:val="50D37CC2"/>
    <w:rsid w:val="5153094C"/>
    <w:rsid w:val="51571AC4"/>
    <w:rsid w:val="517843C5"/>
    <w:rsid w:val="51B739CC"/>
    <w:rsid w:val="51DF2696"/>
    <w:rsid w:val="51DF4444"/>
    <w:rsid w:val="51EE0B2B"/>
    <w:rsid w:val="521368F9"/>
    <w:rsid w:val="521C7446"/>
    <w:rsid w:val="52642870"/>
    <w:rsid w:val="52851158"/>
    <w:rsid w:val="52A35472"/>
    <w:rsid w:val="52C43A4A"/>
    <w:rsid w:val="52D675F5"/>
    <w:rsid w:val="531E550F"/>
    <w:rsid w:val="53373E0C"/>
    <w:rsid w:val="533F3772"/>
    <w:rsid w:val="5362532D"/>
    <w:rsid w:val="536315A2"/>
    <w:rsid w:val="53807561"/>
    <w:rsid w:val="53842339"/>
    <w:rsid w:val="538D7DC6"/>
    <w:rsid w:val="53A27384"/>
    <w:rsid w:val="54564027"/>
    <w:rsid w:val="54B043D5"/>
    <w:rsid w:val="54E56216"/>
    <w:rsid w:val="54FE4194"/>
    <w:rsid w:val="55145775"/>
    <w:rsid w:val="55480552"/>
    <w:rsid w:val="554C11A0"/>
    <w:rsid w:val="556668CE"/>
    <w:rsid w:val="557E60A6"/>
    <w:rsid w:val="55A3516F"/>
    <w:rsid w:val="55A710C4"/>
    <w:rsid w:val="56474D13"/>
    <w:rsid w:val="564F1542"/>
    <w:rsid w:val="56902DE6"/>
    <w:rsid w:val="56B608E9"/>
    <w:rsid w:val="56F24C1A"/>
    <w:rsid w:val="56F27A24"/>
    <w:rsid w:val="57452F9B"/>
    <w:rsid w:val="57460F48"/>
    <w:rsid w:val="57806831"/>
    <w:rsid w:val="578D049F"/>
    <w:rsid w:val="57C96FA8"/>
    <w:rsid w:val="57DC32D5"/>
    <w:rsid w:val="57E84079"/>
    <w:rsid w:val="57EFF41A"/>
    <w:rsid w:val="583A2891"/>
    <w:rsid w:val="58871392"/>
    <w:rsid w:val="58BF6D7E"/>
    <w:rsid w:val="58ED38EB"/>
    <w:rsid w:val="591702BF"/>
    <w:rsid w:val="59487E7E"/>
    <w:rsid w:val="594A4899"/>
    <w:rsid w:val="59975605"/>
    <w:rsid w:val="5A025174"/>
    <w:rsid w:val="5A0923CC"/>
    <w:rsid w:val="5A203F0F"/>
    <w:rsid w:val="5A3C3A68"/>
    <w:rsid w:val="5A4E632B"/>
    <w:rsid w:val="5A5B4884"/>
    <w:rsid w:val="5A6000EC"/>
    <w:rsid w:val="5A604CC1"/>
    <w:rsid w:val="5A905E1F"/>
    <w:rsid w:val="5B02690F"/>
    <w:rsid w:val="5B1E5BCC"/>
    <w:rsid w:val="5B2259DD"/>
    <w:rsid w:val="5B234C47"/>
    <w:rsid w:val="5BB756DE"/>
    <w:rsid w:val="5BCE5E90"/>
    <w:rsid w:val="5BEA4111"/>
    <w:rsid w:val="5BFB3AD0"/>
    <w:rsid w:val="5C4D3E66"/>
    <w:rsid w:val="5C502CD5"/>
    <w:rsid w:val="5C7B120D"/>
    <w:rsid w:val="5C9A11AC"/>
    <w:rsid w:val="5D3970FE"/>
    <w:rsid w:val="5D4635C9"/>
    <w:rsid w:val="5D5A0361"/>
    <w:rsid w:val="5D5E2ADB"/>
    <w:rsid w:val="5D7B00ED"/>
    <w:rsid w:val="5D870F35"/>
    <w:rsid w:val="5DA65D3F"/>
    <w:rsid w:val="5DAB78D0"/>
    <w:rsid w:val="5DBC1ADE"/>
    <w:rsid w:val="5E13627E"/>
    <w:rsid w:val="5E3C31F6"/>
    <w:rsid w:val="5E484F5D"/>
    <w:rsid w:val="5E5835B4"/>
    <w:rsid w:val="5E7F32E8"/>
    <w:rsid w:val="5EC730E1"/>
    <w:rsid w:val="5EFB7C8C"/>
    <w:rsid w:val="5F0A5107"/>
    <w:rsid w:val="5F322057"/>
    <w:rsid w:val="5F351B48"/>
    <w:rsid w:val="5FD62FB0"/>
    <w:rsid w:val="601654D5"/>
    <w:rsid w:val="604B2450"/>
    <w:rsid w:val="60836580"/>
    <w:rsid w:val="608D2202"/>
    <w:rsid w:val="60E170B6"/>
    <w:rsid w:val="61002503"/>
    <w:rsid w:val="612B2754"/>
    <w:rsid w:val="613320B7"/>
    <w:rsid w:val="6155074D"/>
    <w:rsid w:val="61AD3C17"/>
    <w:rsid w:val="61F555BE"/>
    <w:rsid w:val="62141908"/>
    <w:rsid w:val="62345AB8"/>
    <w:rsid w:val="62A0377C"/>
    <w:rsid w:val="62A32961"/>
    <w:rsid w:val="62FB27A8"/>
    <w:rsid w:val="630C18E6"/>
    <w:rsid w:val="630F26B0"/>
    <w:rsid w:val="632B6F6F"/>
    <w:rsid w:val="63674FF9"/>
    <w:rsid w:val="63676BEB"/>
    <w:rsid w:val="63A63014"/>
    <w:rsid w:val="63BE595B"/>
    <w:rsid w:val="63FC03BF"/>
    <w:rsid w:val="644E6121"/>
    <w:rsid w:val="645804F2"/>
    <w:rsid w:val="645B3DFE"/>
    <w:rsid w:val="64B70842"/>
    <w:rsid w:val="659770B8"/>
    <w:rsid w:val="65CE72E4"/>
    <w:rsid w:val="65D124B0"/>
    <w:rsid w:val="65E737E1"/>
    <w:rsid w:val="65EA3213"/>
    <w:rsid w:val="660303B6"/>
    <w:rsid w:val="6639016F"/>
    <w:rsid w:val="6642102A"/>
    <w:rsid w:val="6643057B"/>
    <w:rsid w:val="66560D21"/>
    <w:rsid w:val="6663343E"/>
    <w:rsid w:val="668A4527"/>
    <w:rsid w:val="66F27700"/>
    <w:rsid w:val="671B1623"/>
    <w:rsid w:val="673920B8"/>
    <w:rsid w:val="674C3ED2"/>
    <w:rsid w:val="679413D5"/>
    <w:rsid w:val="67C075ED"/>
    <w:rsid w:val="67CD3A5D"/>
    <w:rsid w:val="67DB2DD0"/>
    <w:rsid w:val="67E1286C"/>
    <w:rsid w:val="67EE6D37"/>
    <w:rsid w:val="68184B4C"/>
    <w:rsid w:val="68190914"/>
    <w:rsid w:val="682816DB"/>
    <w:rsid w:val="68364B4E"/>
    <w:rsid w:val="686D7CF2"/>
    <w:rsid w:val="688C50C8"/>
    <w:rsid w:val="68C006D4"/>
    <w:rsid w:val="68CA77A4"/>
    <w:rsid w:val="68D26659"/>
    <w:rsid w:val="691722BE"/>
    <w:rsid w:val="691E4361"/>
    <w:rsid w:val="692D181F"/>
    <w:rsid w:val="696C0215"/>
    <w:rsid w:val="697175FF"/>
    <w:rsid w:val="698D0391"/>
    <w:rsid w:val="699D3E7F"/>
    <w:rsid w:val="69BD31B2"/>
    <w:rsid w:val="69CA13F4"/>
    <w:rsid w:val="69CE52E6"/>
    <w:rsid w:val="69F820EF"/>
    <w:rsid w:val="6A1F55DC"/>
    <w:rsid w:val="6A2C3B47"/>
    <w:rsid w:val="6A2F53C6"/>
    <w:rsid w:val="6A3C6480"/>
    <w:rsid w:val="6A531ADF"/>
    <w:rsid w:val="6A6F7879"/>
    <w:rsid w:val="6A7C3841"/>
    <w:rsid w:val="6AC552E8"/>
    <w:rsid w:val="6AFE45F0"/>
    <w:rsid w:val="6B244066"/>
    <w:rsid w:val="6BC33E6B"/>
    <w:rsid w:val="6C256E6C"/>
    <w:rsid w:val="6C3C2767"/>
    <w:rsid w:val="6C5C0714"/>
    <w:rsid w:val="6C69767E"/>
    <w:rsid w:val="6C7F2654"/>
    <w:rsid w:val="6CD70FC1"/>
    <w:rsid w:val="6CE81868"/>
    <w:rsid w:val="6CFB2A09"/>
    <w:rsid w:val="6D082FF3"/>
    <w:rsid w:val="6D3A7005"/>
    <w:rsid w:val="6D761CA9"/>
    <w:rsid w:val="6DA97B06"/>
    <w:rsid w:val="6DE80D4D"/>
    <w:rsid w:val="6DF34D02"/>
    <w:rsid w:val="6DF826BE"/>
    <w:rsid w:val="6E1D01E8"/>
    <w:rsid w:val="6E280154"/>
    <w:rsid w:val="6E3D655A"/>
    <w:rsid w:val="6E763D12"/>
    <w:rsid w:val="6EFA2466"/>
    <w:rsid w:val="6EFF79D2"/>
    <w:rsid w:val="6F121862"/>
    <w:rsid w:val="6F173834"/>
    <w:rsid w:val="6F35524C"/>
    <w:rsid w:val="6F7B5355"/>
    <w:rsid w:val="6FA66085"/>
    <w:rsid w:val="6FBB727C"/>
    <w:rsid w:val="6FBC0999"/>
    <w:rsid w:val="6FF611BD"/>
    <w:rsid w:val="70231548"/>
    <w:rsid w:val="703340FE"/>
    <w:rsid w:val="7035375F"/>
    <w:rsid w:val="704F058F"/>
    <w:rsid w:val="706C6A24"/>
    <w:rsid w:val="70897C3E"/>
    <w:rsid w:val="70CC53D1"/>
    <w:rsid w:val="70FC5D5F"/>
    <w:rsid w:val="71157B57"/>
    <w:rsid w:val="714B6FA9"/>
    <w:rsid w:val="718C1932"/>
    <w:rsid w:val="71A52B5D"/>
    <w:rsid w:val="71BC3A02"/>
    <w:rsid w:val="71D21478"/>
    <w:rsid w:val="720F6228"/>
    <w:rsid w:val="72167299"/>
    <w:rsid w:val="723C62EB"/>
    <w:rsid w:val="727644F9"/>
    <w:rsid w:val="728E2A0C"/>
    <w:rsid w:val="730833A3"/>
    <w:rsid w:val="73092C77"/>
    <w:rsid w:val="73726B40"/>
    <w:rsid w:val="73813691"/>
    <w:rsid w:val="74161AF0"/>
    <w:rsid w:val="74581611"/>
    <w:rsid w:val="747A1FA3"/>
    <w:rsid w:val="74A311D9"/>
    <w:rsid w:val="7524274C"/>
    <w:rsid w:val="75556648"/>
    <w:rsid w:val="756949EA"/>
    <w:rsid w:val="75846F2D"/>
    <w:rsid w:val="75DE0F27"/>
    <w:rsid w:val="764D5DFB"/>
    <w:rsid w:val="765D7381"/>
    <w:rsid w:val="768858BC"/>
    <w:rsid w:val="770374F5"/>
    <w:rsid w:val="773F1043"/>
    <w:rsid w:val="774D646B"/>
    <w:rsid w:val="77534E09"/>
    <w:rsid w:val="77846CDF"/>
    <w:rsid w:val="778D20C9"/>
    <w:rsid w:val="77EE068E"/>
    <w:rsid w:val="78200EAB"/>
    <w:rsid w:val="78553DE1"/>
    <w:rsid w:val="7866427B"/>
    <w:rsid w:val="786A41B8"/>
    <w:rsid w:val="78782D79"/>
    <w:rsid w:val="787E53FD"/>
    <w:rsid w:val="788F1E71"/>
    <w:rsid w:val="78FE7F71"/>
    <w:rsid w:val="790E6A01"/>
    <w:rsid w:val="79110227"/>
    <w:rsid w:val="791B3704"/>
    <w:rsid w:val="796B7990"/>
    <w:rsid w:val="798E2128"/>
    <w:rsid w:val="79F24465"/>
    <w:rsid w:val="7A6A4943"/>
    <w:rsid w:val="7A6B4218"/>
    <w:rsid w:val="7AAB0E79"/>
    <w:rsid w:val="7AB636E5"/>
    <w:rsid w:val="7ADE6D11"/>
    <w:rsid w:val="7AE07C8F"/>
    <w:rsid w:val="7AEB2E27"/>
    <w:rsid w:val="7AEF4E49"/>
    <w:rsid w:val="7B160627"/>
    <w:rsid w:val="7B205002"/>
    <w:rsid w:val="7B711D02"/>
    <w:rsid w:val="7B7A3ACB"/>
    <w:rsid w:val="7BB045D8"/>
    <w:rsid w:val="7BB51BEE"/>
    <w:rsid w:val="7BC04649"/>
    <w:rsid w:val="7BDD2EF3"/>
    <w:rsid w:val="7C044924"/>
    <w:rsid w:val="7C0E12FE"/>
    <w:rsid w:val="7C0F3D67"/>
    <w:rsid w:val="7C7B5CFE"/>
    <w:rsid w:val="7C8A41BB"/>
    <w:rsid w:val="7CA00615"/>
    <w:rsid w:val="7D0C3A90"/>
    <w:rsid w:val="7D4A280A"/>
    <w:rsid w:val="7D935010"/>
    <w:rsid w:val="7D990C53"/>
    <w:rsid w:val="7D9B72E8"/>
    <w:rsid w:val="7DB60C46"/>
    <w:rsid w:val="7DBA3473"/>
    <w:rsid w:val="7DEA7A4F"/>
    <w:rsid w:val="7DEB50B3"/>
    <w:rsid w:val="7DF64C65"/>
    <w:rsid w:val="7E0C70D4"/>
    <w:rsid w:val="7E182B82"/>
    <w:rsid w:val="7E26761A"/>
    <w:rsid w:val="7E2E3988"/>
    <w:rsid w:val="7E4A7A99"/>
    <w:rsid w:val="7E4D4360"/>
    <w:rsid w:val="7E8645F2"/>
    <w:rsid w:val="7E9A1CEA"/>
    <w:rsid w:val="7E9D7499"/>
    <w:rsid w:val="7EEE0574"/>
    <w:rsid w:val="7EF053B6"/>
    <w:rsid w:val="7EF83A85"/>
    <w:rsid w:val="7F201A88"/>
    <w:rsid w:val="7F517E80"/>
    <w:rsid w:val="7F547A24"/>
    <w:rsid w:val="7FCC7C26"/>
    <w:rsid w:val="7FE14019"/>
    <w:rsid w:val="FD6D24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8">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qFormat/>
    <w:uiPriority w:val="9"/>
    <w:pPr>
      <w:keepNext/>
      <w:keepLines/>
      <w:spacing w:before="260" w:after="260" w:line="416" w:lineRule="auto"/>
      <w:outlineLvl w:val="2"/>
    </w:pPr>
    <w:rPr>
      <w:sz w:val="32"/>
      <w:szCs w:val="32"/>
    </w:rPr>
  </w:style>
  <w:style w:type="paragraph" w:styleId="9">
    <w:name w:val="heading 4"/>
    <w:basedOn w:val="1"/>
    <w:next w:val="1"/>
    <w:qFormat/>
    <w:uiPriority w:val="0"/>
    <w:pPr>
      <w:keepNext/>
      <w:spacing w:before="240" w:after="60"/>
      <w:outlineLvl w:val="3"/>
    </w:pPr>
    <w:rPr>
      <w:b/>
      <w:bCs/>
      <w:sz w:val="28"/>
      <w:szCs w:val="28"/>
    </w:rPr>
  </w:style>
  <w:style w:type="paragraph" w:styleId="2">
    <w:name w:val="heading 5"/>
    <w:basedOn w:val="3"/>
    <w:next w:val="4"/>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3">
    <w:name w:val="List Number 2"/>
    <w:basedOn w:val="1"/>
    <w:qFormat/>
    <w:uiPriority w:val="0"/>
    <w:pPr>
      <w:numPr>
        <w:ilvl w:val="0"/>
        <w:numId w:val="1"/>
      </w:numPr>
    </w:pPr>
  </w:style>
  <w:style w:type="paragraph" w:styleId="4">
    <w:name w:val="Normal (Web)"/>
    <w:basedOn w:val="1"/>
    <w:next w:val="5"/>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样式 标题 3 + (中文) 黑体 小四 非加粗 段前: 7.8 磅 段后: 0 磅 行距: 固定值 20 磅"/>
    <w:basedOn w:val="6"/>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0">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1">
    <w:name w:val="annotation text"/>
    <w:basedOn w:val="1"/>
    <w:qFormat/>
    <w:uiPriority w:val="0"/>
    <w:pPr>
      <w:jc w:val="left"/>
    </w:pPr>
  </w:style>
  <w:style w:type="paragraph" w:styleId="12">
    <w:name w:val="Body Text"/>
    <w:basedOn w:val="1"/>
    <w:next w:val="1"/>
    <w:qFormat/>
    <w:uiPriority w:val="1"/>
    <w:rPr>
      <w:b/>
      <w:szCs w:val="24"/>
    </w:rPr>
  </w:style>
  <w:style w:type="paragraph" w:styleId="13">
    <w:name w:val="Body Text Indent"/>
    <w:basedOn w:val="1"/>
    <w:next w:val="1"/>
    <w:qFormat/>
    <w:uiPriority w:val="0"/>
    <w:pPr>
      <w:spacing w:after="120"/>
      <w:ind w:left="420" w:leftChars="200"/>
    </w:pPr>
  </w:style>
  <w:style w:type="paragraph" w:styleId="14">
    <w:name w:val="Block Text"/>
    <w:basedOn w:val="1"/>
    <w:unhideWhenUsed/>
    <w:qFormat/>
    <w:uiPriority w:val="99"/>
    <w:pPr>
      <w:spacing w:line="400" w:lineRule="atLeast"/>
      <w:ind w:left="280" w:rightChars="134" w:firstLine="497" w:firstLineChars="0"/>
    </w:pPr>
    <w:rPr>
      <w:rFonts w:ascii="宋体" w:hAnsi="宋体" w:eastAsia="楷体_GB2312"/>
      <w:sz w:val="24"/>
      <w:szCs w:val="20"/>
    </w:rPr>
  </w:style>
  <w:style w:type="paragraph" w:styleId="15">
    <w:name w:val="Plain Text"/>
    <w:basedOn w:val="1"/>
    <w:unhideWhenUsed/>
    <w:qFormat/>
    <w:uiPriority w:val="99"/>
    <w:rPr>
      <w:rFonts w:ascii="宋体" w:hAnsi="Courier New" w:eastAsia="宋体" w:cs="Courier New"/>
      <w:szCs w:val="21"/>
    </w:rPr>
  </w:style>
  <w:style w:type="paragraph" w:styleId="16">
    <w:name w:val="Body Text Indent 2"/>
    <w:basedOn w:val="1"/>
    <w:qFormat/>
    <w:uiPriority w:val="0"/>
    <w:pPr>
      <w:spacing w:line="360" w:lineRule="auto"/>
      <w:ind w:firstLine="480" w:firstLineChars="200"/>
      <w:jc w:val="left"/>
    </w:pPr>
    <w:rPr>
      <w:rFonts w:hAnsi="Arial Narrow"/>
      <w:sz w:val="24"/>
      <w:szCs w:val="21"/>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Body Text 2"/>
    <w:basedOn w:val="1"/>
    <w:unhideWhenUsed/>
    <w:qFormat/>
    <w:uiPriority w:val="99"/>
    <w:pPr>
      <w:spacing w:after="120" w:line="480" w:lineRule="auto"/>
    </w:pPr>
  </w:style>
  <w:style w:type="paragraph" w:styleId="2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4">
    <w:name w:val="Body Text First Indent 2"/>
    <w:basedOn w:val="13"/>
    <w:next w:val="25"/>
    <w:qFormat/>
    <w:uiPriority w:val="99"/>
    <w:pPr>
      <w:tabs>
        <w:tab w:val="left" w:pos="4606"/>
      </w:tabs>
      <w:ind w:firstLine="420"/>
    </w:pPr>
  </w:style>
  <w:style w:type="paragraph" w:customStyle="1" w:styleId="25">
    <w:name w:val="样式 标题 3 + (中文) 黑体 小四 非加粗 段前: 7.8 磅 段后: 0 磅 行距: 固定值 20 磅_0"/>
    <w:basedOn w:val="26"/>
    <w:qFormat/>
    <w:uiPriority w:val="0"/>
    <w:pPr>
      <w:spacing w:before="0" w:after="0" w:line="400" w:lineRule="exact"/>
    </w:pPr>
    <w:rPr>
      <w:rFonts w:ascii="Times New Roman" w:hAnsi="Times New Roman" w:eastAsia="黑体" w:cs="宋体"/>
      <w:b w:val="0"/>
      <w:bCs w:val="0"/>
      <w:sz w:val="21"/>
      <w:szCs w:val="20"/>
    </w:rPr>
  </w:style>
  <w:style w:type="paragraph" w:customStyle="1" w:styleId="26">
    <w:name w:val="标题 3_0"/>
    <w:basedOn w:val="27"/>
    <w:next w:val="28"/>
    <w:qFormat/>
    <w:uiPriority w:val="0"/>
    <w:pPr>
      <w:keepNext/>
      <w:keepLines/>
      <w:spacing w:before="260" w:after="260" w:line="416" w:lineRule="auto"/>
      <w:outlineLvl w:val="2"/>
    </w:pPr>
    <w:rPr>
      <w:rFonts w:ascii="Calibri" w:hAnsi="Calibri"/>
      <w:b/>
      <w:bCs/>
      <w:sz w:val="32"/>
      <w:szCs w:val="32"/>
    </w:rPr>
  </w:style>
  <w:style w:type="paragraph" w:customStyle="1" w:styleId="27">
    <w:name w:val="正文_0"/>
    <w:next w:val="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1"/>
    <w:next w:val="24"/>
    <w:qFormat/>
    <w:uiPriority w:val="0"/>
    <w:pPr>
      <w:widowControl w:val="0"/>
      <w:jc w:val="both"/>
    </w:pPr>
    <w:rPr>
      <w:rFonts w:ascii="Times New Roman" w:hAnsi="Times New Roman" w:eastAsia="宋体" w:cs="Times New Roman"/>
      <w:kern w:val="2"/>
      <w:sz w:val="21"/>
      <w:szCs w:val="22"/>
      <w:lang w:val="en-US" w:eastAsia="zh-CN" w:bidi="ar-SA"/>
    </w:rPr>
  </w:style>
  <w:style w:type="table" w:styleId="30">
    <w:name w:val="Table Grid"/>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99"/>
  </w:style>
  <w:style w:type="character" w:styleId="34">
    <w:name w:val="Hyperlink"/>
    <w:unhideWhenUsed/>
    <w:qFormat/>
    <w:uiPriority w:val="99"/>
    <w:rPr>
      <w:color w:val="0000FF"/>
      <w:u w:val="single"/>
    </w:rPr>
  </w:style>
  <w:style w:type="paragraph" w:customStyle="1" w:styleId="35">
    <w:name w:val="Fließtext"/>
    <w:basedOn w:val="1"/>
    <w:qFormat/>
    <w:uiPriority w:val="99"/>
    <w:pPr>
      <w:overflowPunct w:val="0"/>
      <w:autoSpaceDE w:val="0"/>
      <w:autoSpaceDN w:val="0"/>
      <w:adjustRightInd w:val="0"/>
      <w:textAlignment w:val="baseline"/>
    </w:pPr>
    <w:rPr>
      <w:kern w:val="28"/>
      <w:szCs w:val="20"/>
    </w:rPr>
  </w:style>
  <w:style w:type="paragraph" w:customStyle="1" w:styleId="36">
    <w:name w:val="首行缩进"/>
    <w:basedOn w:val="1"/>
    <w:qFormat/>
    <w:uiPriority w:val="0"/>
    <w:pPr>
      <w:ind w:firstLine="480" w:firstLineChars="200"/>
    </w:pPr>
    <w:rPr>
      <w:lang w:val="zh-CN"/>
    </w:rPr>
  </w:style>
  <w:style w:type="paragraph" w:customStyle="1" w:styleId="37">
    <w:name w:val="正文（缩进）"/>
    <w:basedOn w:val="1"/>
    <w:qFormat/>
    <w:uiPriority w:val="99"/>
    <w:pPr>
      <w:spacing w:before="156" w:after="156"/>
      <w:ind w:firstLine="480"/>
    </w:pPr>
  </w:style>
  <w:style w:type="paragraph" w:customStyle="1" w:styleId="38">
    <w:name w:val="null3"/>
    <w:qFormat/>
    <w:uiPriority w:val="0"/>
    <w:rPr>
      <w:rFonts w:hint="eastAsia" w:ascii="Calibri" w:hAnsi="Calibri" w:eastAsia="宋体" w:cs="Times New Roman"/>
      <w:lang w:val="en-US" w:eastAsia="zh-CN" w:bidi="ar-SA"/>
    </w:rPr>
  </w:style>
  <w:style w:type="paragraph" w:customStyle="1" w:styleId="39">
    <w:name w:val="样式1"/>
    <w:basedOn w:val="1"/>
    <w:qFormat/>
    <w:uiPriority w:val="0"/>
    <w:pPr>
      <w:jc w:val="center"/>
    </w:pPr>
    <w:rPr>
      <w:rFonts w:eastAsia="方正大标宋简体"/>
      <w:sz w:val="52"/>
    </w:rPr>
  </w:style>
  <w:style w:type="paragraph" w:customStyle="1" w:styleId="40">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1">
    <w:name w:val="edittexttarea"/>
    <w:basedOn w:val="31"/>
    <w:qFormat/>
    <w:uiPriority w:val="0"/>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7">
    <w:name w:val="List Paragraph"/>
    <w:basedOn w:val="1"/>
    <w:qFormat/>
    <w:uiPriority w:val="0"/>
    <w:pPr>
      <w:widowControl/>
      <w:ind w:firstLine="420" w:firstLineChars="200"/>
      <w:jc w:val="left"/>
    </w:pPr>
    <w:rPr>
      <w:rFonts w:ascii="MetaPlusLF" w:hAnsi="MetaPlusLF" w:cs="Times New Roman"/>
      <w:snapToGrid/>
      <w:sz w:val="20"/>
      <w:szCs w:val="20"/>
      <w:lang w:val="de-DE" w:eastAsia="de-DE"/>
    </w:rPr>
  </w:style>
  <w:style w:type="paragraph" w:customStyle="1" w:styleId="48">
    <w:name w:val="p0"/>
    <w:basedOn w:val="1"/>
    <w:qFormat/>
    <w:uiPriority w:val="0"/>
    <w:pPr>
      <w:widowControl/>
    </w:pPr>
    <w:rPr>
      <w:kern w:val="0"/>
      <w:sz w:val="20"/>
      <w:szCs w:val="21"/>
    </w:rPr>
  </w:style>
  <w:style w:type="paragraph" w:customStyle="1" w:styleId="49">
    <w:name w:val="MsoNormal"/>
    <w:basedOn w:val="1"/>
    <w:qFormat/>
    <w:uiPriority w:val="0"/>
  </w:style>
  <w:style w:type="paragraph" w:customStyle="1" w:styleId="50">
    <w:name w:val="MsoNormal0"/>
    <w:basedOn w:val="1"/>
    <w:qFormat/>
    <w:uiPriority w:val="0"/>
  </w:style>
  <w:style w:type="table" w:customStyle="1" w:styleId="51">
    <w:name w:val="MsoNormalTable0"/>
    <w:basedOn w:val="29"/>
    <w:qFormat/>
    <w:uiPriority w:val="0"/>
    <w:tblPr>
      <w:tblCellMar>
        <w:top w:w="0" w:type="dxa"/>
        <w:left w:w="108" w:type="dxa"/>
        <w:bottom w:w="0" w:type="dxa"/>
        <w:right w:w="108" w:type="dxa"/>
      </w:tblCellMar>
    </w:tblPr>
  </w:style>
  <w:style w:type="table" w:customStyle="1" w:styleId="52">
    <w:name w:val="MsoNormalTable"/>
    <w:basedOn w:val="29"/>
    <w:qFormat/>
    <w:uiPriority w:val="0"/>
    <w:tblPr>
      <w:tblCellMar>
        <w:top w:w="0" w:type="dxa"/>
        <w:left w:w="108" w:type="dxa"/>
        <w:bottom w:w="0" w:type="dxa"/>
        <w:right w:w="108" w:type="dxa"/>
      </w:tblCellMar>
    </w:tblPr>
  </w:style>
  <w:style w:type="paragraph" w:customStyle="1" w:styleId="53">
    <w:name w:val="MsoBodyText"/>
    <w:basedOn w:val="1"/>
    <w:qFormat/>
    <w:uiPriority w:val="0"/>
  </w:style>
  <w:style w:type="paragraph" w:customStyle="1" w:styleId="54">
    <w:name w:val="MsoBodyTextFirstIndent20"/>
    <w:basedOn w:val="1"/>
    <w:qFormat/>
    <w:uiPriority w:val="0"/>
  </w:style>
  <w:style w:type="paragraph" w:customStyle="1" w:styleId="55">
    <w:name w:val="MsoListParagraph"/>
    <w:basedOn w:val="1"/>
    <w:qFormat/>
    <w:uiPriority w:val="0"/>
  </w:style>
  <w:style w:type="paragraph" w:customStyle="1" w:styleId="56">
    <w:name w:val="MsoBodyTextFirstIndent2"/>
    <w:basedOn w:val="1"/>
    <w:qFormat/>
    <w:uiPriority w:val="0"/>
  </w:style>
  <w:style w:type="paragraph" w:customStyle="1" w:styleId="57">
    <w:name w:val="Table Text"/>
    <w:basedOn w:val="1"/>
    <w:semiHidden/>
    <w:qFormat/>
    <w:uiPriority w:val="0"/>
    <w:rPr>
      <w:rFonts w:ascii="宋体" w:hAnsi="宋体" w:eastAsia="宋体" w:cs="宋体"/>
      <w:sz w:val="20"/>
      <w:szCs w:val="20"/>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15"/>
    <w:basedOn w:val="1"/>
    <w:qFormat/>
    <w:uiPriority w:val="0"/>
  </w:style>
  <w:style w:type="table" w:customStyle="1" w:styleId="60">
    <w:name w:val="16"/>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45417</Words>
  <Characters>48161</Characters>
  <Lines>0</Lines>
  <Paragraphs>0</Paragraphs>
  <TotalTime>11</TotalTime>
  <ScaleCrop>false</ScaleCrop>
  <LinksUpToDate>false</LinksUpToDate>
  <CharactersWithSpaces>50190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2024-06-05T04:42:00Z</dcterms:created>
  <dc:creator>Administrator</dc:creator>
  <cp:lastModifiedBy>npsw</cp:lastModifiedBy>
  <dcterms:modified xsi:type="dcterms:W3CDTF">2025-10-23T17:20:53Z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DBFDEF7A58E64977BCA56BB734F35645_13</vt:lpwstr>
  </property>
  <property fmtid="{D5CDD505-2E9C-101B-9397-08002B2CF9AE}" pid="4" name="KSOTemplateDocerSaveRecord">
    <vt:lpwstr>eyJoZGlkIjoiZGNlNzY0ZDRjOGY4ZGZmMGEyMWFhYzg5Nzk3MTljYTMifQ==</vt:lpwstr>
  </property>
</Properties>
</file>