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rPr>
      </w:pPr>
    </w:p>
    <w:p>
      <w:pPr>
        <w:topLinePunct/>
        <w:autoSpaceDE w:val="0"/>
        <w:autoSpaceDN w:val="0"/>
        <w:jc w:val="center"/>
        <w:rPr>
          <w:rFonts w:hint="eastAsia" w:ascii="华文中宋" w:hAnsi="华文中宋" w:eastAsia="华文中宋" w:cs="华文中宋"/>
          <w:b w:val="0"/>
          <w:bCs/>
          <w:color w:val="auto"/>
          <w:sz w:val="72"/>
          <w:szCs w:val="72"/>
          <w:highlight w:val="none"/>
        </w:rPr>
      </w:pPr>
      <w:r>
        <w:rPr>
          <w:rFonts w:hint="eastAsia" w:ascii="华文中宋" w:hAnsi="华文中宋" w:eastAsia="华文中宋" w:cs="华文中宋"/>
          <w:b w:val="0"/>
          <w:bCs/>
          <w:color w:val="auto"/>
          <w:sz w:val="72"/>
          <w:szCs w:val="72"/>
          <w:highlight w:val="none"/>
        </w:rPr>
        <w:t>招 标 文 件</w:t>
      </w:r>
    </w:p>
    <w:p>
      <w:pPr>
        <w:topLinePunct/>
        <w:autoSpaceDE w:val="0"/>
        <w:autoSpaceDN w:val="0"/>
        <w:spacing w:line="60" w:lineRule="exact"/>
        <w:jc w:val="center"/>
        <w:rPr>
          <w:rFonts w:hint="eastAsia" w:ascii="华文中宋" w:hAnsi="华文中宋" w:eastAsia="华文中宋" w:cs="华文中宋"/>
          <w:b w:val="0"/>
          <w:bCs/>
          <w:color w:val="auto"/>
          <w:sz w:val="72"/>
          <w:szCs w:val="72"/>
          <w:highlight w:val="none"/>
        </w:rPr>
      </w:pPr>
    </w:p>
    <w:p>
      <w:pPr>
        <w:topLinePunct/>
        <w:autoSpaceDE w:val="0"/>
        <w:autoSpaceDN w:val="0"/>
        <w:snapToGrid w:val="0"/>
        <w:jc w:val="center"/>
        <w:rPr>
          <w:rFonts w:hint="eastAsia" w:ascii="华文中宋" w:hAnsi="华文中宋" w:eastAsia="华文中宋" w:cs="华文中宋"/>
          <w:b w:val="0"/>
          <w:bCs/>
          <w:color w:val="auto"/>
          <w:sz w:val="72"/>
          <w:szCs w:val="72"/>
          <w:highlight w:val="none"/>
        </w:rPr>
      </w:pPr>
      <w:r>
        <w:rPr>
          <w:rFonts w:hint="eastAsia" w:ascii="华文中宋" w:hAnsi="华文中宋" w:eastAsia="华文中宋" w:cs="华文中宋"/>
          <w:b w:val="0"/>
          <w:bCs/>
          <w:color w:val="auto"/>
          <w:sz w:val="72"/>
          <w:szCs w:val="72"/>
          <w:highlight w:val="none"/>
          <w:lang w:eastAsia="zh-CN"/>
        </w:rPr>
        <w:t>（</w:t>
      </w:r>
      <w:r>
        <w:rPr>
          <w:rFonts w:hint="eastAsia" w:ascii="华文中宋" w:hAnsi="华文中宋" w:eastAsia="华文中宋" w:cs="华文中宋"/>
          <w:b w:val="0"/>
          <w:bCs/>
          <w:color w:val="auto"/>
          <w:sz w:val="72"/>
          <w:szCs w:val="72"/>
          <w:highlight w:val="none"/>
        </w:rPr>
        <w:t>商务部分</w:t>
      </w:r>
      <w:r>
        <w:rPr>
          <w:rFonts w:hint="eastAsia" w:ascii="华文中宋" w:hAnsi="华文中宋" w:eastAsia="华文中宋" w:cs="华文中宋"/>
          <w:b w:val="0"/>
          <w:bCs/>
          <w:color w:val="auto"/>
          <w:sz w:val="72"/>
          <w:szCs w:val="72"/>
          <w:highlight w:val="none"/>
          <w:lang w:eastAsia="zh-CN"/>
        </w:rPr>
        <w:t>）</w:t>
      </w:r>
    </w:p>
    <w:p>
      <w:pPr>
        <w:topLinePunct/>
        <w:autoSpaceDE w:val="0"/>
        <w:autoSpaceDN w:val="0"/>
        <w:snapToGrid w:val="0"/>
        <w:rPr>
          <w:rFonts w:hint="eastAsia" w:ascii="华文中宋" w:hAnsi="华文中宋" w:eastAsia="华文中宋" w:cs="华文中宋"/>
          <w:b w:val="0"/>
          <w:bCs/>
          <w:color w:val="auto"/>
          <w:sz w:val="32"/>
          <w:szCs w:val="32"/>
          <w:highlight w:val="none"/>
        </w:rPr>
      </w:pPr>
    </w:p>
    <w:p>
      <w:pPr>
        <w:jc w:val="center"/>
        <w:rPr>
          <w:rFonts w:hint="eastAsia" w:ascii="方正小标宋简体" w:hAnsi="方正小标宋简体" w:eastAsia="方正小标宋简体" w:cs="方正小标宋简体"/>
          <w:b w:val="0"/>
          <w:bCs w:val="0"/>
          <w:color w:val="auto"/>
          <w:sz w:val="24"/>
          <w:szCs w:val="24"/>
          <w:highlight w:val="none"/>
        </w:rPr>
      </w:pPr>
    </w:p>
    <w:p>
      <w:pPr>
        <w:pStyle w:val="22"/>
        <w:rPr>
          <w:rFonts w:hint="eastAsia"/>
          <w:color w:val="auto"/>
        </w:rPr>
      </w:pPr>
    </w:p>
    <w:p>
      <w:pPr>
        <w:jc w:val="center"/>
        <w:rPr>
          <w:rFonts w:hint="eastAsia" w:ascii="方正小标宋简体" w:hAnsi="方正小标宋简体" w:eastAsia="方正小标宋简体" w:cs="方正小标宋简体"/>
          <w:b w:val="0"/>
          <w:bCs w:val="0"/>
          <w:color w:val="auto"/>
          <w:sz w:val="24"/>
          <w:szCs w:val="24"/>
          <w:highlight w:val="none"/>
        </w:rPr>
      </w:pPr>
    </w:p>
    <w:p>
      <w:pPr>
        <w:pStyle w:val="12"/>
        <w:ind w:firstLine="1400" w:firstLineChars="500"/>
        <w:rPr>
          <w:rFonts w:hint="eastAsia" w:hAnsi="宋体" w:cs="宋体"/>
          <w:color w:val="auto"/>
          <w:kern w:val="0"/>
          <w:sz w:val="28"/>
          <w:szCs w:val="28"/>
          <w:u w:val="single"/>
          <w:lang w:eastAsia="zh-CN"/>
        </w:rPr>
      </w:pPr>
      <w:r>
        <w:rPr>
          <w:rFonts w:hint="eastAsia" w:ascii="宋体" w:hAnsi="宋体" w:eastAsia="宋体" w:cs="宋体"/>
          <w:color w:val="auto"/>
          <w:kern w:val="0"/>
          <w:sz w:val="28"/>
          <w:szCs w:val="28"/>
        </w:rPr>
        <w:t>项目名称：</w:t>
      </w:r>
      <w:r>
        <w:rPr>
          <w:rFonts w:hint="eastAsia" w:ascii="宋体" w:hAnsi="宋体" w:eastAsia="宋体" w:cs="宋体"/>
          <w:color w:val="auto"/>
          <w:kern w:val="0"/>
          <w:sz w:val="28"/>
          <w:szCs w:val="28"/>
          <w:u w:val="single"/>
          <w:lang w:eastAsia="zh-CN"/>
        </w:rPr>
        <w:t>南平市税务局办公场所窗帘采购项目</w:t>
      </w:r>
    </w:p>
    <w:p>
      <w:pPr>
        <w:pStyle w:val="12"/>
        <w:ind w:firstLine="1400" w:firstLineChars="500"/>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项目编号：</w:t>
      </w:r>
      <w:r>
        <w:rPr>
          <w:rFonts w:hint="eastAsia" w:hAnsi="宋体" w:cs="宋体"/>
          <w:color w:val="auto"/>
          <w:kern w:val="0"/>
          <w:sz w:val="28"/>
          <w:szCs w:val="28"/>
          <w:u w:val="single"/>
          <w:lang w:eastAsia="zh-CN"/>
        </w:rPr>
        <w:t>ZXWT-2024-386</w:t>
      </w:r>
    </w:p>
    <w:p>
      <w:pPr>
        <w:pStyle w:val="12"/>
        <w:ind w:firstLine="1400" w:firstLineChars="500"/>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采 购 人：</w:t>
      </w:r>
      <w:r>
        <w:rPr>
          <w:rFonts w:hint="eastAsia" w:hAnsi="宋体" w:cs="宋体"/>
          <w:color w:val="auto"/>
          <w:kern w:val="0"/>
          <w:sz w:val="28"/>
          <w:szCs w:val="28"/>
          <w:u w:val="single"/>
          <w:lang w:eastAsia="zh-CN"/>
        </w:rPr>
        <w:t>国家税务总局南平市税务局</w:t>
      </w:r>
    </w:p>
    <w:p>
      <w:pPr>
        <w:pStyle w:val="12"/>
        <w:ind w:firstLine="1400" w:firstLineChars="5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采购代理机构：</w:t>
      </w:r>
      <w:r>
        <w:rPr>
          <w:rFonts w:hint="eastAsia" w:ascii="宋体" w:hAnsi="宋体" w:eastAsia="宋体" w:cs="宋体"/>
          <w:color w:val="auto"/>
          <w:kern w:val="0"/>
          <w:sz w:val="28"/>
          <w:szCs w:val="28"/>
          <w:u w:val="single"/>
        </w:rPr>
        <w:t>福建省智信招标有限公司</w:t>
      </w:r>
    </w:p>
    <w:p>
      <w:pPr>
        <w:topLinePunct/>
        <w:autoSpaceDE w:val="0"/>
        <w:autoSpaceDN w:val="0"/>
        <w:spacing w:line="460" w:lineRule="exact"/>
        <w:rPr>
          <w:rFonts w:hint="eastAsia" w:ascii="宋体" w:hAnsi="宋体" w:eastAsia="宋体" w:cs="宋体"/>
          <w:b/>
          <w:color w:val="auto"/>
          <w:sz w:val="24"/>
          <w:szCs w:val="24"/>
          <w:highlight w:val="none"/>
        </w:rPr>
      </w:pPr>
    </w:p>
    <w:p>
      <w:pPr>
        <w:topLinePunct/>
        <w:autoSpaceDE w:val="0"/>
        <w:autoSpaceDN w:val="0"/>
        <w:spacing w:line="460" w:lineRule="exact"/>
        <w:jc w:val="center"/>
        <w:rPr>
          <w:rFonts w:hint="eastAsia" w:ascii="宋体" w:hAnsi="宋体" w:eastAsia="宋体" w:cs="宋体"/>
          <w:color w:val="auto"/>
          <w:sz w:val="24"/>
          <w:szCs w:val="24"/>
          <w:highlight w:val="none"/>
        </w:rPr>
      </w:pPr>
    </w:p>
    <w:p>
      <w:pPr>
        <w:pStyle w:val="6"/>
        <w:numPr>
          <w:ilvl w:val="0"/>
          <w:numId w:val="0"/>
        </w:numPr>
        <w:ind w:leftChars="200"/>
        <w:rPr>
          <w:rFonts w:hint="eastAsia"/>
          <w:color w:val="auto"/>
        </w:rPr>
      </w:pPr>
    </w:p>
    <w:p>
      <w:pPr>
        <w:pStyle w:val="8"/>
        <w:rPr>
          <w:rFonts w:hint="eastAsia"/>
          <w:color w:val="auto"/>
        </w:rPr>
      </w:pPr>
    </w:p>
    <w:p>
      <w:pPr>
        <w:pStyle w:val="9"/>
        <w:rPr>
          <w:rFonts w:hint="eastAsia"/>
          <w:color w:val="auto"/>
        </w:rPr>
      </w:pPr>
    </w:p>
    <w:p>
      <w:pPr>
        <w:pStyle w:val="9"/>
        <w:rPr>
          <w:rFonts w:hint="eastAsia"/>
          <w:color w:val="auto"/>
        </w:rPr>
      </w:pPr>
    </w:p>
    <w:p>
      <w:pPr>
        <w:topLinePunct/>
        <w:autoSpaceDE w:val="0"/>
        <w:autoSpaceDN w:val="0"/>
        <w:spacing w:line="160" w:lineRule="exact"/>
        <w:jc w:val="center"/>
        <w:rPr>
          <w:rFonts w:hint="eastAsia" w:ascii="宋体" w:hAnsi="宋体" w:eastAsia="宋体" w:cs="宋体"/>
          <w:color w:val="auto"/>
          <w:sz w:val="24"/>
          <w:szCs w:val="24"/>
          <w:highlight w:val="none"/>
        </w:rPr>
      </w:pPr>
    </w:p>
    <w:p>
      <w:pPr>
        <w:jc w:val="center"/>
        <w:rPr>
          <w:rFonts w:hint="eastAsia" w:hAnsi="宋体" w:cs="宋体"/>
          <w:color w:val="auto"/>
          <w:kern w:val="0"/>
          <w:sz w:val="28"/>
          <w:szCs w:val="28"/>
          <w:u w:val="none"/>
          <w:lang w:eastAsia="zh-CN"/>
        </w:rPr>
      </w:pPr>
      <w:r>
        <w:rPr>
          <w:rFonts w:hint="eastAsia" w:hAnsi="宋体" w:cs="宋体"/>
          <w:color w:val="auto"/>
          <w:kern w:val="0"/>
          <w:sz w:val="28"/>
          <w:szCs w:val="28"/>
          <w:u w:val="none"/>
          <w:lang w:eastAsia="zh-CN"/>
        </w:rPr>
        <w:t>国家税务总局南平市税务局</w:t>
      </w: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2024</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11</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29</w:t>
      </w:r>
      <w:r>
        <w:rPr>
          <w:rFonts w:hint="eastAsia" w:ascii="宋体" w:hAnsi="宋体" w:eastAsia="宋体" w:cs="宋体"/>
          <w:color w:val="auto"/>
          <w:sz w:val="28"/>
          <w:szCs w:val="28"/>
          <w:highlight w:val="none"/>
        </w:rPr>
        <w:t>日</w:t>
      </w:r>
    </w:p>
    <w:p>
      <w:pPr>
        <w:rPr>
          <w:rFonts w:hint="eastAsia" w:ascii="宋体" w:hAnsi="宋体" w:eastAsia="宋体" w:cs="宋体"/>
          <w:color w:val="auto"/>
          <w:sz w:val="24"/>
          <w:szCs w:val="24"/>
          <w:highlight w:val="none"/>
        </w:rPr>
      </w:pPr>
    </w:p>
    <w:p>
      <w:pPr>
        <w:rPr>
          <w:b w:val="0"/>
          <w:bCs w:val="0"/>
          <w:color w:val="auto"/>
          <w:sz w:val="32"/>
          <w:szCs w:val="32"/>
          <w:highlight w:val="none"/>
        </w:rPr>
      </w:pPr>
    </w:p>
    <w:p>
      <w:pPr>
        <w:rPr>
          <w:color w:val="auto"/>
          <w:sz w:val="32"/>
          <w:szCs w:val="32"/>
          <w:highlight w:val="none"/>
        </w:rPr>
      </w:pPr>
    </w:p>
    <w:p>
      <w:pPr>
        <w:rPr>
          <w:color w:val="auto"/>
          <w:sz w:val="32"/>
          <w:szCs w:val="32"/>
          <w:highlight w:val="none"/>
        </w:rPr>
        <w:sectPr>
          <w:footerReference r:id="rId3" w:type="default"/>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bidi w:val="0"/>
        <w:jc w:val="center"/>
        <w:rPr>
          <w:rFonts w:hint="eastAsia" w:ascii="华文中宋" w:hAnsi="华文中宋" w:eastAsia="华文中宋" w:cs="华文中宋"/>
          <w:color w:val="auto"/>
          <w:sz w:val="28"/>
          <w:szCs w:val="28"/>
          <w:highlight w:val="none"/>
        </w:rPr>
      </w:pPr>
      <w:r>
        <w:rPr>
          <w:rFonts w:hint="eastAsia" w:ascii="华文中宋" w:hAnsi="华文中宋" w:eastAsia="华文中宋" w:cs="华文中宋"/>
          <w:color w:val="auto"/>
          <w:sz w:val="28"/>
          <w:szCs w:val="28"/>
          <w:highlight w:val="none"/>
          <w:lang w:val="zh-CN"/>
        </w:rPr>
        <w:t>目  录</w:t>
      </w:r>
    </w:p>
    <w:p>
      <w:pPr>
        <w:pStyle w:val="14"/>
        <w:tabs>
          <w:tab w:val="right" w:leader="dot" w:pos="8402"/>
        </w:tabs>
        <w:spacing w:line="400" w:lineRule="exact"/>
        <w:rPr>
          <w:color w:val="auto"/>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_Toc10079 </w:instrText>
      </w:r>
      <w:r>
        <w:rPr>
          <w:color w:val="auto"/>
          <w:highlight w:val="none"/>
        </w:rPr>
        <w:fldChar w:fldCharType="separate"/>
      </w:r>
      <w:r>
        <w:rPr>
          <w:rFonts w:hint="eastAsia"/>
          <w:color w:val="auto"/>
          <w:szCs w:val="44"/>
          <w:lang w:val="en-US" w:eastAsia="zh-CN"/>
        </w:rPr>
        <w:t>第一章</w:t>
      </w:r>
      <w:r>
        <w:rPr>
          <w:rFonts w:hint="default" w:ascii="Calibri" w:hAnsi="Calibri" w:eastAsia="宋体" w:cs="Times New Roman"/>
          <w:color w:val="auto"/>
          <w:szCs w:val="44"/>
        </w:rPr>
        <w:t xml:space="preserve"> 投标邀请</w:t>
      </w:r>
      <w:r>
        <w:rPr>
          <w:color w:val="auto"/>
        </w:rPr>
        <w:tab/>
      </w:r>
      <w:r>
        <w:rPr>
          <w:color w:val="auto"/>
        </w:rPr>
        <w:fldChar w:fldCharType="begin"/>
      </w:r>
      <w:r>
        <w:rPr>
          <w:color w:val="auto"/>
        </w:rPr>
        <w:instrText xml:space="preserve"> PAGEREF _Toc10079 \h </w:instrText>
      </w:r>
      <w:r>
        <w:rPr>
          <w:color w:val="auto"/>
        </w:rPr>
        <w:fldChar w:fldCharType="separate"/>
      </w:r>
      <w:r>
        <w:rPr>
          <w:color w:val="auto"/>
        </w:rPr>
        <w:t>3</w:t>
      </w:r>
      <w:r>
        <w:rPr>
          <w:color w:val="auto"/>
        </w:rPr>
        <w:fldChar w:fldCharType="end"/>
      </w:r>
      <w:r>
        <w:rPr>
          <w:color w:val="auto"/>
          <w:highlight w:val="none"/>
        </w:rPr>
        <w:fldChar w:fldCharType="end"/>
      </w:r>
    </w:p>
    <w:p>
      <w:pPr>
        <w:pStyle w:val="14"/>
        <w:tabs>
          <w:tab w:val="right" w:leader="dot" w:pos="8402"/>
        </w:tabs>
        <w:spacing w:line="400" w:lineRule="exact"/>
        <w:rPr>
          <w:color w:val="auto"/>
        </w:rPr>
      </w:pPr>
      <w:r>
        <w:rPr>
          <w:color w:val="auto"/>
          <w:highlight w:val="none"/>
        </w:rPr>
        <w:fldChar w:fldCharType="begin"/>
      </w:r>
      <w:r>
        <w:rPr>
          <w:color w:val="auto"/>
          <w:highlight w:val="none"/>
        </w:rPr>
        <w:instrText xml:space="preserve"> HYPERLINK \l _Toc19608 </w:instrText>
      </w:r>
      <w:r>
        <w:rPr>
          <w:color w:val="auto"/>
          <w:highlight w:val="none"/>
        </w:rPr>
        <w:fldChar w:fldCharType="separate"/>
      </w:r>
      <w:r>
        <w:rPr>
          <w:rFonts w:hint="eastAsia"/>
          <w:color w:val="auto"/>
          <w:lang w:val="en-US" w:eastAsia="zh-CN"/>
        </w:rPr>
        <w:t>第二章 投标人须知</w:t>
      </w:r>
      <w:r>
        <w:rPr>
          <w:color w:val="auto"/>
        </w:rPr>
        <w:tab/>
      </w:r>
      <w:r>
        <w:rPr>
          <w:color w:val="auto"/>
        </w:rPr>
        <w:fldChar w:fldCharType="begin"/>
      </w:r>
      <w:r>
        <w:rPr>
          <w:color w:val="auto"/>
        </w:rPr>
        <w:instrText xml:space="preserve"> PAGEREF _Toc19608 \h </w:instrText>
      </w:r>
      <w:r>
        <w:rPr>
          <w:color w:val="auto"/>
        </w:rPr>
        <w:fldChar w:fldCharType="separate"/>
      </w:r>
      <w:r>
        <w:rPr>
          <w:color w:val="auto"/>
        </w:rPr>
        <w:t>6</w:t>
      </w:r>
      <w:r>
        <w:rPr>
          <w:color w:val="auto"/>
        </w:rPr>
        <w:fldChar w:fldCharType="end"/>
      </w:r>
      <w:r>
        <w:rPr>
          <w:color w:val="auto"/>
          <w:highlight w:val="none"/>
        </w:rPr>
        <w:fldChar w:fldCharType="end"/>
      </w:r>
    </w:p>
    <w:p>
      <w:pPr>
        <w:pStyle w:val="14"/>
        <w:tabs>
          <w:tab w:val="right" w:leader="dot" w:pos="8402"/>
        </w:tabs>
        <w:spacing w:line="400" w:lineRule="exact"/>
        <w:rPr>
          <w:color w:val="auto"/>
        </w:rPr>
      </w:pPr>
      <w:r>
        <w:rPr>
          <w:color w:val="auto"/>
          <w:highlight w:val="none"/>
        </w:rPr>
        <w:fldChar w:fldCharType="begin"/>
      </w:r>
      <w:r>
        <w:rPr>
          <w:color w:val="auto"/>
          <w:highlight w:val="none"/>
        </w:rPr>
        <w:instrText xml:space="preserve"> HYPERLINK \l _Toc24284 </w:instrText>
      </w:r>
      <w:r>
        <w:rPr>
          <w:color w:val="auto"/>
          <w:highlight w:val="none"/>
        </w:rPr>
        <w:fldChar w:fldCharType="separate"/>
      </w:r>
      <w:r>
        <w:rPr>
          <w:rFonts w:hint="default"/>
          <w:color w:val="auto"/>
          <w:szCs w:val="32"/>
          <w:lang w:val="en-US" w:eastAsia="zh-CN"/>
        </w:rPr>
        <w:t>一、总则</w:t>
      </w:r>
      <w:r>
        <w:rPr>
          <w:color w:val="auto"/>
        </w:rPr>
        <w:tab/>
      </w:r>
      <w:r>
        <w:rPr>
          <w:color w:val="auto"/>
        </w:rPr>
        <w:fldChar w:fldCharType="begin"/>
      </w:r>
      <w:r>
        <w:rPr>
          <w:color w:val="auto"/>
        </w:rPr>
        <w:instrText xml:space="preserve"> PAGEREF _Toc24284 \h </w:instrText>
      </w:r>
      <w:r>
        <w:rPr>
          <w:color w:val="auto"/>
        </w:rPr>
        <w:fldChar w:fldCharType="separate"/>
      </w:r>
      <w:r>
        <w:rPr>
          <w:color w:val="auto"/>
        </w:rPr>
        <w:t>13</w:t>
      </w:r>
      <w:r>
        <w:rPr>
          <w:color w:val="auto"/>
        </w:rPr>
        <w:fldChar w:fldCharType="end"/>
      </w:r>
      <w:r>
        <w:rPr>
          <w:color w:val="auto"/>
          <w:highlight w:val="none"/>
        </w:rPr>
        <w:fldChar w:fldCharType="end"/>
      </w:r>
    </w:p>
    <w:p>
      <w:pPr>
        <w:pStyle w:val="14"/>
        <w:tabs>
          <w:tab w:val="right" w:leader="dot" w:pos="8402"/>
        </w:tabs>
        <w:spacing w:line="400" w:lineRule="exact"/>
        <w:rPr>
          <w:color w:val="auto"/>
        </w:rPr>
      </w:pPr>
      <w:r>
        <w:rPr>
          <w:color w:val="auto"/>
          <w:highlight w:val="none"/>
        </w:rPr>
        <w:fldChar w:fldCharType="begin"/>
      </w:r>
      <w:r>
        <w:rPr>
          <w:color w:val="auto"/>
          <w:highlight w:val="none"/>
        </w:rPr>
        <w:instrText xml:space="preserve"> HYPERLINK \l _Toc7401 </w:instrText>
      </w:r>
      <w:r>
        <w:rPr>
          <w:color w:val="auto"/>
          <w:highlight w:val="none"/>
        </w:rPr>
        <w:fldChar w:fldCharType="separate"/>
      </w:r>
      <w:r>
        <w:rPr>
          <w:rFonts w:hint="eastAsia"/>
          <w:color w:val="auto"/>
          <w:szCs w:val="32"/>
          <w:lang w:val="en-US" w:eastAsia="zh-CN"/>
        </w:rPr>
        <w:t>二、招标文件</w:t>
      </w:r>
      <w:r>
        <w:rPr>
          <w:color w:val="auto"/>
        </w:rPr>
        <w:tab/>
      </w:r>
      <w:r>
        <w:rPr>
          <w:color w:val="auto"/>
        </w:rPr>
        <w:fldChar w:fldCharType="begin"/>
      </w:r>
      <w:r>
        <w:rPr>
          <w:color w:val="auto"/>
        </w:rPr>
        <w:instrText xml:space="preserve"> PAGEREF _Toc7401 \h </w:instrText>
      </w:r>
      <w:r>
        <w:rPr>
          <w:color w:val="auto"/>
        </w:rPr>
        <w:fldChar w:fldCharType="separate"/>
      </w:r>
      <w:r>
        <w:rPr>
          <w:color w:val="auto"/>
        </w:rPr>
        <w:t>14</w:t>
      </w:r>
      <w:r>
        <w:rPr>
          <w:color w:val="auto"/>
        </w:rPr>
        <w:fldChar w:fldCharType="end"/>
      </w:r>
      <w:r>
        <w:rPr>
          <w:color w:val="auto"/>
          <w:highlight w:val="none"/>
        </w:rPr>
        <w:fldChar w:fldCharType="end"/>
      </w:r>
    </w:p>
    <w:p>
      <w:pPr>
        <w:pStyle w:val="14"/>
        <w:tabs>
          <w:tab w:val="right" w:leader="dot" w:pos="8402"/>
        </w:tabs>
        <w:spacing w:line="400" w:lineRule="exact"/>
        <w:rPr>
          <w:color w:val="auto"/>
        </w:rPr>
      </w:pPr>
      <w:r>
        <w:rPr>
          <w:color w:val="auto"/>
          <w:highlight w:val="none"/>
        </w:rPr>
        <w:fldChar w:fldCharType="begin"/>
      </w:r>
      <w:r>
        <w:rPr>
          <w:color w:val="auto"/>
          <w:highlight w:val="none"/>
        </w:rPr>
        <w:instrText xml:space="preserve"> HYPERLINK \l _Toc19685 </w:instrText>
      </w:r>
      <w:r>
        <w:rPr>
          <w:color w:val="auto"/>
          <w:highlight w:val="none"/>
        </w:rPr>
        <w:fldChar w:fldCharType="separate"/>
      </w:r>
      <w:r>
        <w:rPr>
          <w:rFonts w:hint="eastAsia"/>
          <w:color w:val="auto"/>
          <w:szCs w:val="32"/>
          <w:lang w:val="en-US" w:eastAsia="zh-CN"/>
        </w:rPr>
        <w:t>三、投标文件</w:t>
      </w:r>
      <w:r>
        <w:rPr>
          <w:color w:val="auto"/>
        </w:rPr>
        <w:tab/>
      </w:r>
      <w:r>
        <w:rPr>
          <w:color w:val="auto"/>
        </w:rPr>
        <w:fldChar w:fldCharType="begin"/>
      </w:r>
      <w:r>
        <w:rPr>
          <w:color w:val="auto"/>
        </w:rPr>
        <w:instrText xml:space="preserve"> PAGEREF _Toc19685 \h </w:instrText>
      </w:r>
      <w:r>
        <w:rPr>
          <w:color w:val="auto"/>
        </w:rPr>
        <w:fldChar w:fldCharType="separate"/>
      </w:r>
      <w:r>
        <w:rPr>
          <w:color w:val="auto"/>
        </w:rPr>
        <w:t>15</w:t>
      </w:r>
      <w:r>
        <w:rPr>
          <w:color w:val="auto"/>
        </w:rPr>
        <w:fldChar w:fldCharType="end"/>
      </w:r>
      <w:r>
        <w:rPr>
          <w:color w:val="auto"/>
          <w:highlight w:val="none"/>
        </w:rPr>
        <w:fldChar w:fldCharType="end"/>
      </w:r>
    </w:p>
    <w:p>
      <w:pPr>
        <w:pStyle w:val="14"/>
        <w:tabs>
          <w:tab w:val="right" w:leader="dot" w:pos="8402"/>
        </w:tabs>
        <w:spacing w:line="400" w:lineRule="exact"/>
        <w:rPr>
          <w:color w:val="auto"/>
        </w:rPr>
      </w:pPr>
      <w:r>
        <w:rPr>
          <w:color w:val="auto"/>
          <w:highlight w:val="none"/>
        </w:rPr>
        <w:fldChar w:fldCharType="begin"/>
      </w:r>
      <w:r>
        <w:rPr>
          <w:color w:val="auto"/>
          <w:highlight w:val="none"/>
        </w:rPr>
        <w:instrText xml:space="preserve"> HYPERLINK \l _Toc25726 </w:instrText>
      </w:r>
      <w:r>
        <w:rPr>
          <w:color w:val="auto"/>
          <w:highlight w:val="none"/>
        </w:rPr>
        <w:fldChar w:fldCharType="separate"/>
      </w:r>
      <w:r>
        <w:rPr>
          <w:rFonts w:hint="eastAsia"/>
          <w:color w:val="auto"/>
          <w:szCs w:val="32"/>
          <w:lang w:val="en-US" w:eastAsia="zh-CN"/>
        </w:rPr>
        <w:t>四、投标文件递交</w:t>
      </w:r>
      <w:r>
        <w:rPr>
          <w:color w:val="auto"/>
        </w:rPr>
        <w:tab/>
      </w:r>
      <w:r>
        <w:rPr>
          <w:color w:val="auto"/>
        </w:rPr>
        <w:fldChar w:fldCharType="begin"/>
      </w:r>
      <w:r>
        <w:rPr>
          <w:color w:val="auto"/>
        </w:rPr>
        <w:instrText xml:space="preserve"> PAGEREF _Toc25726 \h </w:instrText>
      </w:r>
      <w:r>
        <w:rPr>
          <w:color w:val="auto"/>
        </w:rPr>
        <w:fldChar w:fldCharType="separate"/>
      </w:r>
      <w:r>
        <w:rPr>
          <w:color w:val="auto"/>
        </w:rPr>
        <w:t>17</w:t>
      </w:r>
      <w:r>
        <w:rPr>
          <w:color w:val="auto"/>
        </w:rPr>
        <w:fldChar w:fldCharType="end"/>
      </w:r>
      <w:r>
        <w:rPr>
          <w:color w:val="auto"/>
          <w:highlight w:val="none"/>
        </w:rPr>
        <w:fldChar w:fldCharType="end"/>
      </w:r>
    </w:p>
    <w:p>
      <w:pPr>
        <w:pStyle w:val="14"/>
        <w:tabs>
          <w:tab w:val="right" w:leader="dot" w:pos="8402"/>
        </w:tabs>
        <w:spacing w:line="400" w:lineRule="exact"/>
        <w:rPr>
          <w:color w:val="auto"/>
        </w:rPr>
      </w:pPr>
      <w:r>
        <w:rPr>
          <w:color w:val="auto"/>
          <w:highlight w:val="none"/>
        </w:rPr>
        <w:fldChar w:fldCharType="begin"/>
      </w:r>
      <w:r>
        <w:rPr>
          <w:color w:val="auto"/>
          <w:highlight w:val="none"/>
        </w:rPr>
        <w:instrText xml:space="preserve"> HYPERLINK \l _Toc13624 </w:instrText>
      </w:r>
      <w:r>
        <w:rPr>
          <w:color w:val="auto"/>
          <w:highlight w:val="none"/>
        </w:rPr>
        <w:fldChar w:fldCharType="separate"/>
      </w:r>
      <w:r>
        <w:rPr>
          <w:rFonts w:hint="eastAsia"/>
          <w:color w:val="auto"/>
          <w:szCs w:val="32"/>
          <w:lang w:val="en-US" w:eastAsia="zh-CN"/>
        </w:rPr>
        <w:t>五、开标与评标</w:t>
      </w:r>
      <w:r>
        <w:rPr>
          <w:color w:val="auto"/>
        </w:rPr>
        <w:tab/>
      </w:r>
      <w:r>
        <w:rPr>
          <w:color w:val="auto"/>
        </w:rPr>
        <w:fldChar w:fldCharType="begin"/>
      </w:r>
      <w:r>
        <w:rPr>
          <w:color w:val="auto"/>
        </w:rPr>
        <w:instrText xml:space="preserve"> PAGEREF _Toc13624 \h </w:instrText>
      </w:r>
      <w:r>
        <w:rPr>
          <w:color w:val="auto"/>
        </w:rPr>
        <w:fldChar w:fldCharType="separate"/>
      </w:r>
      <w:r>
        <w:rPr>
          <w:color w:val="auto"/>
        </w:rPr>
        <w:t>17</w:t>
      </w:r>
      <w:r>
        <w:rPr>
          <w:color w:val="auto"/>
        </w:rPr>
        <w:fldChar w:fldCharType="end"/>
      </w:r>
      <w:r>
        <w:rPr>
          <w:color w:val="auto"/>
          <w:highlight w:val="none"/>
        </w:rPr>
        <w:fldChar w:fldCharType="end"/>
      </w:r>
    </w:p>
    <w:p>
      <w:pPr>
        <w:pStyle w:val="14"/>
        <w:tabs>
          <w:tab w:val="right" w:leader="dot" w:pos="8402"/>
        </w:tabs>
        <w:spacing w:line="400" w:lineRule="exact"/>
        <w:rPr>
          <w:color w:val="auto"/>
        </w:rPr>
      </w:pPr>
      <w:r>
        <w:rPr>
          <w:color w:val="auto"/>
          <w:highlight w:val="none"/>
        </w:rPr>
        <w:fldChar w:fldCharType="begin"/>
      </w:r>
      <w:r>
        <w:rPr>
          <w:color w:val="auto"/>
          <w:highlight w:val="none"/>
        </w:rPr>
        <w:instrText xml:space="preserve"> HYPERLINK \l _Toc4583 </w:instrText>
      </w:r>
      <w:r>
        <w:rPr>
          <w:color w:val="auto"/>
          <w:highlight w:val="none"/>
        </w:rPr>
        <w:fldChar w:fldCharType="separate"/>
      </w:r>
      <w:r>
        <w:rPr>
          <w:rFonts w:hint="eastAsia"/>
          <w:color w:val="auto"/>
          <w:szCs w:val="32"/>
          <w:lang w:val="en-US" w:eastAsia="zh-CN"/>
        </w:rPr>
        <w:t>六、中标和合同</w:t>
      </w:r>
      <w:r>
        <w:rPr>
          <w:color w:val="auto"/>
        </w:rPr>
        <w:tab/>
      </w:r>
      <w:r>
        <w:rPr>
          <w:color w:val="auto"/>
        </w:rPr>
        <w:fldChar w:fldCharType="begin"/>
      </w:r>
      <w:r>
        <w:rPr>
          <w:color w:val="auto"/>
        </w:rPr>
        <w:instrText xml:space="preserve"> PAGEREF _Toc4583 \h </w:instrText>
      </w:r>
      <w:r>
        <w:rPr>
          <w:color w:val="auto"/>
        </w:rPr>
        <w:fldChar w:fldCharType="separate"/>
      </w:r>
      <w:r>
        <w:rPr>
          <w:color w:val="auto"/>
        </w:rPr>
        <w:t>21</w:t>
      </w:r>
      <w:r>
        <w:rPr>
          <w:color w:val="auto"/>
        </w:rPr>
        <w:fldChar w:fldCharType="end"/>
      </w:r>
      <w:r>
        <w:rPr>
          <w:color w:val="auto"/>
          <w:highlight w:val="none"/>
        </w:rPr>
        <w:fldChar w:fldCharType="end"/>
      </w:r>
    </w:p>
    <w:p>
      <w:pPr>
        <w:pStyle w:val="14"/>
        <w:tabs>
          <w:tab w:val="right" w:leader="dot" w:pos="8402"/>
        </w:tabs>
        <w:spacing w:line="400" w:lineRule="exact"/>
        <w:rPr>
          <w:color w:val="auto"/>
        </w:rPr>
      </w:pPr>
      <w:r>
        <w:rPr>
          <w:color w:val="auto"/>
          <w:highlight w:val="none"/>
        </w:rPr>
        <w:fldChar w:fldCharType="begin"/>
      </w:r>
      <w:r>
        <w:rPr>
          <w:color w:val="auto"/>
          <w:highlight w:val="none"/>
        </w:rPr>
        <w:instrText xml:space="preserve"> HYPERLINK \l _Toc3830 </w:instrText>
      </w:r>
      <w:r>
        <w:rPr>
          <w:color w:val="auto"/>
          <w:highlight w:val="none"/>
        </w:rPr>
        <w:fldChar w:fldCharType="separate"/>
      </w:r>
      <w:r>
        <w:rPr>
          <w:rFonts w:hint="eastAsia"/>
          <w:color w:val="auto"/>
          <w:szCs w:val="32"/>
          <w:lang w:val="en-US" w:eastAsia="zh-CN"/>
        </w:rPr>
        <w:t>七、询问和质疑</w:t>
      </w:r>
      <w:r>
        <w:rPr>
          <w:color w:val="auto"/>
        </w:rPr>
        <w:tab/>
      </w:r>
      <w:r>
        <w:rPr>
          <w:color w:val="auto"/>
        </w:rPr>
        <w:fldChar w:fldCharType="begin"/>
      </w:r>
      <w:r>
        <w:rPr>
          <w:color w:val="auto"/>
        </w:rPr>
        <w:instrText xml:space="preserve"> PAGEREF _Toc3830 \h </w:instrText>
      </w:r>
      <w:r>
        <w:rPr>
          <w:color w:val="auto"/>
        </w:rPr>
        <w:fldChar w:fldCharType="separate"/>
      </w:r>
      <w:r>
        <w:rPr>
          <w:color w:val="auto"/>
        </w:rPr>
        <w:t>22</w:t>
      </w:r>
      <w:r>
        <w:rPr>
          <w:color w:val="auto"/>
        </w:rPr>
        <w:fldChar w:fldCharType="end"/>
      </w:r>
      <w:r>
        <w:rPr>
          <w:color w:val="auto"/>
          <w:highlight w:val="none"/>
        </w:rPr>
        <w:fldChar w:fldCharType="end"/>
      </w:r>
    </w:p>
    <w:p>
      <w:pPr>
        <w:pStyle w:val="14"/>
        <w:tabs>
          <w:tab w:val="right" w:leader="dot" w:pos="8402"/>
        </w:tabs>
        <w:spacing w:line="400" w:lineRule="exact"/>
        <w:rPr>
          <w:color w:val="auto"/>
        </w:rPr>
      </w:pPr>
      <w:r>
        <w:rPr>
          <w:color w:val="auto"/>
          <w:highlight w:val="none"/>
        </w:rPr>
        <w:fldChar w:fldCharType="begin"/>
      </w:r>
      <w:r>
        <w:rPr>
          <w:color w:val="auto"/>
          <w:highlight w:val="none"/>
        </w:rPr>
        <w:instrText xml:space="preserve"> HYPERLINK \l _Toc8038 </w:instrText>
      </w:r>
      <w:r>
        <w:rPr>
          <w:color w:val="auto"/>
          <w:highlight w:val="none"/>
        </w:rPr>
        <w:fldChar w:fldCharType="separate"/>
      </w:r>
      <w:r>
        <w:rPr>
          <w:rFonts w:hint="eastAsia"/>
          <w:color w:val="auto"/>
          <w:szCs w:val="32"/>
          <w:lang w:val="en-US" w:eastAsia="zh-CN"/>
        </w:rPr>
        <w:t>八、其他</w:t>
      </w:r>
      <w:r>
        <w:rPr>
          <w:color w:val="auto"/>
        </w:rPr>
        <w:tab/>
      </w:r>
      <w:r>
        <w:rPr>
          <w:color w:val="auto"/>
        </w:rPr>
        <w:fldChar w:fldCharType="begin"/>
      </w:r>
      <w:r>
        <w:rPr>
          <w:color w:val="auto"/>
        </w:rPr>
        <w:instrText xml:space="preserve"> PAGEREF _Toc8038 \h </w:instrText>
      </w:r>
      <w:r>
        <w:rPr>
          <w:color w:val="auto"/>
        </w:rPr>
        <w:fldChar w:fldCharType="separate"/>
      </w:r>
      <w:r>
        <w:rPr>
          <w:color w:val="auto"/>
        </w:rPr>
        <w:t>22</w:t>
      </w:r>
      <w:r>
        <w:rPr>
          <w:color w:val="auto"/>
        </w:rPr>
        <w:fldChar w:fldCharType="end"/>
      </w:r>
      <w:r>
        <w:rPr>
          <w:color w:val="auto"/>
          <w:highlight w:val="none"/>
        </w:rPr>
        <w:fldChar w:fldCharType="end"/>
      </w:r>
    </w:p>
    <w:p>
      <w:pPr>
        <w:pStyle w:val="14"/>
        <w:tabs>
          <w:tab w:val="right" w:leader="dot" w:pos="8402"/>
        </w:tabs>
        <w:spacing w:line="400" w:lineRule="exact"/>
        <w:rPr>
          <w:color w:val="auto"/>
        </w:rPr>
      </w:pPr>
      <w:r>
        <w:rPr>
          <w:color w:val="auto"/>
          <w:highlight w:val="none"/>
        </w:rPr>
        <w:fldChar w:fldCharType="begin"/>
      </w:r>
      <w:r>
        <w:rPr>
          <w:color w:val="auto"/>
          <w:highlight w:val="none"/>
        </w:rPr>
        <w:instrText xml:space="preserve"> HYPERLINK \l _Toc21614 </w:instrText>
      </w:r>
      <w:r>
        <w:rPr>
          <w:color w:val="auto"/>
          <w:highlight w:val="none"/>
        </w:rPr>
        <w:fldChar w:fldCharType="separate"/>
      </w:r>
      <w:r>
        <w:rPr>
          <w:rFonts w:hint="eastAsia"/>
          <w:color w:val="auto"/>
          <w:lang w:val="en-US" w:eastAsia="zh-CN"/>
        </w:rPr>
        <w:t>第三章 评标方法及标准</w:t>
      </w:r>
      <w:r>
        <w:rPr>
          <w:color w:val="auto"/>
        </w:rPr>
        <w:tab/>
      </w:r>
      <w:r>
        <w:rPr>
          <w:color w:val="auto"/>
        </w:rPr>
        <w:fldChar w:fldCharType="begin"/>
      </w:r>
      <w:r>
        <w:rPr>
          <w:color w:val="auto"/>
        </w:rPr>
        <w:instrText xml:space="preserve"> PAGEREF _Toc21614 \h </w:instrText>
      </w:r>
      <w:r>
        <w:rPr>
          <w:color w:val="auto"/>
        </w:rPr>
        <w:fldChar w:fldCharType="separate"/>
      </w:r>
      <w:r>
        <w:rPr>
          <w:color w:val="auto"/>
        </w:rPr>
        <w:t>24</w:t>
      </w:r>
      <w:r>
        <w:rPr>
          <w:color w:val="auto"/>
        </w:rPr>
        <w:fldChar w:fldCharType="end"/>
      </w:r>
      <w:r>
        <w:rPr>
          <w:color w:val="auto"/>
          <w:highlight w:val="none"/>
        </w:rPr>
        <w:fldChar w:fldCharType="end"/>
      </w:r>
    </w:p>
    <w:p>
      <w:pPr>
        <w:pStyle w:val="14"/>
        <w:tabs>
          <w:tab w:val="right" w:leader="dot" w:pos="8402"/>
        </w:tabs>
        <w:spacing w:line="400" w:lineRule="exact"/>
        <w:rPr>
          <w:color w:val="auto"/>
        </w:rPr>
      </w:pPr>
      <w:r>
        <w:rPr>
          <w:color w:val="auto"/>
          <w:highlight w:val="none"/>
        </w:rPr>
        <w:fldChar w:fldCharType="begin"/>
      </w:r>
      <w:r>
        <w:rPr>
          <w:color w:val="auto"/>
          <w:highlight w:val="none"/>
        </w:rPr>
        <w:instrText xml:space="preserve"> HYPERLINK \l _Toc3648 </w:instrText>
      </w:r>
      <w:r>
        <w:rPr>
          <w:color w:val="auto"/>
          <w:highlight w:val="none"/>
        </w:rPr>
        <w:fldChar w:fldCharType="separate"/>
      </w:r>
      <w:r>
        <w:rPr>
          <w:rFonts w:hint="eastAsia"/>
          <w:color w:val="auto"/>
          <w:szCs w:val="32"/>
          <w:lang w:val="en-US" w:eastAsia="zh-CN"/>
        </w:rPr>
        <w:t>第四章 采购合同文本</w:t>
      </w:r>
      <w:r>
        <w:rPr>
          <w:color w:val="auto"/>
        </w:rPr>
        <w:tab/>
      </w:r>
      <w:r>
        <w:rPr>
          <w:color w:val="auto"/>
        </w:rPr>
        <w:fldChar w:fldCharType="begin"/>
      </w:r>
      <w:r>
        <w:rPr>
          <w:color w:val="auto"/>
        </w:rPr>
        <w:instrText xml:space="preserve"> PAGEREF _Toc3648 \h </w:instrText>
      </w:r>
      <w:r>
        <w:rPr>
          <w:color w:val="auto"/>
        </w:rPr>
        <w:fldChar w:fldCharType="separate"/>
      </w:r>
      <w:r>
        <w:rPr>
          <w:color w:val="auto"/>
        </w:rPr>
        <w:t>30</w:t>
      </w:r>
      <w:r>
        <w:rPr>
          <w:color w:val="auto"/>
        </w:rPr>
        <w:fldChar w:fldCharType="end"/>
      </w:r>
      <w:r>
        <w:rPr>
          <w:color w:val="auto"/>
          <w:highlight w:val="none"/>
        </w:rPr>
        <w:fldChar w:fldCharType="end"/>
      </w:r>
    </w:p>
    <w:p>
      <w:pPr>
        <w:pStyle w:val="14"/>
        <w:tabs>
          <w:tab w:val="right" w:leader="dot" w:pos="8402"/>
        </w:tabs>
        <w:spacing w:line="400" w:lineRule="exact"/>
        <w:rPr>
          <w:color w:val="auto"/>
        </w:rPr>
      </w:pPr>
      <w:r>
        <w:rPr>
          <w:color w:val="auto"/>
          <w:highlight w:val="none"/>
        </w:rPr>
        <w:fldChar w:fldCharType="begin"/>
      </w:r>
      <w:r>
        <w:rPr>
          <w:color w:val="auto"/>
          <w:highlight w:val="none"/>
        </w:rPr>
        <w:instrText xml:space="preserve"> HYPERLINK \l _Toc23636 </w:instrText>
      </w:r>
      <w:r>
        <w:rPr>
          <w:color w:val="auto"/>
          <w:highlight w:val="none"/>
        </w:rPr>
        <w:fldChar w:fldCharType="separate"/>
      </w:r>
      <w:r>
        <w:rPr>
          <w:rFonts w:hint="eastAsia"/>
          <w:color w:val="auto"/>
          <w:szCs w:val="44"/>
          <w:lang w:val="en-US" w:eastAsia="zh-CN"/>
        </w:rPr>
        <w:t>第五章</w:t>
      </w:r>
      <w:r>
        <w:rPr>
          <w:rFonts w:hint="default" w:ascii="Calibri" w:hAnsi="Calibri" w:eastAsia="宋体" w:cs="Times New Roman"/>
          <w:color w:val="auto"/>
          <w:szCs w:val="44"/>
        </w:rPr>
        <w:t xml:space="preserve"> 投标</w:t>
      </w:r>
      <w:r>
        <w:rPr>
          <w:rFonts w:hint="eastAsia" w:cs="Times New Roman"/>
          <w:color w:val="auto"/>
          <w:szCs w:val="44"/>
          <w:lang w:eastAsia="zh-CN"/>
        </w:rPr>
        <w:t>文件格式</w:t>
      </w:r>
      <w:r>
        <w:rPr>
          <w:color w:val="auto"/>
        </w:rPr>
        <w:tab/>
      </w:r>
      <w:r>
        <w:rPr>
          <w:color w:val="auto"/>
        </w:rPr>
        <w:fldChar w:fldCharType="begin"/>
      </w:r>
      <w:r>
        <w:rPr>
          <w:color w:val="auto"/>
        </w:rPr>
        <w:instrText xml:space="preserve"> PAGEREF _Toc23636 \h </w:instrText>
      </w:r>
      <w:r>
        <w:rPr>
          <w:color w:val="auto"/>
        </w:rPr>
        <w:fldChar w:fldCharType="separate"/>
      </w:r>
      <w:r>
        <w:rPr>
          <w:color w:val="auto"/>
        </w:rPr>
        <w:t>44</w:t>
      </w:r>
      <w:r>
        <w:rPr>
          <w:color w:val="auto"/>
        </w:rPr>
        <w:fldChar w:fldCharType="end"/>
      </w:r>
      <w:r>
        <w:rPr>
          <w:color w:val="auto"/>
          <w:highlight w:val="none"/>
        </w:rPr>
        <w:fldChar w:fldCharType="end"/>
      </w:r>
    </w:p>
    <w:p>
      <w:pPr>
        <w:pStyle w:val="14"/>
        <w:tabs>
          <w:tab w:val="right" w:leader="dot" w:pos="8402"/>
        </w:tabs>
        <w:spacing w:line="400" w:lineRule="exact"/>
        <w:rPr>
          <w:color w:val="auto"/>
        </w:rPr>
      </w:pPr>
      <w:r>
        <w:rPr>
          <w:color w:val="auto"/>
          <w:highlight w:val="none"/>
        </w:rPr>
        <w:fldChar w:fldCharType="begin"/>
      </w:r>
      <w:r>
        <w:rPr>
          <w:color w:val="auto"/>
          <w:highlight w:val="none"/>
        </w:rPr>
        <w:instrText xml:space="preserve"> HYPERLINK \l _Toc17533 </w:instrText>
      </w:r>
      <w:r>
        <w:rPr>
          <w:color w:val="auto"/>
          <w:highlight w:val="none"/>
        </w:rPr>
        <w:fldChar w:fldCharType="separate"/>
      </w:r>
      <w:r>
        <w:rPr>
          <w:rFonts w:hint="eastAsia"/>
          <w:color w:val="auto"/>
          <w:lang w:val="en-US" w:eastAsia="zh-CN"/>
        </w:rPr>
        <w:t>第六章 项目采购需求</w:t>
      </w:r>
      <w:r>
        <w:rPr>
          <w:color w:val="auto"/>
        </w:rPr>
        <w:tab/>
      </w:r>
      <w:r>
        <w:rPr>
          <w:color w:val="auto"/>
        </w:rPr>
        <w:fldChar w:fldCharType="begin"/>
      </w:r>
      <w:r>
        <w:rPr>
          <w:color w:val="auto"/>
        </w:rPr>
        <w:instrText xml:space="preserve"> PAGEREF _Toc17533 \h </w:instrText>
      </w:r>
      <w:r>
        <w:rPr>
          <w:color w:val="auto"/>
        </w:rPr>
        <w:fldChar w:fldCharType="separate"/>
      </w:r>
      <w:r>
        <w:rPr>
          <w:color w:val="auto"/>
        </w:rPr>
        <w:t>72</w:t>
      </w:r>
      <w:r>
        <w:rPr>
          <w:color w:val="auto"/>
        </w:rPr>
        <w:fldChar w:fldCharType="end"/>
      </w:r>
      <w:r>
        <w:rPr>
          <w:color w:val="auto"/>
          <w:highlight w:val="none"/>
        </w:rPr>
        <w:fldChar w:fldCharType="end"/>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fldChar w:fldCharType="end"/>
      </w:r>
    </w:p>
    <w:p>
      <w:pPr>
        <w:rPr>
          <w:b/>
          <w:color w:val="auto"/>
          <w:sz w:val="44"/>
          <w:szCs w:val="44"/>
          <w:highlight w:val="none"/>
        </w:rPr>
      </w:pPr>
    </w:p>
    <w:p>
      <w:pPr>
        <w:rPr>
          <w:color w:val="auto"/>
          <w:highlight w:val="none"/>
        </w:rPr>
      </w:pPr>
    </w:p>
    <w:p>
      <w:pPr>
        <w:rPr>
          <w:color w:val="auto"/>
          <w:highlight w:val="none"/>
        </w:rPr>
        <w:sectPr>
          <w:footerReference r:id="rId7" w:type="first"/>
          <w:footerReference r:id="rId5" w:type="default"/>
          <w:headerReference r:id="rId4" w:type="even"/>
          <w:footerReference r:id="rId6" w:type="even"/>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pStyle w:val="3"/>
        <w:jc w:val="center"/>
        <w:rPr>
          <w:rFonts w:hint="eastAsia" w:ascii="Calibri" w:hAnsi="Calibri" w:eastAsia="宋体" w:cs="Times New Roman"/>
          <w:color w:val="auto"/>
          <w:sz w:val="44"/>
          <w:szCs w:val="44"/>
        </w:rPr>
      </w:pPr>
      <w:bookmarkStart w:id="0" w:name="_Toc10079"/>
      <w:bookmarkStart w:id="1" w:name="_Toc132880271"/>
      <w:bookmarkStart w:id="2" w:name="_Toc15028"/>
      <w:r>
        <w:rPr>
          <w:rFonts w:hint="eastAsia"/>
          <w:color w:val="auto"/>
          <w:sz w:val="44"/>
          <w:szCs w:val="44"/>
          <w:lang w:val="en-US" w:eastAsia="zh-CN"/>
        </w:rPr>
        <w:t>第一章</w:t>
      </w:r>
      <w:r>
        <w:rPr>
          <w:rFonts w:hint="default" w:ascii="Calibri" w:hAnsi="Calibri" w:eastAsia="宋体" w:cs="Times New Roman"/>
          <w:color w:val="auto"/>
          <w:sz w:val="44"/>
          <w:szCs w:val="44"/>
        </w:rPr>
        <w:t xml:space="preserve"> 投标邀请</w:t>
      </w:r>
      <w:bookmarkEnd w:id="0"/>
      <w:bookmarkEnd w:id="1"/>
      <w:bookmarkEnd w:id="2"/>
    </w:p>
    <w:p>
      <w:pPr>
        <w:pBdr>
          <w:top w:val="single" w:color="auto" w:sz="4" w:space="1"/>
          <w:left w:val="single" w:color="auto" w:sz="4" w:space="4"/>
          <w:bottom w:val="single" w:color="auto" w:sz="4" w:space="1"/>
          <w:right w:val="single" w:color="auto" w:sz="4" w:space="4"/>
        </w:pBdr>
        <w:spacing w:line="440" w:lineRule="exact"/>
        <w:rPr>
          <w:rFonts w:ascii="宋体" w:hAnsi="宋体" w:cs="宋体"/>
          <w:color w:val="auto"/>
          <w:szCs w:val="21"/>
        </w:rPr>
      </w:pPr>
      <w:r>
        <w:rPr>
          <w:rFonts w:hint="eastAsia" w:ascii="宋体" w:hAnsi="宋体"/>
          <w:color w:val="auto"/>
          <w:szCs w:val="21"/>
        </w:rPr>
        <w:t>项</w:t>
      </w:r>
      <w:r>
        <w:rPr>
          <w:rFonts w:hint="eastAsia" w:ascii="宋体" w:hAnsi="宋体" w:cs="宋体"/>
          <w:color w:val="auto"/>
          <w:szCs w:val="21"/>
        </w:rPr>
        <w:t>目概况</w:t>
      </w:r>
    </w:p>
    <w:p>
      <w:pPr>
        <w:pBdr>
          <w:top w:val="single" w:color="auto" w:sz="4" w:space="1"/>
          <w:left w:val="single" w:color="auto" w:sz="4" w:space="4"/>
          <w:bottom w:val="single" w:color="auto" w:sz="4" w:space="1"/>
          <w:right w:val="single" w:color="auto" w:sz="4" w:space="4"/>
        </w:pBdr>
        <w:spacing w:line="440" w:lineRule="exact"/>
        <w:ind w:firstLine="420" w:firstLineChars="200"/>
        <w:rPr>
          <w:rFonts w:hint="eastAsia" w:ascii="宋体" w:hAnsi="宋体" w:cs="宋体"/>
          <w:color w:val="auto"/>
          <w:szCs w:val="21"/>
        </w:rPr>
      </w:pPr>
      <w:r>
        <w:rPr>
          <w:rFonts w:hint="eastAsia" w:ascii="宋体" w:hAnsi="宋体" w:cs="宋体"/>
          <w:color w:val="auto"/>
          <w:szCs w:val="21"/>
          <w:u w:val="single"/>
          <w:lang w:eastAsia="zh-CN"/>
        </w:rPr>
        <w:t>南平市税务局办公场所窗帘采购项目</w:t>
      </w:r>
      <w:r>
        <w:rPr>
          <w:rFonts w:hint="eastAsia" w:ascii="宋体" w:hAnsi="宋体" w:cs="宋体"/>
          <w:color w:val="auto"/>
          <w:szCs w:val="21"/>
        </w:rPr>
        <w:t>招标项目的潜在投标人应在</w:t>
      </w:r>
      <w:r>
        <w:rPr>
          <w:rFonts w:hint="eastAsia" w:ascii="宋体" w:hAnsi="宋体" w:cs="宋体"/>
          <w:color w:val="auto"/>
          <w:szCs w:val="21"/>
          <w:u w:val="single"/>
        </w:rPr>
        <w:t>福建省福州市鼓楼区五四路159号世界金龙大厦第14层A、C1单元福建省智信招标有限公司</w:t>
      </w:r>
      <w:r>
        <w:rPr>
          <w:rFonts w:hint="eastAsia" w:ascii="宋体" w:hAnsi="宋体" w:cs="宋体"/>
          <w:color w:val="auto"/>
          <w:szCs w:val="21"/>
        </w:rPr>
        <w:t>获取招标文件，</w:t>
      </w:r>
      <w:r>
        <w:rPr>
          <w:rFonts w:hint="eastAsia" w:ascii="宋体" w:hAnsi="宋体" w:cs="宋体"/>
          <w:color w:val="auto"/>
          <w:szCs w:val="21"/>
          <w:lang w:val="en-US" w:eastAsia="zh-CN"/>
        </w:rPr>
        <w:t>并于2024年12月20日上午09点30分（北京时间）前递交投标文件</w:t>
      </w:r>
      <w:r>
        <w:rPr>
          <w:rFonts w:hint="eastAsia" w:ascii="宋体" w:hAnsi="宋体" w:cs="宋体"/>
          <w:color w:val="auto"/>
          <w:szCs w:val="21"/>
        </w:rPr>
        <w:t>。</w:t>
      </w:r>
    </w:p>
    <w:p>
      <w:pPr>
        <w:spacing w:beforeLines="50" w:afterLines="50" w:line="440" w:lineRule="exact"/>
        <w:outlineLvl w:val="1"/>
        <w:rPr>
          <w:rFonts w:ascii="宋体" w:hAnsi="宋体" w:cs="宋体"/>
          <w:color w:val="auto"/>
          <w:szCs w:val="21"/>
        </w:rPr>
      </w:pPr>
      <w:bookmarkStart w:id="3" w:name="_Toc5797"/>
      <w:bookmarkStart w:id="4" w:name="_Toc16518"/>
      <w:bookmarkStart w:id="5" w:name="_Toc31171"/>
      <w:bookmarkStart w:id="6" w:name="_Toc26268"/>
      <w:r>
        <w:rPr>
          <w:rFonts w:hint="eastAsia" w:ascii="宋体" w:hAnsi="宋体" w:cs="宋体"/>
          <w:color w:val="auto"/>
          <w:szCs w:val="21"/>
        </w:rPr>
        <w:t>一、项目基本情况</w:t>
      </w:r>
      <w:bookmarkEnd w:id="3"/>
      <w:bookmarkEnd w:id="4"/>
      <w:bookmarkEnd w:id="5"/>
      <w:bookmarkEnd w:id="6"/>
    </w:p>
    <w:p>
      <w:pPr>
        <w:spacing w:line="44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ZXWT-2024-386</w:t>
      </w:r>
    </w:p>
    <w:p>
      <w:pPr>
        <w:spacing w:line="440" w:lineRule="exact"/>
        <w:ind w:firstLine="420" w:firstLineChars="200"/>
        <w:rPr>
          <w:rFonts w:ascii="宋体" w:hAnsi="宋体" w:cs="宋体"/>
          <w:color w:val="auto"/>
          <w:szCs w:val="21"/>
        </w:rPr>
      </w:pPr>
      <w:r>
        <w:rPr>
          <w:rFonts w:hint="eastAsia" w:ascii="宋体" w:hAnsi="宋体" w:cs="宋体"/>
          <w:color w:val="auto"/>
          <w:szCs w:val="21"/>
        </w:rPr>
        <w:t>项目名称：</w:t>
      </w:r>
      <w:r>
        <w:rPr>
          <w:rFonts w:hint="eastAsia" w:ascii="宋体" w:hAnsi="宋体" w:eastAsia="宋体" w:cs="宋体"/>
          <w:color w:val="auto"/>
          <w:szCs w:val="21"/>
        </w:rPr>
        <w:t>南平市</w:t>
      </w:r>
      <w:r>
        <w:rPr>
          <w:rFonts w:hint="eastAsia" w:ascii="宋体" w:hAnsi="宋体" w:eastAsia="宋体" w:cs="宋体"/>
          <w:color w:val="auto"/>
          <w:szCs w:val="21"/>
          <w:lang w:eastAsia="zh-CN"/>
        </w:rPr>
        <w:t>税务局办公场所</w:t>
      </w:r>
      <w:r>
        <w:rPr>
          <w:rFonts w:hint="eastAsia" w:ascii="宋体" w:hAnsi="宋体" w:eastAsia="宋体" w:cs="宋体"/>
          <w:color w:val="auto"/>
          <w:szCs w:val="21"/>
        </w:rPr>
        <w:t>窗帘采购项目</w:t>
      </w:r>
    </w:p>
    <w:p>
      <w:pPr>
        <w:spacing w:line="440" w:lineRule="exact"/>
        <w:ind w:firstLine="420" w:firstLineChars="200"/>
        <w:rPr>
          <w:rFonts w:ascii="宋体" w:hAnsi="宋体" w:cs="宋体"/>
          <w:color w:val="auto"/>
          <w:szCs w:val="21"/>
        </w:rPr>
      </w:pPr>
      <w:r>
        <w:rPr>
          <w:rFonts w:hint="eastAsia" w:ascii="宋体" w:hAnsi="宋体" w:cs="宋体"/>
          <w:color w:val="auto"/>
          <w:szCs w:val="21"/>
        </w:rPr>
        <w:t>预算金额：</w:t>
      </w:r>
      <w:r>
        <w:rPr>
          <w:rFonts w:hint="eastAsia" w:ascii="宋体" w:hAnsi="宋体" w:cs="宋体"/>
          <w:color w:val="auto"/>
          <w:szCs w:val="21"/>
          <w:lang w:val="en-US" w:eastAsia="zh-CN"/>
        </w:rPr>
        <w:t>76</w:t>
      </w:r>
      <w:r>
        <w:rPr>
          <w:rFonts w:hint="eastAsia" w:ascii="宋体" w:hAnsi="宋体" w:cs="宋体"/>
          <w:color w:val="auto"/>
          <w:szCs w:val="21"/>
        </w:rPr>
        <w:t>万元（人民币）</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采购需求：</w:t>
      </w:r>
    </w:p>
    <w:tbl>
      <w:tblPr>
        <w:tblStyle w:val="16"/>
        <w:tblW w:w="8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823"/>
        <w:gridCol w:w="1004"/>
        <w:gridCol w:w="1338"/>
        <w:gridCol w:w="3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lang w:eastAsia="zh-CN"/>
              </w:rPr>
              <w:t>采购包</w:t>
            </w:r>
          </w:p>
        </w:tc>
        <w:tc>
          <w:tcPr>
            <w:tcW w:w="182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项目名称</w:t>
            </w:r>
          </w:p>
        </w:tc>
        <w:tc>
          <w:tcPr>
            <w:tcW w:w="100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数量</w:t>
            </w:r>
          </w:p>
        </w:tc>
        <w:tc>
          <w:tcPr>
            <w:tcW w:w="13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最高限价</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（万元）</w:t>
            </w:r>
          </w:p>
        </w:tc>
        <w:tc>
          <w:tcPr>
            <w:tcW w:w="364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简要技术需求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85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w:t>
            </w:r>
          </w:p>
        </w:tc>
        <w:tc>
          <w:tcPr>
            <w:tcW w:w="182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南平市</w:t>
            </w:r>
            <w:r>
              <w:rPr>
                <w:rFonts w:hint="eastAsia" w:ascii="宋体" w:hAnsi="宋体" w:eastAsia="宋体" w:cs="宋体"/>
                <w:color w:val="auto"/>
                <w:szCs w:val="21"/>
                <w:lang w:eastAsia="zh-CN"/>
              </w:rPr>
              <w:t>税务局办公场所</w:t>
            </w:r>
            <w:r>
              <w:rPr>
                <w:rFonts w:hint="eastAsia" w:ascii="宋体" w:hAnsi="宋体" w:eastAsia="宋体" w:cs="宋体"/>
                <w:color w:val="auto"/>
                <w:szCs w:val="21"/>
              </w:rPr>
              <w:t>窗帘采购项目</w:t>
            </w:r>
          </w:p>
        </w:tc>
        <w:tc>
          <w:tcPr>
            <w:tcW w:w="100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1批</w:t>
            </w:r>
          </w:p>
        </w:tc>
        <w:tc>
          <w:tcPr>
            <w:tcW w:w="13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76</w:t>
            </w:r>
          </w:p>
        </w:tc>
        <w:tc>
          <w:tcPr>
            <w:tcW w:w="364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包含布帘、拉帘、百叶帘等，具体</w:t>
            </w:r>
            <w:r>
              <w:rPr>
                <w:rFonts w:hint="eastAsia" w:ascii="宋体" w:hAnsi="宋体" w:eastAsia="宋体" w:cs="宋体"/>
                <w:color w:val="auto"/>
                <w:szCs w:val="21"/>
              </w:rPr>
              <w:t>详见</w:t>
            </w:r>
            <w:r>
              <w:rPr>
                <w:rFonts w:hint="eastAsia" w:ascii="宋体" w:hAnsi="宋体" w:eastAsia="宋体" w:cs="宋体"/>
                <w:color w:val="auto"/>
                <w:szCs w:val="21"/>
                <w:lang w:val="en-US" w:eastAsia="zh-CN"/>
              </w:rPr>
              <w:t>招标文件“</w:t>
            </w:r>
            <w:r>
              <w:rPr>
                <w:rFonts w:hint="eastAsia" w:ascii="宋体" w:hAnsi="宋体" w:eastAsia="宋体" w:cs="宋体"/>
                <w:color w:val="auto"/>
                <w:szCs w:val="21"/>
              </w:rPr>
              <w:t>第六章  项目采购需求</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66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注：</w:t>
            </w:r>
            <w:r>
              <w:rPr>
                <w:rFonts w:hint="eastAsia" w:ascii="宋体" w:hAnsi="宋体" w:eastAsia="宋体" w:cs="宋体"/>
                <w:color w:val="auto"/>
                <w:szCs w:val="21"/>
              </w:rPr>
              <w:t>投标人</w:t>
            </w:r>
            <w:r>
              <w:rPr>
                <w:rFonts w:hint="eastAsia" w:ascii="宋体" w:hAnsi="宋体" w:eastAsia="宋体" w:cs="宋体"/>
                <w:color w:val="auto"/>
                <w:szCs w:val="21"/>
                <w:lang w:val="en-US" w:eastAsia="zh-CN"/>
              </w:rPr>
              <w:t>应</w:t>
            </w:r>
            <w:r>
              <w:rPr>
                <w:rFonts w:hint="eastAsia" w:ascii="宋体" w:hAnsi="宋体" w:eastAsia="宋体" w:cs="宋体"/>
                <w:color w:val="auto"/>
                <w:szCs w:val="21"/>
              </w:rPr>
              <w:t>对所有内容投标时必须完整，否则将被视为未实质性响应投标文件要求</w:t>
            </w:r>
            <w:r>
              <w:rPr>
                <w:rFonts w:hint="eastAsia" w:ascii="宋体" w:hAnsi="宋体" w:eastAsia="宋体" w:cs="宋体"/>
                <w:color w:val="auto"/>
                <w:szCs w:val="21"/>
                <w:lang w:eastAsia="zh-CN"/>
              </w:rPr>
              <w:t>。</w:t>
            </w:r>
          </w:p>
        </w:tc>
      </w:tr>
    </w:tbl>
    <w:p>
      <w:pPr>
        <w:spacing w:line="440" w:lineRule="exact"/>
        <w:ind w:firstLine="420" w:firstLineChars="200"/>
        <w:rPr>
          <w:rFonts w:ascii="宋体" w:hAnsi="宋体" w:cs="宋体"/>
          <w:color w:val="auto"/>
          <w:szCs w:val="21"/>
          <w:u w:val="single"/>
        </w:rPr>
      </w:pPr>
      <w:r>
        <w:rPr>
          <w:rFonts w:hint="eastAsia" w:ascii="宋体" w:hAnsi="宋体" w:cs="宋体"/>
          <w:color w:val="auto"/>
          <w:szCs w:val="21"/>
        </w:rPr>
        <w:t>合同履行期限：自合同生效之日起至合同约定的合同义务履行完毕。</w:t>
      </w:r>
    </w:p>
    <w:p>
      <w:pPr>
        <w:spacing w:line="440" w:lineRule="exact"/>
        <w:ind w:firstLine="420" w:firstLineChars="200"/>
        <w:rPr>
          <w:rFonts w:ascii="宋体" w:hAnsi="宋体" w:cs="宋体"/>
          <w:color w:val="auto"/>
          <w:szCs w:val="21"/>
        </w:rPr>
      </w:pPr>
      <w:r>
        <w:rPr>
          <w:rFonts w:hint="eastAsia" w:ascii="宋体" w:hAnsi="宋体" w:cs="宋体"/>
          <w:color w:val="auto"/>
          <w:szCs w:val="21"/>
        </w:rPr>
        <w:t>本项目（不接受）联合体投标。</w:t>
      </w:r>
    </w:p>
    <w:p>
      <w:pPr>
        <w:spacing w:beforeLines="50" w:afterLines="50" w:line="440" w:lineRule="exact"/>
        <w:outlineLvl w:val="1"/>
        <w:rPr>
          <w:rFonts w:ascii="宋体" w:hAnsi="宋体" w:cs="宋体"/>
          <w:color w:val="auto"/>
          <w:szCs w:val="21"/>
        </w:rPr>
      </w:pPr>
      <w:bookmarkStart w:id="7" w:name="_Toc7840"/>
      <w:bookmarkStart w:id="8" w:name="_Toc16374"/>
      <w:bookmarkStart w:id="9" w:name="_Toc8936"/>
      <w:bookmarkStart w:id="10" w:name="_Toc9618"/>
      <w:r>
        <w:rPr>
          <w:rFonts w:hint="eastAsia" w:ascii="宋体" w:hAnsi="宋体" w:cs="宋体"/>
          <w:color w:val="auto"/>
          <w:szCs w:val="21"/>
        </w:rPr>
        <w:t>二、申请人的资格要求</w:t>
      </w:r>
      <w:bookmarkEnd w:id="7"/>
      <w:bookmarkEnd w:id="8"/>
      <w:bookmarkEnd w:id="9"/>
      <w:bookmarkEnd w:id="10"/>
    </w:p>
    <w:p>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1.满足《中华人民共和国政府采购法》第二十二条规定，并提供下列材料：</w:t>
      </w:r>
    </w:p>
    <w:p>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(1) 凡在中国境内注册，有能力提供本项目所述货物与服务的投标人（须提供合格有效的营业执照副本复印件）；</w:t>
      </w:r>
    </w:p>
    <w:p>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(2)投标人的财务状况报告【提供由会计师事务所出具的202</w:t>
      </w:r>
      <w:r>
        <w:rPr>
          <w:rFonts w:hint="eastAsia" w:ascii="宋体" w:hAnsi="宋体" w:eastAsia="宋体" w:cs="宋体"/>
          <w:color w:val="auto"/>
          <w:lang w:val="en-US" w:eastAsia="zh-CN"/>
        </w:rPr>
        <w:t>3</w:t>
      </w:r>
      <w:r>
        <w:rPr>
          <w:rFonts w:hint="eastAsia" w:ascii="宋体" w:hAnsi="宋体" w:eastAsia="宋体" w:cs="宋体"/>
          <w:color w:val="auto"/>
        </w:rPr>
        <w:t>年度的审计报告（</w:t>
      </w:r>
      <w:r>
        <w:rPr>
          <w:rFonts w:hint="eastAsia" w:ascii="宋体" w:hAnsi="宋体" w:eastAsia="宋体" w:cs="宋体"/>
          <w:color w:val="auto"/>
          <w:lang w:val="en-US" w:eastAsia="zh-CN"/>
        </w:rPr>
        <w:t>至少</w:t>
      </w:r>
      <w:r>
        <w:rPr>
          <w:rFonts w:hint="eastAsia" w:ascii="宋体" w:hAnsi="宋体" w:eastAsia="宋体" w:cs="宋体"/>
          <w:color w:val="auto"/>
        </w:rPr>
        <w:t>包括资产负债表、现金流量表、利润表等</w:t>
      </w:r>
      <w:r>
        <w:rPr>
          <w:rFonts w:hint="eastAsia" w:ascii="宋体" w:hAnsi="宋体" w:eastAsia="宋体" w:cs="宋体"/>
          <w:color w:val="auto"/>
          <w:lang w:val="en-US" w:eastAsia="zh-CN"/>
        </w:rPr>
        <w:t>内容</w:t>
      </w:r>
      <w:r>
        <w:rPr>
          <w:rFonts w:hint="eastAsia" w:ascii="宋体" w:hAnsi="宋体" w:eastAsia="宋体" w:cs="宋体"/>
          <w:color w:val="auto"/>
        </w:rPr>
        <w:t>）复印件或银行出具的资信证明文件等】；</w:t>
      </w:r>
    </w:p>
    <w:p>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(3) 投标人依法缴纳税收和社会保障资金：提供投标截止前六个月任意一个月依法缴纳税收和社会保障资金的相关材料，若为依法免税或不需要缴纳社会保障资金的投标人，应提供相应文件证明其依法免税或不需要缴纳社会保障资金；</w:t>
      </w:r>
    </w:p>
    <w:p>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(4)具备履行合同所必需的设备和专业技术能力的声明函；</w:t>
      </w:r>
    </w:p>
    <w:p>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(5)如由授权代表前来投标，须提供授权委托书原件，否则无需提供；</w:t>
      </w:r>
    </w:p>
    <w:p>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(6)参加政府采购活动前3年内在经营活动中没有重大违法记录（或者在参加政府采购活动前3年内因违法经营被禁止在一定期限内参加政府采购活动，期限已届满）的书面声明。</w:t>
      </w:r>
    </w:p>
    <w:p>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lang w:val="en-US" w:eastAsia="zh-CN"/>
        </w:rPr>
        <w:t>2</w:t>
      </w:r>
      <w:r>
        <w:rPr>
          <w:rFonts w:hint="eastAsia" w:ascii="宋体" w:hAnsi="宋体" w:eastAsia="宋体" w:cs="宋体"/>
          <w:color w:val="auto"/>
        </w:rPr>
        <w:t>.被列入失信被执行人、重大税收违法案件当事人名单、政府采购严重违法失信行为记录名单及其他不符合《中华人民共和国政府采购法》第二十二条规定条件的供应商，不得参加本次投标。投标人针对“信用记录查询结果”可自主提供证明材料，未提供该证明材料的不视为无效投标。资格审查小组将通过“①信用中国”网站（ www.creditchina.gov.cn）和②中国政府采购网（ www.ccgp.gov.cn）查询并打印投标人信用记录，查询结果存在投标人应被拒绝参与政府采购活动相关信息的，其资格审查不合格。因上述网站原因导致资格审查小组无法查询投标人信用记录的（资格审查小组应将通过上述网站查询供应商信用记录时的原始页面打印后随采购文件一并存档），视为查询结果未存在投标人应被拒绝参与政府采购活动的相关信息。</w:t>
      </w:r>
    </w:p>
    <w:p>
      <w:pPr>
        <w:spacing w:line="440" w:lineRule="exact"/>
        <w:ind w:firstLine="420" w:firstLineChars="200"/>
        <w:rPr>
          <w:rFonts w:hint="default" w:ascii="宋体" w:hAnsi="宋体" w:eastAsia="宋体" w:cs="宋体"/>
          <w:color w:val="auto"/>
          <w:lang w:val="en-US" w:eastAsia="zh-CN"/>
        </w:rPr>
      </w:pPr>
      <w:r>
        <w:rPr>
          <w:rFonts w:hint="eastAsia" w:ascii="宋体" w:hAnsi="宋体" w:eastAsia="宋体" w:cs="宋体"/>
          <w:color w:val="auto"/>
          <w:lang w:val="en-US" w:eastAsia="zh-CN"/>
        </w:rPr>
        <w:t>3</w:t>
      </w:r>
      <w:r>
        <w:rPr>
          <w:rFonts w:hint="eastAsia" w:ascii="宋体" w:hAnsi="宋体" w:eastAsia="宋体" w:cs="宋体"/>
          <w:color w:val="auto"/>
        </w:rPr>
        <w:t>.</w:t>
      </w:r>
      <w:r>
        <w:rPr>
          <w:rFonts w:hint="eastAsia" w:ascii="宋体" w:hAnsi="宋体" w:cs="宋体"/>
          <w:color w:val="auto"/>
        </w:rPr>
        <w:t>落实政府采购政策需满足的资格要求：</w:t>
      </w:r>
      <w:r>
        <w:rPr>
          <w:rFonts w:hint="eastAsia" w:ascii="宋体" w:hAnsi="宋体" w:cs="宋体"/>
          <w:color w:val="auto"/>
          <w:szCs w:val="21"/>
        </w:rPr>
        <w:t>根据《政府采购促进中小企业发展管理办法》（财库〔2020〕46号）和《关于进一步加大政府采购支持中小企业力度的通知》（财库〔2022〕19号）文件规定，本项目专门面向中小企业采购，投标人须提供《中小企业声明函》。监狱企业视同小型、微型企业，投标人为监狱企业的，可不提供《中小企业声明函》，但须提供由省级以上监狱管理局、戒毒管理局（含新疆生产建设兵团）出具的属于监狱企业的证明文件。残疾人福利性单位视同小型、微型企业，投标人为残疾人福利性单位的，可不提供《中小企业声明函》，但须提供《残疾人福利性单位声明函》</w:t>
      </w:r>
      <w:r>
        <w:rPr>
          <w:rFonts w:hint="eastAsia" w:ascii="宋体" w:hAnsi="宋体" w:eastAsia="宋体" w:cs="宋体"/>
          <w:color w:val="auto"/>
        </w:rPr>
        <w:t>。</w:t>
      </w:r>
    </w:p>
    <w:p>
      <w:pPr>
        <w:spacing w:line="440" w:lineRule="exact"/>
        <w:ind w:firstLine="420" w:firstLineChars="200"/>
        <w:rPr>
          <w:rFonts w:hint="default" w:ascii="宋体" w:hAnsi="宋体" w:eastAsia="宋体" w:cs="宋体"/>
          <w:color w:val="auto"/>
          <w:lang w:val="en-US" w:eastAsia="zh-CN"/>
        </w:rPr>
      </w:pPr>
      <w:r>
        <w:rPr>
          <w:rFonts w:hint="eastAsia" w:ascii="宋体" w:hAnsi="宋体" w:eastAsia="宋体" w:cs="宋体"/>
          <w:color w:val="auto"/>
          <w:lang w:val="en-US" w:eastAsia="zh-CN"/>
        </w:rPr>
        <w:t>4.</w:t>
      </w:r>
      <w:r>
        <w:rPr>
          <w:rFonts w:hint="eastAsia" w:ascii="宋体" w:hAnsi="宋体" w:eastAsia="宋体" w:cs="宋体"/>
          <w:color w:val="auto"/>
        </w:rPr>
        <w:t>本项目(不接受 )联合体投标。</w:t>
      </w:r>
    </w:p>
    <w:p>
      <w:pPr>
        <w:spacing w:beforeLines="50" w:afterLines="50" w:line="440" w:lineRule="exact"/>
        <w:outlineLvl w:val="1"/>
        <w:rPr>
          <w:rFonts w:ascii="宋体" w:hAnsi="宋体" w:cs="宋体"/>
          <w:color w:val="auto"/>
          <w:szCs w:val="21"/>
        </w:rPr>
      </w:pPr>
      <w:bookmarkStart w:id="11" w:name="_Toc4676"/>
      <w:bookmarkStart w:id="12" w:name="_Toc1392"/>
      <w:bookmarkStart w:id="13" w:name="_Toc25094"/>
      <w:bookmarkStart w:id="14" w:name="_Toc21920"/>
      <w:r>
        <w:rPr>
          <w:rFonts w:hint="eastAsia" w:ascii="宋体" w:hAnsi="宋体" w:cs="宋体"/>
          <w:color w:val="auto"/>
          <w:szCs w:val="21"/>
        </w:rPr>
        <w:t>三、获取招标文件</w:t>
      </w:r>
      <w:bookmarkEnd w:id="11"/>
      <w:bookmarkEnd w:id="12"/>
      <w:bookmarkEnd w:id="13"/>
      <w:bookmarkEnd w:id="14"/>
    </w:p>
    <w:p>
      <w:pPr>
        <w:spacing w:line="440" w:lineRule="exact"/>
        <w:ind w:firstLine="540"/>
        <w:rPr>
          <w:rFonts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u w:val="single"/>
        </w:rPr>
        <w:t>2024年</w:t>
      </w:r>
      <w:r>
        <w:rPr>
          <w:rFonts w:hint="eastAsia" w:ascii="宋体" w:hAnsi="宋体" w:cs="宋体"/>
          <w:color w:val="auto"/>
          <w:szCs w:val="21"/>
          <w:u w:val="single"/>
          <w:lang w:val="en-US" w:eastAsia="zh-CN"/>
        </w:rPr>
        <w:t>11</w:t>
      </w:r>
      <w:r>
        <w:rPr>
          <w:rFonts w:hint="eastAsia" w:ascii="宋体" w:hAnsi="宋体" w:cs="宋体"/>
          <w:color w:val="auto"/>
          <w:szCs w:val="21"/>
          <w:u w:val="single"/>
        </w:rPr>
        <w:t>月</w:t>
      </w:r>
      <w:r>
        <w:rPr>
          <w:rFonts w:hint="eastAsia" w:ascii="宋体" w:hAnsi="宋体" w:cs="宋体"/>
          <w:color w:val="auto"/>
          <w:szCs w:val="21"/>
          <w:u w:val="single"/>
          <w:lang w:val="en-US" w:eastAsia="zh-CN"/>
        </w:rPr>
        <w:t>29</w:t>
      </w:r>
      <w:r>
        <w:rPr>
          <w:rFonts w:hint="eastAsia" w:ascii="宋体" w:hAnsi="宋体" w:cs="宋体"/>
          <w:color w:val="auto"/>
          <w:szCs w:val="21"/>
          <w:u w:val="single"/>
        </w:rPr>
        <w:t>日至2024年</w:t>
      </w:r>
      <w:r>
        <w:rPr>
          <w:rFonts w:hint="eastAsia" w:ascii="宋体" w:hAnsi="宋体" w:cs="宋体"/>
          <w:color w:val="auto"/>
          <w:szCs w:val="21"/>
          <w:u w:val="single"/>
          <w:lang w:val="en-US" w:eastAsia="zh-CN"/>
        </w:rPr>
        <w:t>12</w:t>
      </w:r>
      <w:r>
        <w:rPr>
          <w:rFonts w:hint="eastAsia" w:ascii="宋体" w:hAnsi="宋体" w:cs="宋体"/>
          <w:color w:val="auto"/>
          <w:szCs w:val="21"/>
          <w:u w:val="single"/>
        </w:rPr>
        <w:t>月</w:t>
      </w:r>
      <w:r>
        <w:rPr>
          <w:rFonts w:hint="eastAsia" w:ascii="宋体" w:hAnsi="宋体" w:cs="宋体"/>
          <w:color w:val="auto"/>
          <w:szCs w:val="21"/>
          <w:u w:val="single"/>
          <w:lang w:val="en-US" w:eastAsia="zh-CN"/>
        </w:rPr>
        <w:t>06</w:t>
      </w:r>
      <w:r>
        <w:rPr>
          <w:rFonts w:hint="eastAsia" w:ascii="宋体" w:hAnsi="宋体" w:cs="宋体"/>
          <w:color w:val="auto"/>
          <w:szCs w:val="21"/>
          <w:u w:val="single"/>
        </w:rPr>
        <w:t>日</w:t>
      </w:r>
      <w:r>
        <w:rPr>
          <w:rFonts w:hint="eastAsia" w:ascii="宋体" w:hAnsi="宋体" w:cs="宋体"/>
          <w:iCs/>
          <w:color w:val="auto"/>
          <w:szCs w:val="21"/>
          <w:u w:val="single"/>
        </w:rPr>
        <w:t>（</w:t>
      </w:r>
      <w:r>
        <w:rPr>
          <w:rFonts w:hint="eastAsia" w:ascii="宋体" w:hAnsi="宋体" w:cs="宋体"/>
          <w:i/>
          <w:color w:val="auto"/>
          <w:szCs w:val="21"/>
          <w:u w:val="single"/>
        </w:rPr>
        <w:t>提供期限自本公告发布之日起不得少于5个工作日</w:t>
      </w:r>
      <w:r>
        <w:rPr>
          <w:rFonts w:hint="eastAsia" w:ascii="宋体" w:hAnsi="宋体" w:cs="宋体"/>
          <w:iCs/>
          <w:color w:val="auto"/>
          <w:szCs w:val="21"/>
          <w:u w:val="single"/>
        </w:rPr>
        <w:t>）</w:t>
      </w:r>
      <w:r>
        <w:rPr>
          <w:rFonts w:hint="eastAsia" w:ascii="宋体" w:hAnsi="宋体" w:cs="宋体"/>
          <w:color w:val="auto"/>
          <w:szCs w:val="21"/>
        </w:rPr>
        <w:t>，每天上午</w:t>
      </w:r>
      <w:r>
        <w:rPr>
          <w:rFonts w:hint="eastAsia" w:ascii="宋体" w:hAnsi="宋体" w:cs="宋体"/>
          <w:color w:val="auto"/>
          <w:szCs w:val="21"/>
          <w:u w:val="single"/>
        </w:rPr>
        <w:t>08:00</w:t>
      </w:r>
      <w:r>
        <w:rPr>
          <w:rFonts w:hint="eastAsia" w:ascii="宋体" w:hAnsi="宋体" w:cs="宋体"/>
          <w:color w:val="auto"/>
          <w:szCs w:val="21"/>
        </w:rPr>
        <w:t>至</w:t>
      </w:r>
      <w:r>
        <w:rPr>
          <w:rFonts w:hint="eastAsia" w:ascii="宋体" w:hAnsi="宋体" w:cs="宋体"/>
          <w:color w:val="auto"/>
          <w:szCs w:val="21"/>
          <w:u w:val="single"/>
        </w:rPr>
        <w:t>12:00</w:t>
      </w:r>
      <w:r>
        <w:rPr>
          <w:rFonts w:hint="eastAsia" w:ascii="宋体" w:hAnsi="宋体" w:cs="宋体"/>
          <w:color w:val="auto"/>
          <w:szCs w:val="21"/>
        </w:rPr>
        <w:t>，下午</w:t>
      </w:r>
      <w:r>
        <w:rPr>
          <w:rFonts w:hint="eastAsia" w:ascii="宋体" w:hAnsi="宋体" w:cs="宋体"/>
          <w:color w:val="auto"/>
          <w:szCs w:val="21"/>
          <w:u w:val="single"/>
        </w:rPr>
        <w:t>14:30</w:t>
      </w:r>
      <w:r>
        <w:rPr>
          <w:rFonts w:hint="eastAsia" w:ascii="宋体" w:hAnsi="宋体" w:cs="宋体"/>
          <w:color w:val="auto"/>
          <w:szCs w:val="21"/>
        </w:rPr>
        <w:t>至</w:t>
      </w:r>
      <w:r>
        <w:rPr>
          <w:rFonts w:hint="eastAsia" w:ascii="宋体" w:hAnsi="宋体" w:cs="宋体"/>
          <w:color w:val="auto"/>
          <w:szCs w:val="21"/>
          <w:u w:val="single"/>
        </w:rPr>
        <w:t>17:30</w:t>
      </w:r>
      <w:r>
        <w:rPr>
          <w:rFonts w:hint="eastAsia" w:ascii="宋体" w:hAnsi="宋体" w:cs="宋体"/>
          <w:color w:val="auto"/>
          <w:szCs w:val="21"/>
        </w:rPr>
        <w:t>（北京时间，法定节假日除外）</w:t>
      </w:r>
    </w:p>
    <w:p>
      <w:pPr>
        <w:spacing w:line="440" w:lineRule="exact"/>
        <w:ind w:firstLine="540"/>
        <w:rPr>
          <w:rFonts w:ascii="宋体" w:hAnsi="宋体" w:cs="宋体"/>
          <w:color w:val="auto"/>
          <w:szCs w:val="21"/>
          <w:u w:val="single"/>
        </w:rPr>
      </w:pPr>
      <w:r>
        <w:rPr>
          <w:rFonts w:hint="eastAsia" w:ascii="宋体" w:hAnsi="宋体" w:cs="宋体"/>
          <w:color w:val="auto"/>
          <w:szCs w:val="21"/>
        </w:rPr>
        <w:t>地点：</w:t>
      </w:r>
      <w:r>
        <w:rPr>
          <w:rFonts w:hint="eastAsia" w:ascii="宋体" w:hAnsi="宋体" w:cs="宋体"/>
          <w:color w:val="auto"/>
          <w:szCs w:val="21"/>
          <w:u w:val="single"/>
        </w:rPr>
        <w:t>福建省福州市鼓楼区五四路159号世界金龙大厦第14层A、C1单元福建省智信招标有限公司</w:t>
      </w:r>
    </w:p>
    <w:p>
      <w:pPr>
        <w:spacing w:line="440" w:lineRule="exact"/>
        <w:ind w:firstLine="540"/>
        <w:rPr>
          <w:rFonts w:ascii="宋体" w:hAnsi="宋体" w:cs="宋体"/>
          <w:color w:val="auto"/>
          <w:szCs w:val="21"/>
        </w:rPr>
      </w:pPr>
      <w:r>
        <w:rPr>
          <w:rFonts w:hint="eastAsia" w:ascii="宋体" w:hAnsi="宋体" w:cs="宋体"/>
          <w:color w:val="auto"/>
          <w:szCs w:val="21"/>
        </w:rPr>
        <w:t>方式：</w:t>
      </w:r>
      <w:r>
        <w:rPr>
          <w:rFonts w:hint="eastAsia" w:ascii="宋体" w:hAnsi="宋体" w:cs="宋体"/>
          <w:color w:val="auto"/>
          <w:szCs w:val="21"/>
          <w:u w:val="single"/>
        </w:rPr>
        <w:t>直接至我司现场获取招标文件的，须至我司填写《获取招标（采购）文件登记表》；通过电子邮件获取招标文件的，须将《获取招标（采购）文件登记表》【格式见（下载网址：http://www.fjzxzb.com/newshow.aspx?NewsID=7）】填写清楚并加盖公章后扫描发送至我公司邮箱（zhixin04@126.com)。未办理获取招标文手续的不予以书面变更通知及不受理投标文件。</w:t>
      </w:r>
    </w:p>
    <w:p>
      <w:pPr>
        <w:spacing w:line="440" w:lineRule="exact"/>
        <w:ind w:firstLine="540"/>
        <w:rPr>
          <w:rFonts w:ascii="宋体" w:hAnsi="宋体" w:cs="宋体"/>
          <w:color w:val="auto"/>
          <w:szCs w:val="21"/>
        </w:rPr>
      </w:pPr>
      <w:r>
        <w:rPr>
          <w:rFonts w:hint="eastAsia" w:ascii="宋体" w:hAnsi="宋体" w:cs="宋体"/>
          <w:color w:val="auto"/>
          <w:szCs w:val="21"/>
        </w:rPr>
        <w:t>售价：</w:t>
      </w:r>
      <w:r>
        <w:rPr>
          <w:rFonts w:hint="eastAsia" w:ascii="宋体" w:hAnsi="宋体" w:cs="宋体"/>
          <w:color w:val="auto"/>
          <w:szCs w:val="21"/>
          <w:u w:val="single"/>
        </w:rPr>
        <w:t>招标文件0元。</w:t>
      </w:r>
    </w:p>
    <w:p>
      <w:pPr>
        <w:spacing w:beforeLines="50" w:afterLines="50" w:line="440" w:lineRule="exact"/>
        <w:outlineLvl w:val="1"/>
        <w:rPr>
          <w:rFonts w:ascii="宋体" w:hAnsi="宋体" w:cs="宋体"/>
          <w:color w:val="auto"/>
          <w:szCs w:val="21"/>
        </w:rPr>
      </w:pPr>
      <w:bookmarkStart w:id="15" w:name="_Toc24460"/>
      <w:bookmarkStart w:id="16" w:name="_Toc30912"/>
      <w:bookmarkStart w:id="17" w:name="_Toc5557"/>
      <w:bookmarkStart w:id="18" w:name="_Toc26285"/>
      <w:r>
        <w:rPr>
          <w:rFonts w:hint="eastAsia" w:ascii="宋体" w:hAnsi="宋体" w:cs="宋体"/>
          <w:color w:val="auto"/>
          <w:szCs w:val="21"/>
        </w:rPr>
        <w:t>四、提交投标文件截止时间、开标时间和地点</w:t>
      </w:r>
      <w:bookmarkEnd w:id="15"/>
      <w:bookmarkEnd w:id="16"/>
      <w:bookmarkEnd w:id="17"/>
      <w:bookmarkEnd w:id="18"/>
    </w:p>
    <w:p>
      <w:pPr>
        <w:spacing w:line="440" w:lineRule="exact"/>
        <w:ind w:firstLine="420" w:firstLineChars="200"/>
        <w:rPr>
          <w:rFonts w:ascii="宋体" w:hAnsi="宋体" w:cs="宋体"/>
          <w:bCs/>
          <w:color w:val="auto"/>
          <w:szCs w:val="21"/>
          <w:u w:val="single"/>
        </w:rPr>
      </w:pPr>
      <w:r>
        <w:rPr>
          <w:rFonts w:hint="eastAsia" w:ascii="宋体" w:hAnsi="宋体" w:cs="宋体"/>
          <w:color w:val="auto"/>
          <w:szCs w:val="21"/>
          <w:u w:val="single"/>
          <w:lang w:val="en-US" w:eastAsia="zh-CN"/>
        </w:rPr>
        <w:t>2024年12月20日上午09点30分</w:t>
      </w:r>
      <w:r>
        <w:rPr>
          <w:rFonts w:hint="eastAsia" w:ascii="宋体" w:hAnsi="宋体" w:cs="宋体"/>
          <w:bCs/>
          <w:color w:val="auto"/>
          <w:szCs w:val="21"/>
        </w:rPr>
        <w:t>（北京时间）</w:t>
      </w:r>
      <w:r>
        <w:rPr>
          <w:rFonts w:hint="eastAsia" w:ascii="宋体" w:hAnsi="宋体" w:cs="宋体"/>
          <w:iCs/>
          <w:color w:val="auto"/>
          <w:szCs w:val="21"/>
          <w:u w:val="single"/>
        </w:rPr>
        <w:t>（</w:t>
      </w:r>
      <w:r>
        <w:rPr>
          <w:rFonts w:hint="eastAsia" w:ascii="宋体" w:hAnsi="宋体" w:cs="宋体"/>
          <w:i/>
          <w:color w:val="auto"/>
          <w:szCs w:val="21"/>
          <w:u w:val="single"/>
        </w:rPr>
        <w:t>自招标文件开始发出之日起至投标人提交投标文件截止之日止，不得少于20日</w:t>
      </w:r>
      <w:r>
        <w:rPr>
          <w:rFonts w:hint="eastAsia" w:ascii="宋体" w:hAnsi="宋体" w:cs="宋体"/>
          <w:iCs/>
          <w:color w:val="auto"/>
          <w:szCs w:val="21"/>
          <w:u w:val="single"/>
        </w:rPr>
        <w:t>）</w:t>
      </w:r>
    </w:p>
    <w:p>
      <w:pPr>
        <w:spacing w:line="440" w:lineRule="exact"/>
        <w:ind w:firstLine="420" w:firstLineChars="200"/>
        <w:rPr>
          <w:rFonts w:ascii="宋体" w:hAnsi="宋体" w:cs="宋体"/>
          <w:i/>
          <w:color w:val="auto"/>
          <w:szCs w:val="21"/>
          <w:u w:val="single"/>
        </w:rPr>
      </w:pPr>
      <w:r>
        <w:rPr>
          <w:rFonts w:hint="eastAsia" w:ascii="宋体" w:hAnsi="宋体" w:cs="宋体"/>
          <w:color w:val="auto"/>
          <w:szCs w:val="21"/>
        </w:rPr>
        <w:t>地点：</w:t>
      </w:r>
      <w:r>
        <w:rPr>
          <w:rFonts w:hint="eastAsia" w:ascii="宋体" w:hAnsi="宋体" w:cs="宋体"/>
          <w:color w:val="auto"/>
          <w:szCs w:val="21"/>
          <w:u w:val="single"/>
        </w:rPr>
        <w:t>南平市建阳区潭城街道黄花山路29-30号(军分区门口)二层开标厅</w:t>
      </w:r>
    </w:p>
    <w:p>
      <w:pPr>
        <w:spacing w:beforeLines="50" w:afterLines="50" w:line="440" w:lineRule="exact"/>
        <w:outlineLvl w:val="1"/>
        <w:rPr>
          <w:rFonts w:ascii="宋体" w:hAnsi="宋体" w:cs="宋体"/>
          <w:color w:val="auto"/>
          <w:szCs w:val="21"/>
        </w:rPr>
      </w:pPr>
      <w:bookmarkStart w:id="19" w:name="_Toc26183"/>
      <w:bookmarkStart w:id="20" w:name="_Toc30879"/>
      <w:bookmarkStart w:id="21" w:name="_Toc24140"/>
      <w:bookmarkStart w:id="22" w:name="_Toc25769"/>
      <w:r>
        <w:rPr>
          <w:rFonts w:hint="eastAsia" w:ascii="宋体" w:hAnsi="宋体" w:cs="宋体"/>
          <w:color w:val="auto"/>
          <w:szCs w:val="21"/>
        </w:rPr>
        <w:t>五、公告期限</w:t>
      </w:r>
      <w:bookmarkEnd w:id="19"/>
      <w:bookmarkEnd w:id="20"/>
      <w:bookmarkEnd w:id="21"/>
      <w:bookmarkEnd w:id="22"/>
    </w:p>
    <w:p>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自本公告发布之日起5个工作日。</w:t>
      </w:r>
    </w:p>
    <w:p>
      <w:pPr>
        <w:numPr>
          <w:ilvl w:val="0"/>
          <w:numId w:val="2"/>
        </w:numPr>
        <w:spacing w:beforeLines="50" w:afterLines="50" w:line="440" w:lineRule="exact"/>
        <w:outlineLvl w:val="1"/>
        <w:rPr>
          <w:rFonts w:ascii="宋体" w:hAnsi="宋体" w:cs="宋体"/>
          <w:color w:val="auto"/>
          <w:szCs w:val="21"/>
        </w:rPr>
      </w:pPr>
      <w:bookmarkStart w:id="23" w:name="_Toc32197"/>
      <w:bookmarkStart w:id="24" w:name="_Toc21687"/>
      <w:bookmarkStart w:id="25" w:name="_Toc2661"/>
      <w:bookmarkStart w:id="26" w:name="_Toc16059"/>
      <w:r>
        <w:rPr>
          <w:rFonts w:hint="eastAsia" w:ascii="宋体" w:hAnsi="宋体" w:cs="宋体"/>
          <w:color w:val="auto"/>
          <w:szCs w:val="21"/>
        </w:rPr>
        <w:t>其他补充事宜</w:t>
      </w:r>
      <w:bookmarkEnd w:id="23"/>
      <w:bookmarkEnd w:id="24"/>
      <w:bookmarkEnd w:id="25"/>
      <w:bookmarkEnd w:id="26"/>
    </w:p>
    <w:p>
      <w:pPr>
        <w:spacing w:beforeLines="50" w:afterLines="50" w:line="440" w:lineRule="exact"/>
        <w:ind w:firstLine="420" w:firstLineChars="200"/>
        <w:outlineLvl w:val="1"/>
        <w:rPr>
          <w:rFonts w:ascii="宋体" w:hAnsi="宋体" w:cs="宋体"/>
          <w:color w:val="auto"/>
          <w:szCs w:val="21"/>
        </w:rPr>
      </w:pPr>
      <w:bookmarkStart w:id="27" w:name="_Toc11601"/>
      <w:bookmarkStart w:id="28" w:name="_Toc26147"/>
      <w:bookmarkStart w:id="29" w:name="_Toc24789"/>
      <w:bookmarkStart w:id="30" w:name="_Toc11247"/>
      <w:r>
        <w:rPr>
          <w:rFonts w:hint="eastAsia" w:ascii="宋体" w:hAnsi="宋体" w:cs="宋体"/>
          <w:color w:val="auto"/>
          <w:kern w:val="0"/>
          <w:szCs w:val="21"/>
        </w:rPr>
        <w:t>无</w:t>
      </w:r>
      <w:bookmarkEnd w:id="27"/>
      <w:bookmarkEnd w:id="28"/>
      <w:bookmarkEnd w:id="29"/>
    </w:p>
    <w:p>
      <w:pPr>
        <w:spacing w:beforeLines="50" w:afterLines="50" w:line="440" w:lineRule="exact"/>
        <w:outlineLvl w:val="1"/>
        <w:rPr>
          <w:rFonts w:ascii="宋体" w:hAnsi="宋体" w:cs="宋体"/>
          <w:color w:val="auto"/>
          <w:szCs w:val="21"/>
        </w:rPr>
      </w:pPr>
      <w:bookmarkStart w:id="31" w:name="_Toc11719"/>
      <w:bookmarkStart w:id="32" w:name="_Toc20963"/>
      <w:bookmarkStart w:id="33" w:name="_Toc18505"/>
      <w:r>
        <w:rPr>
          <w:rFonts w:hint="eastAsia" w:ascii="宋体" w:hAnsi="宋体" w:cs="宋体"/>
          <w:color w:val="auto"/>
          <w:szCs w:val="21"/>
        </w:rPr>
        <w:t>七、对本次招标提出询问，请按以下方式联系。</w:t>
      </w:r>
      <w:bookmarkEnd w:id="30"/>
      <w:bookmarkEnd w:id="31"/>
      <w:bookmarkEnd w:id="32"/>
      <w:bookmarkEnd w:id="33"/>
    </w:p>
    <w:p>
      <w:pPr>
        <w:widowControl/>
        <w:spacing w:line="440" w:lineRule="exact"/>
        <w:ind w:firstLine="420" w:firstLineChars="200"/>
        <w:jc w:val="left"/>
        <w:rPr>
          <w:rFonts w:ascii="宋体" w:hAnsi="宋体" w:cs="宋体"/>
          <w:color w:val="auto"/>
          <w:szCs w:val="21"/>
        </w:rPr>
      </w:pPr>
      <w:r>
        <w:rPr>
          <w:rFonts w:hint="eastAsia" w:ascii="宋体" w:hAnsi="宋体" w:cs="宋体"/>
          <w:color w:val="auto"/>
          <w:szCs w:val="21"/>
        </w:rPr>
        <w:t>1.采购人信息</w:t>
      </w:r>
    </w:p>
    <w:p>
      <w:pPr>
        <w:widowControl/>
        <w:spacing w:line="440" w:lineRule="exact"/>
        <w:ind w:firstLine="420" w:firstLineChars="200"/>
        <w:jc w:val="left"/>
        <w:rPr>
          <w:rFonts w:ascii="宋体" w:hAnsi="宋体" w:cs="宋体"/>
          <w:color w:val="auto"/>
          <w:szCs w:val="21"/>
        </w:rPr>
      </w:pPr>
      <w:r>
        <w:rPr>
          <w:rFonts w:hint="eastAsia" w:ascii="宋体" w:hAnsi="宋体" w:cs="宋体"/>
          <w:color w:val="auto"/>
          <w:szCs w:val="21"/>
        </w:rPr>
        <w:t>名    称：</w:t>
      </w:r>
      <w:r>
        <w:rPr>
          <w:rFonts w:hint="eastAsia" w:ascii="宋体" w:hAnsi="宋体" w:cs="宋体"/>
          <w:color w:val="auto"/>
          <w:szCs w:val="21"/>
          <w:u w:val="single"/>
        </w:rPr>
        <w:t>国家税务总局南平市税务局</w:t>
      </w:r>
    </w:p>
    <w:p>
      <w:pPr>
        <w:widowControl/>
        <w:spacing w:line="440" w:lineRule="exact"/>
        <w:ind w:firstLine="420" w:firstLineChars="200"/>
        <w:jc w:val="left"/>
        <w:rPr>
          <w:rFonts w:ascii="宋体" w:hAnsi="宋体" w:cs="宋体"/>
          <w:color w:val="auto"/>
          <w:szCs w:val="21"/>
        </w:rPr>
      </w:pPr>
      <w:r>
        <w:rPr>
          <w:rFonts w:hint="eastAsia" w:ascii="宋体" w:hAnsi="宋体" w:cs="宋体"/>
          <w:color w:val="auto"/>
          <w:szCs w:val="21"/>
        </w:rPr>
        <w:t>地    址：</w:t>
      </w:r>
      <w:r>
        <w:rPr>
          <w:rFonts w:hint="eastAsia" w:ascii="宋体" w:hAnsi="宋体" w:cs="宋体"/>
          <w:color w:val="auto"/>
          <w:szCs w:val="21"/>
          <w:u w:val="single"/>
        </w:rPr>
        <w:t>南平市建阳区朱熹大道379号武夷国际新城天玺32#</w:t>
      </w:r>
    </w:p>
    <w:p>
      <w:pPr>
        <w:widowControl/>
        <w:spacing w:line="440" w:lineRule="exact"/>
        <w:ind w:firstLine="420" w:firstLineChars="200"/>
        <w:jc w:val="left"/>
        <w:rPr>
          <w:rFonts w:ascii="宋体" w:hAnsi="宋体" w:cs="宋体"/>
          <w:color w:val="auto"/>
          <w:szCs w:val="21"/>
          <w:u w:val="single"/>
        </w:rPr>
      </w:pPr>
      <w:r>
        <w:rPr>
          <w:rFonts w:hint="eastAsia" w:ascii="宋体" w:hAnsi="宋体" w:cs="宋体"/>
          <w:color w:val="auto"/>
          <w:szCs w:val="21"/>
        </w:rPr>
        <w:t>联系方式：</w:t>
      </w:r>
      <w:r>
        <w:rPr>
          <w:rFonts w:hint="eastAsia" w:ascii="宋体" w:hAnsi="宋体" w:eastAsia="宋体" w:cs="宋体"/>
          <w:color w:val="auto"/>
          <w:szCs w:val="21"/>
          <w:u w:val="single"/>
        </w:rPr>
        <w:t>古先生/0599-8621229</w:t>
      </w:r>
    </w:p>
    <w:p>
      <w:pPr>
        <w:widowControl/>
        <w:spacing w:line="440" w:lineRule="exact"/>
        <w:ind w:firstLine="420" w:firstLineChars="200"/>
        <w:jc w:val="left"/>
        <w:rPr>
          <w:rFonts w:ascii="宋体" w:hAnsi="宋体" w:cs="宋体"/>
          <w:color w:val="auto"/>
          <w:szCs w:val="21"/>
        </w:rPr>
      </w:pPr>
      <w:r>
        <w:rPr>
          <w:rFonts w:hint="eastAsia" w:ascii="宋体" w:hAnsi="宋体" w:cs="宋体"/>
          <w:color w:val="auto"/>
          <w:szCs w:val="21"/>
        </w:rPr>
        <w:t>2.采购代理机构信息</w:t>
      </w:r>
    </w:p>
    <w:p>
      <w:pPr>
        <w:widowControl/>
        <w:spacing w:line="440" w:lineRule="exact"/>
        <w:ind w:firstLine="420" w:firstLineChars="200"/>
        <w:jc w:val="left"/>
        <w:rPr>
          <w:rFonts w:ascii="宋体" w:hAnsi="宋体" w:cs="宋体"/>
          <w:color w:val="auto"/>
          <w:szCs w:val="21"/>
        </w:rPr>
      </w:pPr>
      <w:r>
        <w:rPr>
          <w:rFonts w:hint="eastAsia" w:ascii="宋体" w:hAnsi="宋体" w:cs="宋体"/>
          <w:color w:val="auto"/>
          <w:szCs w:val="21"/>
        </w:rPr>
        <w:t>名    称：</w:t>
      </w:r>
      <w:r>
        <w:rPr>
          <w:rFonts w:hint="eastAsia" w:ascii="宋体" w:hAnsi="宋体" w:cs="宋体"/>
          <w:color w:val="auto"/>
          <w:szCs w:val="21"/>
          <w:u w:val="single"/>
        </w:rPr>
        <w:t>福建省智信招标有限公司</w:t>
      </w:r>
    </w:p>
    <w:p>
      <w:pPr>
        <w:widowControl/>
        <w:spacing w:line="440" w:lineRule="exact"/>
        <w:ind w:firstLine="420" w:firstLineChars="200"/>
        <w:jc w:val="left"/>
        <w:rPr>
          <w:rFonts w:ascii="宋体" w:hAnsi="宋体" w:cs="宋体"/>
          <w:color w:val="auto"/>
          <w:szCs w:val="21"/>
        </w:rPr>
      </w:pPr>
      <w:r>
        <w:rPr>
          <w:rFonts w:hint="eastAsia" w:ascii="宋体" w:hAnsi="宋体" w:cs="宋体"/>
          <w:color w:val="auto"/>
          <w:szCs w:val="21"/>
        </w:rPr>
        <w:t>地  　址：</w:t>
      </w:r>
      <w:r>
        <w:rPr>
          <w:rFonts w:hint="eastAsia" w:ascii="宋体" w:hAnsi="宋体" w:cs="宋体"/>
          <w:color w:val="auto"/>
          <w:szCs w:val="21"/>
          <w:u w:val="single"/>
        </w:rPr>
        <w:t>福建省福州市鼓楼区五四路159号世界金龙大厦第14层A、C1单元</w:t>
      </w:r>
    </w:p>
    <w:p>
      <w:pPr>
        <w:widowControl/>
        <w:spacing w:line="440" w:lineRule="exact"/>
        <w:ind w:firstLine="420" w:firstLineChars="200"/>
        <w:jc w:val="left"/>
        <w:rPr>
          <w:rFonts w:ascii="宋体" w:hAnsi="宋体" w:cs="宋体"/>
          <w:color w:val="auto"/>
          <w:szCs w:val="21"/>
        </w:rPr>
      </w:pPr>
      <w:r>
        <w:rPr>
          <w:rFonts w:hint="eastAsia" w:ascii="宋体" w:hAnsi="宋体" w:cs="宋体"/>
          <w:color w:val="auto"/>
          <w:szCs w:val="21"/>
        </w:rPr>
        <w:t>联系方式：</w:t>
      </w:r>
      <w:r>
        <w:rPr>
          <w:rFonts w:hint="eastAsia" w:ascii="宋体" w:hAnsi="宋体" w:cs="宋体"/>
          <w:color w:val="auto"/>
          <w:szCs w:val="21"/>
          <w:u w:val="single"/>
        </w:rPr>
        <w:t>廖丽松、张博艺、黄金花，0591-88318332、87530730、87616211转803</w:t>
      </w:r>
    </w:p>
    <w:p>
      <w:pPr>
        <w:widowControl/>
        <w:spacing w:line="440" w:lineRule="exact"/>
        <w:ind w:firstLine="420" w:firstLineChars="200"/>
        <w:jc w:val="left"/>
        <w:rPr>
          <w:rFonts w:ascii="宋体" w:hAnsi="宋体" w:cs="宋体"/>
          <w:color w:val="auto"/>
          <w:szCs w:val="21"/>
          <w:u w:val="single"/>
        </w:rPr>
      </w:pPr>
      <w:r>
        <w:rPr>
          <w:rFonts w:hint="eastAsia" w:ascii="宋体" w:hAnsi="宋体" w:cs="宋体"/>
          <w:color w:val="auto"/>
          <w:szCs w:val="21"/>
        </w:rPr>
        <w:t>3.项目联系方式</w:t>
      </w:r>
    </w:p>
    <w:p>
      <w:pPr>
        <w:widowControl/>
        <w:spacing w:line="440" w:lineRule="exact"/>
        <w:ind w:firstLine="420" w:firstLineChars="200"/>
        <w:jc w:val="left"/>
        <w:rPr>
          <w:rFonts w:ascii="宋体" w:hAnsi="宋体" w:cs="宋体"/>
          <w:color w:val="auto"/>
          <w:szCs w:val="21"/>
        </w:rPr>
      </w:pPr>
      <w:r>
        <w:rPr>
          <w:rFonts w:hint="eastAsia" w:ascii="宋体" w:hAnsi="宋体" w:cs="宋体"/>
          <w:color w:val="auto"/>
          <w:szCs w:val="21"/>
        </w:rPr>
        <w:t>项目联系人：</w:t>
      </w:r>
      <w:r>
        <w:rPr>
          <w:rFonts w:hint="eastAsia" w:ascii="宋体" w:hAnsi="宋体" w:cs="宋体"/>
          <w:color w:val="auto"/>
          <w:szCs w:val="21"/>
          <w:u w:val="single"/>
        </w:rPr>
        <w:t>廖丽松、张博艺、黄金花</w:t>
      </w:r>
    </w:p>
    <w:p>
      <w:pPr>
        <w:pStyle w:val="22"/>
        <w:widowControl w:val="0"/>
        <w:numPr>
          <w:ilvl w:val="0"/>
          <w:numId w:val="0"/>
        </w:numPr>
        <w:overflowPunct w:val="0"/>
        <w:autoSpaceDE w:val="0"/>
        <w:autoSpaceDN w:val="0"/>
        <w:adjustRightInd w:val="0"/>
        <w:ind w:firstLine="420" w:firstLineChars="200"/>
        <w:jc w:val="both"/>
        <w:textAlignment w:val="baseline"/>
        <w:rPr>
          <w:rFonts w:hint="eastAsia"/>
          <w:color w:val="auto"/>
        </w:rPr>
      </w:pPr>
      <w:r>
        <w:rPr>
          <w:rFonts w:hint="eastAsia" w:ascii="宋体" w:hAnsi="宋体" w:cs="宋体"/>
          <w:color w:val="auto"/>
          <w:szCs w:val="21"/>
        </w:rPr>
        <w:t>电　    话：</w:t>
      </w:r>
      <w:r>
        <w:rPr>
          <w:rFonts w:hint="eastAsia" w:ascii="宋体" w:hAnsi="宋体" w:cs="宋体"/>
          <w:color w:val="auto"/>
          <w:szCs w:val="21"/>
          <w:u w:val="single"/>
        </w:rPr>
        <w:t>0591-88318332、87530730、87616211转803</w:t>
      </w:r>
    </w:p>
    <w:p>
      <w:pPr>
        <w:pStyle w:val="22"/>
        <w:widowControl w:val="0"/>
        <w:numPr>
          <w:ilvl w:val="0"/>
          <w:numId w:val="0"/>
        </w:numPr>
        <w:overflowPunct w:val="0"/>
        <w:autoSpaceDE w:val="0"/>
        <w:autoSpaceDN w:val="0"/>
        <w:adjustRightInd w:val="0"/>
        <w:jc w:val="both"/>
        <w:textAlignment w:val="baseline"/>
        <w:rPr>
          <w:rFonts w:hint="eastAsia"/>
          <w:color w:val="auto"/>
        </w:rPr>
      </w:pPr>
    </w:p>
    <w:p>
      <w:pPr>
        <w:pStyle w:val="22"/>
        <w:widowControl w:val="0"/>
        <w:numPr>
          <w:ilvl w:val="0"/>
          <w:numId w:val="0"/>
        </w:numPr>
        <w:overflowPunct w:val="0"/>
        <w:autoSpaceDE w:val="0"/>
        <w:autoSpaceDN w:val="0"/>
        <w:adjustRightInd w:val="0"/>
        <w:jc w:val="both"/>
        <w:textAlignment w:val="baseline"/>
        <w:rPr>
          <w:rFonts w:hint="eastAsia"/>
          <w:color w:val="auto"/>
        </w:rPr>
      </w:pPr>
    </w:p>
    <w:p>
      <w:pPr>
        <w:pStyle w:val="22"/>
        <w:widowControl w:val="0"/>
        <w:numPr>
          <w:ilvl w:val="0"/>
          <w:numId w:val="0"/>
        </w:numPr>
        <w:overflowPunct w:val="0"/>
        <w:autoSpaceDE w:val="0"/>
        <w:autoSpaceDN w:val="0"/>
        <w:adjustRightInd w:val="0"/>
        <w:jc w:val="both"/>
        <w:textAlignment w:val="baseline"/>
        <w:rPr>
          <w:rFonts w:hint="eastAsia"/>
          <w:color w:val="auto"/>
        </w:rPr>
      </w:pPr>
    </w:p>
    <w:p>
      <w:pPr>
        <w:pStyle w:val="22"/>
        <w:widowControl w:val="0"/>
        <w:numPr>
          <w:ilvl w:val="0"/>
          <w:numId w:val="0"/>
        </w:numPr>
        <w:overflowPunct w:val="0"/>
        <w:autoSpaceDE w:val="0"/>
        <w:autoSpaceDN w:val="0"/>
        <w:adjustRightInd w:val="0"/>
        <w:jc w:val="both"/>
        <w:textAlignment w:val="baseline"/>
        <w:rPr>
          <w:rFonts w:hint="eastAsia"/>
          <w:color w:val="auto"/>
        </w:rPr>
      </w:pPr>
    </w:p>
    <w:p>
      <w:pPr>
        <w:pStyle w:val="22"/>
        <w:widowControl w:val="0"/>
        <w:numPr>
          <w:ilvl w:val="0"/>
          <w:numId w:val="0"/>
        </w:numPr>
        <w:overflowPunct w:val="0"/>
        <w:autoSpaceDE w:val="0"/>
        <w:autoSpaceDN w:val="0"/>
        <w:adjustRightInd w:val="0"/>
        <w:jc w:val="both"/>
        <w:textAlignment w:val="baseline"/>
        <w:rPr>
          <w:rFonts w:hint="eastAsia"/>
          <w:color w:val="auto"/>
        </w:rPr>
      </w:pPr>
    </w:p>
    <w:p>
      <w:pPr>
        <w:bidi w:val="0"/>
        <w:jc w:val="center"/>
        <w:rPr>
          <w:rFonts w:hint="eastAsia" w:ascii="华文中宋" w:hAnsi="华文中宋" w:eastAsia="华文中宋" w:cs="华文中宋"/>
          <w:color w:val="auto"/>
          <w:sz w:val="28"/>
          <w:szCs w:val="28"/>
          <w:highlight w:val="none"/>
        </w:rPr>
      </w:pPr>
      <w:bookmarkStart w:id="34" w:name="_Toc132880272"/>
      <w:r>
        <w:rPr>
          <w:rFonts w:hint="eastAsia" w:ascii="华文中宋" w:hAnsi="华文中宋" w:eastAsia="华文中宋" w:cs="华文中宋"/>
          <w:color w:val="auto"/>
          <w:sz w:val="28"/>
          <w:szCs w:val="28"/>
          <w:highlight w:val="none"/>
        </w:rPr>
        <w:br w:type="page"/>
      </w:r>
      <w:bookmarkStart w:id="35" w:name="_Toc5460"/>
      <w:bookmarkStart w:id="36" w:name="_Toc19608"/>
      <w:r>
        <w:rPr>
          <w:rStyle w:val="31"/>
          <w:rFonts w:hint="eastAsia"/>
          <w:color w:val="auto"/>
          <w:lang w:val="en-US" w:eastAsia="zh-CN"/>
        </w:rPr>
        <w:t>第二章　投标人须知</w:t>
      </w:r>
      <w:bookmarkEnd w:id="34"/>
      <w:bookmarkEnd w:id="35"/>
      <w:bookmarkEnd w:id="36"/>
    </w:p>
    <w:p>
      <w:pPr>
        <w:bidi w:val="0"/>
        <w:jc w:val="center"/>
        <w:rPr>
          <w:rFonts w:hint="eastAsia" w:ascii="方正小标宋简体" w:hAnsi="方正小标宋简体" w:eastAsia="方正小标宋简体" w:cs="方正小标宋简体"/>
          <w:color w:val="auto"/>
          <w:sz w:val="24"/>
          <w:szCs w:val="24"/>
          <w:highlight w:val="none"/>
        </w:rPr>
      </w:pPr>
      <w:bookmarkStart w:id="37" w:name="_Toc132880273"/>
      <w:r>
        <w:rPr>
          <w:rFonts w:hint="eastAsia" w:ascii="方正小标宋简体" w:hAnsi="方正小标宋简体" w:eastAsia="方正小标宋简体" w:cs="方正小标宋简体"/>
          <w:color w:val="auto"/>
          <w:sz w:val="24"/>
          <w:szCs w:val="24"/>
          <w:highlight w:val="none"/>
        </w:rPr>
        <w:t>投标人须知前附表</w:t>
      </w:r>
      <w:bookmarkEnd w:id="37"/>
    </w:p>
    <w:tbl>
      <w:tblPr>
        <w:tblStyle w:val="16"/>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63"/>
        <w:gridCol w:w="972"/>
        <w:gridCol w:w="5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b/>
                <w:color w:val="auto"/>
                <w:szCs w:val="21"/>
              </w:rPr>
            </w:pPr>
            <w:r>
              <w:rPr>
                <w:rFonts w:ascii="Times New Roman" w:hAnsi="Times New Roman"/>
                <w:b/>
                <w:color w:val="auto"/>
                <w:szCs w:val="21"/>
              </w:rPr>
              <w:t>序 号</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b/>
                <w:color w:val="auto"/>
                <w:szCs w:val="21"/>
              </w:rPr>
            </w:pPr>
            <w:r>
              <w:rPr>
                <w:rFonts w:ascii="Times New Roman" w:hAnsi="Times New Roman"/>
                <w:b/>
                <w:color w:val="auto"/>
                <w:szCs w:val="21"/>
              </w:rPr>
              <w:t>类  别</w:t>
            </w:r>
          </w:p>
        </w:tc>
        <w:tc>
          <w:tcPr>
            <w:tcW w:w="617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b/>
                <w:color w:val="auto"/>
                <w:szCs w:val="21"/>
              </w:rPr>
            </w:pPr>
            <w:r>
              <w:rPr>
                <w:rFonts w:ascii="Times New Roman" w:hAnsi="Times New Roman"/>
                <w:b/>
                <w:color w:val="auto"/>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1</w:t>
            </w:r>
          </w:p>
        </w:tc>
        <w:tc>
          <w:tcPr>
            <w:tcW w:w="1863"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b/>
                <w:color w:val="auto"/>
                <w:szCs w:val="21"/>
              </w:rPr>
            </w:pPr>
            <w:r>
              <w:rPr>
                <w:rFonts w:ascii="Times New Roman" w:hAnsi="Times New Roman"/>
                <w:color w:val="auto"/>
                <w:szCs w:val="21"/>
              </w:rPr>
              <w:t>项目名称、编号、预算及最高限价</w:t>
            </w:r>
          </w:p>
        </w:tc>
        <w:tc>
          <w:tcPr>
            <w:tcW w:w="617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olor w:val="auto"/>
                <w:szCs w:val="21"/>
                <w:lang w:eastAsia="zh-CN"/>
              </w:rPr>
              <w:t>南平市税务局办公场所窗帘采购项目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auto"/>
                <w:szCs w:val="21"/>
              </w:rPr>
            </w:pPr>
          </w:p>
        </w:tc>
        <w:tc>
          <w:tcPr>
            <w:tcW w:w="1863" w:type="dxa"/>
            <w:vMerge w:val="continue"/>
            <w:tcBorders>
              <w:left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auto"/>
                <w:szCs w:val="21"/>
              </w:rPr>
            </w:pPr>
          </w:p>
        </w:tc>
        <w:tc>
          <w:tcPr>
            <w:tcW w:w="617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项目编号：</w:t>
            </w:r>
            <w:r>
              <w:rPr>
                <w:rFonts w:hint="eastAsia" w:ascii="宋体" w:hAnsi="宋体" w:cs="Times New Roman"/>
                <w:color w:val="auto"/>
                <w:szCs w:val="21"/>
                <w:lang w:eastAsia="zh-CN"/>
              </w:rPr>
              <w:t>ZXWT-2024-386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auto"/>
                <w:szCs w:val="21"/>
              </w:rPr>
            </w:pPr>
          </w:p>
        </w:tc>
        <w:tc>
          <w:tcPr>
            <w:tcW w:w="1863" w:type="dxa"/>
            <w:vMerge w:val="continue"/>
            <w:tcBorders>
              <w:left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auto"/>
                <w:szCs w:val="21"/>
              </w:rPr>
            </w:pPr>
          </w:p>
        </w:tc>
        <w:tc>
          <w:tcPr>
            <w:tcW w:w="617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宋体" w:hAnsi="宋体" w:cs="宋体"/>
                <w:color w:val="auto"/>
                <w:szCs w:val="21"/>
              </w:rPr>
            </w:pPr>
            <w:r>
              <w:rPr>
                <w:rFonts w:hint="eastAsia" w:ascii="宋体" w:hAnsi="宋体" w:cs="宋体"/>
                <w:color w:val="auto"/>
                <w:szCs w:val="21"/>
              </w:rPr>
              <w:t>项目预算：</w:t>
            </w:r>
            <w:r>
              <w:rPr>
                <w:rFonts w:hint="eastAsia" w:ascii="宋体" w:hAnsi="宋体" w:cs="宋体"/>
                <w:color w:val="auto"/>
                <w:szCs w:val="21"/>
                <w:lang w:val="en-US" w:eastAsia="zh-CN"/>
              </w:rPr>
              <w:t>76</w:t>
            </w:r>
            <w:r>
              <w:rPr>
                <w:rFonts w:hint="eastAsia" w:ascii="宋体" w:hAnsi="宋体" w:cs="宋体"/>
                <w:color w:val="auto"/>
                <w:szCs w:val="21"/>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auto"/>
                <w:szCs w:val="21"/>
              </w:rPr>
            </w:pPr>
          </w:p>
        </w:tc>
        <w:tc>
          <w:tcPr>
            <w:tcW w:w="1863"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auto"/>
                <w:szCs w:val="21"/>
              </w:rPr>
            </w:pPr>
          </w:p>
        </w:tc>
        <w:tc>
          <w:tcPr>
            <w:tcW w:w="617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宋体" w:hAnsi="宋体" w:cs="宋体"/>
                <w:color w:val="auto"/>
                <w:szCs w:val="21"/>
              </w:rPr>
            </w:pPr>
            <w:r>
              <w:rPr>
                <w:rFonts w:hint="eastAsia" w:ascii="宋体" w:hAnsi="宋体" w:cs="宋体"/>
                <w:color w:val="auto"/>
                <w:szCs w:val="21"/>
              </w:rPr>
              <w:t>最高限价：</w:t>
            </w:r>
            <w:r>
              <w:rPr>
                <w:rFonts w:hint="eastAsia" w:ascii="宋体" w:hAnsi="宋体" w:cs="宋体"/>
                <w:color w:val="auto"/>
                <w:szCs w:val="21"/>
                <w:lang w:val="en-US" w:eastAsia="zh-CN"/>
              </w:rPr>
              <w:t>76</w:t>
            </w:r>
            <w:r>
              <w:rPr>
                <w:rFonts w:hint="eastAsia" w:ascii="宋体" w:hAnsi="宋体" w:cs="宋体"/>
                <w:color w:val="auto"/>
                <w:szCs w:val="21"/>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2</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采购需求</w:t>
            </w:r>
          </w:p>
        </w:tc>
        <w:tc>
          <w:tcPr>
            <w:tcW w:w="617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Times New Roman" w:hAnsi="Times New Roman"/>
                <w:color w:val="auto"/>
                <w:szCs w:val="21"/>
              </w:rPr>
            </w:pPr>
            <w:r>
              <w:rPr>
                <w:rFonts w:ascii="Times New Roman" w:hAnsi="Times New Roman"/>
                <w:color w:val="auto"/>
                <w:szCs w:val="21"/>
              </w:rPr>
              <w:t>详见《招标文件（技术部分）》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3</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项目属性和类别</w:t>
            </w:r>
          </w:p>
        </w:tc>
        <w:tc>
          <w:tcPr>
            <w:tcW w:w="617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Times New Roman" w:hAnsi="Times New Roman"/>
                <w:b/>
                <w:color w:val="auto"/>
                <w:szCs w:val="21"/>
              </w:rPr>
            </w:pPr>
            <w:r>
              <w:rPr>
                <w:rFonts w:ascii="Times New Roman" w:hAnsi="Times New Roman"/>
                <w:b/>
                <w:color w:val="auto"/>
                <w:szCs w:val="21"/>
              </w:rPr>
              <w:t>项目属性：</w:t>
            </w:r>
            <w:r>
              <w:rPr>
                <w:rFonts w:hint="eastAsia" w:ascii="Times New Roman" w:hAnsi="Times New Roman"/>
                <w:color w:val="auto"/>
                <w:szCs w:val="21"/>
              </w:rPr>
              <w:sym w:font="Wingdings 2" w:char="0052"/>
            </w:r>
            <w:r>
              <w:rPr>
                <w:rFonts w:ascii="Times New Roman" w:hAnsi="Times New Roman"/>
                <w:color w:val="auto"/>
                <w:szCs w:val="21"/>
              </w:rPr>
              <w:t xml:space="preserve">货物           </w:t>
            </w:r>
            <w:r>
              <w:rPr>
                <w:rFonts w:hint="eastAsia" w:ascii="Times New Roman" w:hAnsi="Times New Roman"/>
                <w:color w:val="auto"/>
                <w:szCs w:val="21"/>
                <w:lang w:eastAsia="zh-CN"/>
              </w:rPr>
              <w:t>□</w:t>
            </w:r>
            <w:r>
              <w:rPr>
                <w:rFonts w:ascii="Times New Roman" w:hAnsi="Times New Roman"/>
                <w:color w:val="auto"/>
                <w:szCs w:val="21"/>
              </w:rPr>
              <w:t>服务</w:t>
            </w:r>
          </w:p>
          <w:p>
            <w:pPr>
              <w:adjustRightInd w:val="0"/>
              <w:snapToGrid w:val="0"/>
              <w:spacing w:line="400" w:lineRule="exact"/>
              <w:jc w:val="left"/>
              <w:rPr>
                <w:rFonts w:ascii="Times New Roman" w:hAnsi="Times New Roman"/>
                <w:color w:val="auto"/>
                <w:szCs w:val="21"/>
              </w:rPr>
            </w:pPr>
            <w:r>
              <w:rPr>
                <w:rFonts w:ascii="Times New Roman" w:hAnsi="Times New Roman"/>
                <w:b/>
                <w:bCs/>
                <w:color w:val="auto"/>
                <w:szCs w:val="21"/>
              </w:rPr>
              <w:t>项目类别：</w:t>
            </w:r>
            <w:r>
              <w:rPr>
                <w:rFonts w:hint="eastAsia" w:ascii="Times New Roman" w:hAnsi="Times New Roman"/>
                <w:color w:val="auto"/>
                <w:szCs w:val="21"/>
              </w:rPr>
              <w:sym w:font="Wingdings 2" w:char="00A3"/>
            </w:r>
            <w:r>
              <w:rPr>
                <w:rFonts w:ascii="Times New Roman" w:hAnsi="Times New Roman"/>
                <w:color w:val="auto"/>
                <w:szCs w:val="21"/>
              </w:rPr>
              <w:t xml:space="preserve">信息化项目     </w:t>
            </w:r>
            <w:r>
              <w:rPr>
                <w:rFonts w:hint="eastAsia" w:ascii="Times New Roman" w:hAnsi="Times New Roman"/>
                <w:color w:val="auto"/>
                <w:szCs w:val="21"/>
              </w:rPr>
              <w:sym w:font="Wingdings 2" w:char="0052"/>
            </w:r>
            <w:r>
              <w:rPr>
                <w:rFonts w:ascii="Times New Roman" w:hAnsi="Times New Roman"/>
                <w:color w:val="auto"/>
                <w:szCs w:val="21"/>
              </w:rPr>
              <w:t>非信息化项目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4</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采购人</w:t>
            </w:r>
          </w:p>
        </w:tc>
        <w:tc>
          <w:tcPr>
            <w:tcW w:w="617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Times New Roman" w:hAnsi="Times New Roman"/>
                <w:color w:val="auto"/>
                <w:szCs w:val="21"/>
              </w:rPr>
            </w:pPr>
            <w:r>
              <w:rPr>
                <w:rFonts w:ascii="Times New Roman" w:hAnsi="Times New Roman"/>
                <w:color w:val="auto"/>
                <w:szCs w:val="21"/>
              </w:rPr>
              <w:t>名称：</w:t>
            </w:r>
            <w:r>
              <w:rPr>
                <w:rFonts w:hint="eastAsia" w:ascii="宋体" w:hAnsi="宋体" w:cs="宋体"/>
                <w:color w:val="auto"/>
                <w:szCs w:val="21"/>
                <w:u w:val="single"/>
              </w:rPr>
              <w:t>国家税务总局南平市税务局</w:t>
            </w:r>
          </w:p>
          <w:p>
            <w:pPr>
              <w:widowControl/>
              <w:spacing w:line="360" w:lineRule="auto"/>
              <w:jc w:val="left"/>
              <w:rPr>
                <w:rFonts w:ascii="宋体" w:hAnsi="宋体"/>
                <w:color w:val="auto"/>
                <w:szCs w:val="21"/>
              </w:rPr>
            </w:pPr>
            <w:r>
              <w:rPr>
                <w:rFonts w:hint="eastAsia" w:ascii="宋体" w:hAnsi="宋体"/>
                <w:color w:val="auto"/>
                <w:szCs w:val="21"/>
              </w:rPr>
              <w:t>地址：</w:t>
            </w:r>
            <w:r>
              <w:rPr>
                <w:rFonts w:hint="eastAsia" w:ascii="宋体" w:hAnsi="宋体" w:cs="宋体"/>
                <w:color w:val="auto"/>
                <w:szCs w:val="21"/>
                <w:u w:val="single"/>
              </w:rPr>
              <w:t>南平市建阳区朱熹大道379号武夷国际新城天玺32#</w:t>
            </w:r>
          </w:p>
          <w:p>
            <w:pPr>
              <w:adjustRightInd w:val="0"/>
              <w:snapToGrid w:val="0"/>
              <w:spacing w:line="400" w:lineRule="exact"/>
              <w:jc w:val="left"/>
              <w:rPr>
                <w:rFonts w:ascii="Times New Roman" w:hAnsi="Times New Roman"/>
                <w:color w:val="auto"/>
                <w:szCs w:val="21"/>
              </w:rPr>
            </w:pPr>
            <w:r>
              <w:rPr>
                <w:rFonts w:hint="eastAsia" w:ascii="Times New Roman" w:hAnsi="Times New Roman"/>
                <w:color w:val="auto"/>
                <w:szCs w:val="21"/>
              </w:rPr>
              <w:t>联系人：</w:t>
            </w:r>
            <w:r>
              <w:rPr>
                <w:rFonts w:hint="eastAsia" w:ascii="宋体" w:hAnsi="宋体" w:eastAsia="宋体" w:cs="宋体"/>
                <w:color w:val="auto"/>
                <w:szCs w:val="21"/>
                <w:u w:val="single"/>
              </w:rPr>
              <w:t>古先生</w:t>
            </w:r>
          </w:p>
          <w:p>
            <w:pPr>
              <w:adjustRightInd w:val="0"/>
              <w:snapToGrid w:val="0"/>
              <w:spacing w:line="400" w:lineRule="exact"/>
              <w:jc w:val="left"/>
              <w:rPr>
                <w:rFonts w:ascii="Times New Roman" w:hAnsi="Times New Roman"/>
                <w:color w:val="auto"/>
                <w:szCs w:val="21"/>
              </w:rPr>
            </w:pPr>
            <w:r>
              <w:rPr>
                <w:rFonts w:hint="eastAsia" w:ascii="Times New Roman" w:hAnsi="Times New Roman"/>
                <w:color w:val="auto"/>
                <w:szCs w:val="21"/>
              </w:rPr>
              <w:t>联系方式：</w:t>
            </w:r>
            <w:r>
              <w:rPr>
                <w:rFonts w:hint="eastAsia" w:ascii="宋体" w:hAnsi="宋体" w:eastAsia="宋体" w:cs="宋体"/>
                <w:color w:val="auto"/>
                <w:szCs w:val="21"/>
                <w:u w:val="single"/>
              </w:rPr>
              <w:t>0599-8621229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5</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采购代理机构</w:t>
            </w:r>
          </w:p>
        </w:tc>
        <w:tc>
          <w:tcPr>
            <w:tcW w:w="617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Times New Roman" w:hAnsi="Times New Roman"/>
                <w:color w:val="auto"/>
                <w:szCs w:val="21"/>
              </w:rPr>
            </w:pPr>
            <w:r>
              <w:rPr>
                <w:rFonts w:ascii="Times New Roman" w:hAnsi="Times New Roman"/>
                <w:color w:val="auto"/>
                <w:szCs w:val="21"/>
              </w:rPr>
              <w:t>名称：</w:t>
            </w:r>
            <w:r>
              <w:rPr>
                <w:rFonts w:hint="eastAsia" w:ascii="宋体" w:hAnsi="宋体" w:cs="宋体"/>
                <w:color w:val="auto"/>
                <w:szCs w:val="21"/>
                <w:u w:val="single"/>
              </w:rPr>
              <w:t>福建省智信招标有限公司</w:t>
            </w:r>
          </w:p>
          <w:p>
            <w:pPr>
              <w:adjustRightInd w:val="0"/>
              <w:snapToGrid w:val="0"/>
              <w:spacing w:line="400" w:lineRule="exact"/>
              <w:jc w:val="left"/>
              <w:rPr>
                <w:rFonts w:ascii="Times New Roman" w:hAnsi="Times New Roman"/>
                <w:bCs/>
                <w:color w:val="auto"/>
                <w:szCs w:val="21"/>
              </w:rPr>
            </w:pPr>
            <w:r>
              <w:rPr>
                <w:rFonts w:ascii="Times New Roman" w:hAnsi="Times New Roman"/>
                <w:color w:val="auto"/>
                <w:szCs w:val="21"/>
              </w:rPr>
              <w:t>地址：</w:t>
            </w:r>
            <w:r>
              <w:rPr>
                <w:rFonts w:hint="eastAsia" w:ascii="宋体" w:hAnsi="宋体" w:cs="宋体"/>
                <w:color w:val="auto"/>
                <w:szCs w:val="21"/>
                <w:u w:val="single"/>
              </w:rPr>
              <w:t>福建省福州市鼓楼区五四路159号世界金龙大厦第14层A、C1单元</w:t>
            </w:r>
          </w:p>
          <w:p>
            <w:pPr>
              <w:adjustRightInd w:val="0"/>
              <w:snapToGrid w:val="0"/>
              <w:spacing w:line="400" w:lineRule="exact"/>
              <w:jc w:val="left"/>
              <w:rPr>
                <w:rFonts w:ascii="Times New Roman" w:hAnsi="Times New Roman"/>
                <w:bCs/>
                <w:color w:val="auto"/>
                <w:szCs w:val="21"/>
                <w:u w:val="single"/>
              </w:rPr>
            </w:pPr>
            <w:r>
              <w:rPr>
                <w:rFonts w:ascii="Times New Roman" w:hAnsi="Times New Roman"/>
                <w:color w:val="auto"/>
                <w:szCs w:val="21"/>
              </w:rPr>
              <w:t>联系</w:t>
            </w:r>
            <w:r>
              <w:rPr>
                <w:rFonts w:hint="eastAsia" w:ascii="Times New Roman" w:hAnsi="Times New Roman"/>
                <w:bCs/>
                <w:color w:val="auto"/>
                <w:szCs w:val="21"/>
              </w:rPr>
              <w:t>人</w:t>
            </w:r>
            <w:r>
              <w:rPr>
                <w:rFonts w:ascii="Times New Roman" w:hAnsi="Times New Roman"/>
                <w:bCs/>
                <w:color w:val="auto"/>
                <w:szCs w:val="21"/>
              </w:rPr>
              <w:t>：</w:t>
            </w:r>
            <w:r>
              <w:rPr>
                <w:rFonts w:hint="eastAsia" w:ascii="宋体" w:hAnsi="宋体" w:cs="宋体"/>
                <w:color w:val="auto"/>
                <w:szCs w:val="21"/>
                <w:u w:val="single"/>
              </w:rPr>
              <w:t>廖丽松、张博艺、黄金花</w:t>
            </w:r>
          </w:p>
          <w:p>
            <w:pPr>
              <w:adjustRightInd w:val="0"/>
              <w:snapToGrid w:val="0"/>
              <w:spacing w:line="400" w:lineRule="exact"/>
              <w:jc w:val="left"/>
              <w:rPr>
                <w:rFonts w:ascii="宋体" w:hAnsi="宋体" w:cs="宋体"/>
                <w:color w:val="auto"/>
                <w:szCs w:val="21"/>
                <w:u w:val="single"/>
              </w:rPr>
            </w:pPr>
            <w:r>
              <w:rPr>
                <w:rFonts w:ascii="Times New Roman" w:hAnsi="Times New Roman"/>
                <w:color w:val="auto"/>
                <w:szCs w:val="21"/>
              </w:rPr>
              <w:t>联系方式：</w:t>
            </w:r>
            <w:r>
              <w:rPr>
                <w:rFonts w:hint="eastAsia" w:ascii="宋体" w:hAnsi="宋体" w:cs="宋体"/>
                <w:color w:val="auto"/>
                <w:szCs w:val="21"/>
                <w:u w:val="single"/>
              </w:rPr>
              <w:t>0591-88318332、87530730、87616211转803</w:t>
            </w:r>
          </w:p>
          <w:p>
            <w:pPr>
              <w:adjustRightInd w:val="0"/>
              <w:snapToGrid w:val="0"/>
              <w:spacing w:line="400" w:lineRule="exact"/>
              <w:jc w:val="left"/>
              <w:rPr>
                <w:rFonts w:ascii="Times New Roman" w:hAnsi="Times New Roman"/>
                <w:color w:val="auto"/>
                <w:szCs w:val="21"/>
              </w:rPr>
            </w:pPr>
            <w:r>
              <w:rPr>
                <w:rFonts w:ascii="Times New Roman" w:hAnsi="Times New Roman"/>
                <w:color w:val="auto"/>
                <w:szCs w:val="21"/>
              </w:rPr>
              <w:t>邮箱：</w:t>
            </w:r>
            <w:r>
              <w:rPr>
                <w:rFonts w:hint="eastAsia" w:ascii="宋体" w:hAnsi="宋体" w:cs="宋体"/>
                <w:color w:val="auto"/>
                <w:szCs w:val="21"/>
                <w:u w:val="single"/>
              </w:rPr>
              <w:t>zhixin01@126.com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6</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color w:val="auto"/>
                <w:szCs w:val="21"/>
              </w:rPr>
            </w:pPr>
            <w:r>
              <w:rPr>
                <w:rFonts w:ascii="Times New Roman" w:hAnsi="Times New Roman"/>
                <w:color w:val="auto"/>
                <w:szCs w:val="21"/>
              </w:rPr>
              <w:t>投标人资格要求</w:t>
            </w:r>
          </w:p>
        </w:tc>
        <w:tc>
          <w:tcPr>
            <w:tcW w:w="617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Times New Roman" w:hAnsi="Times New Roman"/>
                <w:color w:val="auto"/>
                <w:szCs w:val="21"/>
              </w:rPr>
            </w:pPr>
            <w:r>
              <w:rPr>
                <w:rFonts w:hint="eastAsia" w:ascii="Times New Roman" w:hAnsi="Times New Roman"/>
                <w:color w:val="auto"/>
                <w:szCs w:val="21"/>
              </w:rPr>
              <w:t>详见第一章投标邀请“二、申请人的资格要求”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7</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color w:val="auto"/>
                <w:szCs w:val="21"/>
              </w:rPr>
            </w:pPr>
            <w:r>
              <w:rPr>
                <w:rFonts w:ascii="Times New Roman" w:hAnsi="Times New Roman"/>
                <w:color w:val="auto"/>
                <w:szCs w:val="21"/>
              </w:rPr>
              <w:t>是否接受联合体投标</w:t>
            </w:r>
          </w:p>
        </w:tc>
        <w:tc>
          <w:tcPr>
            <w:tcW w:w="617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Times New Roman" w:hAnsi="Times New Roman"/>
                <w:color w:val="auto"/>
                <w:szCs w:val="21"/>
              </w:rPr>
            </w:pPr>
            <w:r>
              <w:rPr>
                <w:rFonts w:hint="eastAsia" w:ascii="Times New Roman" w:hAnsi="Times New Roman"/>
                <w:color w:val="auto"/>
                <w:szCs w:val="21"/>
              </w:rPr>
              <w:t>☑</w:t>
            </w:r>
            <w:r>
              <w:rPr>
                <w:rFonts w:ascii="Times New Roman" w:hAnsi="Times New Roman"/>
                <w:color w:val="auto"/>
                <w:szCs w:val="21"/>
              </w:rPr>
              <w:t>不接受</w:t>
            </w:r>
          </w:p>
          <w:p>
            <w:pPr>
              <w:adjustRightInd w:val="0"/>
              <w:snapToGrid w:val="0"/>
              <w:spacing w:line="400" w:lineRule="exact"/>
              <w:jc w:val="left"/>
              <w:rPr>
                <w:rFonts w:ascii="Times New Roman" w:hAnsi="Times New Roman"/>
                <w:color w:val="auto"/>
                <w:szCs w:val="21"/>
              </w:rPr>
            </w:pPr>
            <w:r>
              <w:rPr>
                <w:rFonts w:hint="eastAsia" w:ascii="Times New Roman" w:hAnsi="Times New Roman"/>
                <w:color w:val="auto"/>
                <w:szCs w:val="21"/>
              </w:rPr>
              <w:t>□</w:t>
            </w:r>
            <w:r>
              <w:rPr>
                <w:rFonts w:ascii="Times New Roman" w:hAnsi="Times New Roman"/>
                <w:color w:val="auto"/>
                <w:szCs w:val="21"/>
              </w:rPr>
              <w:t>接受（接受联合体投标且投标人为联合体的，投标人应提供联合体协议；否则无须提供。）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8</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采购标的对应的中小企业划分标准所属行业</w:t>
            </w:r>
          </w:p>
        </w:tc>
        <w:tc>
          <w:tcPr>
            <w:tcW w:w="617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auto"/>
                <w:szCs w:val="21"/>
              </w:rPr>
            </w:pPr>
            <w:r>
              <w:rPr>
                <w:rFonts w:hint="eastAsia" w:ascii="Times New Roman" w:hAnsi="Times New Roman"/>
                <w:color w:val="auto"/>
                <w:szCs w:val="21"/>
              </w:rPr>
              <w:t>本项目为</w:t>
            </w:r>
            <w:r>
              <w:rPr>
                <w:rFonts w:hint="eastAsia" w:ascii="Times New Roman" w:hAnsi="Times New Roman"/>
                <w:color w:val="auto"/>
                <w:szCs w:val="21"/>
                <w:lang w:val="en-US" w:eastAsia="zh-CN"/>
              </w:rPr>
              <w:t>货物</w:t>
            </w:r>
            <w:r>
              <w:rPr>
                <w:rFonts w:hint="eastAsia" w:ascii="Times New Roman" w:hAnsi="Times New Roman"/>
                <w:color w:val="auto"/>
                <w:szCs w:val="21"/>
              </w:rPr>
              <w:t>类采购项目，对应的</w:t>
            </w:r>
            <w:r>
              <w:rPr>
                <w:rFonts w:ascii="Times New Roman" w:hAnsi="Times New Roman"/>
                <w:color w:val="auto"/>
                <w:szCs w:val="21"/>
              </w:rPr>
              <w:t>中小企业划分标准所属行业</w:t>
            </w:r>
            <w:r>
              <w:rPr>
                <w:rFonts w:hint="eastAsia" w:ascii="Times New Roman" w:hAnsi="Times New Roman"/>
                <w:color w:val="auto"/>
                <w:szCs w:val="21"/>
              </w:rPr>
              <w:t>为</w:t>
            </w:r>
            <w:r>
              <w:rPr>
                <w:rFonts w:hint="eastAsia" w:ascii="宋体" w:hAnsi="宋体" w:cs="宋体"/>
                <w:color w:val="auto"/>
                <w:szCs w:val="21"/>
              </w:rPr>
              <w:t>“</w:t>
            </w:r>
            <w:r>
              <w:rPr>
                <w:rFonts w:hint="eastAsia" w:ascii="宋体" w:hAnsi="宋体" w:cs="宋体"/>
                <w:color w:val="auto"/>
                <w:szCs w:val="21"/>
                <w:lang w:val="en-US" w:eastAsia="zh-CN"/>
              </w:rPr>
              <w:t>工业</w:t>
            </w:r>
            <w:r>
              <w:rPr>
                <w:rFonts w:hint="eastAsia" w:ascii="宋体" w:hAnsi="宋体" w:cs="宋体"/>
                <w:color w:val="auto"/>
                <w:szCs w:val="21"/>
              </w:rPr>
              <w:t>”</w:t>
            </w:r>
            <w:r>
              <w:rPr>
                <w:rFonts w:hint="eastAsia"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9</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line="400" w:lineRule="exact"/>
              <w:jc w:val="center"/>
              <w:rPr>
                <w:rFonts w:ascii="Times New Roman" w:hAnsi="Times New Roman"/>
                <w:color w:val="auto"/>
                <w:szCs w:val="21"/>
              </w:rPr>
            </w:pPr>
            <w:r>
              <w:rPr>
                <w:rFonts w:hint="eastAsia" w:ascii="Times New Roman" w:hAnsi="Times New Roman"/>
                <w:color w:val="auto"/>
                <w:szCs w:val="21"/>
              </w:rPr>
              <w:t>非</w:t>
            </w:r>
            <w:r>
              <w:rPr>
                <w:rFonts w:ascii="Times New Roman" w:hAnsi="Times New Roman"/>
                <w:color w:val="auto"/>
                <w:szCs w:val="21"/>
              </w:rPr>
              <w:t>主体、非关键性工作分包</w:t>
            </w:r>
          </w:p>
        </w:tc>
        <w:tc>
          <w:tcPr>
            <w:tcW w:w="617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Times New Roman" w:hAnsi="Times New Roman"/>
                <w:color w:val="auto"/>
                <w:szCs w:val="21"/>
              </w:rPr>
            </w:pPr>
            <w:r>
              <w:rPr>
                <w:rFonts w:ascii="Times New Roman" w:hAnsi="Times New Roman"/>
                <w:color w:val="auto"/>
                <w:szCs w:val="21"/>
              </w:rPr>
              <w:t>是否允许中标人将本项目的</w:t>
            </w:r>
            <w:r>
              <w:rPr>
                <w:rFonts w:hint="eastAsia" w:ascii="Times New Roman" w:hAnsi="Times New Roman"/>
                <w:color w:val="auto"/>
                <w:szCs w:val="21"/>
              </w:rPr>
              <w:t>非</w:t>
            </w:r>
            <w:r>
              <w:rPr>
                <w:rFonts w:ascii="Times New Roman" w:hAnsi="Times New Roman"/>
                <w:color w:val="auto"/>
                <w:szCs w:val="21"/>
              </w:rPr>
              <w:t>主体、</w:t>
            </w:r>
            <w:r>
              <w:rPr>
                <w:rFonts w:hint="eastAsia" w:ascii="Times New Roman" w:hAnsi="Times New Roman"/>
                <w:color w:val="auto"/>
                <w:szCs w:val="21"/>
              </w:rPr>
              <w:t>非</w:t>
            </w:r>
            <w:r>
              <w:rPr>
                <w:rFonts w:ascii="Times New Roman" w:hAnsi="Times New Roman"/>
                <w:color w:val="auto"/>
                <w:szCs w:val="21"/>
              </w:rPr>
              <w:t>关键性工作进行分包：</w:t>
            </w:r>
          </w:p>
          <w:p>
            <w:pPr>
              <w:adjustRightInd w:val="0"/>
              <w:snapToGrid w:val="0"/>
              <w:spacing w:line="400" w:lineRule="exact"/>
              <w:jc w:val="left"/>
              <w:rPr>
                <w:rFonts w:ascii="Times New Roman" w:hAnsi="Times New Roman"/>
                <w:color w:val="auto"/>
                <w:szCs w:val="21"/>
              </w:rPr>
            </w:pPr>
            <w:r>
              <w:rPr>
                <w:rFonts w:ascii="Times New Roman" w:hAnsi="Times New Roman"/>
                <w:color w:val="auto"/>
                <w:szCs w:val="21"/>
              </w:rPr>
              <w:t>采购包1：</w:t>
            </w:r>
          </w:p>
          <w:p>
            <w:pPr>
              <w:adjustRightInd w:val="0"/>
              <w:snapToGrid w:val="0"/>
              <w:spacing w:line="400" w:lineRule="exact"/>
              <w:jc w:val="left"/>
              <w:rPr>
                <w:rFonts w:ascii="Times New Roman" w:hAnsi="Times New Roman"/>
                <w:color w:val="auto"/>
                <w:szCs w:val="21"/>
              </w:rPr>
            </w:pPr>
            <w:r>
              <w:rPr>
                <w:rFonts w:hint="eastAsia" w:ascii="Times New Roman" w:hAnsi="Times New Roman"/>
                <w:color w:val="auto"/>
                <w:szCs w:val="21"/>
              </w:rPr>
              <w:t>☑</w:t>
            </w:r>
            <w:r>
              <w:rPr>
                <w:rFonts w:ascii="Times New Roman" w:hAnsi="Times New Roman"/>
                <w:color w:val="auto"/>
                <w:szCs w:val="21"/>
              </w:rPr>
              <w:t>不允许</w:t>
            </w:r>
          </w:p>
          <w:p>
            <w:pPr>
              <w:adjustRightInd w:val="0"/>
              <w:snapToGrid w:val="0"/>
              <w:spacing w:line="400" w:lineRule="exact"/>
              <w:jc w:val="left"/>
              <w:rPr>
                <w:rFonts w:ascii="Times New Roman" w:hAnsi="Times New Roman"/>
                <w:color w:val="auto"/>
                <w:szCs w:val="21"/>
              </w:rPr>
            </w:pPr>
            <w:r>
              <w:rPr>
                <w:rFonts w:hint="eastAsia" w:ascii="Times New Roman" w:hAnsi="Times New Roman"/>
                <w:color w:val="auto"/>
                <w:szCs w:val="21"/>
              </w:rPr>
              <w:t>□</w:t>
            </w:r>
            <w:r>
              <w:rPr>
                <w:rFonts w:ascii="Times New Roman" w:hAnsi="Times New Roman"/>
                <w:color w:val="auto"/>
                <w:szCs w:val="21"/>
              </w:rPr>
              <w:t>允许，（写明可以分包履行的具体内容、金额或者比例）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10</w:t>
            </w:r>
          </w:p>
        </w:tc>
        <w:tc>
          <w:tcPr>
            <w:tcW w:w="1863" w:type="dxa"/>
            <w:noWrap w:val="0"/>
            <w:vAlign w:val="center"/>
          </w:tcPr>
          <w:p>
            <w:pPr>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核心产品</w:t>
            </w:r>
          </w:p>
        </w:tc>
        <w:tc>
          <w:tcPr>
            <w:tcW w:w="6179" w:type="dxa"/>
            <w:gridSpan w:val="2"/>
            <w:noWrap w:val="0"/>
            <w:vAlign w:val="center"/>
          </w:tcPr>
          <w:p>
            <w:pPr>
              <w:adjustRightInd w:val="0"/>
              <w:snapToGrid w:val="0"/>
              <w:spacing w:line="400" w:lineRule="exact"/>
              <w:jc w:val="left"/>
              <w:rPr>
                <w:rFonts w:ascii="Times New Roman" w:hAnsi="Times New Roman"/>
                <w:color w:val="auto"/>
                <w:szCs w:val="21"/>
              </w:rPr>
            </w:pPr>
            <w:r>
              <w:rPr>
                <w:rFonts w:ascii="Times New Roman" w:hAnsi="Times New Roman"/>
                <w:color w:val="auto"/>
                <w:szCs w:val="21"/>
              </w:rPr>
              <w:t>货物类项目填写此栏</w:t>
            </w:r>
          </w:p>
          <w:p>
            <w:pPr>
              <w:adjustRightInd w:val="0"/>
              <w:snapToGrid w:val="0"/>
              <w:spacing w:line="400" w:lineRule="exact"/>
              <w:jc w:val="left"/>
              <w:rPr>
                <w:rFonts w:ascii="Times New Roman" w:hAnsi="Times New Roman"/>
                <w:color w:val="auto"/>
                <w:szCs w:val="21"/>
              </w:rPr>
            </w:pPr>
            <w:r>
              <w:rPr>
                <w:rFonts w:hint="eastAsia" w:ascii="Times New Roman" w:hAnsi="Times New Roman"/>
                <w:color w:val="auto"/>
                <w:szCs w:val="21"/>
                <w:lang w:eastAsia="zh-CN"/>
              </w:rPr>
              <w:t>□</w:t>
            </w:r>
            <w:r>
              <w:rPr>
                <w:rFonts w:ascii="Times New Roman" w:hAnsi="Times New Roman"/>
                <w:color w:val="auto"/>
                <w:szCs w:val="21"/>
              </w:rPr>
              <w:t>无</w:t>
            </w:r>
          </w:p>
          <w:p>
            <w:pPr>
              <w:adjustRightInd w:val="0"/>
              <w:snapToGrid w:val="0"/>
              <w:spacing w:line="400" w:lineRule="exact"/>
              <w:jc w:val="left"/>
              <w:rPr>
                <w:rFonts w:ascii="Times New Roman" w:hAnsi="Times New Roman"/>
                <w:color w:val="auto"/>
                <w:szCs w:val="21"/>
              </w:rPr>
            </w:pPr>
            <w:r>
              <w:rPr>
                <w:rFonts w:hint="eastAsia" w:ascii="Times New Roman" w:hAnsi="Times New Roman"/>
                <w:color w:val="auto"/>
                <w:szCs w:val="21"/>
              </w:rPr>
              <w:sym w:font="Wingdings 2" w:char="0052"/>
            </w:r>
            <w:r>
              <w:rPr>
                <w:rFonts w:ascii="Times New Roman" w:hAnsi="Times New Roman"/>
                <w:color w:val="auto"/>
                <w:szCs w:val="21"/>
              </w:rPr>
              <w:t>有</w:t>
            </w:r>
          </w:p>
          <w:p>
            <w:pPr>
              <w:adjustRightInd w:val="0"/>
              <w:snapToGrid w:val="0"/>
              <w:spacing w:line="400" w:lineRule="exact"/>
              <w:jc w:val="left"/>
              <w:rPr>
                <w:rFonts w:hint="default" w:ascii="Times New Roman" w:hAnsi="Times New Roman" w:eastAsia="宋体"/>
                <w:b/>
                <w:bCs/>
                <w:color w:val="auto"/>
                <w:szCs w:val="21"/>
                <w:u w:val="single"/>
                <w:lang w:val="en-US" w:eastAsia="zh-CN"/>
              </w:rPr>
            </w:pPr>
            <w:r>
              <w:rPr>
                <w:rFonts w:ascii="Times New Roman" w:hAnsi="Times New Roman"/>
                <w:b/>
                <w:bCs/>
                <w:color w:val="auto"/>
                <w:szCs w:val="21"/>
              </w:rPr>
              <w:t>产品名称：</w:t>
            </w:r>
            <w:r>
              <w:rPr>
                <w:rFonts w:hint="eastAsia" w:ascii="Times New Roman" w:hAnsi="Times New Roman"/>
                <w:b/>
                <w:bCs/>
                <w:color w:val="auto"/>
                <w:szCs w:val="21"/>
                <w:lang w:val="en-US" w:eastAsia="zh-CN"/>
              </w:rPr>
              <w:t>序号1</w:t>
            </w:r>
            <w:r>
              <w:rPr>
                <w:rFonts w:hint="eastAsia" w:ascii="宋体" w:hAnsi="宋体" w:eastAsia="宋体" w:cs="宋体"/>
                <w:b/>
                <w:bCs/>
                <w:i w:val="0"/>
                <w:iCs w:val="0"/>
                <w:color w:val="auto"/>
                <w:kern w:val="0"/>
                <w:sz w:val="22"/>
                <w:szCs w:val="22"/>
                <w:u w:val="none"/>
                <w:lang w:val="en-US" w:eastAsia="zh-CN" w:bidi="ar"/>
              </w:rPr>
              <w:t>布帘。</w:t>
            </w:r>
          </w:p>
          <w:p>
            <w:pPr>
              <w:adjustRightInd w:val="0"/>
              <w:snapToGrid w:val="0"/>
              <w:spacing w:line="400" w:lineRule="exact"/>
              <w:jc w:val="left"/>
              <w:rPr>
                <w:rFonts w:ascii="Times New Roman" w:hAnsi="Times New Roman"/>
                <w:color w:val="auto"/>
                <w:szCs w:val="21"/>
                <w:u w:val="single"/>
              </w:rPr>
            </w:pPr>
            <w:r>
              <w:rPr>
                <w:rFonts w:ascii="Times New Roman" w:hAnsi="Times New Roman"/>
                <w:b/>
                <w:bCs/>
                <w:color w:val="auto"/>
                <w:szCs w:val="21"/>
                <w:lang w:val="zh-CN"/>
              </w:rPr>
              <w:t>采用综合评分法的采购项目，多家投标人提供的核心产品品牌相同，且通过资格审查、符合性审查的，按一家投标人计算，评审后得分最高的同品牌投标人获得中标人推荐资格，（</w:t>
            </w:r>
            <w:r>
              <w:rPr>
                <w:rFonts w:ascii="Times New Roman" w:hAnsi="Times New Roman"/>
                <w:b/>
                <w:color w:val="auto"/>
                <w:szCs w:val="21"/>
              </w:rPr>
              <w:t>评审得分相同的，由采购人或者采购人委托评标委员会按照的方式确定一个投标人获得中标人推荐资格，招标文件未规定的采取随机抽取方式确定</w:t>
            </w:r>
            <w:r>
              <w:rPr>
                <w:rFonts w:ascii="Times New Roman" w:hAnsi="Times New Roman"/>
                <w:b/>
                <w:bCs/>
                <w:color w:val="auto"/>
                <w:szCs w:val="21"/>
                <w:lang w:val="zh-CN"/>
              </w:rPr>
              <w:t>），其他同品牌投标人不作为中标候选人。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11</w:t>
            </w:r>
          </w:p>
        </w:tc>
        <w:tc>
          <w:tcPr>
            <w:tcW w:w="1863" w:type="dxa"/>
            <w:noWrap w:val="0"/>
            <w:vAlign w:val="center"/>
          </w:tcPr>
          <w:p>
            <w:pPr>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采购进口产品</w:t>
            </w:r>
          </w:p>
        </w:tc>
        <w:tc>
          <w:tcPr>
            <w:tcW w:w="6179" w:type="dxa"/>
            <w:gridSpan w:val="2"/>
            <w:noWrap w:val="0"/>
            <w:vAlign w:val="center"/>
          </w:tcPr>
          <w:p>
            <w:pPr>
              <w:adjustRightInd w:val="0"/>
              <w:snapToGrid w:val="0"/>
              <w:spacing w:line="400" w:lineRule="exact"/>
              <w:jc w:val="left"/>
              <w:rPr>
                <w:rFonts w:ascii="Times New Roman" w:hAnsi="Times New Roman"/>
                <w:color w:val="auto"/>
                <w:szCs w:val="21"/>
              </w:rPr>
            </w:pPr>
            <w:r>
              <w:rPr>
                <w:rFonts w:hint="eastAsia" w:ascii="Times New Roman" w:hAnsi="Times New Roman"/>
                <w:color w:val="auto"/>
                <w:szCs w:val="21"/>
              </w:rPr>
              <w:t>☑</w:t>
            </w:r>
            <w:r>
              <w:rPr>
                <w:rFonts w:ascii="Times New Roman" w:hAnsi="Times New Roman"/>
                <w:color w:val="auto"/>
                <w:szCs w:val="21"/>
              </w:rPr>
              <w:t>本采购项目拒绝进口产品参加投标</w:t>
            </w:r>
          </w:p>
          <w:p>
            <w:pPr>
              <w:adjustRightInd w:val="0"/>
              <w:snapToGrid w:val="0"/>
              <w:spacing w:line="400" w:lineRule="exact"/>
              <w:jc w:val="left"/>
              <w:rPr>
                <w:rFonts w:ascii="Times New Roman" w:hAnsi="Times New Roman"/>
                <w:color w:val="auto"/>
                <w:szCs w:val="21"/>
              </w:rPr>
            </w:pPr>
            <w:r>
              <w:rPr>
                <w:rFonts w:hint="eastAsia" w:ascii="Times New Roman" w:hAnsi="Times New Roman"/>
                <w:color w:val="auto"/>
                <w:szCs w:val="21"/>
              </w:rPr>
              <w:t>□</w:t>
            </w:r>
            <w:r>
              <w:rPr>
                <w:rFonts w:ascii="Times New Roman" w:hAnsi="Times New Roman"/>
                <w:color w:val="auto"/>
                <w:szCs w:val="21"/>
              </w:rPr>
              <w:t>本采购项目已经财政部审核同意购买进口产品</w:t>
            </w:r>
          </w:p>
          <w:p>
            <w:pPr>
              <w:adjustRightInd w:val="0"/>
              <w:snapToGrid w:val="0"/>
              <w:spacing w:line="400" w:lineRule="exact"/>
              <w:jc w:val="left"/>
              <w:rPr>
                <w:rFonts w:ascii="Times New Roman" w:hAnsi="Times New Roman"/>
                <w:color w:val="auto"/>
                <w:szCs w:val="21"/>
              </w:rPr>
            </w:pPr>
            <w:r>
              <w:rPr>
                <w:rFonts w:hint="eastAsia" w:ascii="Times New Roman" w:hAnsi="Times New Roman"/>
                <w:color w:val="auto"/>
                <w:szCs w:val="21"/>
              </w:rPr>
              <w:t>□</w:t>
            </w:r>
            <w:r>
              <w:rPr>
                <w:rFonts w:ascii="Times New Roman" w:hAnsi="Times New Roman"/>
                <w:color w:val="auto"/>
                <w:szCs w:val="21"/>
              </w:rPr>
              <w:t>其他____________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12</w:t>
            </w:r>
          </w:p>
        </w:tc>
        <w:tc>
          <w:tcPr>
            <w:tcW w:w="1863" w:type="dxa"/>
            <w:noWrap w:val="0"/>
            <w:vAlign w:val="center"/>
          </w:tcPr>
          <w:p>
            <w:pPr>
              <w:adjustRightInd w:val="0"/>
              <w:snapToGrid w:val="0"/>
              <w:spacing w:line="400" w:lineRule="exact"/>
              <w:jc w:val="center"/>
              <w:rPr>
                <w:rFonts w:ascii="Times New Roman" w:hAnsi="Times New Roman"/>
                <w:b/>
                <w:color w:val="auto"/>
                <w:szCs w:val="21"/>
              </w:rPr>
            </w:pPr>
            <w:r>
              <w:rPr>
                <w:rFonts w:ascii="Times New Roman" w:hAnsi="Times New Roman"/>
                <w:color w:val="auto"/>
                <w:szCs w:val="21"/>
              </w:rPr>
              <w:t>信息发布媒体</w:t>
            </w:r>
          </w:p>
        </w:tc>
        <w:tc>
          <w:tcPr>
            <w:tcW w:w="6179" w:type="dxa"/>
            <w:gridSpan w:val="2"/>
            <w:noWrap w:val="0"/>
            <w:vAlign w:val="center"/>
          </w:tcPr>
          <w:p>
            <w:pPr>
              <w:adjustRightInd w:val="0"/>
              <w:snapToGrid w:val="0"/>
              <w:spacing w:line="400" w:lineRule="exact"/>
              <w:jc w:val="left"/>
              <w:rPr>
                <w:rFonts w:ascii="Times New Roman" w:hAnsi="Times New Roman"/>
                <w:color w:val="auto"/>
                <w:szCs w:val="21"/>
              </w:rPr>
            </w:pPr>
            <w:r>
              <w:rPr>
                <w:rFonts w:ascii="Times New Roman" w:hAnsi="Times New Roman"/>
                <w:color w:val="auto"/>
                <w:szCs w:val="21"/>
              </w:rPr>
              <w:t>中国政府采购网（</w:t>
            </w:r>
            <w:r>
              <w:rPr>
                <w:color w:val="auto"/>
              </w:rPr>
              <w:fldChar w:fldCharType="begin"/>
            </w:r>
            <w:r>
              <w:rPr>
                <w:color w:val="auto"/>
              </w:rPr>
              <w:instrText xml:space="preserve"> HYPERLINK "http://www.ccgp.gov.cn" </w:instrText>
            </w:r>
            <w:r>
              <w:rPr>
                <w:color w:val="auto"/>
              </w:rPr>
              <w:fldChar w:fldCharType="separate"/>
            </w:r>
            <w:r>
              <w:rPr>
                <w:rFonts w:ascii="Times New Roman" w:hAnsi="Times New Roman"/>
                <w:color w:val="auto"/>
                <w:szCs w:val="21"/>
              </w:rPr>
              <w:t>www.ccgp.gov.cn</w:t>
            </w:r>
            <w:r>
              <w:rPr>
                <w:rFonts w:ascii="Times New Roman" w:hAnsi="Times New Roman"/>
                <w:color w:val="auto"/>
                <w:szCs w:val="21"/>
              </w:rPr>
              <w:fldChar w:fldCharType="end"/>
            </w:r>
            <w:r>
              <w:rPr>
                <w:rFonts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13</w:t>
            </w:r>
          </w:p>
        </w:tc>
        <w:tc>
          <w:tcPr>
            <w:tcW w:w="1863" w:type="dxa"/>
            <w:noWrap w:val="0"/>
            <w:vAlign w:val="center"/>
          </w:tcPr>
          <w:p>
            <w:pPr>
              <w:topLinePunct/>
              <w:autoSpaceDE w:val="0"/>
              <w:autoSpaceDN w:val="0"/>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获取招标文件</w:t>
            </w:r>
          </w:p>
          <w:p>
            <w:pPr>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时间、地点和</w:t>
            </w:r>
          </w:p>
          <w:p>
            <w:pPr>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方式等</w:t>
            </w:r>
          </w:p>
        </w:tc>
        <w:tc>
          <w:tcPr>
            <w:tcW w:w="6179" w:type="dxa"/>
            <w:gridSpan w:val="2"/>
            <w:noWrap w:val="0"/>
            <w:vAlign w:val="center"/>
          </w:tcPr>
          <w:p>
            <w:pPr>
              <w:adjustRightInd w:val="0"/>
              <w:snapToGrid w:val="0"/>
              <w:spacing w:line="400" w:lineRule="exact"/>
              <w:rPr>
                <w:rFonts w:ascii="Times New Roman" w:hAnsi="Times New Roman"/>
                <w:bCs/>
                <w:color w:val="auto"/>
                <w:szCs w:val="21"/>
              </w:rPr>
            </w:pPr>
            <w:r>
              <w:rPr>
                <w:rFonts w:ascii="Times New Roman" w:hAnsi="Times New Roman"/>
                <w:b/>
                <w:bCs/>
                <w:color w:val="auto"/>
                <w:szCs w:val="21"/>
              </w:rPr>
              <w:t>时间：</w:t>
            </w:r>
            <w:r>
              <w:rPr>
                <w:rFonts w:hint="eastAsia" w:ascii="Times New Roman" w:hAnsi="Times New Roman"/>
                <w:color w:val="auto"/>
                <w:szCs w:val="21"/>
                <w:u w:val="single"/>
              </w:rPr>
              <w:t>2024</w:t>
            </w:r>
            <w:r>
              <w:rPr>
                <w:rFonts w:ascii="Times New Roman" w:hAnsi="Times New Roman"/>
                <w:bCs/>
                <w:color w:val="auto"/>
                <w:szCs w:val="21"/>
              </w:rPr>
              <w:t>年</w:t>
            </w:r>
            <w:r>
              <w:rPr>
                <w:rFonts w:hint="eastAsia" w:ascii="Times New Roman" w:hAnsi="Times New Roman"/>
                <w:bCs/>
                <w:color w:val="auto"/>
                <w:szCs w:val="21"/>
                <w:u w:val="single"/>
                <w:lang w:val="en-US" w:eastAsia="zh-CN"/>
              </w:rPr>
              <w:t xml:space="preserve"> 11 </w:t>
            </w:r>
            <w:r>
              <w:rPr>
                <w:rFonts w:ascii="Times New Roman" w:hAnsi="Times New Roman"/>
                <w:bCs/>
                <w:color w:val="auto"/>
                <w:szCs w:val="21"/>
              </w:rPr>
              <w:t>月</w:t>
            </w:r>
            <w:r>
              <w:rPr>
                <w:rFonts w:hint="eastAsia" w:ascii="Times New Roman" w:hAnsi="Times New Roman"/>
                <w:bCs/>
                <w:color w:val="auto"/>
                <w:szCs w:val="21"/>
                <w:u w:val="single"/>
                <w:lang w:val="en-US" w:eastAsia="zh-CN"/>
              </w:rPr>
              <w:t xml:space="preserve"> 29  </w:t>
            </w:r>
            <w:r>
              <w:rPr>
                <w:rFonts w:ascii="Times New Roman" w:hAnsi="Times New Roman"/>
                <w:bCs/>
                <w:color w:val="auto"/>
                <w:szCs w:val="21"/>
              </w:rPr>
              <w:t>日至</w:t>
            </w:r>
            <w:r>
              <w:rPr>
                <w:rFonts w:hint="eastAsia" w:ascii="Times New Roman" w:hAnsi="Times New Roman"/>
                <w:color w:val="auto"/>
                <w:szCs w:val="21"/>
                <w:u w:val="single"/>
              </w:rPr>
              <w:t>2024</w:t>
            </w:r>
            <w:r>
              <w:rPr>
                <w:rFonts w:ascii="Times New Roman" w:hAnsi="Times New Roman"/>
                <w:bCs/>
                <w:color w:val="auto"/>
                <w:szCs w:val="21"/>
              </w:rPr>
              <w:t>年</w:t>
            </w:r>
            <w:r>
              <w:rPr>
                <w:rFonts w:hint="eastAsia" w:ascii="Times New Roman" w:hAnsi="Times New Roman"/>
                <w:bCs/>
                <w:color w:val="auto"/>
                <w:szCs w:val="21"/>
                <w:u w:val="single"/>
                <w:lang w:val="en-US" w:eastAsia="zh-CN"/>
              </w:rPr>
              <w:t>12</w:t>
            </w:r>
            <w:r>
              <w:rPr>
                <w:rFonts w:ascii="Times New Roman" w:hAnsi="Times New Roman"/>
                <w:bCs/>
                <w:color w:val="auto"/>
                <w:szCs w:val="21"/>
              </w:rPr>
              <w:t>月</w:t>
            </w:r>
            <w:r>
              <w:rPr>
                <w:rFonts w:hint="eastAsia" w:ascii="Times New Roman" w:hAnsi="Times New Roman"/>
                <w:bCs/>
                <w:color w:val="auto"/>
                <w:szCs w:val="21"/>
                <w:u w:val="single"/>
                <w:lang w:val="en-US" w:eastAsia="zh-CN"/>
              </w:rPr>
              <w:t>06</w:t>
            </w:r>
            <w:r>
              <w:rPr>
                <w:rFonts w:ascii="Times New Roman" w:hAnsi="Times New Roman"/>
                <w:bCs/>
                <w:color w:val="auto"/>
                <w:szCs w:val="21"/>
              </w:rPr>
              <w:t>日每天上午</w:t>
            </w:r>
            <w:r>
              <w:rPr>
                <w:rFonts w:hint="eastAsia" w:ascii="Times New Roman" w:hAnsi="Times New Roman"/>
                <w:color w:val="auto"/>
                <w:szCs w:val="21"/>
                <w:u w:val="single"/>
              </w:rPr>
              <w:t>08:00</w:t>
            </w:r>
            <w:r>
              <w:rPr>
                <w:rFonts w:ascii="Times New Roman" w:hAnsi="Times New Roman"/>
                <w:bCs/>
                <w:color w:val="auto"/>
                <w:szCs w:val="21"/>
              </w:rPr>
              <w:t>至</w:t>
            </w:r>
            <w:r>
              <w:rPr>
                <w:rFonts w:hint="eastAsia" w:ascii="Times New Roman" w:hAnsi="Times New Roman"/>
                <w:color w:val="auto"/>
                <w:szCs w:val="21"/>
                <w:u w:val="single"/>
              </w:rPr>
              <w:t>12:00</w:t>
            </w:r>
            <w:r>
              <w:rPr>
                <w:rFonts w:ascii="Times New Roman" w:hAnsi="Times New Roman"/>
                <w:bCs/>
                <w:color w:val="auto"/>
                <w:szCs w:val="21"/>
              </w:rPr>
              <w:t>，下午</w:t>
            </w:r>
            <w:r>
              <w:rPr>
                <w:rFonts w:hint="eastAsia" w:ascii="Times New Roman" w:hAnsi="Times New Roman"/>
                <w:color w:val="auto"/>
                <w:szCs w:val="21"/>
                <w:u w:val="single"/>
              </w:rPr>
              <w:t>14:30</w:t>
            </w:r>
            <w:r>
              <w:rPr>
                <w:rFonts w:ascii="Times New Roman" w:hAnsi="Times New Roman"/>
                <w:bCs/>
                <w:color w:val="auto"/>
                <w:szCs w:val="21"/>
              </w:rPr>
              <w:t>至</w:t>
            </w:r>
            <w:r>
              <w:rPr>
                <w:rFonts w:hint="eastAsia" w:ascii="Times New Roman" w:hAnsi="Times New Roman"/>
                <w:color w:val="auto"/>
                <w:szCs w:val="21"/>
                <w:u w:val="single"/>
              </w:rPr>
              <w:t>17:30</w:t>
            </w:r>
            <w:r>
              <w:rPr>
                <w:rFonts w:ascii="Times New Roman" w:hAnsi="Times New Roman"/>
                <w:bCs/>
                <w:color w:val="auto"/>
                <w:szCs w:val="21"/>
              </w:rPr>
              <w:t>（北京时间，法定节假日除外）</w:t>
            </w:r>
          </w:p>
          <w:p>
            <w:pPr>
              <w:adjustRightInd w:val="0"/>
              <w:snapToGrid w:val="0"/>
              <w:spacing w:line="400" w:lineRule="exact"/>
              <w:rPr>
                <w:rFonts w:ascii="Times New Roman" w:hAnsi="Times New Roman"/>
                <w:bCs/>
                <w:color w:val="auto"/>
                <w:szCs w:val="21"/>
              </w:rPr>
            </w:pPr>
            <w:r>
              <w:rPr>
                <w:rFonts w:ascii="Times New Roman" w:hAnsi="Times New Roman"/>
                <w:b/>
                <w:color w:val="auto"/>
                <w:szCs w:val="21"/>
              </w:rPr>
              <w:t>地点：</w:t>
            </w:r>
            <w:r>
              <w:rPr>
                <w:rFonts w:hint="eastAsia" w:ascii="宋体" w:hAnsi="宋体"/>
                <w:color w:val="auto"/>
                <w:szCs w:val="21"/>
                <w:u w:val="single"/>
              </w:rPr>
              <w:t>福建省福州市鼓楼区五四路159号世界金龙大厦第14层A、C1单元福建省智信招标有限公司</w:t>
            </w:r>
          </w:p>
          <w:p>
            <w:pPr>
              <w:topLinePunct/>
              <w:autoSpaceDE w:val="0"/>
              <w:autoSpaceDN w:val="0"/>
              <w:adjustRightInd w:val="0"/>
              <w:snapToGrid w:val="0"/>
              <w:spacing w:line="400" w:lineRule="exact"/>
              <w:rPr>
                <w:rFonts w:ascii="Times New Roman" w:hAnsi="Times New Roman"/>
                <w:color w:val="auto"/>
                <w:szCs w:val="21"/>
              </w:rPr>
            </w:pPr>
            <w:r>
              <w:rPr>
                <w:rFonts w:ascii="Times New Roman" w:hAnsi="Times New Roman"/>
                <w:b/>
                <w:color w:val="auto"/>
                <w:szCs w:val="21"/>
              </w:rPr>
              <w:t>方式：</w:t>
            </w:r>
            <w:r>
              <w:rPr>
                <w:rFonts w:hint="eastAsia" w:ascii="宋体" w:hAnsi="宋体" w:cs="宋体"/>
                <w:color w:val="auto"/>
                <w:szCs w:val="21"/>
                <w:u w:val="single"/>
              </w:rPr>
              <w:t>直接至我司现场获取招标文件的，须至我司填写《获取招标（采购）文件登记表》；通过电子邮件获取招标文件的，须将《获取招标（采购）文件登记表》【格式见（下载网址：http://www.fjzxzb.com/newshow.aspx?NewsID=7）】填写清楚并加盖公章后扫描发送至我公司邮箱（zhixin04@126.com)。未办理获取招标文手续的不予以书面变更通知及不受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14</w:t>
            </w:r>
          </w:p>
        </w:tc>
        <w:tc>
          <w:tcPr>
            <w:tcW w:w="1863" w:type="dxa"/>
            <w:noWrap w:val="0"/>
            <w:vAlign w:val="center"/>
          </w:tcPr>
          <w:p>
            <w:pPr>
              <w:topLinePunct/>
              <w:autoSpaceDE w:val="0"/>
              <w:autoSpaceDN w:val="0"/>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现场考察/踏勘</w:t>
            </w:r>
          </w:p>
        </w:tc>
        <w:tc>
          <w:tcPr>
            <w:tcW w:w="6179" w:type="dxa"/>
            <w:gridSpan w:val="2"/>
            <w:noWrap w:val="0"/>
            <w:vAlign w:val="center"/>
          </w:tcPr>
          <w:p>
            <w:pPr>
              <w:tabs>
                <w:tab w:val="left" w:pos="0"/>
                <w:tab w:val="left" w:pos="420"/>
              </w:tabs>
              <w:adjustRightInd w:val="0"/>
              <w:snapToGrid w:val="0"/>
              <w:spacing w:line="400" w:lineRule="exact"/>
              <w:jc w:val="left"/>
              <w:rPr>
                <w:rFonts w:ascii="Times New Roman" w:hAnsi="Times New Roman"/>
                <w:color w:val="auto"/>
                <w:szCs w:val="21"/>
              </w:rPr>
            </w:pPr>
            <w:r>
              <w:rPr>
                <w:rFonts w:hint="eastAsia" w:ascii="Times New Roman" w:hAnsi="Times New Roman"/>
                <w:color w:val="auto"/>
                <w:szCs w:val="21"/>
              </w:rPr>
              <w:t>☑</w:t>
            </w:r>
            <w:r>
              <w:rPr>
                <w:rFonts w:ascii="Times New Roman" w:hAnsi="Times New Roman"/>
                <w:color w:val="auto"/>
                <w:szCs w:val="21"/>
              </w:rPr>
              <w:t>不组织现场考察/踏勘</w:t>
            </w:r>
            <w:r>
              <w:rPr>
                <w:rFonts w:hint="eastAsia" w:ascii="Times New Roman" w:hAnsi="Times New Roman"/>
                <w:color w:val="auto"/>
                <w:szCs w:val="21"/>
              </w:rPr>
              <w:t>，投标人可自行前往项目所在地</w:t>
            </w:r>
            <w:r>
              <w:rPr>
                <w:rFonts w:ascii="Times New Roman" w:hAnsi="Times New Roman"/>
                <w:color w:val="auto"/>
                <w:szCs w:val="21"/>
              </w:rPr>
              <w:t>踏勘</w:t>
            </w:r>
            <w:r>
              <w:rPr>
                <w:rFonts w:hint="eastAsia" w:ascii="Times New Roman" w:hAnsi="Times New Roman"/>
                <w:color w:val="auto"/>
                <w:szCs w:val="21"/>
              </w:rPr>
              <w:t>。</w:t>
            </w:r>
          </w:p>
          <w:p>
            <w:pPr>
              <w:tabs>
                <w:tab w:val="left" w:pos="0"/>
                <w:tab w:val="left" w:pos="420"/>
              </w:tabs>
              <w:adjustRightInd w:val="0"/>
              <w:snapToGrid w:val="0"/>
              <w:spacing w:line="400" w:lineRule="exact"/>
              <w:jc w:val="left"/>
              <w:rPr>
                <w:rFonts w:ascii="Times New Roman" w:hAnsi="Times New Roman"/>
                <w:bCs/>
                <w:color w:val="auto"/>
                <w:szCs w:val="21"/>
              </w:rPr>
            </w:pPr>
            <w:r>
              <w:rPr>
                <w:rFonts w:hint="eastAsia" w:ascii="Times New Roman" w:hAnsi="Times New Roman"/>
                <w:color w:val="auto"/>
                <w:szCs w:val="21"/>
              </w:rPr>
              <w:t>□</w:t>
            </w:r>
            <w:r>
              <w:rPr>
                <w:rFonts w:ascii="Times New Roman" w:hAnsi="Times New Roman"/>
                <w:bCs/>
                <w:color w:val="auto"/>
                <w:szCs w:val="21"/>
              </w:rPr>
              <w:t>组织现场考察</w:t>
            </w:r>
            <w:r>
              <w:rPr>
                <w:rFonts w:ascii="Times New Roman" w:hAnsi="Times New Roman"/>
                <w:color w:val="auto"/>
                <w:szCs w:val="21"/>
              </w:rPr>
              <w:t>/踏勘</w:t>
            </w:r>
            <w:r>
              <w:rPr>
                <w:rFonts w:ascii="Times New Roman" w:hAnsi="Times New Roman"/>
                <w:bCs/>
                <w:color w:val="auto"/>
                <w:szCs w:val="21"/>
              </w:rPr>
              <w:t>：</w:t>
            </w:r>
          </w:p>
          <w:p>
            <w:pPr>
              <w:tabs>
                <w:tab w:val="left" w:pos="0"/>
                <w:tab w:val="left" w:pos="420"/>
              </w:tabs>
              <w:adjustRightInd w:val="0"/>
              <w:snapToGrid w:val="0"/>
              <w:spacing w:line="400" w:lineRule="exact"/>
              <w:rPr>
                <w:rFonts w:ascii="Times New Roman" w:hAnsi="Times New Roman"/>
                <w:bCs/>
                <w:color w:val="auto"/>
                <w:szCs w:val="21"/>
              </w:rPr>
            </w:pPr>
            <w:r>
              <w:rPr>
                <w:rFonts w:ascii="Times New Roman" w:hAnsi="Times New Roman"/>
                <w:b/>
                <w:color w:val="auto"/>
                <w:szCs w:val="21"/>
              </w:rPr>
              <w:t>时间：</w:t>
            </w:r>
            <w:r>
              <w:rPr>
                <w:rFonts w:ascii="Times New Roman" w:hAnsi="Times New Roman"/>
                <w:bCs/>
                <w:color w:val="auto"/>
                <w:szCs w:val="21"/>
              </w:rPr>
              <w:t>年月日午</w:t>
            </w:r>
            <w:r>
              <w:rPr>
                <w:rFonts w:ascii="Times New Roman" w:hAnsi="Times New Roman"/>
                <w:color w:val="auto"/>
                <w:szCs w:val="21"/>
              </w:rPr>
              <w:t>（北京时间）</w:t>
            </w:r>
          </w:p>
          <w:p>
            <w:pPr>
              <w:tabs>
                <w:tab w:val="left" w:pos="0"/>
                <w:tab w:val="left" w:pos="420"/>
              </w:tabs>
              <w:adjustRightInd w:val="0"/>
              <w:snapToGrid w:val="0"/>
              <w:spacing w:line="400" w:lineRule="exact"/>
              <w:rPr>
                <w:rFonts w:ascii="Times New Roman" w:hAnsi="Times New Roman"/>
                <w:b/>
                <w:color w:val="auto"/>
                <w:szCs w:val="21"/>
              </w:rPr>
            </w:pPr>
            <w:r>
              <w:rPr>
                <w:rFonts w:ascii="Times New Roman" w:hAnsi="Times New Roman"/>
                <w:b/>
                <w:color w:val="auto"/>
                <w:szCs w:val="21"/>
              </w:rPr>
              <w:t>地点：</w:t>
            </w:r>
          </w:p>
          <w:p>
            <w:pPr>
              <w:tabs>
                <w:tab w:val="left" w:pos="0"/>
                <w:tab w:val="left" w:pos="420"/>
              </w:tabs>
              <w:adjustRightInd w:val="0"/>
              <w:snapToGrid w:val="0"/>
              <w:spacing w:line="400" w:lineRule="exact"/>
              <w:rPr>
                <w:rFonts w:ascii="Times New Roman" w:hAnsi="Times New Roman"/>
                <w:b/>
                <w:bCs/>
                <w:color w:val="auto"/>
                <w:szCs w:val="21"/>
              </w:rPr>
            </w:pPr>
            <w:r>
              <w:rPr>
                <w:rFonts w:ascii="Times New Roman" w:hAnsi="Times New Roman"/>
                <w:b/>
                <w:color w:val="auto"/>
                <w:szCs w:val="21"/>
              </w:rPr>
              <w:t>联系人：</w:t>
            </w:r>
          </w:p>
          <w:p>
            <w:pPr>
              <w:tabs>
                <w:tab w:val="left" w:pos="0"/>
                <w:tab w:val="left" w:pos="420"/>
              </w:tabs>
              <w:adjustRightInd w:val="0"/>
              <w:snapToGrid w:val="0"/>
              <w:spacing w:line="400" w:lineRule="exact"/>
              <w:rPr>
                <w:rFonts w:ascii="Times New Roman" w:hAnsi="Times New Roman"/>
                <w:bCs/>
                <w:color w:val="auto"/>
                <w:szCs w:val="21"/>
                <w:u w:val="single"/>
              </w:rPr>
            </w:pPr>
            <w:r>
              <w:rPr>
                <w:rFonts w:ascii="Times New Roman" w:hAnsi="Times New Roman"/>
                <w:b/>
                <w:color w:val="auto"/>
                <w:szCs w:val="21"/>
              </w:rPr>
              <w:t>联系电话：</w:t>
            </w:r>
          </w:p>
          <w:p>
            <w:pPr>
              <w:tabs>
                <w:tab w:val="left" w:pos="0"/>
                <w:tab w:val="left" w:pos="420"/>
              </w:tabs>
              <w:adjustRightInd w:val="0"/>
              <w:snapToGrid w:val="0"/>
              <w:spacing w:line="400" w:lineRule="exact"/>
              <w:rPr>
                <w:rFonts w:ascii="Times New Roman" w:hAnsi="Times New Roman"/>
                <w:color w:val="auto"/>
                <w:szCs w:val="21"/>
              </w:rPr>
            </w:pPr>
            <w:r>
              <w:rPr>
                <w:rFonts w:ascii="Times New Roman" w:hAnsi="Times New Roman"/>
                <w:b/>
                <w:color w:val="auto"/>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15</w:t>
            </w:r>
          </w:p>
        </w:tc>
        <w:tc>
          <w:tcPr>
            <w:tcW w:w="1863" w:type="dxa"/>
            <w:noWrap w:val="0"/>
            <w:vAlign w:val="center"/>
          </w:tcPr>
          <w:p>
            <w:pPr>
              <w:topLinePunct/>
              <w:autoSpaceDE w:val="0"/>
              <w:autoSpaceDN w:val="0"/>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样品</w:t>
            </w:r>
          </w:p>
        </w:tc>
        <w:tc>
          <w:tcPr>
            <w:tcW w:w="6179" w:type="dxa"/>
            <w:gridSpan w:val="2"/>
            <w:noWrap w:val="0"/>
            <w:vAlign w:val="center"/>
          </w:tcPr>
          <w:p>
            <w:pPr>
              <w:adjustRightInd w:val="0"/>
              <w:snapToGrid w:val="0"/>
              <w:spacing w:line="400" w:lineRule="exact"/>
              <w:jc w:val="left"/>
              <w:rPr>
                <w:rFonts w:ascii="Times New Roman" w:hAnsi="Times New Roman"/>
                <w:color w:val="auto"/>
                <w:szCs w:val="21"/>
              </w:rPr>
            </w:pPr>
            <w:r>
              <w:rPr>
                <w:rFonts w:hint="eastAsia" w:ascii="Times New Roman" w:hAnsi="Times New Roman"/>
                <w:color w:val="auto"/>
                <w:szCs w:val="21"/>
                <w:lang w:eastAsia="zh-CN"/>
              </w:rPr>
              <w:t>□</w:t>
            </w:r>
            <w:r>
              <w:rPr>
                <w:rFonts w:ascii="Times New Roman" w:hAnsi="Times New Roman"/>
                <w:color w:val="auto"/>
                <w:szCs w:val="21"/>
              </w:rPr>
              <w:t>不要求提供</w:t>
            </w:r>
          </w:p>
          <w:p>
            <w:pPr>
              <w:adjustRightInd w:val="0"/>
              <w:snapToGrid w:val="0"/>
              <w:spacing w:line="400" w:lineRule="exact"/>
              <w:jc w:val="left"/>
              <w:rPr>
                <w:color w:val="auto"/>
              </w:rPr>
            </w:pPr>
            <w:r>
              <w:rPr>
                <w:rFonts w:hint="eastAsia" w:ascii="Times New Roman" w:hAnsi="Times New Roman"/>
                <w:color w:val="auto"/>
                <w:szCs w:val="21"/>
              </w:rPr>
              <w:sym w:font="Wingdings 2" w:char="0052"/>
            </w:r>
            <w:r>
              <w:rPr>
                <w:rFonts w:ascii="Times New Roman" w:hAnsi="Times New Roman"/>
                <w:bCs/>
                <w:color w:val="auto"/>
                <w:szCs w:val="21"/>
              </w:rPr>
              <w:t>要求提供：</w:t>
            </w:r>
          </w:p>
          <w:p>
            <w:pPr>
              <w:adjustRightInd w:val="0"/>
              <w:snapToGrid w:val="0"/>
              <w:spacing w:line="40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1.样品要求：</w:t>
            </w:r>
          </w:p>
          <w:p>
            <w:pPr>
              <w:adjustRightInd w:val="0"/>
              <w:snapToGrid w:val="0"/>
              <w:spacing w:line="400" w:lineRule="exact"/>
              <w:ind w:firstLine="420" w:firstLineChars="200"/>
              <w:jc w:val="left"/>
              <w:rPr>
                <w:rStyle w:val="19"/>
                <w:rFonts w:hint="eastAsia" w:ascii="宋体" w:hAnsi="宋体" w:eastAsia="宋体" w:cs="宋体"/>
                <w:b w:val="0"/>
                <w:bCs w:val="0"/>
                <w:color w:val="auto"/>
                <w:spacing w:val="0"/>
                <w:sz w:val="21"/>
                <w:szCs w:val="21"/>
                <w:lang w:val="en-US" w:eastAsia="zh-CN"/>
              </w:rPr>
            </w:pPr>
            <w:r>
              <w:rPr>
                <w:rFonts w:hint="eastAsia" w:ascii="宋体" w:hAnsi="宋体" w:eastAsia="宋体" w:cs="宋体"/>
                <w:color w:val="auto"/>
                <w:sz w:val="21"/>
                <w:szCs w:val="21"/>
              </w:rPr>
              <w:t>样品1【窗帘布(含布带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布钩</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绑带</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成品500MM*1000MM 一套；</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460" w:lineRule="exact"/>
              <w:ind w:leftChars="0" w:right="0" w:rightChars="0" w:firstLine="420" w:firstLineChars="200"/>
              <w:textAlignment w:val="auto"/>
              <w:rPr>
                <w:rStyle w:val="19"/>
                <w:rFonts w:hint="eastAsia" w:ascii="宋体" w:hAnsi="宋体" w:eastAsia="宋体" w:cs="宋体"/>
                <w:b w:val="0"/>
                <w:bCs w:val="0"/>
                <w:color w:val="auto"/>
                <w:spacing w:val="0"/>
                <w:sz w:val="21"/>
                <w:szCs w:val="21"/>
                <w:lang w:val="en-US" w:eastAsia="zh-CN"/>
              </w:rPr>
            </w:pPr>
            <w:r>
              <w:rPr>
                <w:rFonts w:hint="eastAsia" w:ascii="宋体" w:hAnsi="宋体" w:eastAsia="宋体" w:cs="宋体"/>
                <w:color w:val="auto"/>
                <w:sz w:val="21"/>
                <w:szCs w:val="21"/>
              </w:rPr>
              <w:t>样品2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拉帘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卷帘）】成品1000MM*1000MM一套；</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460" w:lineRule="exact"/>
              <w:ind w:leftChars="0" w:right="0" w:righ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样品3(百叶帘)</w:t>
            </w:r>
            <w:r>
              <w:rPr>
                <w:rFonts w:hint="eastAsia" w:ascii="宋体" w:hAnsi="宋体" w:eastAsia="宋体" w:cs="宋体"/>
                <w:color w:val="auto"/>
                <w:sz w:val="21"/>
                <w:szCs w:val="21"/>
                <w:lang w:eastAsia="zh-CN"/>
              </w:rPr>
              <w:t>成</w:t>
            </w:r>
            <w:r>
              <w:rPr>
                <w:rFonts w:hint="eastAsia" w:ascii="宋体" w:hAnsi="宋体" w:eastAsia="宋体" w:cs="宋体"/>
                <w:color w:val="auto"/>
                <w:sz w:val="21"/>
                <w:szCs w:val="21"/>
                <w:lang w:val="en-US" w:eastAsia="zh-CN"/>
              </w:rPr>
              <w:t>品500MM*1000MM一套；</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460" w:lineRule="exact"/>
              <w:ind w:leftChars="0" w:right="0" w:rightChars="0" w:firstLine="420" w:firstLineChars="200"/>
              <w:textAlignment w:val="auto"/>
              <w:rPr>
                <w:rStyle w:val="19"/>
                <w:rFonts w:hint="eastAsia" w:ascii="宋体" w:hAnsi="宋体" w:eastAsia="宋体" w:cs="宋体"/>
                <w:b w:val="0"/>
                <w:bCs w:val="0"/>
                <w:color w:val="auto"/>
                <w:spacing w:val="0"/>
                <w:sz w:val="21"/>
                <w:szCs w:val="21"/>
                <w:lang w:val="en-US" w:eastAsia="zh-CN"/>
              </w:rPr>
            </w:pPr>
            <w:r>
              <w:rPr>
                <w:rFonts w:hint="eastAsia" w:ascii="宋体" w:hAnsi="宋体" w:eastAsia="宋体" w:cs="宋体"/>
                <w:color w:val="auto"/>
                <w:sz w:val="21"/>
                <w:szCs w:val="21"/>
              </w:rPr>
              <w:t>样品4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电动</w:t>
            </w:r>
            <w:r>
              <w:rPr>
                <w:rFonts w:hint="eastAsia" w:ascii="宋体" w:hAnsi="宋体" w:eastAsia="宋体" w:cs="宋体"/>
                <w:color w:val="auto"/>
                <w:sz w:val="21"/>
                <w:szCs w:val="21"/>
                <w:lang w:eastAsia="zh-CN"/>
              </w:rPr>
              <w:t>帘（</w:t>
            </w:r>
            <w:r>
              <w:rPr>
                <w:rFonts w:hint="eastAsia" w:ascii="宋体" w:hAnsi="宋体" w:eastAsia="宋体" w:cs="宋体"/>
                <w:color w:val="auto"/>
                <w:sz w:val="21"/>
                <w:szCs w:val="21"/>
                <w:lang w:val="en-US" w:eastAsia="zh-CN"/>
              </w:rPr>
              <w:t>罗马帘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成品1000MM*1000MM一套；</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460" w:lineRule="exact"/>
              <w:ind w:leftChars="0" w:right="0" w:righ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样品5(</w:t>
            </w:r>
            <w:r>
              <w:rPr>
                <w:rFonts w:hint="eastAsia" w:ascii="宋体" w:hAnsi="宋体" w:eastAsia="宋体" w:cs="宋体"/>
                <w:color w:val="auto"/>
                <w:sz w:val="21"/>
                <w:szCs w:val="21"/>
                <w:lang w:eastAsia="zh-CN"/>
              </w:rPr>
              <w:t>序号</w:t>
            </w:r>
            <w:r>
              <w:rPr>
                <w:rFonts w:hint="eastAsia" w:ascii="宋体" w:hAnsi="宋体" w:eastAsia="宋体" w:cs="宋体"/>
                <w:color w:val="auto"/>
                <w:sz w:val="21"/>
                <w:szCs w:val="21"/>
                <w:lang w:val="en-US" w:eastAsia="zh-CN"/>
              </w:rPr>
              <w:t>1、铝合金</w:t>
            </w:r>
            <w:r>
              <w:rPr>
                <w:rFonts w:hint="eastAsia" w:ascii="宋体" w:hAnsi="宋体" w:eastAsia="宋体" w:cs="宋体"/>
                <w:color w:val="auto"/>
                <w:sz w:val="21"/>
                <w:szCs w:val="21"/>
              </w:rPr>
              <w:t>轨道)</w:t>
            </w:r>
            <w:r>
              <w:rPr>
                <w:rFonts w:hint="eastAsia" w:ascii="宋体" w:hAnsi="宋体" w:eastAsia="宋体" w:cs="宋体"/>
                <w:color w:val="auto"/>
                <w:sz w:val="21"/>
                <w:szCs w:val="21"/>
                <w:lang w:val="en-US" w:eastAsia="zh-CN"/>
              </w:rPr>
              <w:t>300MM长1根；</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460" w:lineRule="exact"/>
              <w:ind w:leftChars="0" w:right="0" w:rightChars="0" w:firstLine="420" w:firstLineChars="200"/>
              <w:textAlignment w:val="auto"/>
              <w:rPr>
                <w:rStyle w:val="19"/>
                <w:rFonts w:hint="eastAsia" w:ascii="宋体" w:hAnsi="宋体" w:eastAsia="宋体" w:cs="宋体"/>
                <w:b w:val="0"/>
                <w:bCs w:val="0"/>
                <w:color w:val="auto"/>
                <w:spacing w:val="0"/>
                <w:sz w:val="21"/>
                <w:szCs w:val="21"/>
                <w:lang w:val="en-US" w:eastAsia="zh-CN"/>
              </w:rPr>
            </w:pPr>
            <w:r>
              <w:rPr>
                <w:rFonts w:hint="eastAsia" w:ascii="宋体" w:hAnsi="宋体" w:eastAsia="宋体" w:cs="宋体"/>
                <w:color w:val="auto"/>
                <w:sz w:val="21"/>
                <w:szCs w:val="21"/>
              </w:rPr>
              <w:t>样品6(柔纱帘)</w:t>
            </w:r>
            <w:r>
              <w:rPr>
                <w:rFonts w:hint="eastAsia" w:ascii="宋体" w:hAnsi="宋体" w:eastAsia="宋体" w:cs="宋体"/>
                <w:color w:val="auto"/>
                <w:sz w:val="21"/>
                <w:szCs w:val="21"/>
                <w:lang w:val="en-US" w:eastAsia="zh-CN"/>
              </w:rPr>
              <w:t>成品1000MM*1000MM一套；</w:t>
            </w:r>
          </w:p>
          <w:p>
            <w:pPr>
              <w:adjustRightInd w:val="0"/>
              <w:snapToGrid w:val="0"/>
              <w:spacing w:line="400" w:lineRule="exact"/>
              <w:ind w:firstLine="422" w:firstLineChars="200"/>
              <w:jc w:val="left"/>
              <w:rPr>
                <w:rFonts w:hint="default" w:ascii="Times New Roman" w:hAnsi="Times New Roman" w:eastAsia="宋体" w:cs="Times New Roman"/>
                <w:b/>
                <w:bCs/>
                <w:color w:val="auto"/>
                <w:szCs w:val="21"/>
                <w:lang w:val="en-US" w:eastAsia="zh-CN"/>
              </w:rPr>
            </w:pPr>
            <w:r>
              <w:rPr>
                <w:rFonts w:hint="eastAsia" w:ascii="Times New Roman" w:hAnsi="Times New Roman" w:eastAsia="宋体" w:cs="Times New Roman"/>
                <w:b/>
                <w:bCs/>
                <w:color w:val="auto"/>
                <w:szCs w:val="21"/>
                <w:lang w:val="en-US" w:eastAsia="zh-CN"/>
              </w:rPr>
              <w:t>样品应于投标截止时间前送达南平市建阳区潭城街道黄花山路29-30号(军分区门口)福建省智信招标有限公司，未提供齐全或未按规定时间、地点送达的均按无效投标处理。</w:t>
            </w:r>
          </w:p>
          <w:p>
            <w:pPr>
              <w:adjustRightInd w:val="0"/>
              <w:snapToGrid w:val="0"/>
              <w:spacing w:line="400" w:lineRule="exact"/>
              <w:ind w:firstLine="420" w:firstLineChars="200"/>
              <w:jc w:val="left"/>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2.样品予以佐证所投产品对招标文件的响应性，可进行现场破坏性取样。样品上不得体现投标人任何相关的信息和商标标识，</w:t>
            </w:r>
            <w:r>
              <w:rPr>
                <w:rFonts w:hint="eastAsia" w:ascii="Times New Roman" w:hAnsi="Times New Roman" w:eastAsia="宋体" w:cs="Times New Roman"/>
                <w:b/>
                <w:bCs/>
                <w:color w:val="auto"/>
                <w:szCs w:val="21"/>
                <w:lang w:val="en-US" w:eastAsia="zh-CN"/>
              </w:rPr>
              <w:t>否则按无效投标处理。</w:t>
            </w:r>
            <w:r>
              <w:rPr>
                <w:rFonts w:hint="eastAsia" w:ascii="Times New Roman" w:hAnsi="Times New Roman" w:eastAsia="宋体" w:cs="Times New Roman"/>
                <w:color w:val="auto"/>
                <w:szCs w:val="21"/>
                <w:lang w:val="en-US" w:eastAsia="zh-CN"/>
              </w:rPr>
              <w:br w:type="textWrapping"/>
            </w:r>
            <w:r>
              <w:rPr>
                <w:rFonts w:hint="eastAsia" w:ascii="Times New Roman" w:hAnsi="Times New Roman" w:cs="Times New Roman"/>
                <w:color w:val="auto"/>
                <w:szCs w:val="21"/>
                <w:lang w:val="en-US" w:eastAsia="zh-CN"/>
              </w:rPr>
              <w:t xml:space="preserve">    </w:t>
            </w:r>
            <w:r>
              <w:rPr>
                <w:rFonts w:hint="eastAsia" w:ascii="Times New Roman" w:hAnsi="Times New Roman" w:eastAsia="宋体" w:cs="Times New Roman"/>
                <w:b/>
                <w:bCs/>
                <w:color w:val="auto"/>
                <w:szCs w:val="21"/>
                <w:lang w:val="en-US" w:eastAsia="zh-CN"/>
              </w:rPr>
              <w:t>3.样品固定尺寸允许正负偏离3% 。</w:t>
            </w:r>
          </w:p>
          <w:p>
            <w:pPr>
              <w:adjustRightInd w:val="0"/>
              <w:snapToGrid w:val="0"/>
              <w:spacing w:line="400" w:lineRule="exact"/>
              <w:ind w:firstLine="420" w:firstLineChars="200"/>
              <w:jc w:val="left"/>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4.未中标投标人提供的样品须于评标结束当日自行退样，当日未自行退样造成丢失的，投标人自行承担责任。</w:t>
            </w:r>
            <w:r>
              <w:rPr>
                <w:rFonts w:hint="eastAsia" w:ascii="Times New Roman" w:hAnsi="Times New Roman" w:eastAsia="宋体" w:cs="Times New Roman"/>
                <w:color w:val="auto"/>
                <w:szCs w:val="21"/>
                <w:lang w:val="en-US" w:eastAsia="zh-CN"/>
              </w:rPr>
              <w:br w:type="textWrapping"/>
            </w:r>
            <w:r>
              <w:rPr>
                <w:rFonts w:hint="eastAsia" w:ascii="Times New Roman" w:hAnsi="Times New Roman" w:cs="Times New Roman"/>
                <w:color w:val="auto"/>
                <w:szCs w:val="21"/>
                <w:lang w:val="en-US" w:eastAsia="zh-CN"/>
              </w:rPr>
              <w:t xml:space="preserve">    </w:t>
            </w:r>
            <w:r>
              <w:rPr>
                <w:rFonts w:hint="eastAsia" w:ascii="Times New Roman" w:hAnsi="Times New Roman" w:eastAsia="宋体" w:cs="Times New Roman"/>
                <w:color w:val="auto"/>
                <w:szCs w:val="21"/>
                <w:lang w:val="en-US" w:eastAsia="zh-CN"/>
              </w:rPr>
              <w:t>5.中标人的样品须由采购人封存保留作为验收样本，若所提供实物与样品不符则采购人可要求退货并追究中标人责任。</w:t>
            </w:r>
          </w:p>
          <w:p>
            <w:pPr>
              <w:adjustRightInd w:val="0"/>
              <w:snapToGrid w:val="0"/>
              <w:spacing w:line="400" w:lineRule="exact"/>
              <w:ind w:firstLine="420" w:firstLineChars="200"/>
              <w:jc w:val="left"/>
              <w:rPr>
                <w:rFonts w:hint="eastAsia" w:ascii="Times New Roman" w:hAnsi="Times New Roman" w:eastAsia="宋体"/>
                <w:color w:val="auto"/>
                <w:szCs w:val="21"/>
                <w:lang w:eastAsia="zh-CN"/>
              </w:rPr>
            </w:pPr>
            <w:r>
              <w:rPr>
                <w:rFonts w:hint="eastAsia" w:ascii="Times New Roman" w:hAnsi="Times New Roman" w:eastAsia="宋体" w:cs="Times New Roman"/>
                <w:color w:val="auto"/>
                <w:szCs w:val="21"/>
                <w:lang w:val="en-US" w:eastAsia="zh-CN"/>
              </w:rPr>
              <w:t>6</w:t>
            </w:r>
            <w:r>
              <w:rPr>
                <w:rFonts w:ascii="Times New Roman" w:hAnsi="Times New Roman" w:eastAsia="宋体" w:cs="Times New Roman"/>
                <w:color w:val="auto"/>
                <w:szCs w:val="21"/>
              </w:rPr>
              <w:t>.样品的评审方法及评审标准：内容详见第三章评标办法及标准</w:t>
            </w:r>
            <w:r>
              <w:rPr>
                <w:rFonts w:hint="eastAsia" w:ascii="Times New Roman" w:hAnsi="Times New Roman" w:eastAsia="宋体" w:cs="Times New Roman"/>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noWrap w:val="0"/>
            <w:vAlign w:val="center"/>
          </w:tcPr>
          <w:p>
            <w:pPr>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16</w:t>
            </w:r>
          </w:p>
        </w:tc>
        <w:tc>
          <w:tcPr>
            <w:tcW w:w="1863" w:type="dxa"/>
            <w:vMerge w:val="restart"/>
            <w:noWrap w:val="0"/>
            <w:vAlign w:val="center"/>
          </w:tcPr>
          <w:p>
            <w:pPr>
              <w:topLinePunct/>
              <w:autoSpaceDE w:val="0"/>
              <w:autoSpaceDN w:val="0"/>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投标文件组成</w:t>
            </w:r>
          </w:p>
        </w:tc>
        <w:tc>
          <w:tcPr>
            <w:tcW w:w="972" w:type="dxa"/>
            <w:vMerge w:val="restart"/>
            <w:noWrap w:val="0"/>
            <w:vAlign w:val="center"/>
          </w:tcPr>
          <w:p>
            <w:pPr>
              <w:topLinePunct/>
              <w:autoSpaceDE w:val="0"/>
              <w:autoSpaceDN w:val="0"/>
              <w:adjustRightInd w:val="0"/>
              <w:snapToGrid w:val="0"/>
              <w:spacing w:line="400" w:lineRule="exact"/>
              <w:jc w:val="center"/>
              <w:rPr>
                <w:rFonts w:ascii="Times New Roman" w:hAnsi="Times New Roman"/>
                <w:bCs/>
                <w:color w:val="auto"/>
                <w:szCs w:val="21"/>
              </w:rPr>
            </w:pPr>
            <w:r>
              <w:rPr>
                <w:rFonts w:ascii="Times New Roman" w:hAnsi="Times New Roman"/>
                <w:color w:val="auto"/>
                <w:szCs w:val="21"/>
              </w:rPr>
              <w:t>商务部</w:t>
            </w:r>
            <w:r>
              <w:rPr>
                <w:rFonts w:ascii="Times New Roman" w:hAnsi="Times New Roman"/>
                <w:bCs/>
                <w:color w:val="auto"/>
                <w:szCs w:val="21"/>
              </w:rPr>
              <w:t>分</w:t>
            </w:r>
          </w:p>
        </w:tc>
        <w:tc>
          <w:tcPr>
            <w:tcW w:w="5207" w:type="dxa"/>
            <w:noWrap w:val="0"/>
            <w:vAlign w:val="center"/>
          </w:tcPr>
          <w:p>
            <w:pPr>
              <w:widowControl/>
              <w:numPr>
                <w:ilvl w:val="0"/>
                <w:numId w:val="3"/>
              </w:numPr>
              <w:tabs>
                <w:tab w:val="left" w:pos="0"/>
                <w:tab w:val="left" w:pos="420"/>
              </w:tabs>
              <w:adjustRightInd w:val="0"/>
              <w:snapToGrid w:val="0"/>
              <w:spacing w:line="400" w:lineRule="exact"/>
              <w:jc w:val="left"/>
              <w:rPr>
                <w:color w:val="auto"/>
              </w:rPr>
            </w:pPr>
            <w:r>
              <w:rPr>
                <w:color w:val="auto"/>
              </w:rPr>
              <w:t>资格证明文件：</w:t>
            </w:r>
          </w:p>
          <w:p>
            <w:pPr>
              <w:adjustRightInd w:val="0"/>
              <w:snapToGrid w:val="0"/>
              <w:spacing w:line="400" w:lineRule="exact"/>
              <w:jc w:val="left"/>
              <w:rPr>
                <w:color w:val="auto"/>
              </w:rPr>
            </w:pPr>
            <w:r>
              <w:rPr>
                <w:color w:val="auto"/>
              </w:rPr>
              <w:t>1.</w:t>
            </w:r>
            <w:r>
              <w:rPr>
                <w:rFonts w:hint="eastAsia"/>
                <w:color w:val="auto"/>
              </w:rPr>
              <w:t>★营业执照等证明文件；</w:t>
            </w:r>
          </w:p>
          <w:p>
            <w:pPr>
              <w:adjustRightInd w:val="0"/>
              <w:snapToGrid w:val="0"/>
              <w:spacing w:line="400" w:lineRule="exact"/>
              <w:jc w:val="left"/>
              <w:rPr>
                <w:color w:val="auto"/>
              </w:rPr>
            </w:pPr>
            <w:r>
              <w:rPr>
                <w:rFonts w:hint="eastAsia"/>
                <w:color w:val="auto"/>
              </w:rPr>
              <w:t>2.★财务状况报告：提供由会计师事务所出具的202</w:t>
            </w:r>
            <w:r>
              <w:rPr>
                <w:rFonts w:hint="eastAsia"/>
                <w:color w:val="auto"/>
                <w:lang w:val="en-US" w:eastAsia="zh-CN"/>
              </w:rPr>
              <w:t>3</w:t>
            </w:r>
            <w:r>
              <w:rPr>
                <w:rFonts w:hint="eastAsia"/>
                <w:color w:val="auto"/>
              </w:rPr>
              <w:t>年度的审计报告（</w:t>
            </w:r>
            <w:r>
              <w:rPr>
                <w:rFonts w:hint="eastAsia"/>
                <w:color w:val="auto"/>
                <w:lang w:val="en-US" w:eastAsia="zh-CN"/>
              </w:rPr>
              <w:t>至少</w:t>
            </w:r>
            <w:r>
              <w:rPr>
                <w:rFonts w:hint="eastAsia"/>
                <w:color w:val="auto"/>
              </w:rPr>
              <w:t>包括资产负债表、现金流量表、利润表等</w:t>
            </w:r>
            <w:r>
              <w:rPr>
                <w:rFonts w:hint="eastAsia"/>
                <w:color w:val="auto"/>
                <w:lang w:val="en-US" w:eastAsia="zh-CN"/>
              </w:rPr>
              <w:t>内容</w:t>
            </w:r>
            <w:r>
              <w:rPr>
                <w:rFonts w:hint="eastAsia"/>
                <w:color w:val="auto"/>
              </w:rPr>
              <w:t>）复印件或银行出具的资信证明文件等；</w:t>
            </w:r>
          </w:p>
          <w:p>
            <w:pPr>
              <w:adjustRightInd w:val="0"/>
              <w:snapToGrid w:val="0"/>
              <w:spacing w:line="400" w:lineRule="exact"/>
              <w:jc w:val="left"/>
              <w:rPr>
                <w:color w:val="auto"/>
              </w:rPr>
            </w:pPr>
            <w:r>
              <w:rPr>
                <w:rFonts w:hint="eastAsia"/>
                <w:color w:val="auto"/>
              </w:rPr>
              <w:t>3.★依法缴纳税收和社会保障资金：提供投标截止前六个月任意一个月依法缴纳税收和社会保障资金的相关材料，若为依法免税或不需要缴纳社会保障资金的投标人，应提供相应文件证明其依法免税或不需要缴纳社会保障资金。</w:t>
            </w:r>
          </w:p>
          <w:p>
            <w:pPr>
              <w:adjustRightInd w:val="0"/>
              <w:snapToGrid w:val="0"/>
              <w:spacing w:line="400" w:lineRule="exact"/>
              <w:jc w:val="left"/>
              <w:rPr>
                <w:color w:val="auto"/>
              </w:rPr>
            </w:pPr>
            <w:r>
              <w:rPr>
                <w:rFonts w:hint="eastAsia"/>
                <w:color w:val="auto"/>
              </w:rPr>
              <w:t>4.★具备履行合同所必需的设备和专业技术能力的声明函；</w:t>
            </w:r>
          </w:p>
          <w:p>
            <w:pPr>
              <w:adjustRightInd w:val="0"/>
              <w:snapToGrid w:val="0"/>
              <w:spacing w:line="400" w:lineRule="exact"/>
              <w:jc w:val="left"/>
              <w:rPr>
                <w:color w:val="auto"/>
              </w:rPr>
            </w:pPr>
            <w:r>
              <w:rPr>
                <w:rFonts w:hint="eastAsia"/>
                <w:color w:val="auto"/>
              </w:rPr>
              <w:t>5.★参加政府采购活动前3年内在经营活动中没有重大违法记录（或者在参加政府采购活动前3年内因违法经营被禁止在一定期限内参加政府采购活动，期限已届满）的书面声明；</w:t>
            </w:r>
          </w:p>
          <w:p>
            <w:pPr>
              <w:adjustRightInd w:val="0"/>
              <w:snapToGrid w:val="0"/>
              <w:spacing w:line="400" w:lineRule="exact"/>
              <w:jc w:val="left"/>
              <w:rPr>
                <w:color w:val="auto"/>
              </w:rPr>
            </w:pPr>
            <w:r>
              <w:rPr>
                <w:rFonts w:hint="eastAsia"/>
                <w:color w:val="auto"/>
              </w:rPr>
              <w:t>6.★被列入失信被执行人、重大税收违法案件当事人名单、政府采购严重违法失信行为记录名单及其他不符合《中华人民共和国政府采购法》第二十二条规定条件的投标人，不得参加本次投标。</w:t>
            </w:r>
          </w:p>
          <w:p>
            <w:pPr>
              <w:adjustRightInd w:val="0"/>
              <w:snapToGrid w:val="0"/>
              <w:spacing w:line="400" w:lineRule="exact"/>
              <w:jc w:val="left"/>
              <w:rPr>
                <w:rFonts w:hint="eastAsia" w:eastAsia="宋体" w:cs="Times New Roman"/>
                <w:color w:val="auto"/>
              </w:rPr>
            </w:pPr>
            <w:r>
              <w:rPr>
                <w:rFonts w:hint="eastAsia"/>
                <w:color w:val="auto"/>
              </w:rPr>
              <w:t>7.★提供《中小企业声明函》。监狱企业视同小型、微型企业，投标人为监狱企业的，可不提供《中小企业声明函》，但须提供由省级以上监狱管理局、戒毒管理局（含新疆生产建设兵团）出具的属于监狱企业的证明文件。残疾人福利性单位视同小型、微型企业，投标人为残疾人福利性单位的，可不提供《中小企业声明函》，但须提</w:t>
            </w:r>
            <w:r>
              <w:rPr>
                <w:rFonts w:hint="eastAsia" w:eastAsia="宋体" w:cs="Times New Roman"/>
                <w:color w:val="auto"/>
              </w:rPr>
              <w:t>供《残疾人福利性单位声明函》。</w:t>
            </w:r>
          </w:p>
          <w:p>
            <w:pPr>
              <w:adjustRightInd w:val="0"/>
              <w:snapToGrid w:val="0"/>
              <w:spacing w:line="400" w:lineRule="exact"/>
              <w:jc w:val="left"/>
              <w:rPr>
                <w:rFonts w:hint="default" w:eastAsia="宋体"/>
                <w:color w:val="auto"/>
                <w:lang w:val="en-US" w:eastAsia="zh-CN"/>
              </w:rPr>
            </w:pPr>
            <w:r>
              <w:rPr>
                <w:rFonts w:hint="eastAsia" w:eastAsia="宋体" w:cs="Times New Roman"/>
                <w:color w:val="auto"/>
                <w:lang w:val="en-US" w:eastAsia="zh-CN"/>
              </w:rPr>
              <w:t>8</w:t>
            </w:r>
            <w:r>
              <w:rPr>
                <w:rFonts w:hint="eastAsia" w:eastAsia="宋体" w:cs="Times New Roman"/>
                <w:color w:val="auto"/>
              </w:rPr>
              <w:t>.★</w:t>
            </w:r>
            <w:r>
              <w:rPr>
                <w:rFonts w:hint="eastAsia" w:eastAsia="宋体" w:cs="Times New Roman"/>
                <w:color w:val="auto"/>
                <w:lang w:val="en-US" w:eastAsia="zh-CN"/>
              </w:rPr>
              <w:t>资格要求的其他材料。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adjustRightInd w:val="0"/>
              <w:snapToGrid w:val="0"/>
              <w:spacing w:line="400" w:lineRule="exact"/>
              <w:jc w:val="center"/>
              <w:rPr>
                <w:rFonts w:ascii="Times New Roman" w:hAnsi="Times New Roman"/>
                <w:b/>
                <w:color w:val="auto"/>
                <w:szCs w:val="21"/>
              </w:rPr>
            </w:pPr>
          </w:p>
        </w:tc>
        <w:tc>
          <w:tcPr>
            <w:tcW w:w="1863" w:type="dxa"/>
            <w:vMerge w:val="continue"/>
            <w:noWrap w:val="0"/>
            <w:vAlign w:val="center"/>
          </w:tcPr>
          <w:p>
            <w:pPr>
              <w:topLinePunct/>
              <w:autoSpaceDE w:val="0"/>
              <w:autoSpaceDN w:val="0"/>
              <w:adjustRightInd w:val="0"/>
              <w:snapToGrid w:val="0"/>
              <w:spacing w:line="400" w:lineRule="exact"/>
              <w:jc w:val="center"/>
              <w:rPr>
                <w:rFonts w:ascii="Times New Roman" w:hAnsi="Times New Roman"/>
                <w:b/>
                <w:color w:val="auto"/>
                <w:szCs w:val="21"/>
              </w:rPr>
            </w:pPr>
          </w:p>
        </w:tc>
        <w:tc>
          <w:tcPr>
            <w:tcW w:w="972" w:type="dxa"/>
            <w:vMerge w:val="continue"/>
            <w:noWrap w:val="0"/>
            <w:vAlign w:val="center"/>
          </w:tcPr>
          <w:p>
            <w:pPr>
              <w:topLinePunct/>
              <w:autoSpaceDE w:val="0"/>
              <w:autoSpaceDN w:val="0"/>
              <w:adjustRightInd w:val="0"/>
              <w:snapToGrid w:val="0"/>
              <w:spacing w:line="400" w:lineRule="exact"/>
              <w:rPr>
                <w:rFonts w:ascii="Times New Roman" w:hAnsi="Times New Roman"/>
                <w:b/>
                <w:bCs/>
                <w:color w:val="auto"/>
                <w:szCs w:val="21"/>
              </w:rPr>
            </w:pPr>
          </w:p>
        </w:tc>
        <w:tc>
          <w:tcPr>
            <w:tcW w:w="5207" w:type="dxa"/>
            <w:noWrap w:val="0"/>
            <w:vAlign w:val="center"/>
          </w:tcPr>
          <w:p>
            <w:pPr>
              <w:adjustRightInd w:val="0"/>
              <w:snapToGrid w:val="0"/>
              <w:spacing w:line="400" w:lineRule="exact"/>
              <w:jc w:val="left"/>
              <w:rPr>
                <w:rFonts w:ascii="Times New Roman" w:hAnsi="Times New Roman"/>
                <w:b/>
                <w:bCs/>
                <w:color w:val="auto"/>
                <w:szCs w:val="21"/>
              </w:rPr>
            </w:pPr>
            <w:r>
              <w:rPr>
                <w:rFonts w:ascii="Times New Roman" w:hAnsi="Times New Roman"/>
                <w:b/>
                <w:bCs/>
                <w:color w:val="auto"/>
                <w:szCs w:val="21"/>
              </w:rPr>
              <w:t>二、</w:t>
            </w:r>
            <w:r>
              <w:rPr>
                <w:rFonts w:ascii="Times New Roman" w:hAnsi="Times New Roman"/>
                <w:b/>
                <w:color w:val="auto"/>
                <w:szCs w:val="21"/>
              </w:rPr>
              <w:t>开标一览表</w:t>
            </w:r>
            <w:r>
              <w:rPr>
                <w:rFonts w:ascii="Times New Roman" w:hAnsi="Times New Roman"/>
                <w:b/>
                <w:bCs/>
                <w:color w:val="auto"/>
                <w:szCs w:val="21"/>
              </w:rPr>
              <w:t>：</w:t>
            </w:r>
          </w:p>
          <w:p>
            <w:pPr>
              <w:adjustRightInd w:val="0"/>
              <w:snapToGrid w:val="0"/>
              <w:spacing w:line="400" w:lineRule="exact"/>
              <w:jc w:val="left"/>
              <w:rPr>
                <w:rFonts w:ascii="Times New Roman" w:hAnsi="Times New Roman"/>
                <w:color w:val="auto"/>
                <w:szCs w:val="21"/>
              </w:rPr>
            </w:pPr>
            <w:r>
              <w:rPr>
                <w:rFonts w:ascii="Times New Roman" w:hAnsi="Times New Roman"/>
                <w:color w:val="auto"/>
                <w:szCs w:val="21"/>
              </w:rPr>
              <w:t>1.★投标报价表；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adjustRightInd w:val="0"/>
              <w:snapToGrid w:val="0"/>
              <w:spacing w:line="400" w:lineRule="exact"/>
              <w:jc w:val="center"/>
              <w:rPr>
                <w:rFonts w:ascii="Times New Roman" w:hAnsi="Times New Roman"/>
                <w:b/>
                <w:color w:val="auto"/>
                <w:szCs w:val="21"/>
              </w:rPr>
            </w:pPr>
          </w:p>
        </w:tc>
        <w:tc>
          <w:tcPr>
            <w:tcW w:w="1863" w:type="dxa"/>
            <w:vMerge w:val="continue"/>
            <w:noWrap w:val="0"/>
            <w:vAlign w:val="center"/>
          </w:tcPr>
          <w:p>
            <w:pPr>
              <w:topLinePunct/>
              <w:autoSpaceDE w:val="0"/>
              <w:autoSpaceDN w:val="0"/>
              <w:adjustRightInd w:val="0"/>
              <w:snapToGrid w:val="0"/>
              <w:spacing w:line="400" w:lineRule="exact"/>
              <w:jc w:val="center"/>
              <w:rPr>
                <w:rFonts w:ascii="Times New Roman" w:hAnsi="Times New Roman"/>
                <w:b/>
                <w:color w:val="auto"/>
                <w:szCs w:val="21"/>
              </w:rPr>
            </w:pPr>
          </w:p>
        </w:tc>
        <w:tc>
          <w:tcPr>
            <w:tcW w:w="972" w:type="dxa"/>
            <w:vMerge w:val="continue"/>
            <w:noWrap w:val="0"/>
            <w:vAlign w:val="center"/>
          </w:tcPr>
          <w:p>
            <w:pPr>
              <w:topLinePunct/>
              <w:autoSpaceDE w:val="0"/>
              <w:autoSpaceDN w:val="0"/>
              <w:adjustRightInd w:val="0"/>
              <w:snapToGrid w:val="0"/>
              <w:spacing w:line="400" w:lineRule="exact"/>
              <w:rPr>
                <w:rFonts w:ascii="Times New Roman" w:hAnsi="Times New Roman"/>
                <w:b/>
                <w:bCs/>
                <w:color w:val="auto"/>
                <w:szCs w:val="21"/>
              </w:rPr>
            </w:pPr>
          </w:p>
        </w:tc>
        <w:tc>
          <w:tcPr>
            <w:tcW w:w="5207" w:type="dxa"/>
            <w:noWrap w:val="0"/>
            <w:vAlign w:val="center"/>
          </w:tcPr>
          <w:p>
            <w:pPr>
              <w:widowControl/>
              <w:shd w:val="clear" w:color="auto" w:fill="FFFFFF"/>
              <w:tabs>
                <w:tab w:val="left" w:pos="475"/>
                <w:tab w:val="left" w:pos="617"/>
              </w:tabs>
              <w:adjustRightInd w:val="0"/>
              <w:snapToGrid w:val="0"/>
              <w:spacing w:line="400" w:lineRule="exact"/>
              <w:jc w:val="left"/>
              <w:rPr>
                <w:rFonts w:ascii="Times New Roman" w:hAnsi="Times New Roman"/>
                <w:color w:val="auto"/>
                <w:szCs w:val="21"/>
              </w:rPr>
            </w:pPr>
            <w:r>
              <w:rPr>
                <w:rFonts w:ascii="Times New Roman" w:hAnsi="Times New Roman"/>
                <w:b/>
                <w:bCs/>
                <w:color w:val="auto"/>
                <w:szCs w:val="21"/>
              </w:rPr>
              <w:t>三、其他文件及资料：</w:t>
            </w:r>
          </w:p>
          <w:p>
            <w:pPr>
              <w:adjustRightInd w:val="0"/>
              <w:snapToGrid w:val="0"/>
              <w:spacing w:line="400" w:lineRule="exact"/>
              <w:jc w:val="left"/>
              <w:rPr>
                <w:rFonts w:ascii="Times New Roman" w:hAnsi="Times New Roman"/>
                <w:color w:val="auto"/>
                <w:szCs w:val="21"/>
              </w:rPr>
            </w:pPr>
            <w:r>
              <w:rPr>
                <w:rFonts w:ascii="Times New Roman" w:hAnsi="Times New Roman"/>
                <w:color w:val="auto"/>
                <w:szCs w:val="21"/>
              </w:rPr>
              <w:t>1.★授权委托书（</w:t>
            </w:r>
            <w:r>
              <w:rPr>
                <w:rFonts w:ascii="Times New Roman" w:hAnsi="Times New Roman"/>
                <w:i/>
                <w:color w:val="auto"/>
                <w:szCs w:val="21"/>
              </w:rPr>
              <w:t>参考投标文件格式1</w:t>
            </w:r>
            <w:r>
              <w:rPr>
                <w:rFonts w:ascii="Times New Roman" w:hAnsi="Times New Roman"/>
                <w:color w:val="auto"/>
                <w:szCs w:val="21"/>
              </w:rPr>
              <w:t>）；</w:t>
            </w:r>
          </w:p>
          <w:p>
            <w:pPr>
              <w:adjustRightInd w:val="0"/>
              <w:snapToGrid w:val="0"/>
              <w:spacing w:line="400" w:lineRule="exact"/>
              <w:jc w:val="left"/>
              <w:rPr>
                <w:rFonts w:ascii="Times New Roman" w:hAnsi="Times New Roman"/>
                <w:color w:val="auto"/>
                <w:szCs w:val="21"/>
              </w:rPr>
            </w:pPr>
            <w:r>
              <w:rPr>
                <w:rFonts w:ascii="Times New Roman" w:hAnsi="Times New Roman"/>
                <w:color w:val="auto"/>
                <w:szCs w:val="21"/>
              </w:rPr>
              <w:t>2.★投标函（</w:t>
            </w:r>
            <w:r>
              <w:rPr>
                <w:rFonts w:ascii="Times New Roman" w:hAnsi="Times New Roman"/>
                <w:i/>
                <w:color w:val="auto"/>
                <w:szCs w:val="21"/>
              </w:rPr>
              <w:t>参考投标文件格式2</w:t>
            </w:r>
            <w:r>
              <w:rPr>
                <w:rFonts w:ascii="Times New Roman" w:hAnsi="Times New Roman"/>
                <w:color w:val="auto"/>
                <w:szCs w:val="21"/>
              </w:rPr>
              <w:t>）；</w:t>
            </w:r>
          </w:p>
          <w:p>
            <w:pPr>
              <w:adjustRightInd w:val="0"/>
              <w:snapToGrid w:val="0"/>
              <w:spacing w:line="400" w:lineRule="exact"/>
              <w:jc w:val="left"/>
              <w:rPr>
                <w:rFonts w:ascii="Times New Roman" w:hAnsi="Times New Roman"/>
                <w:color w:val="auto"/>
                <w:szCs w:val="21"/>
              </w:rPr>
            </w:pPr>
            <w:r>
              <w:rPr>
                <w:rFonts w:ascii="Times New Roman" w:hAnsi="Times New Roman"/>
                <w:color w:val="auto"/>
                <w:szCs w:val="21"/>
              </w:rPr>
              <w:t>3.商务条款偏离表；</w:t>
            </w:r>
          </w:p>
          <w:p>
            <w:pPr>
              <w:adjustRightInd w:val="0"/>
              <w:snapToGrid w:val="0"/>
              <w:spacing w:line="400" w:lineRule="exact"/>
              <w:jc w:val="left"/>
              <w:rPr>
                <w:rFonts w:ascii="Times New Roman" w:hAnsi="Times New Roman"/>
                <w:bCs/>
                <w:color w:val="auto"/>
                <w:szCs w:val="21"/>
              </w:rPr>
            </w:pPr>
            <w:r>
              <w:rPr>
                <w:rFonts w:ascii="Times New Roman" w:hAnsi="Times New Roman"/>
                <w:color w:val="auto"/>
                <w:szCs w:val="21"/>
              </w:rPr>
              <w:t>4.投标人认为需要提供的其它说明和资料</w:t>
            </w:r>
            <w:r>
              <w:rPr>
                <w:rFonts w:hint="eastAsia"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adjustRightInd w:val="0"/>
              <w:snapToGrid w:val="0"/>
              <w:spacing w:line="400" w:lineRule="exact"/>
              <w:jc w:val="center"/>
              <w:rPr>
                <w:rFonts w:ascii="Times New Roman" w:hAnsi="Times New Roman"/>
                <w:color w:val="auto"/>
                <w:szCs w:val="21"/>
              </w:rPr>
            </w:pPr>
          </w:p>
        </w:tc>
        <w:tc>
          <w:tcPr>
            <w:tcW w:w="1863" w:type="dxa"/>
            <w:vMerge w:val="continue"/>
            <w:noWrap w:val="0"/>
            <w:vAlign w:val="center"/>
          </w:tcPr>
          <w:p>
            <w:pPr>
              <w:topLinePunct/>
              <w:autoSpaceDE w:val="0"/>
              <w:autoSpaceDN w:val="0"/>
              <w:adjustRightInd w:val="0"/>
              <w:snapToGrid w:val="0"/>
              <w:spacing w:line="400" w:lineRule="exact"/>
              <w:jc w:val="center"/>
              <w:rPr>
                <w:rFonts w:ascii="Times New Roman" w:hAnsi="Times New Roman"/>
                <w:color w:val="auto"/>
                <w:szCs w:val="21"/>
              </w:rPr>
            </w:pPr>
          </w:p>
        </w:tc>
        <w:tc>
          <w:tcPr>
            <w:tcW w:w="972" w:type="dxa"/>
            <w:noWrap w:val="0"/>
            <w:vAlign w:val="center"/>
          </w:tcPr>
          <w:p>
            <w:pPr>
              <w:topLinePunct/>
              <w:autoSpaceDE w:val="0"/>
              <w:autoSpaceDN w:val="0"/>
              <w:adjustRightInd w:val="0"/>
              <w:snapToGrid w:val="0"/>
              <w:spacing w:line="400" w:lineRule="exact"/>
              <w:jc w:val="center"/>
              <w:rPr>
                <w:rFonts w:ascii="Times New Roman" w:hAnsi="Times New Roman"/>
                <w:bCs/>
                <w:color w:val="auto"/>
                <w:szCs w:val="21"/>
              </w:rPr>
            </w:pPr>
            <w:r>
              <w:rPr>
                <w:rFonts w:ascii="Times New Roman" w:hAnsi="Times New Roman"/>
                <w:color w:val="auto"/>
                <w:szCs w:val="21"/>
              </w:rPr>
              <w:t>技术部分</w:t>
            </w:r>
          </w:p>
        </w:tc>
        <w:tc>
          <w:tcPr>
            <w:tcW w:w="5207" w:type="dxa"/>
            <w:noWrap w:val="0"/>
            <w:vAlign w:val="center"/>
          </w:tcPr>
          <w:p>
            <w:pPr>
              <w:adjustRightInd w:val="0"/>
              <w:snapToGrid w:val="0"/>
              <w:spacing w:line="400" w:lineRule="exact"/>
              <w:jc w:val="left"/>
              <w:rPr>
                <w:rFonts w:ascii="Times New Roman" w:hAnsi="Times New Roman"/>
                <w:color w:val="auto"/>
                <w:szCs w:val="21"/>
              </w:rPr>
            </w:pPr>
            <w:r>
              <w:rPr>
                <w:rFonts w:ascii="Times New Roman" w:hAnsi="Times New Roman"/>
                <w:color w:val="auto"/>
                <w:szCs w:val="21"/>
              </w:rPr>
              <w:t>1.技术条款偏离表；</w:t>
            </w:r>
          </w:p>
          <w:p>
            <w:pPr>
              <w:adjustRightInd w:val="0"/>
              <w:snapToGrid w:val="0"/>
              <w:spacing w:line="400" w:lineRule="exact"/>
              <w:jc w:val="left"/>
              <w:rPr>
                <w:rFonts w:ascii="Times New Roman" w:hAnsi="Times New Roman"/>
                <w:color w:val="auto"/>
                <w:szCs w:val="21"/>
              </w:rPr>
            </w:pPr>
            <w:r>
              <w:rPr>
                <w:rFonts w:hint="eastAsia" w:ascii="Times New Roman" w:hAnsi="Times New Roman"/>
                <w:color w:val="auto"/>
                <w:szCs w:val="21"/>
              </w:rPr>
              <w:t>2.货物说明一览表</w:t>
            </w:r>
            <w:r>
              <w:rPr>
                <w:rFonts w:hint="eastAsia" w:ascii="Times New Roman" w:hAnsi="Times New Roman"/>
                <w:color w:val="auto"/>
                <w:szCs w:val="21"/>
                <w:lang w:eastAsia="zh-CN"/>
              </w:rPr>
              <w:t>、</w:t>
            </w:r>
            <w:r>
              <w:rPr>
                <w:rFonts w:hint="eastAsia" w:ascii="Times New Roman" w:hAnsi="Times New Roman"/>
                <w:color w:val="auto"/>
                <w:szCs w:val="21"/>
              </w:rPr>
              <w:t>实施方案及技术方案；</w:t>
            </w:r>
          </w:p>
          <w:p>
            <w:pPr>
              <w:adjustRightInd w:val="0"/>
              <w:snapToGrid w:val="0"/>
              <w:spacing w:line="400" w:lineRule="exact"/>
              <w:jc w:val="left"/>
              <w:rPr>
                <w:rFonts w:ascii="Times New Roman" w:hAnsi="Times New Roman"/>
                <w:color w:val="auto"/>
                <w:szCs w:val="21"/>
              </w:rPr>
            </w:pPr>
            <w:r>
              <w:rPr>
                <w:rFonts w:hint="eastAsia" w:ascii="Times New Roman" w:hAnsi="Times New Roman"/>
                <w:color w:val="auto"/>
                <w:szCs w:val="21"/>
              </w:rPr>
              <w:t>3.投标人认为需要提供的其它说明和资料。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adjustRightInd w:val="0"/>
              <w:snapToGrid w:val="0"/>
              <w:spacing w:line="400" w:lineRule="exact"/>
              <w:jc w:val="center"/>
              <w:rPr>
                <w:rFonts w:ascii="Times New Roman" w:hAnsi="Times New Roman"/>
                <w:b/>
                <w:color w:val="auto"/>
                <w:szCs w:val="21"/>
              </w:rPr>
            </w:pPr>
          </w:p>
        </w:tc>
        <w:tc>
          <w:tcPr>
            <w:tcW w:w="1863" w:type="dxa"/>
            <w:vMerge w:val="continue"/>
            <w:noWrap w:val="0"/>
            <w:vAlign w:val="center"/>
          </w:tcPr>
          <w:p>
            <w:pPr>
              <w:topLinePunct/>
              <w:autoSpaceDE w:val="0"/>
              <w:autoSpaceDN w:val="0"/>
              <w:adjustRightInd w:val="0"/>
              <w:snapToGrid w:val="0"/>
              <w:spacing w:line="400" w:lineRule="exact"/>
              <w:jc w:val="center"/>
              <w:rPr>
                <w:rFonts w:ascii="Times New Roman" w:hAnsi="Times New Roman"/>
                <w:b/>
                <w:color w:val="auto"/>
                <w:szCs w:val="21"/>
              </w:rPr>
            </w:pPr>
          </w:p>
        </w:tc>
        <w:tc>
          <w:tcPr>
            <w:tcW w:w="6179" w:type="dxa"/>
            <w:gridSpan w:val="2"/>
            <w:noWrap w:val="0"/>
            <w:vAlign w:val="center"/>
          </w:tcPr>
          <w:p>
            <w:pPr>
              <w:adjustRightInd w:val="0"/>
              <w:snapToGrid w:val="0"/>
              <w:spacing w:line="400" w:lineRule="exact"/>
              <w:jc w:val="left"/>
              <w:rPr>
                <w:rFonts w:ascii="Times New Roman" w:hAnsi="Times New Roman"/>
                <w:color w:val="auto"/>
                <w:szCs w:val="21"/>
              </w:rPr>
            </w:pPr>
            <w:r>
              <w:rPr>
                <w:rFonts w:ascii="Times New Roman" w:hAnsi="Times New Roman"/>
                <w:b/>
                <w:color w:val="auto"/>
                <w:szCs w:val="21"/>
              </w:rPr>
              <w:t>以上带★的文件及资料未提供或提供的无效，则投标无效。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17</w:t>
            </w:r>
          </w:p>
        </w:tc>
        <w:tc>
          <w:tcPr>
            <w:tcW w:w="1863" w:type="dxa"/>
            <w:noWrap w:val="0"/>
            <w:vAlign w:val="center"/>
          </w:tcPr>
          <w:p>
            <w:pPr>
              <w:topLinePunct/>
              <w:autoSpaceDE w:val="0"/>
              <w:autoSpaceDN w:val="0"/>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投标有效期</w:t>
            </w:r>
          </w:p>
        </w:tc>
        <w:tc>
          <w:tcPr>
            <w:tcW w:w="6179" w:type="dxa"/>
            <w:gridSpan w:val="2"/>
            <w:noWrap w:val="0"/>
            <w:vAlign w:val="center"/>
          </w:tcPr>
          <w:p>
            <w:pPr>
              <w:topLinePunct/>
              <w:autoSpaceDE w:val="0"/>
              <w:autoSpaceDN w:val="0"/>
              <w:adjustRightInd w:val="0"/>
              <w:snapToGrid w:val="0"/>
              <w:spacing w:line="400" w:lineRule="exact"/>
              <w:rPr>
                <w:rFonts w:ascii="Times New Roman" w:hAnsi="Times New Roman"/>
                <w:color w:val="auto"/>
                <w:szCs w:val="21"/>
              </w:rPr>
            </w:pPr>
            <w:r>
              <w:rPr>
                <w:rFonts w:ascii="Times New Roman" w:hAnsi="Times New Roman"/>
                <w:color w:val="auto"/>
                <w:szCs w:val="21"/>
              </w:rPr>
              <w:t>从提交投标文件的截止之日起计算</w:t>
            </w:r>
            <w:r>
              <w:rPr>
                <w:rFonts w:hint="eastAsia" w:ascii="Times New Roman" w:hAnsi="Times New Roman"/>
                <w:color w:val="auto"/>
                <w:szCs w:val="21"/>
                <w:u w:val="single"/>
              </w:rPr>
              <w:t>90</w:t>
            </w:r>
            <w:r>
              <w:rPr>
                <w:rFonts w:ascii="Times New Roman" w:hAnsi="Times New Roman"/>
                <w:color w:val="auto"/>
                <w:szCs w:val="21"/>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18</w:t>
            </w:r>
          </w:p>
        </w:tc>
        <w:tc>
          <w:tcPr>
            <w:tcW w:w="1863" w:type="dxa"/>
            <w:noWrap w:val="0"/>
            <w:vAlign w:val="center"/>
          </w:tcPr>
          <w:p>
            <w:pPr>
              <w:topLinePunct/>
              <w:autoSpaceDE w:val="0"/>
              <w:autoSpaceDN w:val="0"/>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提交投标文件方式、截止时间、开标时间、地点</w:t>
            </w:r>
          </w:p>
        </w:tc>
        <w:tc>
          <w:tcPr>
            <w:tcW w:w="6179" w:type="dxa"/>
            <w:gridSpan w:val="2"/>
            <w:noWrap w:val="0"/>
            <w:vAlign w:val="center"/>
          </w:tcPr>
          <w:p>
            <w:pPr>
              <w:topLinePunct/>
              <w:autoSpaceDE w:val="0"/>
              <w:autoSpaceDN w:val="0"/>
              <w:adjustRightInd w:val="0"/>
              <w:snapToGrid w:val="0"/>
              <w:spacing w:line="400" w:lineRule="exact"/>
              <w:rPr>
                <w:rFonts w:ascii="Times New Roman" w:hAnsi="Times New Roman"/>
                <w:color w:val="auto"/>
                <w:szCs w:val="21"/>
              </w:rPr>
            </w:pPr>
            <w:r>
              <w:rPr>
                <w:rFonts w:ascii="Times New Roman" w:hAnsi="Times New Roman"/>
                <w:b/>
                <w:color w:val="auto"/>
                <w:szCs w:val="21"/>
              </w:rPr>
              <w:t>提交方式：</w:t>
            </w:r>
            <w:r>
              <w:rPr>
                <w:rFonts w:ascii="Times New Roman" w:hAnsi="Times New Roman"/>
                <w:color w:val="auto"/>
                <w:szCs w:val="21"/>
                <w:u w:val="single"/>
              </w:rPr>
              <w:t>纸质文件提交</w:t>
            </w:r>
          </w:p>
          <w:p>
            <w:pPr>
              <w:topLinePunct/>
              <w:autoSpaceDE w:val="0"/>
              <w:autoSpaceDN w:val="0"/>
              <w:adjustRightInd w:val="0"/>
              <w:snapToGrid w:val="0"/>
              <w:spacing w:line="400" w:lineRule="exact"/>
              <w:rPr>
                <w:rFonts w:ascii="Times New Roman" w:hAnsi="Times New Roman"/>
                <w:color w:val="auto"/>
                <w:szCs w:val="21"/>
              </w:rPr>
            </w:pPr>
            <w:r>
              <w:rPr>
                <w:rFonts w:ascii="Times New Roman" w:hAnsi="Times New Roman"/>
                <w:b/>
                <w:color w:val="auto"/>
                <w:szCs w:val="21"/>
              </w:rPr>
              <w:t>投标截止时间和开标时间：</w:t>
            </w:r>
            <w:r>
              <w:rPr>
                <w:rFonts w:hint="eastAsia" w:ascii="宋体" w:hAnsi="宋体" w:cs="宋体"/>
                <w:color w:val="auto"/>
                <w:szCs w:val="21"/>
                <w:u w:val="single"/>
                <w:lang w:val="en-US" w:eastAsia="zh-CN"/>
              </w:rPr>
              <w:t>2024年12月20日上午09点30分</w:t>
            </w:r>
            <w:r>
              <w:rPr>
                <w:rFonts w:ascii="Times New Roman" w:hAnsi="Times New Roman"/>
                <w:color w:val="auto"/>
                <w:szCs w:val="21"/>
              </w:rPr>
              <w:t>（北京时间）</w:t>
            </w:r>
          </w:p>
          <w:p>
            <w:pPr>
              <w:topLinePunct/>
              <w:autoSpaceDE w:val="0"/>
              <w:autoSpaceDN w:val="0"/>
              <w:adjustRightInd w:val="0"/>
              <w:snapToGrid w:val="0"/>
              <w:spacing w:line="400" w:lineRule="exact"/>
              <w:rPr>
                <w:rFonts w:ascii="Times New Roman" w:hAnsi="Times New Roman"/>
                <w:color w:val="auto"/>
                <w:szCs w:val="21"/>
              </w:rPr>
            </w:pPr>
            <w:r>
              <w:rPr>
                <w:rFonts w:ascii="Times New Roman" w:hAnsi="Times New Roman"/>
                <w:b/>
                <w:color w:val="auto"/>
                <w:szCs w:val="21"/>
              </w:rPr>
              <w:t>开标方式：</w:t>
            </w:r>
            <w:r>
              <w:rPr>
                <w:rFonts w:ascii="Times New Roman" w:hAnsi="Times New Roman"/>
                <w:color w:val="auto"/>
                <w:szCs w:val="21"/>
                <w:u w:val="single"/>
              </w:rPr>
              <w:t>线下开标</w:t>
            </w:r>
          </w:p>
          <w:p>
            <w:pPr>
              <w:topLinePunct/>
              <w:autoSpaceDE w:val="0"/>
              <w:autoSpaceDN w:val="0"/>
              <w:adjustRightInd w:val="0"/>
              <w:snapToGrid w:val="0"/>
              <w:spacing w:line="400" w:lineRule="exact"/>
              <w:rPr>
                <w:rFonts w:ascii="宋体" w:hAnsi="宋体" w:cs="宋体"/>
                <w:color w:val="auto"/>
                <w:szCs w:val="21"/>
                <w:u w:val="single"/>
              </w:rPr>
            </w:pPr>
            <w:r>
              <w:rPr>
                <w:rFonts w:ascii="Times New Roman" w:hAnsi="Times New Roman"/>
                <w:b/>
                <w:color w:val="auto"/>
                <w:szCs w:val="21"/>
              </w:rPr>
              <w:t>提交投标文件地点：</w:t>
            </w:r>
            <w:r>
              <w:rPr>
                <w:rFonts w:hint="eastAsia" w:ascii="宋体" w:hAnsi="宋体" w:cs="宋体"/>
                <w:color w:val="auto"/>
                <w:szCs w:val="21"/>
                <w:u w:val="single"/>
              </w:rPr>
              <w:t>南平市建阳区潭城街道黄花山路29-30号(军分区门口)二层开标厅</w:t>
            </w:r>
          </w:p>
          <w:p>
            <w:pPr>
              <w:topLinePunct/>
              <w:autoSpaceDE w:val="0"/>
              <w:autoSpaceDN w:val="0"/>
              <w:adjustRightInd w:val="0"/>
              <w:snapToGrid w:val="0"/>
              <w:spacing w:line="400" w:lineRule="exact"/>
              <w:rPr>
                <w:rFonts w:ascii="宋体" w:hAnsi="宋体" w:cs="宋体"/>
                <w:color w:val="auto"/>
                <w:szCs w:val="21"/>
                <w:u w:val="single"/>
              </w:rPr>
            </w:pPr>
            <w:r>
              <w:rPr>
                <w:rFonts w:ascii="Times New Roman" w:hAnsi="Times New Roman"/>
                <w:b/>
                <w:color w:val="auto"/>
                <w:szCs w:val="21"/>
              </w:rPr>
              <w:t>开标地点：</w:t>
            </w:r>
            <w:r>
              <w:rPr>
                <w:rFonts w:hint="eastAsia" w:ascii="宋体" w:hAnsi="宋体" w:cs="宋体"/>
                <w:color w:val="auto"/>
                <w:szCs w:val="21"/>
                <w:u w:val="single"/>
              </w:rPr>
              <w:t>南平市建阳区潭城街道黄花山路29-30号(军分区门口)二层开标厅</w:t>
            </w:r>
          </w:p>
          <w:p>
            <w:pPr>
              <w:topLinePunct/>
              <w:autoSpaceDE w:val="0"/>
              <w:autoSpaceDN w:val="0"/>
              <w:adjustRightInd w:val="0"/>
              <w:snapToGrid w:val="0"/>
              <w:spacing w:line="400" w:lineRule="exact"/>
              <w:rPr>
                <w:rFonts w:ascii="Times New Roman" w:hAnsi="Times New Roman"/>
                <w:b/>
                <w:color w:val="auto"/>
                <w:szCs w:val="21"/>
              </w:rPr>
            </w:pPr>
            <w:r>
              <w:rPr>
                <w:rFonts w:ascii="Times New Roman" w:hAnsi="Times New Roman"/>
                <w:b/>
                <w:color w:val="auto"/>
                <w:szCs w:val="21"/>
              </w:rPr>
              <w:t>联系电话：</w:t>
            </w:r>
            <w:r>
              <w:rPr>
                <w:rFonts w:ascii="Times New Roman" w:hAnsi="Times New Roman"/>
                <w:bCs/>
                <w:color w:val="auto"/>
                <w:szCs w:val="21"/>
                <w:u w:val="single"/>
              </w:rPr>
              <w:t>0591-88318332、87530730、87616211转</w:t>
            </w:r>
            <w:r>
              <w:rPr>
                <w:rFonts w:hint="eastAsia" w:ascii="Times New Roman" w:hAnsi="Times New Roman"/>
                <w:bCs/>
                <w:color w:val="auto"/>
                <w:szCs w:val="21"/>
                <w:u w:val="single"/>
              </w:rPr>
              <w:t>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19</w:t>
            </w:r>
          </w:p>
        </w:tc>
        <w:tc>
          <w:tcPr>
            <w:tcW w:w="1863" w:type="dxa"/>
            <w:noWrap w:val="0"/>
            <w:vAlign w:val="center"/>
          </w:tcPr>
          <w:p>
            <w:pPr>
              <w:tabs>
                <w:tab w:val="left" w:pos="1875"/>
              </w:tabs>
              <w:adjustRightInd w:val="0"/>
              <w:snapToGrid w:val="0"/>
              <w:spacing w:line="400" w:lineRule="exact"/>
              <w:jc w:val="center"/>
              <w:rPr>
                <w:rFonts w:ascii="Times New Roman" w:hAnsi="Times New Roman"/>
                <w:b/>
                <w:color w:val="auto"/>
                <w:szCs w:val="21"/>
              </w:rPr>
            </w:pPr>
            <w:r>
              <w:rPr>
                <w:rFonts w:ascii="Times New Roman" w:hAnsi="Times New Roman"/>
                <w:color w:val="auto"/>
                <w:szCs w:val="21"/>
              </w:rPr>
              <w:t>投标保证金</w:t>
            </w:r>
          </w:p>
        </w:tc>
        <w:tc>
          <w:tcPr>
            <w:tcW w:w="6179" w:type="dxa"/>
            <w:gridSpan w:val="2"/>
            <w:noWrap w:val="0"/>
            <w:vAlign w:val="center"/>
          </w:tcPr>
          <w:p>
            <w:pPr>
              <w:topLinePunct/>
              <w:autoSpaceDE w:val="0"/>
              <w:autoSpaceDN w:val="0"/>
              <w:adjustRightInd w:val="0"/>
              <w:snapToGrid w:val="0"/>
              <w:spacing w:line="400" w:lineRule="exact"/>
              <w:rPr>
                <w:rFonts w:ascii="Times New Roman" w:hAnsi="Times New Roman"/>
                <w:snapToGrid w:val="0"/>
                <w:color w:val="auto"/>
                <w:szCs w:val="21"/>
              </w:rPr>
            </w:pPr>
            <w:r>
              <w:rPr>
                <w:rFonts w:hint="eastAsia" w:ascii="Times New Roman" w:hAnsi="Times New Roman"/>
                <w:color w:val="auto"/>
                <w:szCs w:val="21"/>
              </w:rPr>
              <w:t>☑</w:t>
            </w:r>
            <w:r>
              <w:rPr>
                <w:rFonts w:ascii="Times New Roman" w:hAnsi="Times New Roman"/>
                <w:color w:val="auto"/>
                <w:szCs w:val="21"/>
              </w:rPr>
              <w:t>不要求提供</w:t>
            </w:r>
          </w:p>
          <w:p>
            <w:pPr>
              <w:topLinePunct/>
              <w:autoSpaceDE w:val="0"/>
              <w:autoSpaceDN w:val="0"/>
              <w:adjustRightInd w:val="0"/>
              <w:snapToGrid w:val="0"/>
              <w:spacing w:line="400" w:lineRule="exact"/>
              <w:rPr>
                <w:rFonts w:ascii="Times New Roman" w:hAnsi="Times New Roman"/>
                <w:color w:val="auto"/>
                <w:szCs w:val="21"/>
              </w:rPr>
            </w:pPr>
            <w:r>
              <w:rPr>
                <w:rFonts w:hint="eastAsia" w:ascii="Times New Roman" w:hAnsi="Times New Roman"/>
                <w:color w:val="auto"/>
                <w:szCs w:val="21"/>
              </w:rPr>
              <w:t>□</w:t>
            </w:r>
            <w:r>
              <w:rPr>
                <w:rFonts w:ascii="Times New Roman" w:hAnsi="Times New Roman"/>
                <w:color w:val="auto"/>
                <w:szCs w:val="21"/>
              </w:rPr>
              <w:t>要求提供：</w:t>
            </w:r>
          </w:p>
          <w:p>
            <w:pPr>
              <w:topLinePunct/>
              <w:autoSpaceDE w:val="0"/>
              <w:autoSpaceDN w:val="0"/>
              <w:adjustRightInd w:val="0"/>
              <w:snapToGrid w:val="0"/>
              <w:spacing w:line="400" w:lineRule="exact"/>
              <w:rPr>
                <w:rFonts w:ascii="Times New Roman" w:hAnsi="Times New Roman"/>
                <w:color w:val="auto"/>
                <w:szCs w:val="21"/>
              </w:rPr>
            </w:pPr>
            <w:r>
              <w:rPr>
                <w:rFonts w:ascii="Times New Roman" w:hAnsi="Times New Roman"/>
                <w:color w:val="auto"/>
                <w:szCs w:val="21"/>
              </w:rPr>
              <w:t>（1）金额：</w:t>
            </w:r>
          </w:p>
          <w:p>
            <w:pPr>
              <w:topLinePunct/>
              <w:autoSpaceDE w:val="0"/>
              <w:autoSpaceDN w:val="0"/>
              <w:adjustRightInd w:val="0"/>
              <w:snapToGrid w:val="0"/>
              <w:spacing w:line="400" w:lineRule="exact"/>
              <w:rPr>
                <w:rFonts w:ascii="Times New Roman" w:hAnsi="Times New Roman"/>
                <w:color w:val="auto"/>
                <w:szCs w:val="21"/>
              </w:rPr>
            </w:pPr>
            <w:r>
              <w:rPr>
                <w:rFonts w:ascii="Times New Roman" w:hAnsi="Times New Roman"/>
                <w:color w:val="auto"/>
                <w:szCs w:val="21"/>
              </w:rPr>
              <w:t>采购包1：人民币</w:t>
            </w:r>
            <w:r>
              <w:rPr>
                <w:rFonts w:hint="eastAsia" w:ascii="Times New Roman" w:hAnsi="Times New Roman"/>
                <w:i/>
                <w:color w:val="auto"/>
                <w:szCs w:val="21"/>
                <w:u w:val="single"/>
              </w:rPr>
              <w:t>/</w:t>
            </w:r>
            <w:r>
              <w:rPr>
                <w:rFonts w:ascii="Times New Roman" w:hAnsi="Times New Roman"/>
                <w:color w:val="auto"/>
                <w:szCs w:val="21"/>
              </w:rPr>
              <w:t>元。</w:t>
            </w:r>
          </w:p>
          <w:p>
            <w:pPr>
              <w:topLinePunct/>
              <w:autoSpaceDE w:val="0"/>
              <w:autoSpaceDN w:val="0"/>
              <w:adjustRightInd w:val="0"/>
              <w:snapToGrid w:val="0"/>
              <w:spacing w:line="400" w:lineRule="exact"/>
              <w:rPr>
                <w:rFonts w:ascii="Times New Roman" w:hAnsi="Times New Roman"/>
                <w:color w:val="auto"/>
                <w:szCs w:val="21"/>
              </w:rPr>
            </w:pPr>
            <w:r>
              <w:rPr>
                <w:rFonts w:ascii="Times New Roman" w:hAnsi="Times New Roman"/>
                <w:color w:val="auto"/>
                <w:szCs w:val="21"/>
              </w:rPr>
              <w:t>（2）提交方式：</w:t>
            </w:r>
            <w:r>
              <w:rPr>
                <w:rFonts w:hint="eastAsia" w:ascii="Times New Roman" w:hAnsi="Times New Roman"/>
                <w:color w:val="auto"/>
                <w:szCs w:val="21"/>
                <w:u w:val="single"/>
              </w:rPr>
              <w:t>/</w:t>
            </w:r>
          </w:p>
          <w:p>
            <w:pPr>
              <w:topLinePunct/>
              <w:autoSpaceDE w:val="0"/>
              <w:autoSpaceDN w:val="0"/>
              <w:adjustRightInd w:val="0"/>
              <w:snapToGrid w:val="0"/>
              <w:spacing w:line="400" w:lineRule="exact"/>
              <w:rPr>
                <w:rFonts w:ascii="Times New Roman" w:hAnsi="Times New Roman"/>
                <w:color w:val="auto"/>
                <w:szCs w:val="21"/>
                <w:u w:val="single"/>
              </w:rPr>
            </w:pPr>
            <w:r>
              <w:rPr>
                <w:rFonts w:ascii="Times New Roman" w:hAnsi="Times New Roman"/>
                <w:color w:val="auto"/>
                <w:szCs w:val="21"/>
              </w:rPr>
              <w:t>收款账户：</w:t>
            </w:r>
            <w:r>
              <w:rPr>
                <w:rFonts w:hint="eastAsia" w:ascii="Times New Roman" w:hAnsi="Times New Roman"/>
                <w:i/>
                <w:color w:val="auto"/>
                <w:szCs w:val="21"/>
                <w:u w:val="single"/>
              </w:rPr>
              <w:t>/</w:t>
            </w:r>
          </w:p>
          <w:p>
            <w:pPr>
              <w:topLinePunct/>
              <w:autoSpaceDE w:val="0"/>
              <w:autoSpaceDN w:val="0"/>
              <w:adjustRightInd w:val="0"/>
              <w:snapToGrid w:val="0"/>
              <w:spacing w:line="400" w:lineRule="exact"/>
              <w:rPr>
                <w:rFonts w:ascii="Times New Roman" w:hAnsi="Times New Roman"/>
                <w:color w:val="auto"/>
                <w:szCs w:val="21"/>
              </w:rPr>
            </w:pPr>
            <w:r>
              <w:rPr>
                <w:rFonts w:ascii="Times New Roman" w:hAnsi="Times New Roman"/>
                <w:color w:val="auto"/>
                <w:szCs w:val="21"/>
              </w:rPr>
              <w:t>开户银行：</w:t>
            </w:r>
            <w:r>
              <w:rPr>
                <w:rFonts w:hint="eastAsia" w:ascii="Times New Roman" w:hAnsi="Times New Roman"/>
                <w:i/>
                <w:color w:val="auto"/>
                <w:szCs w:val="21"/>
                <w:u w:val="single"/>
              </w:rPr>
              <w:t>/</w:t>
            </w:r>
          </w:p>
          <w:p>
            <w:pPr>
              <w:topLinePunct/>
              <w:autoSpaceDE w:val="0"/>
              <w:autoSpaceDN w:val="0"/>
              <w:adjustRightInd w:val="0"/>
              <w:snapToGrid w:val="0"/>
              <w:spacing w:line="400" w:lineRule="exact"/>
              <w:rPr>
                <w:rFonts w:ascii="Times New Roman" w:hAnsi="Times New Roman"/>
                <w:b/>
                <w:color w:val="auto"/>
                <w:szCs w:val="21"/>
              </w:rPr>
            </w:pPr>
            <w:r>
              <w:rPr>
                <w:rFonts w:ascii="Times New Roman" w:hAnsi="Times New Roman"/>
                <w:color w:val="auto"/>
                <w:szCs w:val="21"/>
              </w:rPr>
              <w:t>银行账户：</w:t>
            </w:r>
            <w:r>
              <w:rPr>
                <w:rFonts w:hint="eastAsia" w:ascii="Times New Roman" w:hAnsi="Times New Roman"/>
                <w:i/>
                <w:color w:val="auto"/>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noWrap w:val="0"/>
            <w:vAlign w:val="center"/>
          </w:tcPr>
          <w:p>
            <w:pPr>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20</w:t>
            </w:r>
          </w:p>
        </w:tc>
        <w:tc>
          <w:tcPr>
            <w:tcW w:w="1863" w:type="dxa"/>
            <w:vMerge w:val="restart"/>
            <w:noWrap w:val="0"/>
            <w:vAlign w:val="center"/>
          </w:tcPr>
          <w:p>
            <w:pPr>
              <w:tabs>
                <w:tab w:val="left" w:pos="1875"/>
              </w:tabs>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不予退还投标保证金的情形</w:t>
            </w:r>
          </w:p>
        </w:tc>
        <w:tc>
          <w:tcPr>
            <w:tcW w:w="6179" w:type="dxa"/>
            <w:gridSpan w:val="2"/>
            <w:noWrap w:val="0"/>
            <w:vAlign w:val="center"/>
          </w:tcPr>
          <w:p>
            <w:pPr>
              <w:topLinePunct/>
              <w:autoSpaceDE w:val="0"/>
              <w:autoSpaceDN w:val="0"/>
              <w:adjustRightInd w:val="0"/>
              <w:snapToGrid w:val="0"/>
              <w:spacing w:line="400" w:lineRule="exact"/>
              <w:rPr>
                <w:rFonts w:ascii="Times New Roman" w:hAnsi="Times New Roman"/>
                <w:color w:val="auto"/>
                <w:szCs w:val="21"/>
              </w:rPr>
            </w:pPr>
            <w:r>
              <w:rPr>
                <w:rFonts w:ascii="Times New Roman" w:hAnsi="Times New Roman"/>
                <w:color w:val="auto"/>
                <w:szCs w:val="21"/>
              </w:rPr>
              <w:t>有下列情形之一的，投标保证金将不予退还：</w:t>
            </w:r>
          </w:p>
          <w:p>
            <w:pPr>
              <w:topLinePunct/>
              <w:autoSpaceDE w:val="0"/>
              <w:autoSpaceDN w:val="0"/>
              <w:adjustRightInd w:val="0"/>
              <w:snapToGrid w:val="0"/>
              <w:spacing w:line="400" w:lineRule="exact"/>
              <w:rPr>
                <w:rFonts w:ascii="Times New Roman" w:hAnsi="Times New Roman"/>
                <w:color w:val="auto"/>
                <w:szCs w:val="21"/>
              </w:rPr>
            </w:pPr>
            <w:r>
              <w:rPr>
                <w:rFonts w:ascii="Times New Roman" w:hAnsi="Times New Roman"/>
                <w:color w:val="auto"/>
                <w:szCs w:val="21"/>
              </w:rPr>
              <w:t>（1）投标人串通投标或有视为串通投标情形之一的；</w:t>
            </w:r>
          </w:p>
          <w:p>
            <w:pPr>
              <w:topLinePunct/>
              <w:autoSpaceDE w:val="0"/>
              <w:autoSpaceDN w:val="0"/>
              <w:adjustRightInd w:val="0"/>
              <w:snapToGrid w:val="0"/>
              <w:spacing w:line="400" w:lineRule="exact"/>
              <w:rPr>
                <w:rFonts w:ascii="Times New Roman" w:hAnsi="Times New Roman"/>
                <w:color w:val="auto"/>
                <w:szCs w:val="21"/>
              </w:rPr>
            </w:pPr>
            <w:r>
              <w:rPr>
                <w:rFonts w:ascii="Times New Roman" w:hAnsi="Times New Roman"/>
                <w:color w:val="auto"/>
                <w:szCs w:val="21"/>
              </w:rPr>
              <w:t>（2）投标人提供虚假材料；</w:t>
            </w:r>
          </w:p>
          <w:p>
            <w:pPr>
              <w:topLinePunct/>
              <w:autoSpaceDE w:val="0"/>
              <w:autoSpaceDN w:val="0"/>
              <w:adjustRightInd w:val="0"/>
              <w:snapToGrid w:val="0"/>
              <w:spacing w:line="400" w:lineRule="exact"/>
              <w:rPr>
                <w:rFonts w:ascii="Times New Roman" w:hAnsi="Times New Roman"/>
                <w:color w:val="auto"/>
                <w:szCs w:val="21"/>
              </w:rPr>
            </w:pPr>
            <w:r>
              <w:rPr>
                <w:rFonts w:ascii="Times New Roman" w:hAnsi="Times New Roman"/>
                <w:color w:val="auto"/>
                <w:szCs w:val="21"/>
              </w:rPr>
              <w:t>（3）投标人采取不正当手段诋毁、排挤其他投标人；</w:t>
            </w:r>
          </w:p>
          <w:p>
            <w:pPr>
              <w:topLinePunct/>
              <w:autoSpaceDE w:val="0"/>
              <w:autoSpaceDN w:val="0"/>
              <w:adjustRightInd w:val="0"/>
              <w:snapToGrid w:val="0"/>
              <w:spacing w:line="400" w:lineRule="exact"/>
              <w:rPr>
                <w:rFonts w:ascii="Times New Roman" w:hAnsi="Times New Roman"/>
                <w:color w:val="auto"/>
                <w:szCs w:val="21"/>
              </w:rPr>
            </w:pPr>
            <w:r>
              <w:rPr>
                <w:rFonts w:ascii="Times New Roman" w:hAnsi="Times New Roman"/>
                <w:color w:val="auto"/>
                <w:szCs w:val="21"/>
              </w:rPr>
              <w:t>（4）投标截止时间后，投标人在投标有效期内撤销投标文件；</w:t>
            </w:r>
          </w:p>
          <w:p>
            <w:pPr>
              <w:topLinePunct/>
              <w:autoSpaceDE w:val="0"/>
              <w:autoSpaceDN w:val="0"/>
              <w:adjustRightInd w:val="0"/>
              <w:snapToGrid w:val="0"/>
              <w:spacing w:line="400" w:lineRule="exact"/>
              <w:rPr>
                <w:rFonts w:ascii="Times New Roman" w:hAnsi="Times New Roman"/>
                <w:color w:val="auto"/>
                <w:szCs w:val="21"/>
              </w:rPr>
            </w:pPr>
            <w:r>
              <w:rPr>
                <w:rFonts w:ascii="Times New Roman" w:hAnsi="Times New Roman"/>
                <w:color w:val="auto"/>
                <w:szCs w:val="21"/>
              </w:rPr>
              <w:t>（5）中标人有下列情形之一的：</w:t>
            </w:r>
          </w:p>
          <w:p>
            <w:pPr>
              <w:topLinePunct/>
              <w:autoSpaceDE w:val="0"/>
              <w:autoSpaceDN w:val="0"/>
              <w:adjustRightInd w:val="0"/>
              <w:snapToGrid w:val="0"/>
              <w:spacing w:line="400" w:lineRule="exact"/>
              <w:rPr>
                <w:rFonts w:ascii="Times New Roman" w:hAnsi="Times New Roman"/>
                <w:color w:val="auto"/>
                <w:szCs w:val="21"/>
              </w:rPr>
            </w:pPr>
            <w:r>
              <w:rPr>
                <w:rFonts w:ascii="Times New Roman" w:hAnsi="Times New Roman"/>
                <w:color w:val="auto"/>
                <w:szCs w:val="21"/>
              </w:rPr>
              <w:t>a.除不可抗力外，因中标人自身原因未在中标通知书要求的期限内与采购人签订政府采购合同；</w:t>
            </w:r>
          </w:p>
          <w:p>
            <w:pPr>
              <w:topLinePunct/>
              <w:autoSpaceDE w:val="0"/>
              <w:autoSpaceDN w:val="0"/>
              <w:adjustRightInd w:val="0"/>
              <w:snapToGrid w:val="0"/>
              <w:spacing w:line="400" w:lineRule="exact"/>
              <w:rPr>
                <w:rFonts w:ascii="Times New Roman" w:hAnsi="Times New Roman"/>
                <w:color w:val="auto"/>
                <w:szCs w:val="21"/>
              </w:rPr>
            </w:pPr>
            <w:r>
              <w:rPr>
                <w:rFonts w:ascii="Times New Roman" w:hAnsi="Times New Roman"/>
                <w:color w:val="auto"/>
                <w:szCs w:val="21"/>
              </w:rPr>
              <w:t>b.未按照招标文件、投标文件的约定签订政府采购合同或提交履约保证金。</w:t>
            </w:r>
          </w:p>
          <w:p>
            <w:pPr>
              <w:topLinePunct/>
              <w:autoSpaceDE w:val="0"/>
              <w:autoSpaceDN w:val="0"/>
              <w:adjustRightInd w:val="0"/>
              <w:snapToGrid w:val="0"/>
              <w:spacing w:line="400" w:lineRule="exact"/>
              <w:rPr>
                <w:rFonts w:ascii="Times New Roman" w:hAnsi="Times New Roman"/>
                <w:color w:val="auto"/>
                <w:szCs w:val="21"/>
              </w:rPr>
            </w:pPr>
            <w:r>
              <w:rPr>
                <w:rFonts w:ascii="Times New Roman" w:hAnsi="Times New Roman"/>
                <w:color w:val="auto"/>
                <w:szCs w:val="21"/>
              </w:rPr>
              <w:t>注：若上述投标保证金不予退还情形给采购人（采购代理机构）造成损失，则投标人还要承担相应的赔偿责任。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adjustRightInd w:val="0"/>
              <w:snapToGrid w:val="0"/>
              <w:spacing w:line="400" w:lineRule="exact"/>
              <w:jc w:val="center"/>
              <w:rPr>
                <w:rFonts w:ascii="Times New Roman" w:hAnsi="Times New Roman"/>
                <w:color w:val="auto"/>
                <w:szCs w:val="21"/>
              </w:rPr>
            </w:pPr>
          </w:p>
        </w:tc>
        <w:tc>
          <w:tcPr>
            <w:tcW w:w="1863" w:type="dxa"/>
            <w:vMerge w:val="continue"/>
            <w:noWrap w:val="0"/>
            <w:vAlign w:val="center"/>
          </w:tcPr>
          <w:p>
            <w:pPr>
              <w:adjustRightInd w:val="0"/>
              <w:snapToGrid w:val="0"/>
              <w:spacing w:line="400" w:lineRule="exact"/>
              <w:jc w:val="center"/>
              <w:rPr>
                <w:rFonts w:ascii="Times New Roman" w:hAnsi="Times New Roman"/>
                <w:color w:val="auto"/>
                <w:szCs w:val="21"/>
              </w:rPr>
            </w:pPr>
          </w:p>
        </w:tc>
        <w:tc>
          <w:tcPr>
            <w:tcW w:w="6179" w:type="dxa"/>
            <w:gridSpan w:val="2"/>
            <w:noWrap w:val="0"/>
            <w:vAlign w:val="center"/>
          </w:tcPr>
          <w:p>
            <w:pPr>
              <w:topLinePunct/>
              <w:autoSpaceDE w:val="0"/>
              <w:autoSpaceDN w:val="0"/>
              <w:spacing w:line="400" w:lineRule="exact"/>
              <w:rPr>
                <w:rFonts w:ascii="Times New Roman" w:hAnsi="Times New Roman"/>
                <w:color w:val="auto"/>
                <w:szCs w:val="21"/>
              </w:rPr>
            </w:pPr>
            <w:r>
              <w:rPr>
                <w:rFonts w:ascii="Times New Roman" w:hAnsi="Times New Roman"/>
                <w:color w:val="auto"/>
                <w:szCs w:val="21"/>
              </w:rPr>
              <w:t>其他不予退还投标保证金的情形：</w:t>
            </w:r>
            <w:r>
              <w:rPr>
                <w:rFonts w:hint="eastAsia" w:ascii="Times New Roman" w:hAnsi="Times New Roman"/>
                <w:color w:val="auto"/>
                <w:szCs w:val="21"/>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21</w:t>
            </w:r>
          </w:p>
        </w:tc>
        <w:tc>
          <w:tcPr>
            <w:tcW w:w="1863" w:type="dxa"/>
            <w:noWrap w:val="0"/>
            <w:vAlign w:val="center"/>
          </w:tcPr>
          <w:p>
            <w:pPr>
              <w:adjustRightInd w:val="0"/>
              <w:snapToGrid w:val="0"/>
              <w:spacing w:line="400" w:lineRule="exact"/>
              <w:jc w:val="center"/>
              <w:rPr>
                <w:rFonts w:ascii="Times New Roman" w:hAnsi="Times New Roman"/>
                <w:b/>
                <w:color w:val="auto"/>
                <w:szCs w:val="21"/>
              </w:rPr>
            </w:pPr>
            <w:r>
              <w:rPr>
                <w:rFonts w:ascii="Times New Roman" w:hAnsi="Times New Roman"/>
                <w:color w:val="auto"/>
                <w:szCs w:val="21"/>
              </w:rPr>
              <w:t>信用记录审查</w:t>
            </w:r>
          </w:p>
        </w:tc>
        <w:tc>
          <w:tcPr>
            <w:tcW w:w="6179" w:type="dxa"/>
            <w:gridSpan w:val="2"/>
            <w:noWrap w:val="0"/>
            <w:vAlign w:val="center"/>
          </w:tcPr>
          <w:p>
            <w:pPr>
              <w:topLinePunct/>
              <w:autoSpaceDE w:val="0"/>
              <w:autoSpaceDN w:val="0"/>
              <w:spacing w:line="400" w:lineRule="exact"/>
              <w:rPr>
                <w:rFonts w:ascii="Times New Roman" w:hAnsi="Times New Roman"/>
                <w:snapToGrid w:val="0"/>
                <w:color w:val="auto"/>
                <w:szCs w:val="21"/>
              </w:rPr>
            </w:pPr>
            <w:r>
              <w:rPr>
                <w:rFonts w:ascii="Times New Roman" w:hAnsi="Times New Roman"/>
                <w:color w:val="auto"/>
                <w:szCs w:val="21"/>
              </w:rPr>
              <w:t>根据《财政部关于在政府采购活动中查询及使用信用记录有关问题的通知》（财库〔2016〕125号）规定，开标结束后，采购人、采购代理机构将通过“信用中国”网站（www.creditchina.gov.cn）、中国政府采购网（</w:t>
            </w:r>
            <w:r>
              <w:rPr>
                <w:color w:val="auto"/>
              </w:rPr>
              <w:fldChar w:fldCharType="begin"/>
            </w:r>
            <w:r>
              <w:rPr>
                <w:color w:val="auto"/>
              </w:rPr>
              <w:instrText xml:space="preserve"> HYPERLINK "http://www.ccgp.gov.cn" </w:instrText>
            </w:r>
            <w:r>
              <w:rPr>
                <w:color w:val="auto"/>
              </w:rPr>
              <w:fldChar w:fldCharType="separate"/>
            </w:r>
            <w:r>
              <w:rPr>
                <w:rFonts w:ascii="Times New Roman" w:hAnsi="Times New Roman"/>
                <w:color w:val="auto"/>
                <w:szCs w:val="21"/>
              </w:rPr>
              <w:t>www.ccgp.gov.cn</w:t>
            </w:r>
            <w:r>
              <w:rPr>
                <w:rFonts w:ascii="Times New Roman" w:hAnsi="Times New Roman"/>
                <w:color w:val="auto"/>
                <w:szCs w:val="21"/>
              </w:rPr>
              <w:fldChar w:fldCharType="end"/>
            </w:r>
            <w:r>
              <w:rPr>
                <w:rFonts w:ascii="Times New Roman" w:hAnsi="Times New Roman"/>
                <w:color w:val="auto"/>
                <w:szCs w:val="21"/>
              </w:rPr>
              <w:t>），对投标人截止到投标截止时间的信用记录进行审查，对列入失信被执行人、重大税收违法案件当事人名单、政府采购严重违法失信行为记录名单及其他不符合《中华人民共和国政府采购法》第二十二条规定条件的投标人，其投标将被拒绝。</w:t>
            </w:r>
          </w:p>
          <w:p>
            <w:pPr>
              <w:topLinePunct/>
              <w:autoSpaceDE w:val="0"/>
              <w:autoSpaceDN w:val="0"/>
              <w:adjustRightInd w:val="0"/>
              <w:snapToGrid w:val="0"/>
              <w:spacing w:line="400" w:lineRule="exact"/>
              <w:rPr>
                <w:rFonts w:ascii="Times New Roman" w:hAnsi="Times New Roman"/>
                <w:color w:val="auto"/>
                <w:szCs w:val="21"/>
              </w:rPr>
            </w:pPr>
            <w:r>
              <w:rPr>
                <w:rFonts w:ascii="Times New Roman" w:hAnsi="Times New Roman"/>
                <w:color w:val="auto"/>
                <w:szCs w:val="21"/>
              </w:rPr>
              <w:t>本次查询的信用记录仅限于本项目使用，查询结果将留存在采购档案中。</w:t>
            </w:r>
          </w:p>
          <w:p>
            <w:pPr>
              <w:adjustRightInd w:val="0"/>
              <w:snapToGrid w:val="0"/>
              <w:spacing w:line="400" w:lineRule="exact"/>
              <w:jc w:val="left"/>
              <w:rPr>
                <w:rFonts w:ascii="Times New Roman" w:hAnsi="Times New Roman"/>
                <w:color w:val="auto"/>
                <w:szCs w:val="21"/>
              </w:rPr>
            </w:pPr>
            <w:r>
              <w:rPr>
                <w:rFonts w:ascii="Times New Roman" w:hAnsi="Times New Roman"/>
                <w:color w:val="auto"/>
                <w:szCs w:val="21"/>
              </w:rPr>
              <w:t>在上述指定网站不能查询信用信息的投标人，应提供相关证明材料（原件加盖公章）。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22</w:t>
            </w:r>
          </w:p>
        </w:tc>
        <w:tc>
          <w:tcPr>
            <w:tcW w:w="1863" w:type="dxa"/>
            <w:noWrap w:val="0"/>
            <w:vAlign w:val="center"/>
          </w:tcPr>
          <w:p>
            <w:pPr>
              <w:topLinePunct/>
              <w:autoSpaceDE w:val="0"/>
              <w:autoSpaceDN w:val="0"/>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支持中小型</w:t>
            </w:r>
          </w:p>
          <w:p>
            <w:pPr>
              <w:topLinePunct/>
              <w:autoSpaceDE w:val="0"/>
              <w:autoSpaceDN w:val="0"/>
              <w:adjustRightInd w:val="0"/>
              <w:snapToGrid w:val="0"/>
              <w:spacing w:line="400" w:lineRule="exact"/>
              <w:jc w:val="center"/>
              <w:rPr>
                <w:rFonts w:ascii="Times New Roman" w:hAnsi="Times New Roman"/>
                <w:b/>
                <w:color w:val="auto"/>
                <w:szCs w:val="21"/>
              </w:rPr>
            </w:pPr>
            <w:r>
              <w:rPr>
                <w:rFonts w:ascii="Times New Roman" w:hAnsi="Times New Roman"/>
                <w:color w:val="auto"/>
                <w:szCs w:val="21"/>
              </w:rPr>
              <w:t>企业发展</w:t>
            </w:r>
          </w:p>
        </w:tc>
        <w:tc>
          <w:tcPr>
            <w:tcW w:w="6179" w:type="dxa"/>
            <w:gridSpan w:val="2"/>
            <w:noWrap w:val="0"/>
            <w:vAlign w:val="center"/>
          </w:tcPr>
          <w:p>
            <w:pPr>
              <w:adjustRightInd w:val="0"/>
              <w:snapToGrid w:val="0"/>
              <w:spacing w:line="400" w:lineRule="exact"/>
              <w:rPr>
                <w:color w:val="auto"/>
              </w:rPr>
            </w:pPr>
            <w:r>
              <w:rPr>
                <w:color w:val="auto"/>
              </w:rPr>
              <w:t>根据《政府采购促进中小型企业发展管理办法》（财库〔2020〕46号），鼓励中小企业参加本项目采购活动。</w:t>
            </w:r>
          </w:p>
          <w:p>
            <w:pPr>
              <w:adjustRightInd w:val="0"/>
              <w:snapToGrid w:val="0"/>
              <w:spacing w:line="400" w:lineRule="exact"/>
              <w:rPr>
                <w:color w:val="auto"/>
              </w:rPr>
            </w:pPr>
            <w:r>
              <w:rPr>
                <w:color w:val="auto"/>
              </w:rPr>
              <w:t>在货物采购项目中，满足所有标的均由中小企业制造，即所有标的均由中小企业生产且使用该中小企业商号或者注册商标的，可享受中小企业扶持政策。</w:t>
            </w:r>
          </w:p>
          <w:p>
            <w:pPr>
              <w:adjustRightInd w:val="0"/>
              <w:snapToGrid w:val="0"/>
              <w:spacing w:line="400" w:lineRule="exact"/>
              <w:rPr>
                <w:color w:val="auto"/>
              </w:rPr>
            </w:pPr>
            <w:r>
              <w:rPr>
                <w:color w:val="auto"/>
              </w:rPr>
              <w:t>在服务采购项目中，满足服务由中小企业承接，即提供服务的人员为中小企业依照《中华人民共和国劳动合同法》订立劳动合同的从业人员的，可享受中小企业扶持政策。</w:t>
            </w:r>
          </w:p>
          <w:p>
            <w:pPr>
              <w:adjustRightInd w:val="0"/>
              <w:snapToGrid w:val="0"/>
              <w:spacing w:line="400" w:lineRule="exact"/>
              <w:rPr>
                <w:color w:val="auto"/>
              </w:rPr>
            </w:pPr>
            <w:r>
              <w:rPr>
                <w:color w:val="auto"/>
              </w:rPr>
              <w:t>本项目：</w:t>
            </w:r>
          </w:p>
          <w:p>
            <w:pPr>
              <w:adjustRightInd w:val="0"/>
              <w:snapToGrid w:val="0"/>
              <w:spacing w:line="400" w:lineRule="exact"/>
              <w:rPr>
                <w:color w:val="auto"/>
              </w:rPr>
            </w:pPr>
            <w:r>
              <w:rPr>
                <w:rFonts w:hint="eastAsia"/>
                <w:color w:val="auto"/>
              </w:rPr>
              <w:sym w:font="Wingdings 2" w:char="0052"/>
            </w:r>
            <w:r>
              <w:rPr>
                <w:color w:val="auto"/>
              </w:rPr>
              <w:t>专门面向中小企业采购项目。</w:t>
            </w:r>
          </w:p>
          <w:p>
            <w:pPr>
              <w:adjustRightInd w:val="0"/>
              <w:snapToGrid w:val="0"/>
              <w:spacing w:line="400" w:lineRule="exact"/>
              <w:rPr>
                <w:color w:val="auto"/>
              </w:rPr>
            </w:pPr>
            <w:r>
              <w:rPr>
                <w:rFonts w:hint="eastAsia"/>
                <w:color w:val="auto"/>
              </w:rPr>
              <w:t>□</w:t>
            </w:r>
            <w:r>
              <w:rPr>
                <w:color w:val="auto"/>
              </w:rPr>
              <w:t>预留份额面向中小企业采购项目（说明：        ）。</w:t>
            </w:r>
          </w:p>
          <w:p>
            <w:pPr>
              <w:adjustRightInd w:val="0"/>
              <w:snapToGrid w:val="0"/>
              <w:spacing w:line="400" w:lineRule="exact"/>
              <w:rPr>
                <w:color w:val="auto"/>
              </w:rPr>
            </w:pPr>
            <w:r>
              <w:rPr>
                <w:rFonts w:hint="eastAsia"/>
                <w:color w:val="auto"/>
              </w:rPr>
              <w:sym w:font="Wingdings 2" w:char="00A3"/>
            </w:r>
            <w:r>
              <w:rPr>
                <w:color w:val="auto"/>
              </w:rPr>
              <w:t xml:space="preserve">非专门面向中小企业采购项目。对小型和微型企业的投标价格给予 </w:t>
            </w:r>
            <w:r>
              <w:rPr>
                <w:rFonts w:hint="eastAsia"/>
                <w:color w:val="auto"/>
                <w:u w:val="single"/>
              </w:rPr>
              <w:t>20</w:t>
            </w:r>
            <w:r>
              <w:rPr>
                <w:color w:val="auto"/>
                <w:u w:val="single"/>
              </w:rPr>
              <w:t xml:space="preserve"> %</w:t>
            </w:r>
            <w:r>
              <w:rPr>
                <w:color w:val="auto"/>
              </w:rPr>
              <w:t>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23</w:t>
            </w:r>
          </w:p>
        </w:tc>
        <w:tc>
          <w:tcPr>
            <w:tcW w:w="1863" w:type="dxa"/>
            <w:noWrap w:val="0"/>
            <w:vAlign w:val="center"/>
          </w:tcPr>
          <w:p>
            <w:pPr>
              <w:topLinePunct/>
              <w:autoSpaceDE w:val="0"/>
              <w:autoSpaceDN w:val="0"/>
              <w:adjustRightInd w:val="0"/>
              <w:snapToGrid w:val="0"/>
              <w:spacing w:line="400" w:lineRule="exact"/>
              <w:jc w:val="center"/>
              <w:rPr>
                <w:rFonts w:ascii="Times New Roman" w:hAnsi="Times New Roman"/>
                <w:b/>
                <w:color w:val="auto"/>
                <w:szCs w:val="21"/>
              </w:rPr>
            </w:pPr>
            <w:r>
              <w:rPr>
                <w:rFonts w:ascii="Times New Roman" w:hAnsi="Times New Roman"/>
                <w:color w:val="auto"/>
                <w:szCs w:val="21"/>
              </w:rPr>
              <w:t>支持监狱企业发展</w:t>
            </w:r>
          </w:p>
        </w:tc>
        <w:tc>
          <w:tcPr>
            <w:tcW w:w="6179" w:type="dxa"/>
            <w:gridSpan w:val="2"/>
            <w:noWrap w:val="0"/>
            <w:vAlign w:val="center"/>
          </w:tcPr>
          <w:p>
            <w:pPr>
              <w:adjustRightInd w:val="0"/>
              <w:snapToGrid w:val="0"/>
              <w:spacing w:line="360" w:lineRule="auto"/>
              <w:jc w:val="left"/>
              <w:rPr>
                <w:rFonts w:ascii="Times New Roman" w:hAnsi="Times New Roman"/>
                <w:color w:val="auto"/>
                <w:szCs w:val="21"/>
              </w:rPr>
            </w:pPr>
            <w:r>
              <w:rPr>
                <w:rFonts w:hint="eastAsia" w:ascii="Times New Roman" w:hAnsi="Times New Roman"/>
                <w:color w:val="auto"/>
                <w:szCs w:val="21"/>
              </w:rPr>
              <w:t>专门面向中小企业采购项目（监狱企业视同小型、微型企业）。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24</w:t>
            </w:r>
          </w:p>
        </w:tc>
        <w:tc>
          <w:tcPr>
            <w:tcW w:w="1863" w:type="dxa"/>
            <w:noWrap w:val="0"/>
            <w:vAlign w:val="center"/>
          </w:tcPr>
          <w:p>
            <w:pPr>
              <w:topLinePunct/>
              <w:autoSpaceDE w:val="0"/>
              <w:autoSpaceDN w:val="0"/>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促进残疾人</w:t>
            </w:r>
          </w:p>
          <w:p>
            <w:pPr>
              <w:topLinePunct/>
              <w:autoSpaceDE w:val="0"/>
              <w:autoSpaceDN w:val="0"/>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就业</w:t>
            </w:r>
          </w:p>
        </w:tc>
        <w:tc>
          <w:tcPr>
            <w:tcW w:w="6179" w:type="dxa"/>
            <w:gridSpan w:val="2"/>
            <w:noWrap w:val="0"/>
            <w:vAlign w:val="center"/>
          </w:tcPr>
          <w:p>
            <w:pPr>
              <w:adjustRightInd w:val="0"/>
              <w:snapToGrid w:val="0"/>
              <w:spacing w:line="360" w:lineRule="auto"/>
              <w:rPr>
                <w:rFonts w:ascii="Times New Roman" w:hAnsi="Times New Roman"/>
                <w:color w:val="auto"/>
                <w:szCs w:val="21"/>
              </w:rPr>
            </w:pPr>
            <w:r>
              <w:rPr>
                <w:rFonts w:hint="eastAsia" w:ascii="Times New Roman" w:hAnsi="Times New Roman"/>
                <w:color w:val="auto"/>
                <w:szCs w:val="21"/>
              </w:rPr>
              <w:t>专门面向中小微企业采购项目（残疾人福利性单位视同小型、微型企业）。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noWrap w:val="0"/>
            <w:vAlign w:val="center"/>
          </w:tcPr>
          <w:p>
            <w:pPr>
              <w:topLinePunct/>
              <w:autoSpaceDE w:val="0"/>
              <w:autoSpaceDN w:val="0"/>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25</w:t>
            </w:r>
          </w:p>
        </w:tc>
        <w:tc>
          <w:tcPr>
            <w:tcW w:w="1863" w:type="dxa"/>
            <w:vMerge w:val="restart"/>
            <w:noWrap w:val="0"/>
            <w:vAlign w:val="center"/>
          </w:tcPr>
          <w:p>
            <w:pPr>
              <w:topLinePunct/>
              <w:autoSpaceDE w:val="0"/>
              <w:autoSpaceDN w:val="0"/>
              <w:adjustRightInd w:val="0"/>
              <w:snapToGrid w:val="0"/>
              <w:spacing w:line="400" w:lineRule="exact"/>
              <w:jc w:val="center"/>
              <w:rPr>
                <w:rFonts w:ascii="Times New Roman" w:hAnsi="Times New Roman"/>
                <w:b/>
                <w:color w:val="auto"/>
                <w:szCs w:val="21"/>
              </w:rPr>
            </w:pPr>
            <w:r>
              <w:rPr>
                <w:rFonts w:ascii="Times New Roman" w:hAnsi="Times New Roman"/>
                <w:color w:val="auto"/>
                <w:szCs w:val="21"/>
              </w:rPr>
              <w:t>其他法律法规强制性规定或扶持政策</w:t>
            </w:r>
          </w:p>
        </w:tc>
        <w:tc>
          <w:tcPr>
            <w:tcW w:w="6179" w:type="dxa"/>
            <w:gridSpan w:val="2"/>
            <w:noWrap w:val="0"/>
            <w:vAlign w:val="center"/>
          </w:tcPr>
          <w:p>
            <w:pPr>
              <w:spacing w:line="400" w:lineRule="exact"/>
              <w:rPr>
                <w:rFonts w:ascii="Times New Roman" w:hAnsi="Times New Roman"/>
                <w:color w:val="auto"/>
                <w:szCs w:val="21"/>
              </w:rPr>
            </w:pPr>
            <w:r>
              <w:rPr>
                <w:rFonts w:ascii="Times New Roman" w:hAnsi="Times New Roman"/>
                <w:color w:val="auto"/>
                <w:szCs w:val="21"/>
              </w:rPr>
              <w:t>本项目中强制采购节能产品的货物名称：</w:t>
            </w:r>
          </w:p>
          <w:p>
            <w:pPr>
              <w:spacing w:line="400" w:lineRule="exact"/>
              <w:rPr>
                <w:rFonts w:ascii="Times New Roman" w:hAnsi="Times New Roman"/>
                <w:color w:val="auto"/>
                <w:szCs w:val="21"/>
              </w:rPr>
            </w:pPr>
            <w:r>
              <w:rPr>
                <w:rFonts w:ascii="Times New Roman" w:hAnsi="Times New Roman"/>
                <w:color w:val="auto"/>
                <w:szCs w:val="21"/>
              </w:rPr>
              <w:t>采购包1：</w:t>
            </w:r>
            <w:r>
              <w:rPr>
                <w:rFonts w:hint="eastAsia" w:ascii="Times New Roman" w:hAnsi="Times New Roman"/>
                <w:color w:val="auto"/>
                <w:szCs w:val="21"/>
                <w:u w:val="single"/>
              </w:rPr>
              <w:t>无</w:t>
            </w:r>
            <w:r>
              <w:rPr>
                <w:rFonts w:ascii="Times New Roman" w:hAnsi="Times New Roman"/>
                <w:color w:val="auto"/>
                <w:szCs w:val="21"/>
              </w:rPr>
              <w:t>。</w:t>
            </w:r>
          </w:p>
          <w:p>
            <w:pPr>
              <w:topLinePunct/>
              <w:autoSpaceDE w:val="0"/>
              <w:autoSpaceDN w:val="0"/>
              <w:adjustRightInd w:val="0"/>
              <w:snapToGrid w:val="0"/>
              <w:spacing w:line="400" w:lineRule="exact"/>
              <w:rPr>
                <w:rFonts w:ascii="Times New Roman" w:hAnsi="Times New Roman"/>
                <w:b/>
                <w:color w:val="auto"/>
                <w:szCs w:val="21"/>
              </w:rPr>
            </w:pPr>
            <w:r>
              <w:rPr>
                <w:rFonts w:ascii="Times New Roman" w:hAnsi="Times New Roman"/>
                <w:color w:val="auto"/>
                <w:szCs w:val="21"/>
              </w:rPr>
              <w:t>注：投标人所投上述产品必须具有节能产品认证证书，并提供依据国家确定的认证机构出具的、处于有效期之内的节能产品认证证书复印件，否则投标无效。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topLinePunct/>
              <w:autoSpaceDE w:val="0"/>
              <w:autoSpaceDN w:val="0"/>
              <w:adjustRightInd w:val="0"/>
              <w:snapToGrid w:val="0"/>
              <w:spacing w:line="400" w:lineRule="exact"/>
              <w:jc w:val="center"/>
              <w:rPr>
                <w:rFonts w:ascii="Times New Roman" w:hAnsi="Times New Roman"/>
                <w:color w:val="auto"/>
                <w:szCs w:val="21"/>
              </w:rPr>
            </w:pPr>
          </w:p>
        </w:tc>
        <w:tc>
          <w:tcPr>
            <w:tcW w:w="1863" w:type="dxa"/>
            <w:vMerge w:val="continue"/>
            <w:noWrap w:val="0"/>
            <w:vAlign w:val="center"/>
          </w:tcPr>
          <w:p>
            <w:pPr>
              <w:topLinePunct/>
              <w:autoSpaceDE w:val="0"/>
              <w:autoSpaceDN w:val="0"/>
              <w:adjustRightInd w:val="0"/>
              <w:snapToGrid w:val="0"/>
              <w:spacing w:line="400" w:lineRule="exact"/>
              <w:jc w:val="center"/>
              <w:rPr>
                <w:rFonts w:ascii="Times New Roman" w:hAnsi="Times New Roman"/>
                <w:color w:val="auto"/>
                <w:szCs w:val="21"/>
              </w:rPr>
            </w:pPr>
          </w:p>
        </w:tc>
        <w:tc>
          <w:tcPr>
            <w:tcW w:w="6179" w:type="dxa"/>
            <w:gridSpan w:val="2"/>
            <w:noWrap w:val="0"/>
            <w:vAlign w:val="center"/>
          </w:tcPr>
          <w:p>
            <w:pPr>
              <w:spacing w:line="400" w:lineRule="exact"/>
              <w:rPr>
                <w:rFonts w:ascii="Times New Roman" w:hAnsi="Times New Roman"/>
                <w:color w:val="auto"/>
                <w:szCs w:val="21"/>
              </w:rPr>
            </w:pPr>
            <w:r>
              <w:rPr>
                <w:rFonts w:ascii="Times New Roman" w:hAnsi="Times New Roman"/>
                <w:color w:val="auto"/>
                <w:szCs w:val="21"/>
              </w:rPr>
              <w:t>本项目中采购信息安全产品的货物名称：</w:t>
            </w:r>
          </w:p>
          <w:p>
            <w:pPr>
              <w:spacing w:line="400" w:lineRule="exact"/>
              <w:rPr>
                <w:rFonts w:ascii="Times New Roman" w:hAnsi="Times New Roman"/>
                <w:color w:val="auto"/>
                <w:szCs w:val="21"/>
              </w:rPr>
            </w:pPr>
            <w:r>
              <w:rPr>
                <w:rFonts w:ascii="Times New Roman" w:hAnsi="Times New Roman"/>
                <w:color w:val="auto"/>
                <w:szCs w:val="21"/>
              </w:rPr>
              <w:t>采购包1：</w:t>
            </w:r>
            <w:r>
              <w:rPr>
                <w:rFonts w:hint="eastAsia" w:ascii="宋体" w:hAnsi="宋体" w:cs="宋体"/>
                <w:color w:val="auto"/>
                <w:szCs w:val="21"/>
                <w:u w:val="single"/>
              </w:rPr>
              <w:t>无</w:t>
            </w:r>
            <w:r>
              <w:rPr>
                <w:rFonts w:ascii="Times New Roman" w:hAnsi="Times New Roman"/>
                <w:color w:val="auto"/>
                <w:szCs w:val="21"/>
              </w:rPr>
              <w:t>。</w:t>
            </w:r>
          </w:p>
          <w:p>
            <w:pPr>
              <w:topLinePunct/>
              <w:autoSpaceDE w:val="0"/>
              <w:autoSpaceDN w:val="0"/>
              <w:adjustRightInd w:val="0"/>
              <w:snapToGrid w:val="0"/>
              <w:spacing w:line="400" w:lineRule="exact"/>
              <w:rPr>
                <w:rFonts w:ascii="Times New Roman" w:hAnsi="Times New Roman"/>
                <w:b/>
                <w:color w:val="auto"/>
                <w:szCs w:val="21"/>
              </w:rPr>
            </w:pPr>
            <w:r>
              <w:rPr>
                <w:rFonts w:ascii="Times New Roman" w:hAnsi="Times New Roman"/>
                <w:color w:val="auto"/>
                <w:szCs w:val="21"/>
              </w:rPr>
              <w:t>注：投标人所投上述产品需为国家认证的信息安全产品，并提供由中国网络安全审查技术与认证中心（原中国信息安全认证中心）按国家标准认证颁发的有效认证证书复印件，否则投标无效。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topLinePunct/>
              <w:autoSpaceDE w:val="0"/>
              <w:autoSpaceDN w:val="0"/>
              <w:adjustRightInd w:val="0"/>
              <w:snapToGrid w:val="0"/>
              <w:spacing w:line="400" w:lineRule="exact"/>
              <w:jc w:val="center"/>
              <w:rPr>
                <w:rFonts w:ascii="Times New Roman" w:hAnsi="Times New Roman"/>
                <w:color w:val="auto"/>
                <w:szCs w:val="21"/>
              </w:rPr>
            </w:pPr>
          </w:p>
        </w:tc>
        <w:tc>
          <w:tcPr>
            <w:tcW w:w="1863" w:type="dxa"/>
            <w:vMerge w:val="continue"/>
            <w:noWrap w:val="0"/>
            <w:vAlign w:val="center"/>
          </w:tcPr>
          <w:p>
            <w:pPr>
              <w:topLinePunct/>
              <w:autoSpaceDE w:val="0"/>
              <w:autoSpaceDN w:val="0"/>
              <w:adjustRightInd w:val="0"/>
              <w:snapToGrid w:val="0"/>
              <w:spacing w:line="400" w:lineRule="exact"/>
              <w:jc w:val="center"/>
              <w:rPr>
                <w:rFonts w:ascii="Times New Roman" w:hAnsi="Times New Roman"/>
                <w:color w:val="auto"/>
                <w:szCs w:val="21"/>
              </w:rPr>
            </w:pPr>
          </w:p>
        </w:tc>
        <w:tc>
          <w:tcPr>
            <w:tcW w:w="6179" w:type="dxa"/>
            <w:gridSpan w:val="2"/>
            <w:noWrap w:val="0"/>
            <w:vAlign w:val="center"/>
          </w:tcPr>
          <w:p>
            <w:pPr>
              <w:topLinePunct/>
              <w:autoSpaceDE w:val="0"/>
              <w:autoSpaceDN w:val="0"/>
              <w:adjustRightInd w:val="0"/>
              <w:snapToGrid w:val="0"/>
              <w:spacing w:line="400" w:lineRule="exact"/>
              <w:rPr>
                <w:rFonts w:ascii="Times New Roman" w:hAnsi="Times New Roman"/>
                <w:color w:val="auto"/>
                <w:szCs w:val="21"/>
              </w:rPr>
            </w:pPr>
            <w:r>
              <w:rPr>
                <w:rFonts w:ascii="Times New Roman" w:hAnsi="Times New Roman"/>
                <w:color w:val="auto"/>
                <w:szCs w:val="21"/>
              </w:rPr>
              <w:t>其他法律法规强制性规定或扶持政策：</w:t>
            </w:r>
          </w:p>
          <w:p>
            <w:pPr>
              <w:spacing w:line="400" w:lineRule="exact"/>
              <w:rPr>
                <w:rFonts w:ascii="Times New Roman" w:hAnsi="Times New Roman"/>
                <w:color w:val="auto"/>
                <w:szCs w:val="21"/>
              </w:rPr>
            </w:pPr>
            <w:r>
              <w:rPr>
                <w:rFonts w:ascii="Times New Roman" w:hAnsi="Times New Roman"/>
                <w:color w:val="auto"/>
                <w:szCs w:val="21"/>
              </w:rPr>
              <w:t>采购包1：</w:t>
            </w:r>
            <w:r>
              <w:rPr>
                <w:rFonts w:hint="eastAsia" w:ascii="宋体" w:hAnsi="宋体" w:cs="宋体"/>
                <w:color w:val="auto"/>
                <w:szCs w:val="21"/>
                <w:u w:val="single"/>
              </w:rPr>
              <w:t>无</w:t>
            </w:r>
            <w:r>
              <w:rPr>
                <w:rFonts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26</w:t>
            </w:r>
          </w:p>
        </w:tc>
        <w:tc>
          <w:tcPr>
            <w:tcW w:w="1863" w:type="dxa"/>
            <w:noWrap w:val="0"/>
            <w:vAlign w:val="center"/>
          </w:tcPr>
          <w:p>
            <w:pPr>
              <w:tabs>
                <w:tab w:val="left" w:pos="1875"/>
              </w:tabs>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评标方法</w:t>
            </w:r>
          </w:p>
          <w:p>
            <w:pPr>
              <w:tabs>
                <w:tab w:val="left" w:pos="1875"/>
              </w:tabs>
              <w:adjustRightInd w:val="0"/>
              <w:snapToGrid w:val="0"/>
              <w:spacing w:line="400" w:lineRule="exact"/>
              <w:jc w:val="center"/>
              <w:rPr>
                <w:rFonts w:ascii="Times New Roman" w:hAnsi="Times New Roman"/>
                <w:b/>
                <w:color w:val="auto"/>
                <w:szCs w:val="21"/>
              </w:rPr>
            </w:pPr>
            <w:r>
              <w:rPr>
                <w:rFonts w:ascii="Times New Roman" w:hAnsi="Times New Roman"/>
                <w:color w:val="auto"/>
                <w:szCs w:val="21"/>
              </w:rPr>
              <w:t>及分值</w:t>
            </w:r>
          </w:p>
        </w:tc>
        <w:tc>
          <w:tcPr>
            <w:tcW w:w="6179" w:type="dxa"/>
            <w:gridSpan w:val="2"/>
            <w:noWrap w:val="0"/>
            <w:vAlign w:val="center"/>
          </w:tcPr>
          <w:p>
            <w:pPr>
              <w:adjustRightInd w:val="0"/>
              <w:snapToGrid w:val="0"/>
              <w:spacing w:line="400" w:lineRule="exact"/>
              <w:jc w:val="left"/>
              <w:rPr>
                <w:rFonts w:ascii="Times New Roman" w:hAnsi="Times New Roman"/>
                <w:color w:val="auto"/>
                <w:szCs w:val="21"/>
              </w:rPr>
            </w:pPr>
            <w:r>
              <w:rPr>
                <w:rFonts w:hint="eastAsia" w:ascii="Times New Roman" w:hAnsi="Times New Roman"/>
                <w:color w:val="auto"/>
                <w:szCs w:val="21"/>
              </w:rPr>
              <w:t>□</w:t>
            </w:r>
            <w:r>
              <w:rPr>
                <w:rFonts w:ascii="Times New Roman" w:hAnsi="Times New Roman"/>
                <w:color w:val="auto"/>
                <w:szCs w:val="21"/>
              </w:rPr>
              <w:t>本项目采用最低评标价法，详见招标文件商务部分第三章。</w:t>
            </w:r>
          </w:p>
          <w:p>
            <w:pPr>
              <w:adjustRightInd w:val="0"/>
              <w:snapToGrid w:val="0"/>
              <w:spacing w:line="400" w:lineRule="exact"/>
              <w:jc w:val="left"/>
              <w:rPr>
                <w:rFonts w:ascii="Times New Roman" w:hAnsi="Times New Roman"/>
                <w:color w:val="auto"/>
                <w:szCs w:val="21"/>
              </w:rPr>
            </w:pPr>
            <w:r>
              <w:rPr>
                <w:rFonts w:hint="eastAsia" w:ascii="Times New Roman" w:hAnsi="Times New Roman"/>
                <w:color w:val="auto"/>
                <w:szCs w:val="21"/>
              </w:rPr>
              <w:t>☑</w:t>
            </w:r>
            <w:r>
              <w:rPr>
                <w:rFonts w:ascii="Times New Roman" w:hAnsi="Times New Roman"/>
                <w:color w:val="auto"/>
                <w:szCs w:val="21"/>
              </w:rPr>
              <w:t>本项目</w:t>
            </w:r>
            <w:r>
              <w:rPr>
                <w:rFonts w:hint="eastAsia" w:ascii="Times New Roman" w:hAnsi="Times New Roman"/>
                <w:color w:val="auto"/>
                <w:szCs w:val="21"/>
              </w:rPr>
              <w:t>采购包1</w:t>
            </w:r>
            <w:r>
              <w:rPr>
                <w:rFonts w:ascii="Times New Roman" w:hAnsi="Times New Roman"/>
                <w:color w:val="auto"/>
                <w:szCs w:val="21"/>
              </w:rPr>
              <w:t>采用综合评分法，其中价格分值为</w:t>
            </w:r>
            <w:r>
              <w:rPr>
                <w:rFonts w:hint="eastAsia" w:ascii="Times New Roman" w:hAnsi="Times New Roman"/>
                <w:color w:val="auto"/>
                <w:szCs w:val="21"/>
                <w:u w:val="single"/>
                <w:lang w:val="en-US" w:eastAsia="zh-CN"/>
              </w:rPr>
              <w:t>30</w:t>
            </w:r>
            <w:r>
              <w:rPr>
                <w:rFonts w:ascii="Times New Roman" w:hAnsi="Times New Roman"/>
                <w:color w:val="auto"/>
                <w:szCs w:val="21"/>
              </w:rPr>
              <w:t>分，其他因素分值为</w:t>
            </w:r>
            <w:r>
              <w:rPr>
                <w:rFonts w:hint="eastAsia" w:ascii="Times New Roman" w:hAnsi="Times New Roman"/>
                <w:color w:val="auto"/>
                <w:szCs w:val="21"/>
                <w:u w:val="single"/>
                <w:lang w:val="en-US" w:eastAsia="zh-CN"/>
              </w:rPr>
              <w:t>70</w:t>
            </w:r>
            <w:r>
              <w:rPr>
                <w:rFonts w:ascii="Times New Roman" w:hAnsi="Times New Roman"/>
                <w:color w:val="auto"/>
                <w:szCs w:val="21"/>
              </w:rPr>
              <w:t>分，详见招标文件商务部分第三章。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27</w:t>
            </w:r>
          </w:p>
        </w:tc>
        <w:tc>
          <w:tcPr>
            <w:tcW w:w="1863" w:type="dxa"/>
            <w:noWrap w:val="0"/>
            <w:vAlign w:val="center"/>
          </w:tcPr>
          <w:p>
            <w:pPr>
              <w:topLinePunct/>
              <w:autoSpaceDE w:val="0"/>
              <w:autoSpaceDN w:val="0"/>
              <w:adjustRightInd w:val="0"/>
              <w:snapToGrid w:val="0"/>
              <w:spacing w:line="400" w:lineRule="exact"/>
              <w:jc w:val="center"/>
              <w:rPr>
                <w:rFonts w:ascii="Times New Roman" w:hAnsi="Times New Roman"/>
                <w:b/>
                <w:color w:val="auto"/>
                <w:szCs w:val="21"/>
              </w:rPr>
            </w:pPr>
            <w:r>
              <w:rPr>
                <w:rFonts w:ascii="Times New Roman" w:hAnsi="Times New Roman"/>
                <w:color w:val="auto"/>
                <w:szCs w:val="21"/>
              </w:rPr>
              <w:t>履约保证金</w:t>
            </w:r>
          </w:p>
        </w:tc>
        <w:tc>
          <w:tcPr>
            <w:tcW w:w="6179" w:type="dxa"/>
            <w:gridSpan w:val="2"/>
            <w:noWrap w:val="0"/>
            <w:vAlign w:val="center"/>
          </w:tcPr>
          <w:p>
            <w:pPr>
              <w:adjustRightInd w:val="0"/>
              <w:snapToGrid w:val="0"/>
              <w:spacing w:line="400" w:lineRule="exact"/>
              <w:jc w:val="left"/>
              <w:rPr>
                <w:color w:val="auto"/>
              </w:rPr>
            </w:pPr>
            <w:r>
              <w:rPr>
                <w:rFonts w:hint="eastAsia"/>
                <w:color w:val="auto"/>
              </w:rPr>
              <w:sym w:font="Wingdings 2" w:char="00A3"/>
            </w:r>
            <w:r>
              <w:rPr>
                <w:color w:val="auto"/>
              </w:rPr>
              <w:t>不要求提供</w:t>
            </w:r>
          </w:p>
          <w:p>
            <w:pPr>
              <w:topLinePunct/>
              <w:autoSpaceDE w:val="0"/>
              <w:autoSpaceDN w:val="0"/>
              <w:adjustRightInd w:val="0"/>
              <w:snapToGrid w:val="0"/>
              <w:spacing w:line="400" w:lineRule="exact"/>
              <w:rPr>
                <w:color w:val="auto"/>
              </w:rPr>
            </w:pPr>
            <w:r>
              <w:rPr>
                <w:rFonts w:hint="eastAsia"/>
                <w:color w:val="auto"/>
              </w:rPr>
              <w:sym w:font="Wingdings 2" w:char="0052"/>
            </w:r>
            <w:r>
              <w:rPr>
                <w:color w:val="auto"/>
              </w:rPr>
              <w:t>履约保</w:t>
            </w:r>
            <w:r>
              <w:rPr>
                <w:rFonts w:eastAsia="宋体" w:cs="Times New Roman"/>
                <w:color w:val="auto"/>
              </w:rPr>
              <w:t>证金为</w:t>
            </w:r>
            <w:r>
              <w:rPr>
                <w:rFonts w:hint="eastAsia" w:eastAsia="宋体" w:cs="Times New Roman"/>
                <w:color w:val="auto"/>
                <w:lang w:val="en-US" w:eastAsia="zh-CN"/>
              </w:rPr>
              <w:t>合同</w:t>
            </w:r>
            <w:r>
              <w:rPr>
                <w:rFonts w:hint="eastAsia" w:cs="Times New Roman"/>
                <w:color w:val="auto"/>
                <w:lang w:val="en-US" w:eastAsia="zh-CN"/>
              </w:rPr>
              <w:t>金额</w:t>
            </w:r>
            <w:r>
              <w:rPr>
                <w:rFonts w:hint="eastAsia" w:eastAsia="宋体" w:cs="Times New Roman"/>
                <w:color w:val="auto"/>
                <w:lang w:val="en-US" w:eastAsia="zh-CN"/>
              </w:rPr>
              <w:t>的</w:t>
            </w:r>
            <w:r>
              <w:rPr>
                <w:rFonts w:hint="eastAsia" w:cs="Times New Roman"/>
                <w:color w:val="auto"/>
                <w:lang w:val="en-US" w:eastAsia="zh-CN"/>
              </w:rPr>
              <w:t>8</w:t>
            </w:r>
            <w:r>
              <w:rPr>
                <w:rFonts w:hint="eastAsia" w:eastAsia="宋体" w:cs="Times New Roman"/>
                <w:color w:val="auto"/>
                <w:lang w:val="en-US" w:eastAsia="zh-CN"/>
              </w:rPr>
              <w:t>%，提交方式为银行电汇、金融机构或担保机构出具的保函。售后服务质量保证期限</w:t>
            </w:r>
            <w:r>
              <w:rPr>
                <w:rFonts w:hint="eastAsia" w:cs="Times New Roman"/>
                <w:color w:val="auto"/>
                <w:lang w:val="en-US" w:eastAsia="zh-CN"/>
              </w:rPr>
              <w:t>三</w:t>
            </w:r>
            <w:r>
              <w:rPr>
                <w:rFonts w:hint="eastAsia" w:eastAsia="宋体" w:cs="Times New Roman"/>
                <w:color w:val="auto"/>
                <w:lang w:val="en-US" w:eastAsia="zh-CN"/>
              </w:rPr>
              <w:t>年，售后期完毕无异议退还履约保证金。</w:t>
            </w:r>
            <w:r>
              <w:rPr>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28</w:t>
            </w:r>
          </w:p>
        </w:tc>
        <w:tc>
          <w:tcPr>
            <w:tcW w:w="1863" w:type="dxa"/>
            <w:noWrap w:val="0"/>
            <w:vAlign w:val="center"/>
          </w:tcPr>
          <w:p>
            <w:pPr>
              <w:topLinePunct/>
              <w:autoSpaceDE w:val="0"/>
              <w:autoSpaceDN w:val="0"/>
              <w:adjustRightInd w:val="0"/>
              <w:snapToGrid w:val="0"/>
              <w:spacing w:line="400" w:lineRule="exact"/>
              <w:jc w:val="center"/>
              <w:rPr>
                <w:rFonts w:ascii="Times New Roman" w:hAnsi="Times New Roman"/>
                <w:b/>
                <w:color w:val="auto"/>
                <w:szCs w:val="21"/>
              </w:rPr>
            </w:pPr>
            <w:r>
              <w:rPr>
                <w:rFonts w:ascii="Times New Roman" w:hAnsi="Times New Roman"/>
                <w:color w:val="auto"/>
                <w:szCs w:val="21"/>
              </w:rPr>
              <w:t>接收质疑的方式、部门、电话和通讯地址</w:t>
            </w:r>
          </w:p>
        </w:tc>
        <w:tc>
          <w:tcPr>
            <w:tcW w:w="6179" w:type="dxa"/>
            <w:gridSpan w:val="2"/>
            <w:noWrap w:val="0"/>
            <w:vAlign w:val="center"/>
          </w:tcPr>
          <w:p>
            <w:pPr>
              <w:spacing w:line="400" w:lineRule="exact"/>
              <w:rPr>
                <w:rFonts w:ascii="Times New Roman" w:hAnsi="Times New Roman"/>
                <w:color w:val="auto"/>
                <w:szCs w:val="21"/>
              </w:rPr>
            </w:pPr>
            <w:r>
              <w:rPr>
                <w:rFonts w:ascii="Times New Roman" w:hAnsi="Times New Roman"/>
                <w:color w:val="auto"/>
                <w:szCs w:val="21"/>
              </w:rPr>
              <w:t>质疑联系方式：</w:t>
            </w:r>
          </w:p>
          <w:p>
            <w:pPr>
              <w:spacing w:line="400" w:lineRule="exact"/>
              <w:rPr>
                <w:rFonts w:ascii="宋体" w:hAnsi="宋体" w:cs="宋体"/>
                <w:color w:val="auto"/>
                <w:szCs w:val="21"/>
                <w:u w:val="single"/>
              </w:rPr>
            </w:pPr>
            <w:r>
              <w:rPr>
                <w:rFonts w:hint="eastAsia" w:ascii="宋体" w:hAnsi="宋体" w:cs="宋体"/>
                <w:color w:val="auto"/>
                <w:szCs w:val="21"/>
              </w:rPr>
              <w:t>（1）接收质疑函的方式：</w:t>
            </w:r>
            <w:r>
              <w:rPr>
                <w:rFonts w:hint="eastAsia" w:ascii="宋体" w:hAnsi="宋体" w:cs="宋体"/>
                <w:color w:val="auto"/>
                <w:szCs w:val="21"/>
                <w:u w:val="single"/>
              </w:rPr>
              <w:t>书面形式</w:t>
            </w:r>
          </w:p>
          <w:p>
            <w:pPr>
              <w:spacing w:line="400" w:lineRule="exact"/>
              <w:rPr>
                <w:rFonts w:ascii="宋体" w:hAnsi="宋体" w:cs="宋体"/>
                <w:color w:val="auto"/>
                <w:szCs w:val="21"/>
                <w:u w:val="single"/>
              </w:rPr>
            </w:pPr>
            <w:r>
              <w:rPr>
                <w:rFonts w:hint="eastAsia" w:ascii="宋体" w:hAnsi="宋体" w:cs="宋体"/>
                <w:color w:val="auto"/>
                <w:szCs w:val="21"/>
              </w:rPr>
              <w:t>（2）联系部门：</w:t>
            </w:r>
            <w:r>
              <w:rPr>
                <w:rFonts w:hint="eastAsia" w:ascii="宋体" w:hAnsi="宋体" w:cs="宋体"/>
                <w:color w:val="auto"/>
                <w:szCs w:val="21"/>
                <w:u w:val="single"/>
              </w:rPr>
              <w:t>国家税务总局南平市税务局/福建省智信招标有限公司</w:t>
            </w:r>
          </w:p>
          <w:p>
            <w:pPr>
              <w:spacing w:line="400" w:lineRule="exact"/>
              <w:rPr>
                <w:rFonts w:ascii="宋体" w:hAnsi="宋体" w:cs="宋体"/>
                <w:color w:val="auto"/>
                <w:szCs w:val="21"/>
                <w:u w:val="single"/>
              </w:rPr>
            </w:pPr>
            <w:r>
              <w:rPr>
                <w:rFonts w:hint="eastAsia" w:ascii="宋体" w:hAnsi="宋体" w:cs="宋体"/>
                <w:color w:val="auto"/>
                <w:szCs w:val="21"/>
              </w:rPr>
              <w:t>（3）联系电话：</w:t>
            </w:r>
            <w:r>
              <w:rPr>
                <w:rFonts w:hint="eastAsia" w:ascii="宋体" w:hAnsi="宋体" w:cs="宋体"/>
                <w:color w:val="auto"/>
                <w:szCs w:val="21"/>
                <w:u w:val="single"/>
              </w:rPr>
              <w:t>0591-88318332、87530730、87616211转803</w:t>
            </w:r>
          </w:p>
          <w:p>
            <w:pPr>
              <w:spacing w:line="400" w:lineRule="exact"/>
              <w:rPr>
                <w:rFonts w:ascii="宋体" w:hAnsi="宋体" w:cs="宋体"/>
                <w:color w:val="auto"/>
                <w:szCs w:val="21"/>
                <w:u w:val="single"/>
              </w:rPr>
            </w:pPr>
            <w:r>
              <w:rPr>
                <w:rFonts w:hint="eastAsia" w:ascii="宋体" w:hAnsi="宋体" w:cs="宋体"/>
                <w:color w:val="auto"/>
                <w:szCs w:val="21"/>
              </w:rPr>
              <w:t>（4）通讯地址：</w:t>
            </w:r>
            <w:r>
              <w:rPr>
                <w:rFonts w:hint="eastAsia" w:ascii="宋体" w:hAnsi="宋体" w:cs="宋体"/>
                <w:color w:val="auto"/>
                <w:szCs w:val="21"/>
                <w:u w:val="single"/>
              </w:rPr>
              <w:t>福建省福州市鼓楼区五四路159号世界金龙大厦第14层A</w:t>
            </w:r>
            <w:r>
              <w:rPr>
                <w:rFonts w:hint="eastAsia" w:ascii="宋体" w:hAnsi="宋体" w:cs="宋体"/>
                <w:bCs/>
                <w:color w:val="auto"/>
                <w:szCs w:val="21"/>
                <w:u w:val="single"/>
              </w:rPr>
              <w:t>、C1</w:t>
            </w:r>
            <w:r>
              <w:rPr>
                <w:rFonts w:hint="eastAsia" w:ascii="宋体" w:hAnsi="宋体" w:cs="宋体"/>
                <w:color w:val="auto"/>
                <w:szCs w:val="21"/>
                <w:u w:val="single"/>
              </w:rPr>
              <w:t>单元福建省智信招标有限公司</w:t>
            </w:r>
          </w:p>
          <w:p>
            <w:pPr>
              <w:pStyle w:val="22"/>
              <w:spacing w:line="400" w:lineRule="exact"/>
              <w:rPr>
                <w:rFonts w:ascii="Times New Roman" w:hAnsi="Times New Roman"/>
                <w:color w:val="auto"/>
                <w:szCs w:val="21"/>
              </w:rPr>
            </w:pPr>
            <w:r>
              <w:rPr>
                <w:rFonts w:hint="eastAsia" w:ascii="宋体" w:hAnsi="宋体" w:cs="宋体"/>
                <w:color w:val="auto"/>
                <w:szCs w:val="21"/>
              </w:rPr>
              <w:t>（5）电子邮箱：</w:t>
            </w:r>
            <w:r>
              <w:rPr>
                <w:rFonts w:hint="eastAsia" w:ascii="宋体" w:hAnsi="宋体" w:cs="宋体"/>
                <w:color w:val="auto"/>
                <w:szCs w:val="21"/>
                <w:u w:val="single"/>
              </w:rPr>
              <w:t>zhixin01@126.com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29</w:t>
            </w:r>
          </w:p>
        </w:tc>
        <w:tc>
          <w:tcPr>
            <w:tcW w:w="1863" w:type="dxa"/>
            <w:noWrap w:val="0"/>
            <w:vAlign w:val="center"/>
          </w:tcPr>
          <w:p>
            <w:pPr>
              <w:topLinePunct/>
              <w:autoSpaceDE w:val="0"/>
              <w:autoSpaceDN w:val="0"/>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需提交的投标文件份数</w:t>
            </w:r>
          </w:p>
        </w:tc>
        <w:tc>
          <w:tcPr>
            <w:tcW w:w="6179" w:type="dxa"/>
            <w:gridSpan w:val="2"/>
            <w:noWrap w:val="0"/>
            <w:vAlign w:val="center"/>
          </w:tcPr>
          <w:p>
            <w:pPr>
              <w:spacing w:line="400" w:lineRule="exact"/>
              <w:rPr>
                <w:rFonts w:ascii="Times New Roman" w:hAnsi="Times New Roman"/>
                <w:color w:val="auto"/>
                <w:szCs w:val="21"/>
              </w:rPr>
            </w:pPr>
            <w:r>
              <w:rPr>
                <w:rFonts w:ascii="Times New Roman" w:hAnsi="Times New Roman"/>
                <w:color w:val="auto"/>
                <w:szCs w:val="21"/>
              </w:rPr>
              <w:t>需提交的投标文件份数：</w:t>
            </w:r>
          </w:p>
          <w:p>
            <w:pPr>
              <w:spacing w:line="400" w:lineRule="exact"/>
              <w:rPr>
                <w:rFonts w:ascii="Times New Roman" w:hAnsi="Times New Roman"/>
                <w:color w:val="auto"/>
                <w:szCs w:val="21"/>
              </w:rPr>
            </w:pPr>
            <w:r>
              <w:rPr>
                <w:rFonts w:ascii="Times New Roman" w:hAnsi="Times New Roman"/>
                <w:color w:val="auto"/>
                <w:szCs w:val="21"/>
              </w:rPr>
              <w:t>（1）正本</w:t>
            </w:r>
            <w:r>
              <w:rPr>
                <w:rFonts w:ascii="Times New Roman" w:hAnsi="Times New Roman"/>
                <w:color w:val="auto"/>
                <w:szCs w:val="21"/>
                <w:u w:val="single"/>
              </w:rPr>
              <w:t>1</w:t>
            </w:r>
            <w:r>
              <w:rPr>
                <w:rFonts w:ascii="Times New Roman" w:hAnsi="Times New Roman"/>
                <w:color w:val="auto"/>
                <w:szCs w:val="21"/>
              </w:rPr>
              <w:t>份、副本</w:t>
            </w:r>
            <w:r>
              <w:rPr>
                <w:rFonts w:hint="eastAsia" w:ascii="Times New Roman" w:hAnsi="Times New Roman"/>
                <w:color w:val="auto"/>
                <w:szCs w:val="21"/>
                <w:u w:val="single"/>
                <w:lang w:val="en-US" w:eastAsia="zh-CN"/>
              </w:rPr>
              <w:t>5</w:t>
            </w:r>
            <w:r>
              <w:rPr>
                <w:rFonts w:ascii="Times New Roman" w:hAnsi="Times New Roman"/>
                <w:color w:val="auto"/>
                <w:szCs w:val="21"/>
              </w:rPr>
              <w:t>份。</w:t>
            </w:r>
          </w:p>
          <w:p>
            <w:pPr>
              <w:spacing w:line="400" w:lineRule="exact"/>
              <w:rPr>
                <w:rFonts w:ascii="Times New Roman" w:hAnsi="Times New Roman"/>
                <w:color w:val="auto"/>
                <w:szCs w:val="21"/>
              </w:rPr>
            </w:pPr>
            <w:r>
              <w:rPr>
                <w:rFonts w:ascii="Times New Roman" w:hAnsi="Times New Roman"/>
                <w:color w:val="auto"/>
                <w:szCs w:val="21"/>
              </w:rPr>
              <w:t>（2）电子文件</w:t>
            </w:r>
            <w:r>
              <w:rPr>
                <w:rFonts w:hint="eastAsia" w:ascii="Times New Roman" w:hAnsi="Times New Roman"/>
                <w:color w:val="auto"/>
                <w:szCs w:val="21"/>
                <w:u w:val="single"/>
              </w:rPr>
              <w:t>1</w:t>
            </w:r>
            <w:r>
              <w:rPr>
                <w:rFonts w:ascii="Times New Roman" w:hAnsi="Times New Roman"/>
                <w:color w:val="auto"/>
                <w:szCs w:val="21"/>
              </w:rPr>
              <w:t>份（</w:t>
            </w:r>
            <w:r>
              <w:rPr>
                <w:rFonts w:hint="eastAsia" w:ascii="Times New Roman" w:hAnsi="Times New Roman"/>
                <w:color w:val="auto"/>
                <w:szCs w:val="21"/>
              </w:rPr>
              <w:t>☑</w:t>
            </w:r>
            <w:r>
              <w:rPr>
                <w:rFonts w:ascii="Times New Roman" w:hAnsi="Times New Roman"/>
                <w:color w:val="auto"/>
                <w:szCs w:val="21"/>
                <w:u w:val="single"/>
              </w:rPr>
              <w:t>扫描件</w:t>
            </w:r>
            <w:r>
              <w:rPr>
                <w:rFonts w:hint="eastAsia" w:ascii="Times New Roman" w:hAnsi="Times New Roman"/>
                <w:color w:val="auto"/>
                <w:szCs w:val="21"/>
                <w:u w:val="single"/>
              </w:rPr>
              <w:t>，提供签字、盖章后的</w:t>
            </w:r>
            <w:r>
              <w:rPr>
                <w:rFonts w:ascii="Times New Roman" w:hAnsi="Times New Roman"/>
                <w:color w:val="auto"/>
                <w:szCs w:val="21"/>
                <w:u w:val="single"/>
              </w:rPr>
              <w:t>扫描件</w:t>
            </w:r>
            <w:r>
              <w:rPr>
                <w:rFonts w:hint="eastAsia" w:ascii="Times New Roman" w:hAnsi="Times New Roman"/>
                <w:color w:val="auto"/>
                <w:szCs w:val="21"/>
              </w:rPr>
              <w:t>；☑</w:t>
            </w:r>
            <w:r>
              <w:rPr>
                <w:rFonts w:hint="eastAsia" w:ascii="Times New Roman" w:hAnsi="Times New Roman"/>
                <w:color w:val="auto"/>
                <w:szCs w:val="21"/>
                <w:u w:val="single"/>
              </w:rPr>
              <w:t>Word</w:t>
            </w:r>
            <w:r>
              <w:rPr>
                <w:rFonts w:ascii="Times New Roman" w:hAnsi="Times New Roman"/>
                <w:color w:val="auto"/>
                <w:szCs w:val="21"/>
              </w:rPr>
              <w:t>）。</w:t>
            </w:r>
          </w:p>
          <w:p>
            <w:pPr>
              <w:spacing w:line="400" w:lineRule="exact"/>
              <w:rPr>
                <w:rFonts w:ascii="Times New Roman" w:hAnsi="Times New Roman"/>
                <w:color w:val="auto"/>
                <w:szCs w:val="21"/>
              </w:rPr>
            </w:pPr>
            <w:r>
              <w:rPr>
                <w:rFonts w:ascii="Times New Roman" w:hAnsi="Times New Roman"/>
                <w:color w:val="auto"/>
                <w:szCs w:val="21"/>
              </w:rPr>
              <w:t>采用光盘或U盘刻录提交。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30</w:t>
            </w:r>
          </w:p>
        </w:tc>
        <w:tc>
          <w:tcPr>
            <w:tcW w:w="1863" w:type="dxa"/>
            <w:noWrap w:val="0"/>
            <w:vAlign w:val="center"/>
          </w:tcPr>
          <w:p>
            <w:pPr>
              <w:topLinePunct/>
              <w:autoSpaceDE w:val="0"/>
              <w:autoSpaceDN w:val="0"/>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代理费用</w:t>
            </w:r>
          </w:p>
        </w:tc>
        <w:tc>
          <w:tcPr>
            <w:tcW w:w="6179" w:type="dxa"/>
            <w:gridSpan w:val="2"/>
            <w:noWrap w:val="0"/>
            <w:vAlign w:val="center"/>
          </w:tcPr>
          <w:p>
            <w:pPr>
              <w:spacing w:line="400" w:lineRule="exact"/>
              <w:rPr>
                <w:rFonts w:ascii="Times New Roman" w:hAnsi="Times New Roman"/>
                <w:color w:val="auto"/>
                <w:szCs w:val="21"/>
              </w:rPr>
            </w:pPr>
            <w:r>
              <w:rPr>
                <w:rFonts w:ascii="Times New Roman" w:hAnsi="Times New Roman"/>
                <w:color w:val="auto"/>
                <w:szCs w:val="21"/>
              </w:rPr>
              <w:t>代理费用：</w:t>
            </w:r>
          </w:p>
          <w:p>
            <w:pPr>
              <w:spacing w:line="400" w:lineRule="exact"/>
              <w:rPr>
                <w:rFonts w:ascii="Times New Roman" w:hAnsi="Times New Roman"/>
                <w:color w:val="auto"/>
                <w:szCs w:val="21"/>
              </w:rPr>
            </w:pPr>
            <w:r>
              <w:rPr>
                <w:rFonts w:ascii="Times New Roman" w:hAnsi="Times New Roman"/>
                <w:color w:val="auto"/>
                <w:szCs w:val="21"/>
              </w:rPr>
              <w:t>（1）本项目代理费用由</w:t>
            </w:r>
            <w:r>
              <w:rPr>
                <w:rFonts w:ascii="Times New Roman" w:hAnsi="Times New Roman"/>
                <w:color w:val="auto"/>
                <w:szCs w:val="21"/>
                <w:u w:val="single"/>
              </w:rPr>
              <w:t>中标人</w:t>
            </w:r>
            <w:r>
              <w:rPr>
                <w:rFonts w:ascii="Times New Roman" w:hAnsi="Times New Roman"/>
                <w:color w:val="auto"/>
                <w:szCs w:val="21"/>
              </w:rPr>
              <w:t>支付。</w:t>
            </w:r>
          </w:p>
          <w:p>
            <w:pPr>
              <w:spacing w:line="400" w:lineRule="exact"/>
              <w:rPr>
                <w:rFonts w:ascii="Times New Roman" w:hAnsi="Times New Roman"/>
                <w:color w:val="auto"/>
                <w:szCs w:val="21"/>
              </w:rPr>
            </w:pPr>
            <w:r>
              <w:rPr>
                <w:rFonts w:ascii="Times New Roman" w:hAnsi="Times New Roman"/>
                <w:color w:val="auto"/>
                <w:szCs w:val="21"/>
              </w:rPr>
              <w:t>（2）代理费用收取方式及标准：</w:t>
            </w:r>
          </w:p>
          <w:p>
            <w:pPr>
              <w:spacing w:line="400" w:lineRule="exact"/>
              <w:rPr>
                <w:rFonts w:ascii="Times New Roman" w:hAnsi="Times New Roman"/>
                <w:color w:val="auto"/>
                <w:szCs w:val="21"/>
              </w:rPr>
            </w:pPr>
            <w:r>
              <w:rPr>
                <w:rFonts w:hint="eastAsia" w:ascii="Times New Roman" w:hAnsi="Times New Roman"/>
                <w:color w:val="auto"/>
                <w:szCs w:val="21"/>
              </w:rPr>
              <w:t>以采购包的中标金额为基数，按差额定率累进法计算，向中标人收取，中标人应以转账或电汇等付款方式一次性向采购代理机构缴纳招标代理服务费。</w:t>
            </w:r>
          </w:p>
          <w:p>
            <w:pPr>
              <w:spacing w:line="400" w:lineRule="exact"/>
              <w:rPr>
                <w:rFonts w:ascii="Times New Roman" w:hAnsi="Times New Roman"/>
                <w:color w:val="auto"/>
                <w:szCs w:val="21"/>
              </w:rPr>
            </w:pPr>
            <w:r>
              <w:rPr>
                <w:rFonts w:hint="eastAsia" w:ascii="Times New Roman" w:hAnsi="Times New Roman"/>
                <w:color w:val="auto"/>
                <w:szCs w:val="21"/>
              </w:rPr>
              <w:t>附：招标代理服务费收费标准：100(万元)以下部分按1.5%，按差额定率累进法计算收取。</w:t>
            </w:r>
          </w:p>
          <w:p>
            <w:pPr>
              <w:spacing w:line="400" w:lineRule="exact"/>
              <w:rPr>
                <w:rFonts w:ascii="Times New Roman" w:hAnsi="Times New Roman"/>
                <w:color w:val="auto"/>
                <w:szCs w:val="21"/>
              </w:rPr>
            </w:pPr>
            <w:r>
              <w:rPr>
                <w:rFonts w:hint="eastAsia" w:ascii="Times New Roman" w:hAnsi="Times New Roman"/>
                <w:color w:val="auto"/>
                <w:szCs w:val="21"/>
              </w:rPr>
              <w:t>收款人开户名：福建省智信招标有限公司</w:t>
            </w:r>
          </w:p>
          <w:p>
            <w:pPr>
              <w:spacing w:line="400" w:lineRule="exact"/>
              <w:rPr>
                <w:rFonts w:ascii="Times New Roman" w:hAnsi="Times New Roman"/>
                <w:color w:val="auto"/>
                <w:szCs w:val="21"/>
              </w:rPr>
            </w:pPr>
            <w:r>
              <w:rPr>
                <w:rFonts w:hint="eastAsia" w:ascii="Times New Roman" w:hAnsi="Times New Roman"/>
                <w:color w:val="auto"/>
                <w:szCs w:val="21"/>
              </w:rPr>
              <w:t>开   户   行：中国光大银行福州市杨桥支行</w:t>
            </w:r>
          </w:p>
          <w:p>
            <w:pPr>
              <w:spacing w:line="400" w:lineRule="exact"/>
              <w:rPr>
                <w:rFonts w:ascii="Times New Roman" w:hAnsi="Times New Roman"/>
                <w:color w:val="auto"/>
                <w:szCs w:val="21"/>
              </w:rPr>
            </w:pPr>
            <w:r>
              <w:rPr>
                <w:rFonts w:hint="eastAsia" w:ascii="Times New Roman" w:hAnsi="Times New Roman"/>
                <w:color w:val="auto"/>
                <w:szCs w:val="21"/>
              </w:rPr>
              <w:t xml:space="preserve">账        号：087739120100304037933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topLinePunct/>
              <w:autoSpaceDE w:val="0"/>
              <w:autoSpaceDN w:val="0"/>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31</w:t>
            </w:r>
          </w:p>
        </w:tc>
        <w:tc>
          <w:tcPr>
            <w:tcW w:w="1863" w:type="dxa"/>
            <w:noWrap w:val="0"/>
            <w:vAlign w:val="center"/>
          </w:tcPr>
          <w:p>
            <w:pPr>
              <w:adjustRightInd w:val="0"/>
              <w:snapToGrid w:val="0"/>
              <w:spacing w:line="400" w:lineRule="exact"/>
              <w:jc w:val="center"/>
              <w:rPr>
                <w:rFonts w:ascii="Times New Roman" w:hAnsi="Times New Roman"/>
                <w:color w:val="auto"/>
                <w:szCs w:val="21"/>
              </w:rPr>
            </w:pPr>
            <w:r>
              <w:rPr>
                <w:rFonts w:ascii="Times New Roman" w:hAnsi="Times New Roman"/>
                <w:color w:val="auto"/>
                <w:szCs w:val="21"/>
              </w:rPr>
              <w:t>其他补充事项</w:t>
            </w:r>
          </w:p>
        </w:tc>
        <w:tc>
          <w:tcPr>
            <w:tcW w:w="6179" w:type="dxa"/>
            <w:gridSpan w:val="2"/>
            <w:noWrap w:val="0"/>
            <w:vAlign w:val="center"/>
          </w:tcPr>
          <w:p>
            <w:pPr>
              <w:spacing w:line="360" w:lineRule="auto"/>
              <w:rPr>
                <w:color w:val="auto"/>
              </w:rPr>
            </w:pPr>
            <w:r>
              <w:rPr>
                <w:rFonts w:hint="eastAsia"/>
                <w:color w:val="auto"/>
              </w:rPr>
              <w:t>1.本项目为线下招标项目，招标文件中涉及“线上采购项目”等有关规定的，均不适用于本项目。（若有矛盾，以此为准。）</w:t>
            </w:r>
          </w:p>
          <w:p>
            <w:pPr>
              <w:spacing w:line="360" w:lineRule="auto"/>
              <w:rPr>
                <w:color w:val="auto"/>
              </w:rPr>
            </w:pPr>
            <w:r>
              <w:rPr>
                <w:rFonts w:hint="eastAsia"/>
                <w:color w:val="auto"/>
              </w:rPr>
              <w:t>2.特别提示：本表与招标文件对应章节的内容若不一致，以本表为准。</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Times New Roman" w:hAnsi="Times New Roman" w:eastAsia="黑体" w:cs="Times New Roman"/>
          <w:color w:val="auto"/>
          <w:sz w:val="21"/>
          <w:szCs w:val="21"/>
          <w:highlight w:val="none"/>
        </w:rPr>
      </w:pPr>
      <w:bookmarkStart w:id="38" w:name="_Toc132880274"/>
      <w:r>
        <w:rPr>
          <w:rFonts w:hint="default" w:ascii="Times New Roman" w:hAnsi="Times New Roman" w:eastAsia="黑体" w:cs="Times New Roman"/>
          <w:color w:val="auto"/>
          <w:sz w:val="21"/>
          <w:szCs w:val="21"/>
          <w:highlight w:val="none"/>
        </w:rPr>
        <w:br w:type="page"/>
      </w:r>
      <w:bookmarkStart w:id="39" w:name="_Toc24284"/>
      <w:bookmarkStart w:id="40" w:name="_Toc19626"/>
      <w:r>
        <w:rPr>
          <w:rStyle w:val="31"/>
          <w:rFonts w:hint="default"/>
          <w:color w:val="auto"/>
          <w:sz w:val="32"/>
          <w:szCs w:val="32"/>
          <w:lang w:val="en-US" w:eastAsia="zh-CN"/>
        </w:rPr>
        <w:t>一、总则</w:t>
      </w:r>
      <w:bookmarkEnd w:id="38"/>
      <w:bookmarkEnd w:id="39"/>
      <w:bookmarkEnd w:id="40"/>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1.预算资金及来源</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 本项目已经</w:t>
      </w:r>
      <w:r>
        <w:rPr>
          <w:rFonts w:hint="default" w:ascii="Times New Roman" w:hAnsi="Times New Roman" w:cs="Times New Roman"/>
          <w:b/>
          <w:color w:val="auto"/>
          <w:sz w:val="21"/>
          <w:szCs w:val="21"/>
          <w:highlight w:val="none"/>
          <w:u w:val="single"/>
        </w:rPr>
        <w:t>国家税务总局</w:t>
      </w:r>
      <w:r>
        <w:rPr>
          <w:rFonts w:hint="eastAsia" w:ascii="Times New Roman" w:hAnsi="Times New Roman" w:cs="Times New Roman"/>
          <w:b/>
          <w:color w:val="auto"/>
          <w:sz w:val="21"/>
          <w:szCs w:val="21"/>
          <w:highlight w:val="none"/>
          <w:u w:val="single"/>
          <w:lang w:val="en-US" w:eastAsia="zh-CN"/>
        </w:rPr>
        <w:t>南平市</w:t>
      </w:r>
      <w:r>
        <w:rPr>
          <w:rFonts w:hint="default" w:ascii="Times New Roman" w:hAnsi="Times New Roman" w:cs="Times New Roman"/>
          <w:b/>
          <w:color w:val="auto"/>
          <w:sz w:val="21"/>
          <w:szCs w:val="21"/>
          <w:highlight w:val="none"/>
          <w:u w:val="single"/>
        </w:rPr>
        <w:t>税务局</w:t>
      </w:r>
      <w:r>
        <w:rPr>
          <w:rFonts w:hint="default" w:ascii="Times New Roman" w:hAnsi="Times New Roman" w:cs="Times New Roman"/>
          <w:color w:val="auto"/>
          <w:sz w:val="21"/>
          <w:szCs w:val="21"/>
          <w:highlight w:val="none"/>
        </w:rPr>
        <w:t>批准立项。</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 本项目预算资金见</w:t>
      </w:r>
      <w:r>
        <w:rPr>
          <w:rFonts w:hint="default" w:ascii="Times New Roman" w:hAnsi="Times New Roman" w:cs="Times New Roman"/>
          <w:b/>
          <w:bCs/>
          <w:color w:val="auto"/>
          <w:sz w:val="21"/>
          <w:szCs w:val="21"/>
          <w:highlight w:val="none"/>
        </w:rPr>
        <w:t>投标人须知前附表</w:t>
      </w:r>
      <w:r>
        <w:rPr>
          <w:rFonts w:hint="default" w:ascii="Times New Roman" w:hAnsi="Times New Roman" w:cs="Times New Roman"/>
          <w:color w:val="auto"/>
          <w:sz w:val="21"/>
          <w:szCs w:val="21"/>
          <w:highlight w:val="none"/>
        </w:rPr>
        <w:t>，已列入</w:t>
      </w:r>
      <w:r>
        <w:rPr>
          <w:rFonts w:hint="default" w:ascii="Times New Roman" w:hAnsi="Times New Roman" w:cs="Times New Roman"/>
          <w:b/>
          <w:color w:val="auto"/>
          <w:sz w:val="21"/>
          <w:szCs w:val="21"/>
          <w:highlight w:val="none"/>
          <w:u w:val="single"/>
        </w:rPr>
        <w:t>国家税务总局</w:t>
      </w:r>
      <w:r>
        <w:rPr>
          <w:rFonts w:hint="eastAsia" w:ascii="Times New Roman" w:hAnsi="Times New Roman" w:cs="Times New Roman"/>
          <w:b/>
          <w:color w:val="auto"/>
          <w:sz w:val="21"/>
          <w:szCs w:val="21"/>
          <w:highlight w:val="none"/>
          <w:u w:val="single"/>
          <w:lang w:val="en-US" w:eastAsia="zh-CN"/>
        </w:rPr>
        <w:t>南平市</w:t>
      </w:r>
      <w:r>
        <w:rPr>
          <w:rFonts w:hint="default" w:ascii="Times New Roman" w:hAnsi="Times New Roman" w:cs="Times New Roman"/>
          <w:b/>
          <w:color w:val="auto"/>
          <w:sz w:val="21"/>
          <w:szCs w:val="21"/>
          <w:highlight w:val="none"/>
          <w:u w:val="single"/>
        </w:rPr>
        <w:t>税务局</w:t>
      </w:r>
      <w:r>
        <w:rPr>
          <w:rFonts w:hint="default" w:ascii="Times New Roman" w:hAnsi="Times New Roman" w:cs="Times New Roman"/>
          <w:color w:val="auto"/>
          <w:sz w:val="21"/>
          <w:szCs w:val="21"/>
          <w:highlight w:val="none"/>
        </w:rPr>
        <w:t>预算。</w:t>
      </w:r>
    </w:p>
    <w:p>
      <w:pPr>
        <w:pageBreakBefore w:val="0"/>
        <w:numPr>
          <w:ilvl w:val="0"/>
          <w:numId w:val="0"/>
        </w:numPr>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2.合格的产品和服务</w:t>
      </w:r>
    </w:p>
    <w:p>
      <w:pPr>
        <w:pageBreakBefore w:val="0"/>
        <w:tabs>
          <w:tab w:val="left" w:pos="2160"/>
        </w:tabs>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 本项目所涉及的所有产品和服务均应来自中国境内（指关境内），合同金额的支付也仅限于这些产品和服务。</w:t>
      </w:r>
    </w:p>
    <w:p>
      <w:pPr>
        <w:pageBreakBefore w:val="0"/>
        <w:tabs>
          <w:tab w:val="left" w:pos="2160"/>
        </w:tabs>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2.2 合格的产品和服务即</w:t>
      </w:r>
      <w:r>
        <w:rPr>
          <w:rFonts w:hint="default" w:ascii="Times New Roman" w:hAnsi="Times New Roman" w:cs="Times New Roman"/>
          <w:b/>
          <w:bCs/>
          <w:color w:val="auto"/>
          <w:sz w:val="21"/>
          <w:szCs w:val="21"/>
          <w:highlight w:val="none"/>
        </w:rPr>
        <w:t>采购需求</w:t>
      </w:r>
      <w:r>
        <w:rPr>
          <w:rFonts w:hint="default" w:ascii="Times New Roman" w:hAnsi="Times New Roman" w:cs="Times New Roman"/>
          <w:color w:val="auto"/>
          <w:sz w:val="21"/>
          <w:szCs w:val="21"/>
          <w:highlight w:val="none"/>
        </w:rPr>
        <w:t>见</w:t>
      </w:r>
      <w:r>
        <w:rPr>
          <w:rFonts w:hint="default" w:ascii="Times New Roman" w:hAnsi="Times New Roman" w:cs="Times New Roman"/>
          <w:b/>
          <w:color w:val="auto"/>
          <w:sz w:val="21"/>
          <w:szCs w:val="21"/>
          <w:highlight w:val="none"/>
        </w:rPr>
        <w:t>招标文件（技术部分）。</w:t>
      </w:r>
    </w:p>
    <w:p>
      <w:pPr>
        <w:pageBreakBefore w:val="0"/>
        <w:kinsoku/>
        <w:wordWrap/>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 投标人应保证所提供的产品及服务免受第三方提出侵犯其知识产权（专利权、商标权、工业设计权及使用权）的请求及起诉。</w:t>
      </w:r>
    </w:p>
    <w:p>
      <w:pPr>
        <w:pageBreakBefore w:val="0"/>
        <w:numPr>
          <w:ilvl w:val="0"/>
          <w:numId w:val="0"/>
        </w:numPr>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3.合格的投标人</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3.1一般规定</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3.1.1投标人应遵守《政府采购法》及其实施条例、《政府采购货物和服务招标投标管理办法》、《政府采购质疑和投诉办法》及有关政府采购的规定，同时还应遵守有关法律、法规和规章的强制性规定。</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3.1.2投标人的资格要求及本项目的特定资格要求见</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3.1.3资格条件中所称“重大违法记录”，是指投标人因违法经营受到刑事处罚或者责令停产停业、吊销许可证或者执照、较大数额罚款等行政处罚。</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投标人在参加政府采购活动前3年内因违法经营被禁止在一定期限内参加政府采购活动，期限届满的，可以参加政府采购活动。</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“较大数额罚款”认定为200万元以上的罚款，法律、行政法规以及国务院有关部门明确规定相关领域“较大数额罚款”标准高于200万元的，从其规定。</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3.1.4信用记录要求</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采购人、采购代理机构应当通过“信用中国”网站（www.creditchina.gov.cn）、中国政府采购网（www.ccgp.gov.cn）等渠道查询投标人的信用记录，并对投标人信用记录进行甄别，对列入失信被执行人、重大税收违法案件当事人名单、政府采购严重违法失信行为记录名单及其他不符合《中华人民共和国政府采购法》第二十二条规定条件的投标人，应当拒绝其参与政府采购活动。</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3.2联合体</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3.2.1若本项目接受联合体投标，则两个以上的自然人、法人或者其他组织可以组成一个联合体，以一个投标人的身份共同参加政府采购。</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3.2.2以联合体形式参加投标的，联合体各方应按第二章要求提供资格条件材料。</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3.2.3联合体中有同类资质的投标人按照联合体分工承担相同工作的，应当按照资质等级较低的投标人确定资质等级。</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3.2.4联合体应当提交联合协议，载明联合体各方承担的工作和义务。</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3.2.5联合体各方应当共同与采购人签订采购合同，就采购合同约定的事项对采购人承担连带责任。</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3.2.6以联合体形式参加政府采购活动的，联合体各方不得再单独参加或者与其他投标人另外组成联合体参加同一合同项下的政府采购活动。</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3.3禁止规定</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3.3.1单位负责人为同一人或者存在直接控股、管理关系的不同投标人，不得参加同一采购包的政府采购活动。否则投标均无效。</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3.3.2除单一来源采购项目外，为采购项目提供整体设计、规范编制或者项目管理、监理、检测等服务的供应商，不得再参加该采购项目的其他采购活动。否则投标无效。</w:t>
      </w:r>
    </w:p>
    <w:p>
      <w:pPr>
        <w:pageBreakBefore w:val="0"/>
        <w:numPr>
          <w:ilvl w:val="0"/>
          <w:numId w:val="0"/>
        </w:numPr>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4.投标费用</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4.1 投标人应承担所有与编写、提交投标文件有关的费用，不论招标的结果如何，采购人在任何情况下均无义务和责任承担这些费用。</w:t>
      </w:r>
    </w:p>
    <w:p>
      <w:pPr>
        <w:pStyle w:val="3"/>
        <w:bidi w:val="0"/>
        <w:jc w:val="center"/>
        <w:rPr>
          <w:rFonts w:hint="eastAsia"/>
          <w:color w:val="auto"/>
          <w:sz w:val="32"/>
          <w:szCs w:val="32"/>
          <w:lang w:val="en-US" w:eastAsia="zh-CN"/>
        </w:rPr>
      </w:pPr>
      <w:bookmarkStart w:id="41" w:name="_Toc132880275"/>
      <w:bookmarkStart w:id="42" w:name="_Toc8290"/>
      <w:bookmarkStart w:id="43" w:name="_Toc7401"/>
      <w:r>
        <w:rPr>
          <w:rFonts w:hint="eastAsia"/>
          <w:color w:val="auto"/>
          <w:sz w:val="32"/>
          <w:szCs w:val="32"/>
          <w:lang w:val="en-US" w:eastAsia="zh-CN"/>
        </w:rPr>
        <w:t>二、招标文件</w:t>
      </w:r>
      <w:bookmarkEnd w:id="41"/>
      <w:bookmarkEnd w:id="42"/>
      <w:bookmarkEnd w:id="43"/>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5.招标文件构成</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第一部分 商务部分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（1）招标公告</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（2）投标人须知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（3）评标方法及标准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（4）政府采购合同文本</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（5）投标文件格式</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第二部分 技术部分</w:t>
      </w:r>
    </w:p>
    <w:p>
      <w:pPr>
        <w:pageBreakBefore w:val="0"/>
        <w:kinsoku/>
        <w:wordWrap/>
        <w:topLinePunct/>
        <w:autoSpaceDE w:val="0"/>
        <w:autoSpaceDN w:val="0"/>
        <w:bidi w:val="0"/>
        <w:adjustRightInd w:val="0"/>
        <w:snapToGrid w:val="0"/>
        <w:spacing w:after="0" w:line="360" w:lineRule="auto"/>
        <w:ind w:firstLine="413" w:firstLineChars="196"/>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6.招标文件询问、澄清或修改</w:t>
      </w:r>
    </w:p>
    <w:p>
      <w:pPr>
        <w:pageBreakBefore w:val="0"/>
        <w:widowControl/>
        <w:kinsoku/>
        <w:wordWrap/>
        <w:topLinePunct/>
        <w:autoSpaceDE w:val="0"/>
        <w:autoSpaceDN w:val="0"/>
        <w:bidi w:val="0"/>
        <w:adjustRightInd w:val="0"/>
        <w:snapToGrid w:val="0"/>
        <w:spacing w:after="0" w:line="360" w:lineRule="auto"/>
        <w:ind w:firstLine="420" w:firstLineChars="200"/>
        <w:jc w:val="left"/>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6.1 投标人对招标文件如有疑问的，可以向采购人或者采购代理机构提出询问，采购人或者采购代理机构应当在3个工作日内作出答复</w:t>
      </w:r>
      <w:r>
        <w:rPr>
          <w:rFonts w:hint="default" w:ascii="Times New Roman" w:hAnsi="Times New Roman" w:cs="Times New Roman"/>
          <w:bCs/>
          <w:color w:val="auto"/>
          <w:sz w:val="21"/>
          <w:szCs w:val="21"/>
          <w:highlight w:val="none"/>
        </w:rPr>
        <w:t>，但答复的内容不得涉及商业秘密。</w:t>
      </w:r>
      <w:r>
        <w:rPr>
          <w:rFonts w:hint="default" w:ascii="Times New Roman" w:hAnsi="Times New Roman" w:cs="Times New Roman"/>
          <w:color w:val="auto"/>
          <w:sz w:val="21"/>
          <w:szCs w:val="21"/>
          <w:highlight w:val="none"/>
        </w:rPr>
        <w:t>如有必要，采购人或者采购代理机构可对招标文件进行澄清或者修改。</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6.2 采购人或者采购代理机构可主动对招标文件进行必要的澄清或者修改，但不得改变采购标的和资格条件。</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6.3 澄清或者修改应当在原公告发布媒体上发布澄清公告，线上采购项目还应通过国家税务总局政府采购评审管理系统（以下简称“评审管理系统”）通知所有获取招标文件的潜在投标人。</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6.4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6.5 澄清或者修改的内容为招标文件的组成部分。</w:t>
      </w:r>
    </w:p>
    <w:p>
      <w:pPr>
        <w:pStyle w:val="3"/>
        <w:bidi w:val="0"/>
        <w:jc w:val="center"/>
        <w:rPr>
          <w:rFonts w:hint="eastAsia" w:ascii="宋体" w:hAnsi="宋体" w:eastAsia="宋体" w:cs="Times New Roman"/>
          <w:b/>
          <w:color w:val="auto"/>
          <w:szCs w:val="36"/>
          <w:lang w:val="en-US" w:eastAsia="zh-CN"/>
        </w:rPr>
      </w:pPr>
      <w:bookmarkStart w:id="44" w:name="_Toc132880276"/>
      <w:bookmarkStart w:id="45" w:name="_Toc11522"/>
      <w:bookmarkStart w:id="46" w:name="_Toc19685"/>
      <w:r>
        <w:rPr>
          <w:rFonts w:hint="eastAsia"/>
          <w:color w:val="auto"/>
          <w:sz w:val="32"/>
          <w:szCs w:val="32"/>
          <w:lang w:val="en-US" w:eastAsia="zh-CN"/>
        </w:rPr>
        <w:t>三、投标文件</w:t>
      </w:r>
      <w:bookmarkEnd w:id="44"/>
      <w:bookmarkEnd w:id="45"/>
      <w:bookmarkEnd w:id="46"/>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7</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投标文件编制</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7.1投标文件的编制</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7.1.1投标人应先仔细阅读招标文件的全部内容后，再进行投标文件的编制。</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7.1.2投标文件应满足招标文件提出的实质性要求和条件，并保证其所提交的全部资料是不可割离且真实、有效、准确、完整和不具有任何误导性的，否则造成不利后果由投标人承担责任。</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7.2投标文件的语言</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7.2.1除招标文件另有规定外，投标文件应使用中文文本并使用中文简化字，若有不同文本，以中文简化字文本为准。</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7.2.2投标文件提供的全部资料中，若属于非中文描述的，应同时提供中文简化字译本。</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7.2.3除在招标文件的要求中另有规定外，投标文件计量单位应使用中华人民共和国法定计量单位。</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8.投标文件的组成</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8.1 投标文件包括商务部分和技术部分。</w:t>
      </w:r>
    </w:p>
    <w:p>
      <w:pPr>
        <w:pageBreakBefore w:val="0"/>
        <w:kinsoku/>
        <w:wordWrap/>
        <w:topLinePunct/>
        <w:autoSpaceDE w:val="0"/>
        <w:autoSpaceDN w:val="0"/>
        <w:bidi w:val="0"/>
        <w:adjustRightInd w:val="0"/>
        <w:snapToGrid w:val="0"/>
        <w:spacing w:after="0" w:line="360" w:lineRule="auto"/>
        <w:ind w:firstLine="428" w:firstLineChars="204"/>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 投标文件</w:t>
      </w:r>
      <w:r>
        <w:rPr>
          <w:rFonts w:hint="default" w:ascii="Times New Roman" w:hAnsi="Times New Roman" w:eastAsia="宋体" w:cs="Times New Roman"/>
          <w:b/>
          <w:bCs/>
          <w:color w:val="auto"/>
          <w:sz w:val="21"/>
          <w:szCs w:val="21"/>
          <w:highlight w:val="none"/>
        </w:rPr>
        <w:t>商务部分</w:t>
      </w:r>
      <w:r>
        <w:rPr>
          <w:rFonts w:hint="default" w:ascii="Times New Roman" w:hAnsi="Times New Roman" w:eastAsia="宋体" w:cs="Times New Roman"/>
          <w:color w:val="auto"/>
          <w:sz w:val="21"/>
          <w:szCs w:val="21"/>
          <w:highlight w:val="none"/>
        </w:rPr>
        <w:t>主要包括的文件和资料：</w:t>
      </w:r>
    </w:p>
    <w:p>
      <w:pPr>
        <w:pageBreakBefore w:val="0"/>
        <w:kinsoku/>
        <w:wordWrap/>
        <w:topLinePunct/>
        <w:autoSpaceDE w:val="0"/>
        <w:autoSpaceDN w:val="0"/>
        <w:bidi w:val="0"/>
        <w:adjustRightInd w:val="0"/>
        <w:snapToGrid w:val="0"/>
        <w:spacing w:after="0" w:line="360" w:lineRule="auto"/>
        <w:ind w:firstLine="428" w:firstLineChars="204"/>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8.2.1 资格证明文件，见</w:t>
      </w:r>
      <w:r>
        <w:rPr>
          <w:rFonts w:hint="default" w:ascii="Times New Roman" w:hAnsi="Times New Roman" w:eastAsia="宋体" w:cs="Times New Roman"/>
          <w:b/>
          <w:color w:val="auto"/>
          <w:sz w:val="21"/>
          <w:szCs w:val="21"/>
          <w:highlight w:val="none"/>
        </w:rPr>
        <w:t>投标人须知前附表。</w:t>
      </w:r>
    </w:p>
    <w:p>
      <w:pPr>
        <w:pageBreakBefore w:val="0"/>
        <w:kinsoku/>
        <w:wordWrap/>
        <w:overflowPunct w:val="0"/>
        <w:autoSpaceDE w:val="0"/>
        <w:autoSpaceDN w:val="0"/>
        <w:bidi w:val="0"/>
        <w:adjustRightInd w:val="0"/>
        <w:snapToGrid w:val="0"/>
        <w:spacing w:after="0" w:line="360" w:lineRule="auto"/>
        <w:ind w:firstLine="426" w:firstLineChars="203"/>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8.2.2 其他文件及资料，见</w:t>
      </w:r>
      <w:r>
        <w:rPr>
          <w:rFonts w:hint="default" w:ascii="Times New Roman" w:hAnsi="Times New Roman" w:eastAsia="宋体" w:cs="Times New Roman"/>
          <w:b/>
          <w:color w:val="auto"/>
          <w:sz w:val="21"/>
          <w:szCs w:val="21"/>
          <w:highlight w:val="none"/>
        </w:rPr>
        <w:t>投标人须知前附表。</w:t>
      </w:r>
    </w:p>
    <w:p>
      <w:pPr>
        <w:pageBreakBefore w:val="0"/>
        <w:kinsoku/>
        <w:wordWrap/>
        <w:overflowPunct w:val="0"/>
        <w:autoSpaceDE w:val="0"/>
        <w:autoSpaceDN w:val="0"/>
        <w:bidi w:val="0"/>
        <w:adjustRightInd w:val="0"/>
        <w:snapToGrid w:val="0"/>
        <w:spacing w:after="0" w:line="360" w:lineRule="auto"/>
        <w:ind w:firstLine="426" w:firstLineChars="203"/>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8.3 投标文件</w:t>
      </w:r>
      <w:r>
        <w:rPr>
          <w:rFonts w:hint="default" w:ascii="Times New Roman" w:hAnsi="Times New Roman" w:eastAsia="宋体" w:cs="Times New Roman"/>
          <w:b/>
          <w:bCs/>
          <w:color w:val="auto"/>
          <w:sz w:val="21"/>
          <w:szCs w:val="21"/>
          <w:highlight w:val="none"/>
        </w:rPr>
        <w:t>技术部分</w:t>
      </w:r>
      <w:r>
        <w:rPr>
          <w:rFonts w:hint="default" w:ascii="Times New Roman" w:hAnsi="Times New Roman" w:eastAsia="宋体" w:cs="Times New Roman"/>
          <w:color w:val="auto"/>
          <w:sz w:val="21"/>
          <w:szCs w:val="21"/>
          <w:highlight w:val="none"/>
        </w:rPr>
        <w:t>主要包括的文件及资料，见</w:t>
      </w:r>
      <w:r>
        <w:rPr>
          <w:rFonts w:hint="default" w:ascii="Times New Roman" w:hAnsi="Times New Roman" w:eastAsia="宋体" w:cs="Times New Roman"/>
          <w:b/>
          <w:color w:val="auto"/>
          <w:sz w:val="21"/>
          <w:szCs w:val="21"/>
          <w:highlight w:val="none"/>
        </w:rPr>
        <w:t>投标人须知前附表。</w:t>
      </w:r>
    </w:p>
    <w:p>
      <w:pPr>
        <w:pageBreakBefore w:val="0"/>
        <w:kinsoku/>
        <w:wordWrap/>
        <w:overflowPunct w:val="0"/>
        <w:autoSpaceDE w:val="0"/>
        <w:autoSpaceDN w:val="0"/>
        <w:bidi w:val="0"/>
        <w:adjustRightInd w:val="0"/>
        <w:snapToGrid w:val="0"/>
        <w:spacing w:after="0" w:line="360" w:lineRule="auto"/>
        <w:ind w:firstLine="426" w:firstLineChars="203"/>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8.4 证明资料如标明有效期的，必须在有效期内。</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9.报价要求</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9.1 除招标文件另有规定外，投标应以人民币报价。</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9.2 本项目不接受任何形式的赠送、“零”报价和折扣报价。</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9.3 本项目以投标报价为依据计算价格分。投标报价应包括招标文件中要求投标人承担所有工作内容的全部费用。</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9.5 最低报价不能作为中标的保证。</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10.投标文件的书写、密封、签署、盖章</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10.1书写</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10.1.1投标文件应使用不能擦去的墨料或墨水打印、书写。</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10.1.2投标文件内容应没有涂改或行间插字。若有前述改动，在改动处应由单位负责人（投标人代表）签字确认或加盖投标人的单位公章或校正章。</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10.2密封</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10.2.1投标文件应胶装或装订成册，避免材料散装、脱落。</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10.2.2投标文件应使用不透明的牛皮纸或档案袋等材料密封包装，并在外包装封面注明“正本”或“副本”，以及项目编号、项目名称、开标时间等信息，避免投标文件被误拆或提前拆封。投标文件正本应按上述要求制作。副本可按上述要求制作，也可用正本的完整复印件，并与正本保持一致（若不一致，以正本为准）</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10.3签署、盖章</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10.3.1</w:t>
      </w:r>
      <w:r>
        <w:rPr>
          <w:rFonts w:hint="default" w:ascii="Times New Roman" w:hAnsi="Times New Roman" w:cs="Times New Roman"/>
          <w:color w:val="auto"/>
          <w:sz w:val="21"/>
          <w:szCs w:val="21"/>
          <w:highlight w:val="none"/>
        </w:rPr>
        <w:t>投标文件中要求签字处应由投标人的单位负责人（投标人代表）签字或加盖个人印章。</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10.3.2投标文件必须按照招标文件给出文件格式的签署要求进行签署。</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10.3.3投标人在</w:t>
      </w:r>
      <w:r>
        <w:rPr>
          <w:rFonts w:hint="default" w:ascii="Times New Roman" w:hAnsi="Times New Roman" w:eastAsia="宋体" w:cs="Times New Roman"/>
          <w:b/>
          <w:bCs/>
          <w:color w:val="auto"/>
          <w:sz w:val="21"/>
          <w:szCs w:val="21"/>
          <w:highlight w:val="none"/>
        </w:rPr>
        <w:t>“投标函”“法定代表人授权委托书”</w:t>
      </w:r>
      <w:r>
        <w:rPr>
          <w:rFonts w:hint="default" w:ascii="Times New Roman" w:hAnsi="Times New Roman" w:eastAsia="宋体" w:cs="Times New Roman"/>
          <w:color w:val="auto"/>
          <w:sz w:val="21"/>
          <w:szCs w:val="21"/>
          <w:highlight w:val="none"/>
        </w:rPr>
        <w:t>上应当按格式要求加盖与投标人名称全称一致的标准公章，并按照招标文件第五章投标文件格式中的相应格式文件要求签署全名或加盖名章。</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10.3.4投标文件中的“盖章”指加盖投标人的“公章”，而非“合同专用章”、“投标专用章”等其他非公章。</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投标有效期</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11.1 投标有效期见</w:t>
      </w:r>
      <w:r>
        <w:rPr>
          <w:rFonts w:hint="default" w:ascii="Times New Roman" w:hAnsi="Times New Roman" w:eastAsia="宋体" w:cs="Times New Roman"/>
          <w:b/>
          <w:color w:val="auto"/>
          <w:sz w:val="21"/>
          <w:szCs w:val="21"/>
          <w:highlight w:val="none"/>
        </w:rPr>
        <w:t>投标人须知前附表</w:t>
      </w:r>
      <w:r>
        <w:rPr>
          <w:rFonts w:hint="default" w:ascii="Times New Roman" w:hAnsi="Times New Roman" w:eastAsia="宋体" w:cs="Times New Roman"/>
          <w:color w:val="auto"/>
          <w:sz w:val="21"/>
          <w:szCs w:val="21"/>
          <w:highlight w:val="none"/>
        </w:rPr>
        <w:t>，在此期间，投标文件对投标人具有法律约束力，以保证采购人或者采购代理机构有足够的时间完成评标、定标以及签订合同。投标文件中承诺的投标有效期应当不少于招标文件中载明的投标有效期，否则作为无效投标处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11.2 特殊情况下，在原投标有效期期满之前，采购人或者采购代理机构可征得投标人同意延长投标有效期。</w:t>
      </w:r>
    </w:p>
    <w:p>
      <w:pPr>
        <w:pStyle w:val="3"/>
        <w:bidi w:val="0"/>
        <w:jc w:val="center"/>
        <w:rPr>
          <w:rFonts w:hint="eastAsia"/>
          <w:color w:val="auto"/>
          <w:sz w:val="32"/>
          <w:szCs w:val="32"/>
          <w:lang w:val="en-US" w:eastAsia="zh-CN"/>
        </w:rPr>
      </w:pPr>
      <w:bookmarkStart w:id="47" w:name="_Toc20732"/>
      <w:bookmarkStart w:id="48" w:name="_Toc132880277"/>
      <w:bookmarkStart w:id="49" w:name="_Toc25726"/>
      <w:r>
        <w:rPr>
          <w:rFonts w:hint="eastAsia"/>
          <w:color w:val="auto"/>
          <w:sz w:val="32"/>
          <w:szCs w:val="32"/>
          <w:lang w:val="en-US" w:eastAsia="zh-CN"/>
        </w:rPr>
        <w:t>四、投标文件递交</w:t>
      </w:r>
      <w:bookmarkEnd w:id="47"/>
      <w:bookmarkEnd w:id="48"/>
      <w:bookmarkEnd w:id="49"/>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12</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投标文件递交</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12.1 投标人应当在</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要求提交投标文件截止时间前，根据《投标人须知前附表》载明方式提交投标文件。提交投标文件截止时间后，递交投标文件的投标将被拒绝。</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13</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投标文件补充、修改或撤回</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13.1 投标人在投标截止时间前，可以对所递交的投标文件进行补充、修改或者撤回，并书面通知采购人或者采购代理机构。补充、修改的内容应当按照招标文件要求签署、盖章、密封后，作为投标文件的组成部分。</w:t>
      </w:r>
    </w:p>
    <w:p>
      <w:pPr>
        <w:pageBreakBefore w:val="0"/>
        <w:widowControl/>
        <w:kinsoku/>
        <w:wordWrap/>
        <w:topLinePunct/>
        <w:autoSpaceDE w:val="0"/>
        <w:autoSpaceDN w:val="0"/>
        <w:bidi w:val="0"/>
        <w:adjustRightInd w:val="0"/>
        <w:snapToGrid w:val="0"/>
        <w:spacing w:after="0" w:line="360" w:lineRule="auto"/>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w:t>
      </w: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提交投标文件截止时间后，不支持对已提交的投标文件作任何补充、修改或者撤回。</w:t>
      </w:r>
    </w:p>
    <w:p>
      <w:pPr>
        <w:pStyle w:val="3"/>
        <w:bidi w:val="0"/>
        <w:jc w:val="center"/>
        <w:rPr>
          <w:rFonts w:hint="eastAsia"/>
          <w:color w:val="auto"/>
          <w:sz w:val="32"/>
          <w:szCs w:val="32"/>
          <w:lang w:val="en-US" w:eastAsia="zh-CN"/>
        </w:rPr>
      </w:pPr>
      <w:bookmarkStart w:id="50" w:name="_Toc9193"/>
      <w:bookmarkStart w:id="51" w:name="_Toc13624"/>
      <w:bookmarkStart w:id="52" w:name="_Toc132880278"/>
      <w:r>
        <w:rPr>
          <w:rFonts w:hint="eastAsia"/>
          <w:color w:val="auto"/>
          <w:sz w:val="32"/>
          <w:szCs w:val="32"/>
          <w:lang w:val="en-US" w:eastAsia="zh-CN"/>
        </w:rPr>
        <w:t>五、开标与评标</w:t>
      </w:r>
      <w:bookmarkEnd w:id="50"/>
      <w:bookmarkEnd w:id="51"/>
      <w:bookmarkEnd w:id="52"/>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14</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开标</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14</w:t>
      </w:r>
      <w:r>
        <w:rPr>
          <w:rFonts w:hint="default" w:ascii="Times New Roman" w:hAnsi="Times New Roman" w:cs="Times New Roman"/>
          <w:color w:val="auto"/>
          <w:sz w:val="21"/>
          <w:szCs w:val="21"/>
          <w:highlight w:val="none"/>
        </w:rPr>
        <w:t>.1 开标在招标文件确定的提交投标文件截止时间的同一时间进行。开标地点详见</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14.2 开标由采购人或者采购代理机构主持，邀请投标人参加。评标委员会成员不得参加开标活动。</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14.3 开标时，由投标人或者其推选的代表检查投标文件的密封情况；经确认无误后，由采购人或者采购代理机构工作人员当众拆封，宣布投标人名称、投标价格和招标文件规定的需要宣布的其他内容。</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14.4 开标过程由采购人或者采购代理机构负责记录，由参加开标的各投标人代表和相关工作人员签字确认后随采购文件一并存档。投标人未参加开标的，视同认可开标结果。</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14.5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14.6 在政府采购活动中，采购人员及相关人员与投标人有下列利害关系之一的，应当回避：</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（1）参加采购活动前3年内与投标人存在劳动关系；</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（2）参加采购活动前3年内担任投标人的董事、监事；</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（3）参加采购活动前3年内是投标人的控股股东或者实际控制人；</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（4）与投标人的法定代表人或者负责人有夫妻、直系血亲、三代以内旁系血亲或者近姻亲关系；</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（5）与投标人有其他可能影响政府采购活动公平、公正进行的关系。</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认为采购人员及相关人员（包括评标委员会的组成人员）与其他投标人有利害关系的，可以向采购人或者采购代理机构书面提出回避申请，并说明理由。采购人或者采购代理机构应当及时询问被申请回避人员，有利害关系的被申请回避人员应当回避。</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 xml:space="preserve">14.7 </w:t>
      </w:r>
      <w:r>
        <w:rPr>
          <w:rFonts w:hint="default" w:ascii="Times New Roman" w:hAnsi="Times New Roman" w:eastAsia="宋体" w:cs="Times New Roman"/>
          <w:color w:val="auto"/>
          <w:sz w:val="21"/>
          <w:szCs w:val="21"/>
          <w:highlight w:val="none"/>
        </w:rPr>
        <w:t>采购人</w:t>
      </w:r>
      <w:r>
        <w:rPr>
          <w:rFonts w:hint="default" w:ascii="Times New Roman" w:hAnsi="Times New Roman" w:cs="Times New Roman"/>
          <w:color w:val="auto"/>
          <w:sz w:val="21"/>
          <w:szCs w:val="21"/>
          <w:highlight w:val="none"/>
        </w:rPr>
        <w:t>或者采购代理机构</w:t>
      </w:r>
      <w:r>
        <w:rPr>
          <w:rFonts w:hint="default" w:ascii="Times New Roman" w:hAnsi="Times New Roman" w:eastAsia="宋体" w:cs="Times New Roman"/>
          <w:color w:val="auto"/>
          <w:sz w:val="21"/>
          <w:szCs w:val="21"/>
          <w:highlight w:val="none"/>
        </w:rPr>
        <w:t>将对开标、评标现场活动进行全程录音录像，音像资料作为采购文件一并存档。</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投标资格审查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15.1 公开招标采购项目开标结束后，由采购人或者采购代理机构依法对投标人的资格进行审查，以确定投标人是否具备投标资格。</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15.1.1 审查投标人按照8.2.1提交的</w:t>
      </w:r>
      <w:r>
        <w:rPr>
          <w:rFonts w:hint="default" w:ascii="Times New Roman" w:hAnsi="Times New Roman" w:eastAsia="宋体" w:cs="Times New Roman"/>
          <w:b/>
          <w:color w:val="auto"/>
          <w:sz w:val="21"/>
          <w:szCs w:val="21"/>
          <w:highlight w:val="none"/>
        </w:rPr>
        <w:t>“资格证明文件”</w:t>
      </w:r>
      <w:r>
        <w:rPr>
          <w:rFonts w:hint="default" w:ascii="Times New Roman" w:hAnsi="Times New Roman" w:eastAsia="宋体" w:cs="Times New Roman"/>
          <w:color w:val="auto"/>
          <w:sz w:val="21"/>
          <w:szCs w:val="21"/>
          <w:highlight w:val="none"/>
        </w:rPr>
        <w:t>。</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15.1.2 信用记录审查。</w:t>
      </w:r>
      <w:r>
        <w:rPr>
          <w:rFonts w:hint="default" w:ascii="Times New Roman" w:hAnsi="Times New Roman" w:eastAsia="宋体" w:cs="Times New Roman"/>
          <w:b/>
          <w:bCs/>
          <w:color w:val="auto"/>
          <w:sz w:val="21"/>
          <w:szCs w:val="21"/>
          <w:highlight w:val="none"/>
        </w:rPr>
        <w:t>见投标人须知前附表。</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15.2 未通过资格审查的投标人，其投标无效。</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15.3 合格投标人不足3家的，不得评标。</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16</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评标委员会的组成</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16.1 采购人或者采购代理机构根据有关法律法规规定组建评标委员会，评标委员会由采购人代表和评审专家组成。</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17</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投标符合性审查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17.1 评标委员会对符合资格的投标人的投标文件进行符合性审查，以确定其是否符合招标文件的商务、技术等实质性要求。</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17.2 未通过符合性审查的投标人，其投标无效。</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17.3 通过符合性审查的投标人不足3家的，应予以废标。</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18</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投标文件的澄清</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18.1对于投标文件中含义不明确、同类问题表述不一致或者有明显文字和计算错误的内容，评标委员会应当以书面形式要求投标人作出必要的澄清、说明或者补正。</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18.2投标人的澄清、说明或者补正应当采用书面形式，并加盖公章，或者由法定代表人或其授权的代表签字。投标人的澄清、说明或者补正不得超出投标文件的范围或者改变投标文件的实质性内容。</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18.3关于投标描述（即投标文件中描述的内容）</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（1）投标描述前后不一致且不涉及证明材料的：按照本节第18.1条规定执行。</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（2）投标描述与证明材料不一致或多份证明材料之间不一致的：</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①评标委员会将要求投标人进行书面澄清，无法澄清的将按照不利于投标人的内容进行评标。</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②投标人按照要求进行澄清的，采购人以澄清内容为准进行验收；投标人未按照要求进行澄清的，采购人以投标描述或证明材料中有利于采购人的内容进行验收。投标人应对证明材料的真实性、有效性承担责任。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18.4 除评标委员会要求投标人做出的澄清、说明或者补正以外，评标委员会不接受投标人的任何询问、说明、更改及文件。</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18.5 投标人的澄清必须在规定的时间内提交。</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19</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核价原则</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 xml:space="preserve">19.1 </w:t>
      </w:r>
      <w:r>
        <w:rPr>
          <w:rFonts w:hint="default" w:ascii="Times New Roman" w:hAnsi="Times New Roman" w:eastAsia="宋体" w:cs="Times New Roman"/>
          <w:color w:val="auto"/>
          <w:sz w:val="21"/>
          <w:szCs w:val="21"/>
          <w:highlight w:val="none"/>
        </w:rPr>
        <w:t>投标文件报价出现前后不一致的，除招标文件另有规定外，按照下列规定修正：</w:t>
      </w:r>
    </w:p>
    <w:p>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（1）投标文件中开标一览表（总报价表）内容与投标文件中相应内容不一致的，以开标一览表（总报价表）为准；</w:t>
      </w:r>
    </w:p>
    <w:p>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（2）大写金额和小写金额不一致的，以大写金额为准；</w:t>
      </w:r>
    </w:p>
    <w:p>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（3）单价金额小数点或者百分比有明显错位的，以开标一览表的总价为准，并修改单价；</w:t>
      </w:r>
    </w:p>
    <w:p>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（4）总价金额与按单价汇总金额不一致的，以单价金额计算结果为准。</w:t>
      </w:r>
    </w:p>
    <w:p>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（5）同时出现两种以上不一致的，按照前款规定的顺序修正。修正后的报价按照18.2条的规定经投标人确认后产生约束力，投标人不确认的，其投标无效。</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20</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投标无效</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20.1 投标人及投标文件有下列情况之一的，应当在资格审查时按照投标无效处理：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不具备招标文件中规定的资格要求的；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投标文件组成中“资格证明文件”未提供或无效的；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 未通过信用记录审查或未提供相关证明材料的。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20.2 投标人及投标文件有下列情况之一的，应当在符合性审查时按照投标无效处理：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投标文件组成中除“资格证明文件”外，★条款相关文件及资料未提供或提供无效的；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投标文件未按招标文件要求签署、盖章的；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 投标报价超过招标文件中规定的预算金额或者最高限价的；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 投标有效期不足的；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 投标文件含有采购人不能接受的附加条件的；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20.3 除20.1及20.2情形外，投标人及投标文件有下列情况之一的，应当按照投标无效处理：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提供虚假投标文件材料的；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投标人串通投标的；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 投标报价明显低于其他通过符合性审查投标人的报价，且不能证明其报价合理性的。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 法律、法规和招标文件规定的其他无效情形。</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比较与评价</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21.1 评标委员会按照招标文件中规定的评标方法和标准，对符合性审查合格的投标文件进行商务和技术评估，综合比较与评价。</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21.2 价格分应当采用低价优先法计算。小型、微型企业和监狱企业、残疾人福利性单位的投标报价按照</w:t>
      </w:r>
      <w:r>
        <w:rPr>
          <w:rFonts w:hint="default" w:ascii="Times New Roman" w:hAnsi="Times New Roman" w:eastAsia="宋体" w:cs="Times New Roman"/>
          <w:b/>
          <w:color w:val="auto"/>
          <w:sz w:val="21"/>
          <w:szCs w:val="21"/>
          <w:highlight w:val="none"/>
        </w:rPr>
        <w:t>投标人须知前附表</w:t>
      </w:r>
      <w:r>
        <w:rPr>
          <w:rFonts w:hint="default" w:ascii="Times New Roman" w:hAnsi="Times New Roman" w:eastAsia="宋体" w:cs="Times New Roman"/>
          <w:color w:val="auto"/>
          <w:sz w:val="21"/>
          <w:szCs w:val="21"/>
          <w:highlight w:val="none"/>
        </w:rPr>
        <w:t>规定，分别给予扣除，并以扣除后的报价计算价格分。未提供《中小型企业声明函》、《监狱企业证明文件》、《残疾人福利性单位声明函》的，价格不予扣除。同一投标人不得重复享受价格扣除政策。</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21.3 评标委员会各成员独立对每个投标人的投标文件进行评价，并汇总得出每个投标人的评审得分。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21.4 评标结果按评审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21.5 评标方法及标准</w:t>
      </w:r>
      <w:r>
        <w:rPr>
          <w:rFonts w:hint="default" w:ascii="Times New Roman" w:hAnsi="Times New Roman" w:eastAsia="宋体" w:cs="Times New Roman"/>
          <w:b/>
          <w:color w:val="auto"/>
          <w:sz w:val="21"/>
          <w:szCs w:val="21"/>
          <w:highlight w:val="none"/>
        </w:rPr>
        <w:t>详见招标文件商务部分第三章。</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21.6 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废标</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22.1 在招标采购中，出现下列情形之一的，应予废标：</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（1）符合专业条件的供应商或者对招标文件作实质响应的供应商不足三家的；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（2）出现影响采购公正的违法、违规行为的；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（3）投标人的报价均超过了采购预算，采购人不能支付的；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（4）因重大变故，采购任务取消的。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22.2 废标后，采购人或者采购代理机构将废标理由通知所有投标人。</w:t>
      </w:r>
    </w:p>
    <w:p>
      <w:pPr>
        <w:pStyle w:val="3"/>
        <w:bidi w:val="0"/>
        <w:jc w:val="center"/>
        <w:rPr>
          <w:rFonts w:hint="eastAsia"/>
          <w:color w:val="auto"/>
          <w:sz w:val="32"/>
          <w:szCs w:val="32"/>
          <w:lang w:val="en-US" w:eastAsia="zh-CN"/>
        </w:rPr>
      </w:pPr>
      <w:bookmarkStart w:id="53" w:name="_Toc22851"/>
      <w:bookmarkStart w:id="54" w:name="_Toc4583"/>
      <w:bookmarkStart w:id="55" w:name="_Toc132880279"/>
      <w:r>
        <w:rPr>
          <w:rFonts w:hint="eastAsia"/>
          <w:color w:val="auto"/>
          <w:sz w:val="32"/>
          <w:szCs w:val="32"/>
          <w:lang w:val="en-US" w:eastAsia="zh-CN"/>
        </w:rPr>
        <w:t>六、中标和合同</w:t>
      </w:r>
      <w:bookmarkEnd w:id="53"/>
      <w:bookmarkEnd w:id="54"/>
      <w:bookmarkEnd w:id="55"/>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23</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中标</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23.1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采购人自行组织招标的，采购人应当在评标结束后5个工作日内，按评标报告推荐的中标候选人顺序确定中标人。</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23.2 采购人或者采购代理机构应当自中标人确定之日起2个工作日内，在</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规定的媒体上公告中标结果，招标文件应随中标结果同时公告。中标公告期限为1个工作日。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23.3 在公告中标结果的同时，采购人或者采购代理机构应当向中标人发出中标通知书；对未通过资格审查的投标人，告知其未通过的原因；采用综合评分法评审的，同时告知未中标人本人的评审得分与排序。</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23.4 中标通知书发出后，采购人或者采购代理机构不得违法改变中标结果，中标人无正当理由不得放弃中标。</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23.5 中标通知书对采购人和中标人具有同等法律效力。</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24</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签订合同</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24.1 采购人应当自中标通知书发出之日起30日内，按照招标文件和中标人投标文件的规定，与中标人签订合同。</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24.2 所签订的合同不得对招标文件确定的事项和中标人投标文件作实质性修改。</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24.3 采购人不得向中标人提出任何不合理的要求作为签订合同的条件。</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24.4 中标人拒绝与采购人签订合同的，采购人可以按照评审报告推荐的中标候选人名单排序，确定下一候选人为中标人，也可以重新开展政府采购活动。</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25</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履约保证金</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25.1 需提交履约保证金的项目，中标人应在合同签订之日起30日内，按照</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的规定，向采购人提交履约保证金。</w:t>
      </w:r>
    </w:p>
    <w:p>
      <w:pPr>
        <w:pStyle w:val="3"/>
        <w:bidi w:val="0"/>
        <w:jc w:val="center"/>
        <w:rPr>
          <w:rFonts w:hint="eastAsia"/>
          <w:color w:val="auto"/>
          <w:sz w:val="32"/>
          <w:szCs w:val="32"/>
          <w:lang w:val="en-US" w:eastAsia="zh-CN"/>
        </w:rPr>
      </w:pPr>
      <w:bookmarkStart w:id="56" w:name="_Toc132880280"/>
      <w:bookmarkStart w:id="57" w:name="_Toc3830"/>
      <w:bookmarkStart w:id="58" w:name="_Toc11973"/>
      <w:r>
        <w:rPr>
          <w:rFonts w:hint="eastAsia"/>
          <w:color w:val="auto"/>
          <w:sz w:val="32"/>
          <w:szCs w:val="32"/>
          <w:lang w:val="en-US" w:eastAsia="zh-CN"/>
        </w:rPr>
        <w:t>七、询问和质疑</w:t>
      </w:r>
      <w:bookmarkEnd w:id="56"/>
      <w:bookmarkEnd w:id="57"/>
      <w:bookmarkEnd w:id="58"/>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26. 询问</w:t>
      </w:r>
    </w:p>
    <w:p>
      <w:pPr>
        <w:pageBreakBefore w:val="0"/>
        <w:kinsoku/>
        <w:wordWrap/>
        <w:topLinePunct/>
        <w:autoSpaceDE w:val="0"/>
        <w:autoSpaceDN w:val="0"/>
        <w:bidi w:val="0"/>
        <w:adjustRightInd w:val="0"/>
        <w:snapToGrid w:val="0"/>
        <w:spacing w:after="0" w:line="360" w:lineRule="auto"/>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26.1潜在投标人、投标人对政府采购活动事项有疑问的，可以向采购人或者采购代理机构提出询问，采购人或者采购代理机构应当在3个工作日内对依法提出的询问作出答复，但答复的内容不得涉及商业秘密。</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27</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质疑</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27.1潜在投标人、投标人（统称质疑人）认为招标文件、招标过程和中标结果使自己的权益受到损害的，可以在知道或者应知其权益受到损害之日起7个工作日内以书面形式向采购人或者采购代理机构提出质疑。联系部门、联系电话、通讯地址、电子邮箱</w:t>
      </w:r>
      <w:r>
        <w:rPr>
          <w:rFonts w:hint="default" w:ascii="Times New Roman" w:hAnsi="Times New Roman" w:cs="Times New Roman"/>
          <w:b/>
          <w:bCs/>
          <w:color w:val="auto"/>
          <w:sz w:val="21"/>
          <w:szCs w:val="21"/>
          <w:highlight w:val="none"/>
        </w:rPr>
        <w:t>见</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27.2在法定质疑期内，针对同一采购程序环节的质疑应一次性提出。</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27.3质疑人应知其权益受到损害之日，是指： </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（1）对可以质疑的采购文件提出质疑的，为收到采购文件之日或者采购文件公告期限届满之日；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（2）对采购过程提出质疑的，为各采购程序环节结束之日；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（3）对中标结果提出质疑的，为中标结果公告期限届满之日。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27.4质疑应当有明确的请求和必要的证明材料。供应商为自然人的，应当由本人签字；供应商为法人或者其他组织的，应当由法定代表人、主要负责人，或者其授权代表签字或者签章，并加盖公章。</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27.5 采购人或者代理机构应当在收到供应商的质疑函后7个工作日内，对质疑内容作出答复，</w:t>
      </w:r>
      <w:r>
        <w:rPr>
          <w:rFonts w:hint="default" w:ascii="Times New Roman" w:hAnsi="Times New Roman" w:cs="Times New Roman"/>
          <w:bCs/>
          <w:color w:val="auto"/>
          <w:sz w:val="21"/>
          <w:szCs w:val="21"/>
          <w:highlight w:val="none"/>
        </w:rPr>
        <w:t>书面形式</w:t>
      </w:r>
      <w:r>
        <w:rPr>
          <w:rFonts w:hint="default" w:ascii="Times New Roman" w:hAnsi="Times New Roman" w:cs="Times New Roman"/>
          <w:color w:val="auto"/>
          <w:sz w:val="21"/>
          <w:szCs w:val="21"/>
          <w:highlight w:val="none"/>
        </w:rPr>
        <w:t>通知质疑供应商和其他有关供应商，但答复内容不得涉及商业秘密。</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27.6质疑人对采购人、采购代理机构的答复不满意或者采购人、采购代理机构未在规定的时间内作出答复的，可以在答复期满后15个工作日内向同级人民政府财政部门投诉。</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27.7投诉应当有明确的请求和必要的证明材料。投诉的事项不得超出已质疑事项的范围。</w:t>
      </w:r>
    </w:p>
    <w:p>
      <w:pPr>
        <w:pStyle w:val="3"/>
        <w:bidi w:val="0"/>
        <w:jc w:val="center"/>
        <w:rPr>
          <w:rFonts w:hint="eastAsia"/>
          <w:color w:val="auto"/>
          <w:sz w:val="32"/>
          <w:szCs w:val="32"/>
          <w:lang w:val="en-US" w:eastAsia="zh-CN"/>
        </w:rPr>
      </w:pPr>
      <w:bookmarkStart w:id="59" w:name="_Toc3513"/>
      <w:bookmarkStart w:id="60" w:name="_Toc8038"/>
      <w:bookmarkStart w:id="61" w:name="_Toc132880281"/>
      <w:r>
        <w:rPr>
          <w:rFonts w:hint="eastAsia"/>
          <w:color w:val="auto"/>
          <w:sz w:val="32"/>
          <w:szCs w:val="32"/>
          <w:lang w:val="en-US" w:eastAsia="zh-CN"/>
        </w:rPr>
        <w:t>八、其他</w:t>
      </w:r>
      <w:bookmarkEnd w:id="59"/>
      <w:bookmarkEnd w:id="60"/>
      <w:bookmarkEnd w:id="61"/>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bookmarkStart w:id="62" w:name="_Toc233181902"/>
      <w:bookmarkStart w:id="63" w:name="_Toc217989361"/>
      <w:bookmarkStart w:id="64" w:name="_Toc262111390"/>
      <w:bookmarkStart w:id="65" w:name="_Toc319519285"/>
      <w:r>
        <w:rPr>
          <w:rFonts w:hint="default" w:ascii="Times New Roman" w:hAnsi="Times New Roman" w:cs="Times New Roman"/>
          <w:b/>
          <w:color w:val="auto"/>
          <w:sz w:val="21"/>
          <w:szCs w:val="21"/>
          <w:highlight w:val="none"/>
        </w:rPr>
        <w:t>28</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保密</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28.1采购人、采购代理机构应当采取必要措施，保证评标在严格保密的情况下进行。除采购人代表、评标现场组织人员外，采购人的其他工作人员以及与评标工作无关的人员不得进入评标现场。</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28.2 评标委员会成员和参与评标工作的有关人员对评标情况以及在评标过程中获悉的国家秘密、商业秘密负有保密责任。</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29. 知识产权与规避专利、版权纠纷</w:t>
      </w:r>
      <w:bookmarkEnd w:id="62"/>
      <w:bookmarkEnd w:id="63"/>
      <w:bookmarkEnd w:id="64"/>
      <w:bookmarkEnd w:id="65"/>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29.1 知识产权</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29.1.1 项目系统的版权属于采购人所有，中标人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 规避专利、版权纠纷</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29.2.1 投标人应保证其投标方案中的有关软件、文件、图纸等没有违反有关专利和版权等知识产权的规定。</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29.2.2 中标人应保证采购人在中华人民共和国使用本项目成果任何一部分、或接受乙方服务时，免受第三方提出的侵犯其专利权、商标权或工业设计权等知识产权的索赔或起诉。</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29.2.3 如果采购人在使用本项目任何一部分时被任何第三方诉称侵犯了第三方知识产权或任何其它权利，中标人应负责处理这一指控并应以中标人的名义自负费用向起诉方提出抗辩。由此可能产生的一切法律责任和经济责任均由中标人承担。</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29.2.4 如果采购人发现任何第三方在采购人未被许可的范围内非法使用采购人获得的知识产权，采购人应通知中标人。中标人应在收到采购人通知后14天内采取行动制止非法使用行为，否则由中标人承担相应的责任。</w:t>
      </w:r>
    </w:p>
    <w:p>
      <w:pPr>
        <w:pageBreakBefore w:val="0"/>
        <w:kinsoku/>
        <w:wordWrap/>
        <w:bidi w:val="0"/>
        <w:spacing w:line="360" w:lineRule="auto"/>
        <w:textAlignment w:val="auto"/>
        <w:rPr>
          <w:rFonts w:hint="default" w:ascii="Times New Roman" w:hAnsi="Times New Roman" w:cs="Times New Roman"/>
          <w:color w:val="auto"/>
          <w:sz w:val="21"/>
          <w:szCs w:val="21"/>
          <w:highlight w:val="none"/>
        </w:rPr>
      </w:pPr>
    </w:p>
    <w:p>
      <w:pPr>
        <w:pStyle w:val="22"/>
        <w:rPr>
          <w:rFonts w:hint="default" w:ascii="Times New Roman" w:hAnsi="Times New Roman" w:cs="Times New Roman"/>
          <w:color w:val="auto"/>
          <w:sz w:val="21"/>
          <w:szCs w:val="21"/>
          <w:highlight w:val="none"/>
        </w:rPr>
      </w:pPr>
    </w:p>
    <w:p>
      <w:pPr>
        <w:pStyle w:val="22"/>
        <w:rPr>
          <w:rFonts w:hint="default" w:ascii="Times New Roman" w:hAnsi="Times New Roman" w:cs="Times New Roman"/>
          <w:color w:val="auto"/>
          <w:sz w:val="21"/>
          <w:szCs w:val="21"/>
          <w:highlight w:val="none"/>
        </w:rPr>
        <w:sectPr>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pStyle w:val="3"/>
        <w:bidi w:val="0"/>
        <w:jc w:val="center"/>
        <w:rPr>
          <w:rFonts w:hint="eastAsia"/>
          <w:color w:val="auto"/>
          <w:lang w:val="en-US" w:eastAsia="zh-CN"/>
        </w:rPr>
      </w:pPr>
      <w:bookmarkStart w:id="66" w:name="_Toc20964"/>
      <w:bookmarkStart w:id="67" w:name="_Toc1481241717"/>
      <w:bookmarkStart w:id="68" w:name="_Toc525052846"/>
      <w:bookmarkStart w:id="69" w:name="_Toc1380332034"/>
      <w:bookmarkStart w:id="70" w:name="_Toc937455070"/>
      <w:bookmarkStart w:id="71" w:name="_Toc1298913388"/>
      <w:bookmarkStart w:id="72" w:name="_Toc1762322514"/>
      <w:bookmarkStart w:id="73" w:name="_Toc132880282"/>
      <w:bookmarkStart w:id="74" w:name="_Toc1168671576"/>
      <w:bookmarkStart w:id="75" w:name="_Toc21614"/>
      <w:bookmarkStart w:id="76" w:name="_Toc38030149"/>
      <w:r>
        <w:rPr>
          <w:rFonts w:hint="eastAsia"/>
          <w:color w:val="auto"/>
          <w:lang w:val="en-US" w:eastAsia="zh-CN"/>
        </w:rPr>
        <w:t>第三章  评标方法及标准</w:t>
      </w:r>
      <w:bookmarkEnd w:id="66"/>
      <w:bookmarkEnd w:id="67"/>
      <w:bookmarkEnd w:id="68"/>
      <w:bookmarkEnd w:id="69"/>
      <w:bookmarkEnd w:id="70"/>
      <w:bookmarkEnd w:id="71"/>
      <w:bookmarkEnd w:id="72"/>
      <w:bookmarkEnd w:id="73"/>
      <w:bookmarkEnd w:id="74"/>
      <w:bookmarkEnd w:id="75"/>
      <w:bookmarkEnd w:id="76"/>
    </w:p>
    <w:p>
      <w:pPr>
        <w:topLinePunct/>
        <w:autoSpaceDE w:val="0"/>
        <w:autoSpaceDN w:val="0"/>
        <w:adjustRightInd w:val="0"/>
        <w:snapToGrid w:val="0"/>
        <w:spacing w:after="0" w:line="360" w:lineRule="auto"/>
        <w:ind w:firstLine="422" w:firstLineChars="2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1.评标方法</w:t>
      </w:r>
    </w:p>
    <w:p>
      <w:pPr>
        <w:widowControl/>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 本项目评标方法：</w:t>
      </w:r>
      <w:r>
        <w:rPr>
          <w:rFonts w:hint="default" w:ascii="Times New Roman" w:hAnsi="Times New Roman" w:cs="Times New Roman"/>
          <w:b/>
          <w:color w:val="auto"/>
          <w:sz w:val="21"/>
          <w:szCs w:val="21"/>
          <w:highlight w:val="none"/>
          <w:u w:val="single"/>
        </w:rPr>
        <w:t>采用综合评分法</w:t>
      </w:r>
    </w:p>
    <w:p>
      <w:pPr>
        <w:topLinePunct/>
        <w:autoSpaceDE w:val="0"/>
        <w:autoSpaceDN w:val="0"/>
        <w:adjustRightInd w:val="0"/>
        <w:snapToGrid w:val="0"/>
        <w:spacing w:after="0" w:line="360" w:lineRule="auto"/>
        <w:ind w:firstLine="422" w:firstLineChars="2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2.评标标准</w:t>
      </w:r>
    </w:p>
    <w:p>
      <w:pPr>
        <w:pStyle w:val="23"/>
        <w:widowControl w:val="0"/>
        <w:spacing w:line="360" w:lineRule="auto"/>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 本项目</w:t>
      </w:r>
      <w:r>
        <w:rPr>
          <w:rFonts w:hint="default" w:ascii="Times New Roman" w:hAnsi="Times New Roman" w:cs="Times New Roman"/>
          <w:b/>
          <w:color w:val="auto"/>
          <w:sz w:val="21"/>
          <w:szCs w:val="21"/>
          <w:highlight w:val="none"/>
          <w:u w:val="single"/>
        </w:rPr>
        <w:t>采用综合评分法</w:t>
      </w:r>
      <w:r>
        <w:rPr>
          <w:rFonts w:hint="default" w:ascii="Times New Roman" w:hAnsi="Times New Roman" w:cs="Times New Roman"/>
          <w:color w:val="auto"/>
          <w:sz w:val="21"/>
          <w:szCs w:val="21"/>
          <w:highlight w:val="none"/>
        </w:rPr>
        <w:t>进行评标，综合评分法是指投标文件满足招标文件全部实质性要求，且按照评审因素的量化指标评审得分最高的投标人为中标候选人的评标方法。评审因素主要内容如下表。</w:t>
      </w:r>
    </w:p>
    <w:p>
      <w:pPr>
        <w:topLinePunct/>
        <w:autoSpaceDE w:val="0"/>
        <w:autoSpaceDN w:val="0"/>
        <w:spacing w:after="0" w:line="360" w:lineRule="auto"/>
        <w:ind w:firstLine="420" w:firstLineChars="200"/>
        <w:rPr>
          <w:rFonts w:hint="eastAsia" w:ascii="宋体" w:hAnsi="宋体" w:cs="宋体"/>
          <w:color w:val="auto"/>
          <w:sz w:val="24"/>
          <w:highlight w:val="none"/>
        </w:rPr>
      </w:pPr>
      <w:r>
        <w:rPr>
          <w:rFonts w:hint="default" w:ascii="Times New Roman" w:hAnsi="Times New Roman" w:cs="Times New Roman"/>
          <w:color w:val="auto"/>
          <w:sz w:val="21"/>
          <w:szCs w:val="21"/>
          <w:highlight w:val="none"/>
        </w:rPr>
        <w:t>2.2 本项目价格分值为</w:t>
      </w:r>
      <w:r>
        <w:rPr>
          <w:rFonts w:hint="default" w:ascii="Times New Roman" w:hAnsi="Times New Roman"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30</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分，其余评审因素分值为</w:t>
      </w:r>
      <w:r>
        <w:rPr>
          <w:rFonts w:hint="default" w:ascii="Times New Roman" w:hAnsi="Times New Roman"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70</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分</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其中技术因素</w:t>
      </w:r>
      <w:r>
        <w:rPr>
          <w:rFonts w:hint="eastAsia" w:ascii="Times New Roman" w:hAnsi="Times New Roman" w:cs="Times New Roman"/>
          <w:color w:val="auto"/>
          <w:sz w:val="21"/>
          <w:szCs w:val="21"/>
          <w:highlight w:val="none"/>
          <w:u w:val="single"/>
          <w:lang w:val="en-US" w:eastAsia="zh-CN"/>
        </w:rPr>
        <w:t xml:space="preserve">  65  </w:t>
      </w:r>
      <w:r>
        <w:rPr>
          <w:rFonts w:hint="eastAsia" w:ascii="Times New Roman" w:hAnsi="Times New Roman" w:cs="Times New Roman"/>
          <w:color w:val="auto"/>
          <w:sz w:val="21"/>
          <w:szCs w:val="21"/>
          <w:highlight w:val="none"/>
          <w:lang w:val="en-US" w:eastAsia="zh-CN"/>
        </w:rPr>
        <w:t>分，商务因素</w:t>
      </w:r>
      <w:r>
        <w:rPr>
          <w:rFonts w:hint="eastAsia" w:ascii="Times New Roman" w:hAnsi="Times New Roman" w:cs="Times New Roman"/>
          <w:color w:val="auto"/>
          <w:sz w:val="21"/>
          <w:szCs w:val="21"/>
          <w:highlight w:val="none"/>
          <w:u w:val="single"/>
          <w:lang w:val="en-US" w:eastAsia="zh-CN"/>
        </w:rPr>
        <w:t xml:space="preserve">  05 </w:t>
      </w:r>
      <w:r>
        <w:rPr>
          <w:rFonts w:hint="eastAsia" w:ascii="Times New Roman" w:hAnsi="Times New Roman" w:cs="Times New Roman"/>
          <w:color w:val="auto"/>
          <w:sz w:val="21"/>
          <w:szCs w:val="21"/>
          <w:highlight w:val="none"/>
          <w:lang w:val="en-US" w:eastAsia="zh-CN"/>
        </w:rPr>
        <w:t>分</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。评审标准如下表</w:t>
      </w:r>
      <w:r>
        <w:rPr>
          <w:rFonts w:hint="eastAsia" w:ascii="宋体" w:hAnsi="宋体" w:cs="宋体"/>
          <w:color w:val="auto"/>
          <w:sz w:val="24"/>
          <w:highlight w:val="none"/>
        </w:rPr>
        <w:t>：</w:t>
      </w:r>
    </w:p>
    <w:tbl>
      <w:tblPr>
        <w:tblStyle w:val="16"/>
        <w:tblW w:w="901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03"/>
        <w:gridCol w:w="1217"/>
        <w:gridCol w:w="791"/>
        <w:gridCol w:w="5677"/>
        <w:gridCol w:w="82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2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7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主要内容</w:t>
            </w:r>
          </w:p>
        </w:tc>
        <w:tc>
          <w:tcPr>
            <w:tcW w:w="56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指标要求</w:t>
            </w:r>
          </w:p>
        </w:tc>
        <w:tc>
          <w:tcPr>
            <w:tcW w:w="8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细项</w:t>
            </w:r>
          </w:p>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2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投标报价</w:t>
            </w:r>
          </w:p>
        </w:tc>
        <w:tc>
          <w:tcPr>
            <w:tcW w:w="7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价 格</w:t>
            </w:r>
          </w:p>
        </w:tc>
        <w:tc>
          <w:tcPr>
            <w:tcW w:w="5677" w:type="dxa"/>
            <w:tcBorders>
              <w:top w:val="single" w:color="auto" w:sz="4" w:space="0"/>
              <w:left w:val="single" w:color="auto" w:sz="4" w:space="0"/>
              <w:bottom w:val="single" w:color="auto" w:sz="4" w:space="0"/>
              <w:right w:val="single" w:color="auto" w:sz="4" w:space="0"/>
            </w:tcBorders>
            <w:noWrap/>
            <w:vAlign w:val="center"/>
          </w:tcPr>
          <w:p>
            <w:pPr>
              <w:pStyle w:val="23"/>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w:t>
            </w:r>
            <w:r>
              <w:rPr>
                <w:rFonts w:hint="eastAsia" w:ascii="宋体" w:hAnsi="宋体" w:cs="宋体"/>
                <w:color w:val="auto"/>
                <w:sz w:val="21"/>
                <w:szCs w:val="21"/>
                <w:highlight w:val="none"/>
                <w:lang w:val="en-US" w:eastAsia="zh-CN"/>
              </w:rPr>
              <w:t>A</w:t>
            </w:r>
            <w:r>
              <w:rPr>
                <w:rFonts w:hint="eastAsia" w:ascii="宋体" w:hAnsi="宋体" w:eastAsia="宋体" w:cs="宋体"/>
                <w:color w:val="auto"/>
                <w:sz w:val="21"/>
                <w:szCs w:val="21"/>
                <w:highlight w:val="none"/>
              </w:rPr>
              <w:t>=（评标基准价／投标报价）× 满分值</w:t>
            </w:r>
          </w:p>
          <w:p>
            <w:pPr>
              <w:pStyle w:val="23"/>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（1）评标基准价是指满足招标文件要求且投标价格最低的投标报价。</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（2）因落实政府采购政策进行价格调整的，以调整后的价格计算评标基准价和投标报价。</w:t>
            </w:r>
          </w:p>
        </w:tc>
        <w:tc>
          <w:tcPr>
            <w:tcW w:w="8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w:t>
            </w:r>
          </w:p>
        </w:tc>
        <w:tc>
          <w:tcPr>
            <w:tcW w:w="1217"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技术因素</w:t>
            </w:r>
          </w:p>
        </w:tc>
        <w:tc>
          <w:tcPr>
            <w:tcW w:w="791" w:type="dxa"/>
            <w:tcBorders>
              <w:top w:val="single" w:color="auto" w:sz="4" w:space="0"/>
              <w:left w:val="single" w:color="auto" w:sz="4" w:space="0"/>
              <w:bottom w:val="single" w:color="auto" w:sz="4" w:space="0"/>
              <w:right w:val="single" w:color="auto" w:sz="4" w:space="0"/>
            </w:tcBorders>
            <w:noWrap/>
            <w:vAlign w:val="center"/>
          </w:tcPr>
          <w:p>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lang w:val="en-US" w:eastAsia="zh-CN"/>
              </w:rPr>
              <w:t>B</w:t>
            </w:r>
            <w:r>
              <w:rPr>
                <w:rFonts w:hint="eastAsia" w:ascii="宋体" w:hAnsi="宋体" w:eastAsia="宋体" w:cs="宋体"/>
                <w:color w:val="auto"/>
                <w:sz w:val="21"/>
                <w:szCs w:val="21"/>
              </w:rPr>
              <w:t>1、技术</w:t>
            </w:r>
            <w:r>
              <w:rPr>
                <w:rFonts w:hint="eastAsia" w:ascii="宋体" w:hAnsi="宋体" w:eastAsia="宋体" w:cs="宋体"/>
                <w:color w:val="auto"/>
                <w:sz w:val="21"/>
                <w:szCs w:val="21"/>
                <w:lang w:val="en-US" w:eastAsia="zh-CN"/>
              </w:rPr>
              <w:t>参数</w:t>
            </w:r>
            <w:r>
              <w:rPr>
                <w:rFonts w:hint="eastAsia" w:ascii="宋体" w:hAnsi="宋体" w:eastAsia="宋体" w:cs="宋体"/>
                <w:color w:val="auto"/>
                <w:sz w:val="21"/>
                <w:szCs w:val="21"/>
              </w:rPr>
              <w:t>响应情况</w:t>
            </w:r>
          </w:p>
        </w:tc>
        <w:tc>
          <w:tcPr>
            <w:tcW w:w="5677" w:type="dxa"/>
            <w:tcBorders>
              <w:top w:val="single" w:color="auto" w:sz="4" w:space="0"/>
              <w:left w:val="single" w:color="auto" w:sz="4" w:space="0"/>
              <w:bottom w:val="single" w:color="auto" w:sz="4" w:space="0"/>
              <w:right w:val="single" w:color="auto" w:sz="4" w:space="0"/>
            </w:tcBorders>
            <w:noWrap/>
            <w:vAlign w:val="top"/>
          </w:tcPr>
          <w:p>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108" w:rightChars="0"/>
              <w:textAlignment w:val="auto"/>
              <w:rPr>
                <w:rFonts w:hint="eastAsia" w:ascii="宋体" w:hAnsi="宋体" w:eastAsia="宋体" w:cs="宋体"/>
                <w:color w:val="auto"/>
                <w:sz w:val="21"/>
                <w:szCs w:val="21"/>
                <w:lang w:val="zh-CN"/>
              </w:rPr>
            </w:pPr>
            <w:r>
              <w:rPr>
                <w:rFonts w:hint="eastAsia" w:ascii="宋体" w:hAnsi="宋体" w:eastAsia="宋体" w:cs="宋体"/>
                <w:color w:val="auto"/>
                <w:spacing w:val="-4"/>
                <w:sz w:val="21"/>
                <w:szCs w:val="21"/>
              </w:rPr>
              <w:t>由评标委员会针对本招标文件</w:t>
            </w:r>
            <w:r>
              <w:rPr>
                <w:rFonts w:hint="eastAsia" w:ascii="宋体" w:hAnsi="宋体" w:eastAsia="宋体" w:cs="宋体"/>
                <w:color w:val="auto"/>
                <w:spacing w:val="-4"/>
                <w:sz w:val="21"/>
                <w:szCs w:val="21"/>
                <w:lang w:val="en-US" w:eastAsia="zh-CN"/>
              </w:rPr>
              <w:t>第六章</w:t>
            </w:r>
            <w:r>
              <w:rPr>
                <w:rFonts w:hint="eastAsia" w:ascii="宋体" w:hAnsi="宋体" w:eastAsia="宋体" w:cs="宋体"/>
                <w:color w:val="auto"/>
                <w:spacing w:val="-4"/>
                <w:sz w:val="21"/>
                <w:szCs w:val="21"/>
                <w:lang w:eastAsia="zh-CN"/>
              </w:rPr>
              <w:t>“</w:t>
            </w:r>
            <w:r>
              <w:rPr>
                <w:rFonts w:hint="eastAsia" w:cs="宋体"/>
                <w:color w:val="auto"/>
                <w:spacing w:val="-4"/>
                <w:sz w:val="21"/>
                <w:szCs w:val="21"/>
                <w:lang w:val="en-US" w:eastAsia="zh-CN"/>
              </w:rPr>
              <w:t>三、</w:t>
            </w:r>
            <w:r>
              <w:rPr>
                <w:rFonts w:hint="eastAsia" w:ascii="宋体" w:hAnsi="宋体" w:eastAsia="宋体" w:cs="宋体"/>
                <w:color w:val="auto"/>
                <w:spacing w:val="2"/>
                <w:sz w:val="21"/>
                <w:szCs w:val="21"/>
              </w:rPr>
              <w:t>技术要求”进行评议</w:t>
            </w:r>
            <w:r>
              <w:rPr>
                <w:rFonts w:hint="eastAsia" w:ascii="宋体" w:hAnsi="宋体" w:eastAsia="宋体" w:cs="宋体"/>
                <w:color w:val="auto"/>
                <w:spacing w:val="-14"/>
                <w:sz w:val="21"/>
                <w:szCs w:val="21"/>
              </w:rPr>
              <w:t>：</w:t>
            </w:r>
            <w:r>
              <w:rPr>
                <w:rFonts w:hint="eastAsia" w:ascii="宋体" w:hAnsi="宋体" w:eastAsia="宋体" w:cs="宋体"/>
                <w:color w:val="auto"/>
                <w:spacing w:val="-30"/>
                <w:sz w:val="21"/>
                <w:szCs w:val="21"/>
              </w:rPr>
              <w:t xml:space="preserve"> </w:t>
            </w:r>
            <w:r>
              <w:rPr>
                <w:rFonts w:hint="eastAsia" w:ascii="宋体" w:hAnsi="宋体" w:eastAsia="宋体" w:cs="宋体"/>
                <w:color w:val="auto"/>
                <w:spacing w:val="-14"/>
                <w:sz w:val="21"/>
                <w:szCs w:val="21"/>
              </w:rPr>
              <w:t>（</w:t>
            </w:r>
            <w:r>
              <w:rPr>
                <w:rFonts w:hint="eastAsia" w:ascii="宋体" w:hAnsi="宋体" w:eastAsia="宋体" w:cs="宋体"/>
                <w:color w:val="auto"/>
                <w:spacing w:val="2"/>
                <w:sz w:val="21"/>
                <w:szCs w:val="21"/>
              </w:rPr>
              <w:t>1）技术</w:t>
            </w:r>
            <w:r>
              <w:rPr>
                <w:rFonts w:hint="eastAsia" w:ascii="宋体" w:hAnsi="宋体" w:eastAsia="宋体" w:cs="宋体"/>
                <w:color w:val="auto"/>
                <w:spacing w:val="2"/>
                <w:sz w:val="21"/>
                <w:szCs w:val="21"/>
                <w:lang w:val="en-US" w:eastAsia="zh-CN"/>
              </w:rPr>
              <w:t>参数</w:t>
            </w:r>
            <w:r>
              <w:rPr>
                <w:rFonts w:hint="eastAsia" w:ascii="宋体" w:hAnsi="宋体" w:eastAsia="宋体" w:cs="宋体"/>
                <w:color w:val="auto"/>
                <w:spacing w:val="2"/>
                <w:sz w:val="21"/>
                <w:szCs w:val="21"/>
              </w:rPr>
              <w:t>完全满足招标</w:t>
            </w:r>
            <w:r>
              <w:rPr>
                <w:rFonts w:hint="eastAsia" w:ascii="宋体" w:hAnsi="宋体" w:eastAsia="宋体" w:cs="宋体"/>
                <w:color w:val="auto"/>
                <w:spacing w:val="-2"/>
                <w:sz w:val="21"/>
                <w:szCs w:val="21"/>
              </w:rPr>
              <w:t>文件要求的得满分</w:t>
            </w:r>
            <w:r>
              <w:rPr>
                <w:rFonts w:hint="eastAsia" w:ascii="宋体" w:hAnsi="宋体" w:eastAsia="宋体" w:cs="宋体"/>
                <w:color w:val="auto"/>
                <w:spacing w:val="-4"/>
                <w:sz w:val="21"/>
                <w:szCs w:val="21"/>
              </w:rPr>
              <w:t>；（</w:t>
            </w:r>
            <w:r>
              <w:rPr>
                <w:rFonts w:hint="eastAsia" w:cs="宋体"/>
                <w:color w:val="auto"/>
                <w:spacing w:val="-2"/>
                <w:sz w:val="21"/>
                <w:szCs w:val="21"/>
                <w:lang w:val="en-US" w:eastAsia="zh-CN"/>
              </w:rPr>
              <w:t>2</w:t>
            </w:r>
            <w:r>
              <w:rPr>
                <w:rFonts w:hint="eastAsia" w:ascii="宋体" w:hAnsi="宋体" w:eastAsia="宋体" w:cs="宋体"/>
                <w:color w:val="auto"/>
                <w:spacing w:val="-2"/>
                <w:sz w:val="21"/>
                <w:szCs w:val="21"/>
              </w:rPr>
              <w:t>）</w:t>
            </w:r>
            <w:r>
              <w:rPr>
                <w:rFonts w:hint="eastAsia" w:ascii="宋体" w:hAnsi="宋体" w:eastAsia="宋体" w:cs="宋体"/>
                <w:color w:val="auto"/>
                <w:spacing w:val="2"/>
                <w:sz w:val="21"/>
                <w:szCs w:val="21"/>
                <w:lang w:eastAsia="zh-CN"/>
              </w:rPr>
              <w:t>带“</w:t>
            </w:r>
            <w:r>
              <w:rPr>
                <w:rFonts w:hint="eastAsia" w:ascii="宋体" w:hAnsi="宋体" w:cs="宋体"/>
                <w:color w:val="auto"/>
                <w:spacing w:val="2"/>
                <w:sz w:val="21"/>
                <w:szCs w:val="21"/>
                <w:lang w:eastAsia="zh-CN"/>
              </w:rPr>
              <w:t>★</w:t>
            </w:r>
            <w:r>
              <w:rPr>
                <w:rFonts w:hint="eastAsia" w:ascii="宋体" w:hAnsi="宋体" w:eastAsia="宋体" w:cs="宋体"/>
                <w:color w:val="auto"/>
                <w:spacing w:val="2"/>
                <w:sz w:val="21"/>
                <w:szCs w:val="21"/>
                <w:lang w:eastAsia="zh-CN"/>
              </w:rPr>
              <w:t>”的技</w:t>
            </w:r>
            <w:r>
              <w:rPr>
                <w:rFonts w:hint="eastAsia" w:ascii="宋体" w:hAnsi="宋体" w:eastAsia="宋体" w:cs="宋体"/>
                <w:color w:val="auto"/>
                <w:spacing w:val="-6"/>
                <w:sz w:val="21"/>
                <w:szCs w:val="21"/>
              </w:rPr>
              <w:t>术</w:t>
            </w:r>
            <w:r>
              <w:rPr>
                <w:rFonts w:hint="eastAsia" w:ascii="宋体" w:hAnsi="宋体" w:eastAsia="宋体" w:cs="宋体"/>
                <w:color w:val="auto"/>
                <w:spacing w:val="2"/>
                <w:sz w:val="21"/>
                <w:szCs w:val="21"/>
                <w:lang w:val="en-US" w:eastAsia="zh-CN"/>
              </w:rPr>
              <w:t>参数</w:t>
            </w:r>
            <w:r>
              <w:rPr>
                <w:rFonts w:hint="eastAsia" w:cs="宋体"/>
                <w:color w:val="auto"/>
                <w:spacing w:val="2"/>
                <w:sz w:val="21"/>
                <w:szCs w:val="21"/>
                <w:lang w:val="en-US" w:eastAsia="zh-CN"/>
              </w:rPr>
              <w:t>有任一项负偏离的，按无效投标处理；</w:t>
            </w:r>
            <w:r>
              <w:rPr>
                <w:rFonts w:hint="eastAsia" w:ascii="宋体" w:hAnsi="宋体" w:eastAsia="宋体" w:cs="宋体"/>
                <w:color w:val="auto"/>
                <w:spacing w:val="-4"/>
                <w:sz w:val="21"/>
                <w:szCs w:val="21"/>
              </w:rPr>
              <w:t>（</w:t>
            </w:r>
            <w:r>
              <w:rPr>
                <w:rFonts w:hint="eastAsia" w:cs="宋体"/>
                <w:color w:val="auto"/>
                <w:spacing w:val="-2"/>
                <w:sz w:val="21"/>
                <w:szCs w:val="21"/>
                <w:lang w:val="en-US" w:eastAsia="zh-CN"/>
              </w:rPr>
              <w:t>3</w:t>
            </w:r>
            <w:r>
              <w:rPr>
                <w:rFonts w:hint="eastAsia" w:ascii="宋体" w:hAnsi="宋体" w:eastAsia="宋体" w:cs="宋体"/>
                <w:color w:val="auto"/>
                <w:spacing w:val="-2"/>
                <w:sz w:val="21"/>
                <w:szCs w:val="21"/>
              </w:rPr>
              <w:t>）</w:t>
            </w:r>
            <w:r>
              <w:rPr>
                <w:rFonts w:hint="eastAsia" w:ascii="宋体" w:hAnsi="宋体" w:eastAsia="宋体" w:cs="宋体"/>
                <w:color w:val="auto"/>
                <w:spacing w:val="-6"/>
                <w:sz w:val="21"/>
                <w:szCs w:val="21"/>
              </w:rPr>
              <w:t>带“▲”的技术</w:t>
            </w:r>
            <w:r>
              <w:rPr>
                <w:rFonts w:hint="eastAsia" w:ascii="宋体" w:hAnsi="宋体" w:eastAsia="宋体" w:cs="宋体"/>
                <w:color w:val="auto"/>
                <w:spacing w:val="2"/>
                <w:sz w:val="21"/>
                <w:szCs w:val="21"/>
                <w:lang w:val="en-US" w:eastAsia="zh-CN"/>
              </w:rPr>
              <w:t>参数</w:t>
            </w:r>
            <w:r>
              <w:rPr>
                <w:rFonts w:hint="eastAsia" w:cs="宋体"/>
                <w:color w:val="auto"/>
                <w:spacing w:val="2"/>
                <w:sz w:val="21"/>
                <w:szCs w:val="21"/>
                <w:lang w:val="en-US" w:eastAsia="zh-CN"/>
              </w:rPr>
              <w:t>须提供</w:t>
            </w:r>
            <w:r>
              <w:rPr>
                <w:rFonts w:hint="eastAsia" w:asciiTheme="minorEastAsia" w:hAnsiTheme="minorEastAsia" w:eastAsiaTheme="minorEastAsia" w:cstheme="minorEastAsia"/>
                <w:color w:val="auto"/>
                <w:sz w:val="21"/>
                <w:szCs w:val="21"/>
                <w:highlight w:val="none"/>
                <w:lang w:val="en-US" w:eastAsia="zh-CN"/>
              </w:rPr>
              <w:t>具备检验资质能力第三方检验（测）机构出具的带有“</w:t>
            </w:r>
            <w:r>
              <w:rPr>
                <w:rStyle w:val="19"/>
                <w:rFonts w:hint="eastAsia" w:asciiTheme="minorEastAsia" w:hAnsiTheme="minorEastAsia" w:eastAsiaTheme="minorEastAsia" w:cstheme="minorEastAsia"/>
                <w:b w:val="0"/>
                <w:bCs w:val="0"/>
                <w:color w:val="auto"/>
                <w:sz w:val="21"/>
                <w:szCs w:val="21"/>
                <w:highlight w:val="none"/>
              </w:rPr>
              <w:t>CNAS</w:t>
            </w:r>
            <w:r>
              <w:rPr>
                <w:rStyle w:val="19"/>
                <w:rFonts w:hint="eastAsia" w:asciiTheme="minorEastAsia" w:hAnsiTheme="minorEastAsia" w:eastAsiaTheme="minorEastAsia" w:cstheme="minorEastAsia"/>
                <w:b w:val="0"/>
                <w:bCs w:val="0"/>
                <w:color w:val="auto"/>
                <w:sz w:val="21"/>
                <w:szCs w:val="21"/>
                <w:highlight w:val="none"/>
                <w:lang w:eastAsia="zh-CN"/>
              </w:rPr>
              <w:t>或</w:t>
            </w:r>
            <w:r>
              <w:rPr>
                <w:rFonts w:hint="eastAsia" w:asciiTheme="minorEastAsia" w:hAnsiTheme="minorEastAsia" w:eastAsiaTheme="minorEastAsia" w:cstheme="minorEastAsia"/>
                <w:b w:val="0"/>
                <w:bCs w:val="0"/>
                <w:color w:val="auto"/>
                <w:sz w:val="21"/>
                <w:szCs w:val="21"/>
                <w:highlight w:val="none"/>
                <w:lang w:val="en-US" w:eastAsia="zh-CN"/>
              </w:rPr>
              <w:t>CMA”标</w:t>
            </w:r>
            <w:r>
              <w:rPr>
                <w:rFonts w:hint="eastAsia" w:asciiTheme="minorEastAsia" w:hAnsiTheme="minorEastAsia" w:eastAsiaTheme="minorEastAsia" w:cstheme="minorEastAsia"/>
                <w:color w:val="auto"/>
                <w:sz w:val="21"/>
                <w:szCs w:val="21"/>
                <w:highlight w:val="none"/>
                <w:lang w:val="en-US" w:eastAsia="zh-CN"/>
              </w:rPr>
              <w:t>识的合格检验报告复印件或扫描件予以佐证，</w:t>
            </w:r>
            <w:r>
              <w:rPr>
                <w:rFonts w:hint="eastAsia" w:asciiTheme="minorEastAsia" w:hAnsiTheme="minorEastAsia" w:eastAsiaTheme="minorEastAsia" w:cstheme="minorEastAsia"/>
                <w:color w:val="auto"/>
                <w:sz w:val="21"/>
                <w:szCs w:val="21"/>
                <w:highlight w:val="none"/>
                <w:shd w:val="clear"/>
                <w:lang w:val="en-US" w:eastAsia="zh-CN"/>
              </w:rPr>
              <w:t>原件备查）</w:t>
            </w:r>
            <w:r>
              <w:rPr>
                <w:rFonts w:hint="eastAsia" w:ascii="宋体" w:hAnsi="宋体" w:eastAsia="宋体" w:cs="宋体"/>
                <w:color w:val="auto"/>
                <w:spacing w:val="-6"/>
                <w:sz w:val="21"/>
                <w:szCs w:val="21"/>
              </w:rPr>
              <w:t>，每负偏离一</w:t>
            </w:r>
            <w:r>
              <w:rPr>
                <w:rFonts w:hint="eastAsia" w:ascii="宋体" w:hAnsi="宋体" w:eastAsia="宋体" w:cs="宋体"/>
                <w:color w:val="auto"/>
                <w:spacing w:val="-7"/>
                <w:sz w:val="21"/>
                <w:szCs w:val="21"/>
              </w:rPr>
              <w:t>项扣</w:t>
            </w:r>
            <w:r>
              <w:rPr>
                <w:rFonts w:hint="eastAsia" w:cs="宋体"/>
                <w:color w:val="auto"/>
                <w:spacing w:val="-7"/>
                <w:sz w:val="21"/>
                <w:szCs w:val="21"/>
                <w:lang w:val="en-US" w:eastAsia="zh-CN"/>
              </w:rPr>
              <w:t>2</w:t>
            </w:r>
            <w:r>
              <w:rPr>
                <w:rFonts w:hint="eastAsia" w:ascii="宋体" w:hAnsi="宋体" w:eastAsia="宋体" w:cs="宋体"/>
                <w:color w:val="auto"/>
                <w:spacing w:val="-7"/>
                <w:sz w:val="21"/>
                <w:szCs w:val="21"/>
              </w:rPr>
              <w:t>分（共计</w:t>
            </w:r>
            <w:r>
              <w:rPr>
                <w:rFonts w:hint="eastAsia" w:cs="宋体"/>
                <w:color w:val="auto"/>
                <w:spacing w:val="-7"/>
                <w:sz w:val="21"/>
                <w:szCs w:val="21"/>
                <w:lang w:val="en-US" w:eastAsia="zh-CN"/>
              </w:rPr>
              <w:t>17</w:t>
            </w:r>
            <w:r>
              <w:rPr>
                <w:rFonts w:hint="eastAsia" w:ascii="宋体" w:hAnsi="宋体" w:eastAsia="宋体" w:cs="宋体"/>
                <w:color w:val="auto"/>
                <w:spacing w:val="-7"/>
                <w:sz w:val="21"/>
                <w:szCs w:val="21"/>
              </w:rPr>
              <w:t>项,</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满分</w:t>
            </w:r>
            <w:r>
              <w:rPr>
                <w:rFonts w:hint="eastAsia" w:cs="宋体"/>
                <w:color w:val="auto"/>
                <w:spacing w:val="3"/>
                <w:sz w:val="21"/>
                <w:szCs w:val="21"/>
                <w:lang w:val="en-US" w:eastAsia="zh-CN"/>
              </w:rPr>
              <w:t>34</w:t>
            </w:r>
            <w:r>
              <w:rPr>
                <w:rFonts w:hint="eastAsia" w:ascii="宋体" w:hAnsi="宋体" w:eastAsia="宋体" w:cs="宋体"/>
                <w:color w:val="auto"/>
                <w:spacing w:val="3"/>
                <w:sz w:val="21"/>
                <w:szCs w:val="21"/>
              </w:rPr>
              <w:t>分</w:t>
            </w:r>
            <w:r>
              <w:rPr>
                <w:rFonts w:hint="eastAsia" w:ascii="宋体" w:hAnsi="宋体" w:eastAsia="宋体" w:cs="宋体"/>
                <w:color w:val="auto"/>
                <w:spacing w:val="-4"/>
                <w:sz w:val="21"/>
                <w:szCs w:val="21"/>
              </w:rPr>
              <w:t>）；（</w:t>
            </w:r>
            <w:r>
              <w:rPr>
                <w:rFonts w:hint="eastAsia" w:cs="宋体"/>
                <w:color w:val="auto"/>
                <w:spacing w:val="-4"/>
                <w:sz w:val="21"/>
                <w:szCs w:val="21"/>
                <w:lang w:val="en-US" w:eastAsia="zh-CN"/>
              </w:rPr>
              <w:t>4</w:t>
            </w:r>
            <w:r>
              <w:rPr>
                <w:rFonts w:hint="eastAsia" w:ascii="宋体" w:hAnsi="宋体" w:eastAsia="宋体" w:cs="宋体"/>
                <w:color w:val="auto"/>
                <w:spacing w:val="3"/>
                <w:sz w:val="21"/>
                <w:szCs w:val="21"/>
              </w:rPr>
              <w:t>）其余未带</w:t>
            </w:r>
            <w:r>
              <w:rPr>
                <w:rFonts w:hint="eastAsia" w:ascii="宋体" w:hAnsi="宋体" w:eastAsia="宋体" w:cs="宋体"/>
                <w:color w:val="auto"/>
                <w:spacing w:val="2"/>
                <w:sz w:val="21"/>
                <w:szCs w:val="21"/>
                <w:lang w:eastAsia="zh-CN"/>
              </w:rPr>
              <w:t>“</w:t>
            </w:r>
            <w:r>
              <w:rPr>
                <w:rFonts w:hint="eastAsia" w:ascii="宋体" w:hAnsi="宋体" w:cs="宋体"/>
                <w:color w:val="auto"/>
                <w:spacing w:val="2"/>
                <w:sz w:val="21"/>
                <w:szCs w:val="21"/>
                <w:lang w:eastAsia="zh-CN"/>
              </w:rPr>
              <w:t>★</w:t>
            </w:r>
            <w:r>
              <w:rPr>
                <w:rFonts w:hint="eastAsia" w:ascii="宋体" w:hAnsi="宋体" w:eastAsia="宋体" w:cs="宋体"/>
                <w:color w:val="auto"/>
                <w:spacing w:val="2"/>
                <w:sz w:val="21"/>
                <w:szCs w:val="21"/>
                <w:lang w:eastAsia="zh-CN"/>
              </w:rPr>
              <w:t>”</w:t>
            </w:r>
            <w:r>
              <w:rPr>
                <w:rFonts w:hint="eastAsia" w:cs="宋体"/>
                <w:color w:val="auto"/>
                <w:spacing w:val="2"/>
                <w:sz w:val="21"/>
                <w:szCs w:val="21"/>
                <w:lang w:val="en-US" w:eastAsia="zh-CN"/>
              </w:rPr>
              <w:t>和</w:t>
            </w:r>
            <w:r>
              <w:rPr>
                <w:rFonts w:hint="eastAsia" w:ascii="宋体" w:hAnsi="宋体" w:eastAsia="宋体" w:cs="宋体"/>
                <w:color w:val="auto"/>
                <w:spacing w:val="-6"/>
                <w:sz w:val="21"/>
                <w:szCs w:val="21"/>
              </w:rPr>
              <w:t>“▲”</w:t>
            </w:r>
            <w:r>
              <w:rPr>
                <w:rFonts w:hint="eastAsia" w:ascii="宋体" w:hAnsi="宋体" w:eastAsia="宋体" w:cs="宋体"/>
                <w:color w:val="auto"/>
                <w:spacing w:val="3"/>
                <w:sz w:val="21"/>
                <w:szCs w:val="21"/>
              </w:rPr>
              <w:t>符号</w:t>
            </w:r>
            <w:r>
              <w:rPr>
                <w:rFonts w:hint="eastAsia" w:cs="宋体"/>
                <w:color w:val="auto"/>
                <w:spacing w:val="3"/>
                <w:sz w:val="21"/>
                <w:szCs w:val="21"/>
                <w:lang w:val="en-US" w:eastAsia="zh-CN"/>
              </w:rPr>
              <w:t>的</w:t>
            </w:r>
            <w:r>
              <w:rPr>
                <w:rFonts w:hint="eastAsia" w:ascii="宋体" w:hAnsi="宋体" w:eastAsia="宋体" w:cs="宋体"/>
                <w:color w:val="auto"/>
                <w:spacing w:val="3"/>
                <w:sz w:val="21"/>
                <w:szCs w:val="21"/>
              </w:rPr>
              <w:t>技术</w:t>
            </w:r>
            <w:r>
              <w:rPr>
                <w:rFonts w:hint="eastAsia" w:ascii="宋体" w:hAnsi="宋体" w:eastAsia="宋体" w:cs="宋体"/>
                <w:color w:val="auto"/>
                <w:spacing w:val="2"/>
                <w:sz w:val="21"/>
                <w:szCs w:val="21"/>
                <w:lang w:val="en-US" w:eastAsia="zh-CN"/>
              </w:rPr>
              <w:t>参数</w:t>
            </w:r>
            <w:r>
              <w:rPr>
                <w:rFonts w:hint="eastAsia" w:cs="宋体"/>
                <w:color w:val="auto"/>
                <w:spacing w:val="2"/>
                <w:sz w:val="21"/>
                <w:szCs w:val="21"/>
                <w:lang w:val="en-US" w:eastAsia="zh-CN"/>
              </w:rPr>
              <w:t>（共计65项）</w:t>
            </w:r>
            <w:r>
              <w:rPr>
                <w:rFonts w:hint="eastAsia" w:ascii="宋体" w:hAnsi="宋体" w:eastAsia="宋体" w:cs="宋体"/>
                <w:color w:val="auto"/>
                <w:spacing w:val="3"/>
                <w:sz w:val="21"/>
                <w:szCs w:val="21"/>
              </w:rPr>
              <w:t>每负偏离一项扣</w:t>
            </w:r>
            <w:r>
              <w:rPr>
                <w:rFonts w:hint="eastAsia" w:ascii="宋体" w:hAnsi="宋体" w:eastAsia="宋体" w:cs="宋体"/>
                <w:color w:val="auto"/>
                <w:sz w:val="21"/>
                <w:szCs w:val="21"/>
              </w:rPr>
              <w:t xml:space="preserve"> </w:t>
            </w:r>
            <w:r>
              <w:rPr>
                <w:rFonts w:hint="eastAsia" w:ascii="宋体" w:hAnsi="宋体" w:eastAsia="宋体" w:cs="宋体"/>
                <w:color w:val="auto"/>
                <w:spacing w:val="5"/>
                <w:sz w:val="21"/>
                <w:szCs w:val="21"/>
              </w:rPr>
              <w:t>0.</w:t>
            </w:r>
            <w:r>
              <w:rPr>
                <w:rFonts w:hint="eastAsia" w:cs="宋体"/>
                <w:color w:val="auto"/>
                <w:spacing w:val="5"/>
                <w:sz w:val="21"/>
                <w:szCs w:val="21"/>
                <w:lang w:val="en-US" w:eastAsia="zh-CN"/>
              </w:rPr>
              <w:t>2</w:t>
            </w:r>
            <w:r>
              <w:rPr>
                <w:rFonts w:hint="eastAsia" w:ascii="宋体" w:hAnsi="宋体" w:eastAsia="宋体" w:cs="宋体"/>
                <w:color w:val="auto"/>
                <w:spacing w:val="5"/>
                <w:sz w:val="21"/>
                <w:szCs w:val="21"/>
              </w:rPr>
              <w:t>分</w:t>
            </w:r>
            <w:r>
              <w:rPr>
                <w:rFonts w:hint="eastAsia" w:ascii="宋体" w:hAnsi="宋体" w:eastAsia="宋体" w:cs="宋体"/>
                <w:color w:val="auto"/>
                <w:spacing w:val="5"/>
                <w:sz w:val="21"/>
                <w:szCs w:val="21"/>
                <w:lang w:eastAsia="zh-CN"/>
              </w:rPr>
              <w:t>，</w:t>
            </w:r>
            <w:r>
              <w:rPr>
                <w:rFonts w:hint="eastAsia" w:ascii="宋体" w:hAnsi="宋体" w:eastAsia="宋体" w:cs="宋体"/>
                <w:color w:val="auto"/>
                <w:spacing w:val="5"/>
                <w:sz w:val="21"/>
                <w:szCs w:val="21"/>
              </w:rPr>
              <w:t>正</w:t>
            </w:r>
            <w:r>
              <w:rPr>
                <w:rFonts w:hint="eastAsia" w:ascii="宋体" w:hAnsi="宋体" w:eastAsia="宋体" w:cs="宋体"/>
                <w:color w:val="auto"/>
                <w:spacing w:val="4"/>
                <w:sz w:val="21"/>
                <w:szCs w:val="21"/>
              </w:rPr>
              <w:t>偏离不加分；</w:t>
            </w:r>
            <w:r>
              <w:rPr>
                <w:rFonts w:hint="eastAsia" w:ascii="宋体" w:hAnsi="宋体" w:eastAsia="宋体" w:cs="宋体"/>
                <w:color w:val="auto"/>
                <w:spacing w:val="-24"/>
                <w:sz w:val="21"/>
                <w:szCs w:val="21"/>
              </w:rPr>
              <w:t xml:space="preserve"> </w:t>
            </w:r>
            <w:r>
              <w:rPr>
                <w:rFonts w:hint="eastAsia" w:ascii="宋体" w:hAnsi="宋体" w:eastAsia="宋体" w:cs="宋体"/>
                <w:color w:val="auto"/>
                <w:spacing w:val="4"/>
                <w:sz w:val="21"/>
                <w:szCs w:val="21"/>
              </w:rPr>
              <w:t>注：投</w:t>
            </w:r>
            <w:r>
              <w:rPr>
                <w:rFonts w:hint="eastAsia" w:ascii="宋体" w:hAnsi="宋体" w:eastAsia="宋体" w:cs="宋体"/>
                <w:color w:val="auto"/>
                <w:spacing w:val="2"/>
                <w:sz w:val="21"/>
                <w:szCs w:val="21"/>
              </w:rPr>
              <w:t>标人必须如实地</w:t>
            </w:r>
            <w:r>
              <w:rPr>
                <w:rFonts w:hint="eastAsia" w:ascii="宋体" w:hAnsi="宋体" w:eastAsia="宋体" w:cs="宋体"/>
                <w:color w:val="auto"/>
                <w:spacing w:val="2"/>
                <w:sz w:val="21"/>
                <w:szCs w:val="21"/>
                <w:lang w:val="en-US" w:eastAsia="zh-CN"/>
              </w:rPr>
              <w:t>对主要技术参数</w:t>
            </w:r>
            <w:r>
              <w:rPr>
                <w:rFonts w:hint="eastAsia" w:ascii="宋体" w:hAnsi="宋体" w:eastAsia="宋体" w:cs="宋体"/>
                <w:color w:val="auto"/>
                <w:spacing w:val="2"/>
                <w:sz w:val="21"/>
                <w:szCs w:val="21"/>
              </w:rPr>
              <w:t>的条款作出明确的逐项响应承诺，并对其真实性负责。并列出正负偏离情况；因编排错乱或响应不完整而导致的不利评审由</w:t>
            </w:r>
            <w:r>
              <w:rPr>
                <w:rFonts w:hint="eastAsia" w:ascii="宋体" w:hAnsi="宋体" w:eastAsia="宋体" w:cs="宋体"/>
                <w:color w:val="auto"/>
                <w:sz w:val="21"/>
                <w:szCs w:val="21"/>
              </w:rPr>
              <w:t>投标人自行承担。</w:t>
            </w:r>
          </w:p>
        </w:tc>
        <w:tc>
          <w:tcPr>
            <w:tcW w:w="82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177" w:leftChars="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8"/>
                <w:sz w:val="21"/>
                <w:szCs w:val="21"/>
              </w:rPr>
              <w:t>4</w:t>
            </w:r>
            <w:r>
              <w:rPr>
                <w:rFonts w:hint="eastAsia" w:ascii="宋体" w:hAnsi="宋体" w:cs="宋体"/>
                <w:color w:val="auto"/>
                <w:spacing w:val="8"/>
                <w:sz w:val="21"/>
                <w:szCs w:val="21"/>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1217" w:type="dxa"/>
            <w:vMerge w:val="continue"/>
            <w:tcBorders>
              <w:left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lang w:val="zh-CN"/>
              </w:rPr>
            </w:pPr>
          </w:p>
        </w:tc>
        <w:tc>
          <w:tcPr>
            <w:tcW w:w="791" w:type="dxa"/>
            <w:tcBorders>
              <w:top w:val="single" w:color="auto" w:sz="4" w:space="0"/>
              <w:left w:val="single" w:color="auto" w:sz="4" w:space="0"/>
              <w:bottom w:val="single" w:color="auto" w:sz="4" w:space="0"/>
              <w:right w:val="single" w:color="auto" w:sz="4" w:space="0"/>
            </w:tcBorders>
            <w:noWrap/>
            <w:vAlign w:val="center"/>
          </w:tcPr>
          <w:p>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lang w:val="en-US" w:eastAsia="zh-CN"/>
              </w:rPr>
              <w:t>B</w:t>
            </w:r>
            <w:r>
              <w:rPr>
                <w:rFonts w:hint="eastAsia" w:ascii="宋体" w:hAnsi="宋体" w:eastAsia="宋体" w:cs="宋体"/>
                <w:color w:val="auto"/>
                <w:sz w:val="21"/>
                <w:szCs w:val="21"/>
              </w:rPr>
              <w:t>2、窗帘安装方案</w:t>
            </w:r>
          </w:p>
        </w:tc>
        <w:tc>
          <w:tcPr>
            <w:tcW w:w="5677" w:type="dxa"/>
            <w:tcBorders>
              <w:top w:val="single" w:color="auto" w:sz="4" w:space="0"/>
              <w:left w:val="single" w:color="auto" w:sz="4" w:space="0"/>
              <w:bottom w:val="single" w:color="auto" w:sz="4" w:space="0"/>
              <w:right w:val="single" w:color="auto" w:sz="4" w:space="0"/>
            </w:tcBorders>
            <w:noWrap/>
            <w:vAlign w:val="top"/>
          </w:tcPr>
          <w:p>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134"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pacing w:val="1"/>
                <w:sz w:val="21"/>
                <w:szCs w:val="21"/>
              </w:rPr>
              <w:t>根据投标人针对本项目提供的窗帘安装方案（内容至少包含：窗帘的安装流程、窗帘安装成品保护、安装方案、工期及</w:t>
            </w:r>
            <w:r>
              <w:rPr>
                <w:rFonts w:hint="eastAsia" w:ascii="宋体" w:hAnsi="宋体" w:eastAsia="宋体" w:cs="宋体"/>
                <w:color w:val="auto"/>
                <w:sz w:val="21"/>
                <w:szCs w:val="21"/>
              </w:rPr>
              <w:t>安装进度计划、项目验收方案等</w:t>
            </w:r>
            <w:r>
              <w:rPr>
                <w:rFonts w:hint="eastAsia" w:ascii="宋体" w:hAnsi="宋体" w:eastAsia="宋体" w:cs="宋体"/>
                <w:color w:val="auto"/>
                <w:spacing w:val="21"/>
                <w:sz w:val="21"/>
                <w:szCs w:val="21"/>
              </w:rPr>
              <w:t>），</w:t>
            </w:r>
            <w:r>
              <w:rPr>
                <w:rFonts w:hint="eastAsia" w:ascii="宋体" w:hAnsi="宋体" w:eastAsia="宋体" w:cs="宋体"/>
                <w:color w:val="auto"/>
                <w:sz w:val="21"/>
                <w:szCs w:val="21"/>
              </w:rPr>
              <w:t>由评标委员会进行评分</w:t>
            </w:r>
            <w:r>
              <w:rPr>
                <w:rFonts w:hint="eastAsia" w:ascii="宋体" w:hAnsi="宋体" w:eastAsia="宋体" w:cs="宋体"/>
                <w:color w:val="auto"/>
                <w:spacing w:val="-7"/>
                <w:sz w:val="21"/>
                <w:szCs w:val="21"/>
              </w:rPr>
              <w:t>：（</w:t>
            </w:r>
            <w:r>
              <w:rPr>
                <w:rFonts w:hint="eastAsia" w:ascii="宋体" w:hAnsi="宋体" w:eastAsia="宋体" w:cs="宋体"/>
                <w:color w:val="auto"/>
                <w:spacing w:val="3"/>
                <w:sz w:val="21"/>
                <w:szCs w:val="21"/>
              </w:rPr>
              <w:t>1）方案包含的要点齐全无缺漏项、内容与要点相符、</w:t>
            </w:r>
            <w:r>
              <w:rPr>
                <w:rFonts w:hint="eastAsia" w:ascii="宋体" w:hAnsi="宋体" w:eastAsia="宋体" w:cs="宋体"/>
                <w:color w:val="auto"/>
                <w:spacing w:val="1"/>
                <w:sz w:val="21"/>
                <w:szCs w:val="21"/>
              </w:rPr>
              <w:t>每个要点均有展开详细的阐述、整体思路结构清晰、逻辑性强，内容描述科学合理，细节考虑周全且能够适用于本项目</w:t>
            </w:r>
            <w:r>
              <w:rPr>
                <w:rFonts w:hint="eastAsia" w:ascii="宋体" w:hAnsi="宋体" w:eastAsia="宋体" w:cs="宋体"/>
                <w:color w:val="auto"/>
                <w:spacing w:val="5"/>
                <w:sz w:val="21"/>
                <w:szCs w:val="21"/>
              </w:rPr>
              <w:t>的得2分</w:t>
            </w:r>
            <w:r>
              <w:rPr>
                <w:rFonts w:hint="eastAsia" w:ascii="宋体" w:hAnsi="宋体" w:eastAsia="宋体" w:cs="宋体"/>
                <w:color w:val="auto"/>
                <w:spacing w:val="-14"/>
                <w:sz w:val="21"/>
                <w:szCs w:val="21"/>
              </w:rPr>
              <w:t>；（</w:t>
            </w:r>
            <w:r>
              <w:rPr>
                <w:rFonts w:hint="eastAsia" w:ascii="宋体" w:hAnsi="宋体" w:eastAsia="宋体" w:cs="宋体"/>
                <w:color w:val="auto"/>
                <w:spacing w:val="5"/>
                <w:sz w:val="21"/>
                <w:szCs w:val="21"/>
              </w:rPr>
              <w:t>2）方案所包含的要点齐全、内容与要点相符</w:t>
            </w:r>
            <w:r>
              <w:rPr>
                <w:rFonts w:hint="eastAsia" w:ascii="宋体" w:hAnsi="宋体" w:eastAsia="宋体" w:cs="宋体"/>
                <w:color w:val="auto"/>
                <w:spacing w:val="1"/>
                <w:sz w:val="21"/>
                <w:szCs w:val="21"/>
              </w:rPr>
              <w:t>、每个要点均有展开阐述（没有特别具体）、整体思路结构较清晰、逻辑性较强，内容描述较科学合理，细节考虑较周</w:t>
            </w:r>
            <w:r>
              <w:rPr>
                <w:rFonts w:hint="eastAsia" w:ascii="宋体" w:hAnsi="宋体" w:eastAsia="宋体" w:cs="宋体"/>
                <w:color w:val="auto"/>
                <w:spacing w:val="5"/>
                <w:sz w:val="21"/>
                <w:szCs w:val="21"/>
              </w:rPr>
              <w:t>全且基本能够适用于本项目的得1分</w:t>
            </w:r>
            <w:r>
              <w:rPr>
                <w:rFonts w:hint="eastAsia" w:ascii="宋体" w:hAnsi="宋体" w:eastAsia="宋体" w:cs="宋体"/>
                <w:color w:val="auto"/>
                <w:spacing w:val="-14"/>
                <w:sz w:val="21"/>
                <w:szCs w:val="21"/>
              </w:rPr>
              <w:t>；（</w:t>
            </w:r>
            <w:r>
              <w:rPr>
                <w:rFonts w:hint="eastAsia" w:ascii="宋体" w:hAnsi="宋体" w:eastAsia="宋体" w:cs="宋体"/>
                <w:color w:val="auto"/>
                <w:spacing w:val="5"/>
                <w:sz w:val="21"/>
                <w:szCs w:val="21"/>
              </w:rPr>
              <w:t>3）方案所包含的</w:t>
            </w:r>
            <w:r>
              <w:rPr>
                <w:rFonts w:hint="eastAsia" w:ascii="宋体" w:hAnsi="宋体" w:eastAsia="宋体" w:cs="宋体"/>
                <w:color w:val="auto"/>
                <w:spacing w:val="1"/>
                <w:sz w:val="21"/>
                <w:szCs w:val="21"/>
              </w:rPr>
              <w:t>要点有缺漏、内容与要点相符但仅有纲要、内容简略，未展</w:t>
            </w:r>
            <w:r>
              <w:rPr>
                <w:rFonts w:hint="eastAsia" w:ascii="宋体" w:hAnsi="宋体" w:eastAsia="宋体" w:cs="宋体"/>
                <w:color w:val="auto"/>
                <w:spacing w:val="6"/>
                <w:sz w:val="21"/>
                <w:szCs w:val="21"/>
              </w:rPr>
              <w:t>开详细阐述但基本能够适用于本项目的得0.5分</w:t>
            </w:r>
            <w:r>
              <w:rPr>
                <w:rFonts w:hint="eastAsia" w:ascii="宋体" w:hAnsi="宋体" w:eastAsia="宋体" w:cs="宋体"/>
                <w:color w:val="auto"/>
                <w:spacing w:val="-14"/>
                <w:sz w:val="21"/>
                <w:szCs w:val="21"/>
              </w:rPr>
              <w:t>；（</w:t>
            </w:r>
            <w:r>
              <w:rPr>
                <w:rFonts w:hint="eastAsia" w:ascii="宋体" w:hAnsi="宋体" w:eastAsia="宋体" w:cs="宋体"/>
                <w:color w:val="auto"/>
                <w:spacing w:val="6"/>
                <w:sz w:val="21"/>
                <w:szCs w:val="21"/>
              </w:rPr>
              <w:t>4</w:t>
            </w:r>
            <w:r>
              <w:rPr>
                <w:rFonts w:hint="eastAsia" w:ascii="宋体" w:hAnsi="宋体" w:eastAsia="宋体" w:cs="宋体"/>
                <w:color w:val="auto"/>
                <w:spacing w:val="5"/>
                <w:sz w:val="21"/>
                <w:szCs w:val="21"/>
              </w:rPr>
              <w:t>）未</w:t>
            </w:r>
            <w:r>
              <w:rPr>
                <w:rFonts w:hint="eastAsia" w:ascii="宋体" w:hAnsi="宋体" w:eastAsia="宋体" w:cs="宋体"/>
                <w:color w:val="auto"/>
                <w:spacing w:val="1"/>
                <w:sz w:val="21"/>
                <w:szCs w:val="21"/>
              </w:rPr>
              <w:t>提供或内容存在明显错误、内容明显不适用于本项目需求的</w:t>
            </w:r>
            <w:r>
              <w:rPr>
                <w:rFonts w:hint="eastAsia" w:ascii="宋体" w:hAnsi="宋体" w:eastAsia="宋体" w:cs="宋体"/>
                <w:color w:val="auto"/>
                <w:spacing w:val="-1"/>
                <w:sz w:val="21"/>
                <w:szCs w:val="21"/>
              </w:rPr>
              <w:t>均不得分。</w:t>
            </w:r>
          </w:p>
        </w:tc>
        <w:tc>
          <w:tcPr>
            <w:tcW w:w="82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302" w:leftChars="0" w:right="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pacing w:val="7"/>
                <w:sz w:val="21"/>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1217" w:type="dxa"/>
            <w:vMerge w:val="continue"/>
            <w:tcBorders>
              <w:left w:val="single" w:color="auto" w:sz="4" w:space="0"/>
              <w:right w:val="single" w:color="auto" w:sz="4" w:space="0"/>
            </w:tcBorders>
            <w:noWrap/>
            <w:vAlign w:val="top"/>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lang w:val="zh-CN"/>
              </w:rPr>
            </w:pPr>
          </w:p>
        </w:tc>
        <w:tc>
          <w:tcPr>
            <w:tcW w:w="7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both"/>
              <w:textAlignment w:val="baseline"/>
              <w:rPr>
                <w:rFonts w:hint="eastAsia" w:ascii="宋体" w:hAnsi="宋体" w:eastAsia="宋体" w:cs="宋体"/>
                <w:color w:val="auto"/>
                <w:sz w:val="21"/>
                <w:szCs w:val="21"/>
                <w:highlight w:val="none"/>
                <w:lang w:val="zh-CN"/>
              </w:rPr>
            </w:pPr>
            <w:r>
              <w:rPr>
                <w:rFonts w:hint="eastAsia" w:ascii="宋体" w:hAnsi="宋体" w:cs="宋体"/>
                <w:color w:val="auto"/>
                <w:spacing w:val="1"/>
                <w:sz w:val="21"/>
                <w:szCs w:val="21"/>
                <w:lang w:val="en-US" w:eastAsia="zh-CN"/>
              </w:rPr>
              <w:t>B</w:t>
            </w:r>
            <w:r>
              <w:rPr>
                <w:rFonts w:hint="eastAsia" w:ascii="宋体" w:hAnsi="宋体" w:eastAsia="宋体" w:cs="宋体"/>
                <w:color w:val="auto"/>
                <w:spacing w:val="1"/>
                <w:sz w:val="21"/>
                <w:szCs w:val="21"/>
              </w:rPr>
              <w:t>3、窗帘质量保障方案</w:t>
            </w:r>
          </w:p>
        </w:tc>
        <w:tc>
          <w:tcPr>
            <w:tcW w:w="56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pacing w:val="1"/>
                <w:sz w:val="21"/>
                <w:szCs w:val="21"/>
              </w:rPr>
              <w:t>根据投标人针对本项目提供的项目质量保障方案（包含但不</w:t>
            </w:r>
            <w:r>
              <w:rPr>
                <w:rFonts w:hint="eastAsia" w:ascii="宋体" w:hAnsi="宋体" w:eastAsia="宋体" w:cs="宋体"/>
                <w:color w:val="auto"/>
                <w:sz w:val="21"/>
                <w:szCs w:val="21"/>
              </w:rPr>
              <w:t>限于窗帘产品质量保证、质量管理的方针、</w:t>
            </w:r>
            <w:r>
              <w:rPr>
                <w:rFonts w:hint="eastAsia" w:ascii="宋体" w:hAnsi="宋体" w:eastAsia="宋体" w:cs="宋体"/>
                <w:color w:val="auto"/>
                <w:spacing w:val="-49"/>
                <w:sz w:val="21"/>
                <w:szCs w:val="21"/>
              </w:rPr>
              <w:t xml:space="preserve"> </w:t>
            </w:r>
            <w:r>
              <w:rPr>
                <w:rFonts w:hint="eastAsia" w:ascii="宋体" w:hAnsi="宋体" w:eastAsia="宋体" w:cs="宋体"/>
                <w:color w:val="auto"/>
                <w:sz w:val="21"/>
                <w:szCs w:val="21"/>
              </w:rPr>
              <w:t>目标和承</w:t>
            </w:r>
            <w:r>
              <w:rPr>
                <w:rFonts w:hint="eastAsia" w:ascii="宋体" w:hAnsi="宋体" w:eastAsia="宋体" w:cs="宋体"/>
                <w:color w:val="auto"/>
                <w:spacing w:val="-1"/>
                <w:sz w:val="21"/>
                <w:szCs w:val="21"/>
              </w:rPr>
              <w:t>诺、质</w:t>
            </w:r>
            <w:r>
              <w:rPr>
                <w:rFonts w:hint="eastAsia" w:ascii="宋体" w:hAnsi="宋体" w:eastAsia="宋体" w:cs="宋体"/>
                <w:color w:val="auto"/>
                <w:spacing w:val="1"/>
                <w:sz w:val="21"/>
                <w:szCs w:val="21"/>
              </w:rPr>
              <w:t>量管理的目的和内容、技术服务相关措施、服务质量保障措</w:t>
            </w:r>
            <w:r>
              <w:rPr>
                <w:rFonts w:hint="eastAsia" w:ascii="宋体" w:hAnsi="宋体" w:eastAsia="宋体" w:cs="宋体"/>
                <w:color w:val="auto"/>
                <w:spacing w:val="2"/>
                <w:sz w:val="21"/>
                <w:szCs w:val="21"/>
              </w:rPr>
              <w:t>施等），由评标委员会进行评分：（1）方案包含的要点齐</w:t>
            </w:r>
            <w:r>
              <w:rPr>
                <w:rFonts w:hint="eastAsia" w:ascii="宋体" w:hAnsi="宋体" w:eastAsia="宋体" w:cs="宋体"/>
                <w:color w:val="auto"/>
                <w:spacing w:val="1"/>
                <w:sz w:val="21"/>
                <w:szCs w:val="21"/>
              </w:rPr>
              <w:t>全无缺漏项、内容与要点相符、每个要点均有展开详细的阐述、整体思路结构清晰、逻辑性强，内容描述科学合理，细</w:t>
            </w:r>
            <w:r>
              <w:rPr>
                <w:rFonts w:hint="eastAsia" w:ascii="宋体" w:hAnsi="宋体" w:eastAsia="宋体" w:cs="宋体"/>
                <w:color w:val="auto"/>
                <w:spacing w:val="5"/>
                <w:sz w:val="21"/>
                <w:szCs w:val="21"/>
              </w:rPr>
              <w:t>节考虑周全且能够适用于本项目的得2分</w:t>
            </w:r>
            <w:r>
              <w:rPr>
                <w:rFonts w:hint="eastAsia" w:ascii="宋体" w:hAnsi="宋体" w:eastAsia="宋体" w:cs="宋体"/>
                <w:color w:val="auto"/>
                <w:spacing w:val="-14"/>
                <w:sz w:val="21"/>
                <w:szCs w:val="21"/>
              </w:rPr>
              <w:t>；</w:t>
            </w:r>
            <w:r>
              <w:rPr>
                <w:rFonts w:hint="eastAsia" w:ascii="宋体" w:hAnsi="宋体" w:eastAsia="宋体" w:cs="宋体"/>
                <w:color w:val="auto"/>
                <w:spacing w:val="-29"/>
                <w:sz w:val="21"/>
                <w:szCs w:val="21"/>
              </w:rPr>
              <w:t xml:space="preserve"> </w:t>
            </w:r>
            <w:r>
              <w:rPr>
                <w:rFonts w:hint="eastAsia" w:ascii="宋体" w:hAnsi="宋体" w:eastAsia="宋体" w:cs="宋体"/>
                <w:color w:val="auto"/>
                <w:spacing w:val="-14"/>
                <w:sz w:val="21"/>
                <w:szCs w:val="21"/>
              </w:rPr>
              <w:t>（</w:t>
            </w:r>
            <w:r>
              <w:rPr>
                <w:rFonts w:hint="eastAsia" w:ascii="宋体" w:hAnsi="宋体" w:eastAsia="宋体" w:cs="宋体"/>
                <w:color w:val="auto"/>
                <w:spacing w:val="5"/>
                <w:sz w:val="21"/>
                <w:szCs w:val="21"/>
              </w:rPr>
              <w:t>2）方案所包</w:t>
            </w:r>
            <w:r>
              <w:rPr>
                <w:rFonts w:hint="eastAsia" w:ascii="宋体" w:hAnsi="宋体" w:eastAsia="宋体" w:cs="宋体"/>
                <w:color w:val="auto"/>
                <w:sz w:val="21"/>
                <w:szCs w:val="21"/>
              </w:rPr>
              <w:t>含的要点齐全、内容与要点相符、每个要点均有展开阐述 (</w:t>
            </w:r>
            <w:r>
              <w:rPr>
                <w:rFonts w:hint="eastAsia" w:ascii="宋体" w:hAnsi="宋体" w:eastAsia="宋体" w:cs="宋体"/>
                <w:color w:val="auto"/>
                <w:spacing w:val="1"/>
                <w:sz w:val="21"/>
                <w:szCs w:val="21"/>
              </w:rPr>
              <w:t>没有特别具体）、整体思路结构较清晰、逻辑性较强，内容</w:t>
            </w:r>
            <w:r>
              <w:rPr>
                <w:rFonts w:hint="eastAsia" w:ascii="宋体" w:hAnsi="宋体" w:eastAsia="宋体" w:cs="宋体"/>
                <w:color w:val="auto"/>
                <w:spacing w:val="17"/>
                <w:sz w:val="21"/>
                <w:szCs w:val="21"/>
              </w:rPr>
              <w:t xml:space="preserve"> </w:t>
            </w:r>
            <w:r>
              <w:rPr>
                <w:rFonts w:hint="eastAsia" w:ascii="宋体" w:hAnsi="宋体" w:eastAsia="宋体" w:cs="宋体"/>
                <w:color w:val="auto"/>
                <w:spacing w:val="1"/>
                <w:sz w:val="21"/>
                <w:szCs w:val="21"/>
              </w:rPr>
              <w:t>描述较科学合理，细节考虑较周全且基本能够适用于本项目</w:t>
            </w:r>
            <w:r>
              <w:rPr>
                <w:rFonts w:hint="eastAsia" w:ascii="宋体" w:hAnsi="宋体" w:eastAsia="宋体" w:cs="宋体"/>
                <w:color w:val="auto"/>
                <w:spacing w:val="5"/>
                <w:sz w:val="21"/>
                <w:szCs w:val="21"/>
              </w:rPr>
              <w:t>的得1分</w:t>
            </w:r>
            <w:r>
              <w:rPr>
                <w:rFonts w:hint="eastAsia" w:ascii="宋体" w:hAnsi="宋体" w:eastAsia="宋体" w:cs="宋体"/>
                <w:color w:val="auto"/>
                <w:spacing w:val="-14"/>
                <w:sz w:val="21"/>
                <w:szCs w:val="21"/>
              </w:rPr>
              <w:t>；</w:t>
            </w:r>
            <w:r>
              <w:rPr>
                <w:rFonts w:hint="eastAsia" w:ascii="宋体" w:hAnsi="宋体" w:eastAsia="宋体" w:cs="宋体"/>
                <w:color w:val="auto"/>
                <w:spacing w:val="-29"/>
                <w:sz w:val="21"/>
                <w:szCs w:val="21"/>
              </w:rPr>
              <w:t xml:space="preserve"> </w:t>
            </w:r>
            <w:r>
              <w:rPr>
                <w:rFonts w:hint="eastAsia" w:ascii="宋体" w:hAnsi="宋体" w:eastAsia="宋体" w:cs="宋体"/>
                <w:color w:val="auto"/>
                <w:spacing w:val="-14"/>
                <w:sz w:val="21"/>
                <w:szCs w:val="21"/>
              </w:rPr>
              <w:t>（</w:t>
            </w:r>
            <w:r>
              <w:rPr>
                <w:rFonts w:hint="eastAsia" w:ascii="宋体" w:hAnsi="宋体" w:eastAsia="宋体" w:cs="宋体"/>
                <w:color w:val="auto"/>
                <w:spacing w:val="5"/>
                <w:sz w:val="21"/>
                <w:szCs w:val="21"/>
              </w:rPr>
              <w:t>3）方案所包含的要点有缺漏、内容与要点相</w:t>
            </w:r>
            <w:r>
              <w:rPr>
                <w:rFonts w:hint="eastAsia" w:ascii="宋体" w:hAnsi="宋体" w:eastAsia="宋体" w:cs="宋体"/>
                <w:color w:val="auto"/>
                <w:spacing w:val="1"/>
                <w:sz w:val="21"/>
                <w:szCs w:val="21"/>
              </w:rPr>
              <w:t>符但仅有纲要、内容简略，未展开详细阐述但基本能够适用</w:t>
            </w:r>
            <w:r>
              <w:rPr>
                <w:rFonts w:hint="eastAsia" w:ascii="宋体" w:hAnsi="宋体" w:eastAsia="宋体" w:cs="宋体"/>
                <w:color w:val="auto"/>
                <w:spacing w:val="4"/>
                <w:sz w:val="21"/>
                <w:szCs w:val="21"/>
              </w:rPr>
              <w:t>于本项目的得0.5分</w:t>
            </w:r>
            <w:r>
              <w:rPr>
                <w:rFonts w:hint="eastAsia" w:ascii="宋体" w:hAnsi="宋体" w:eastAsia="宋体" w:cs="宋体"/>
                <w:color w:val="auto"/>
                <w:spacing w:val="-14"/>
                <w:sz w:val="21"/>
                <w:szCs w:val="21"/>
              </w:rPr>
              <w:t>；（</w:t>
            </w:r>
            <w:r>
              <w:rPr>
                <w:rFonts w:hint="eastAsia" w:ascii="宋体" w:hAnsi="宋体" w:eastAsia="宋体" w:cs="宋体"/>
                <w:color w:val="auto"/>
                <w:spacing w:val="4"/>
                <w:sz w:val="21"/>
                <w:szCs w:val="21"/>
              </w:rPr>
              <w:t>4）未提供或内容存在</w:t>
            </w:r>
            <w:r>
              <w:rPr>
                <w:rFonts w:hint="eastAsia" w:ascii="宋体" w:hAnsi="宋体" w:eastAsia="宋体" w:cs="宋体"/>
                <w:color w:val="auto"/>
                <w:spacing w:val="3"/>
                <w:sz w:val="21"/>
                <w:szCs w:val="21"/>
              </w:rPr>
              <w:t>明显错误、</w:t>
            </w:r>
            <w:r>
              <w:rPr>
                <w:rFonts w:hint="eastAsia" w:ascii="宋体" w:hAnsi="宋体" w:eastAsia="宋体" w:cs="宋体"/>
                <w:color w:val="auto"/>
                <w:sz w:val="21"/>
                <w:szCs w:val="21"/>
              </w:rPr>
              <w:t>内容明显不适用于本项目需求的均不得分。</w:t>
            </w:r>
          </w:p>
        </w:tc>
        <w:tc>
          <w:tcPr>
            <w:tcW w:w="8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1217" w:type="dxa"/>
            <w:vMerge w:val="continue"/>
            <w:tcBorders>
              <w:left w:val="single" w:color="auto" w:sz="4" w:space="0"/>
              <w:right w:val="single" w:color="auto" w:sz="4" w:space="0"/>
            </w:tcBorders>
            <w:noWrap/>
            <w:vAlign w:val="top"/>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lang w:val="zh-CN"/>
              </w:rPr>
            </w:pPr>
          </w:p>
        </w:tc>
        <w:tc>
          <w:tcPr>
            <w:tcW w:w="791" w:type="dxa"/>
            <w:tcBorders>
              <w:top w:val="single" w:color="auto" w:sz="4" w:space="0"/>
              <w:left w:val="single" w:color="auto" w:sz="4" w:space="0"/>
              <w:bottom w:val="single" w:color="auto" w:sz="4" w:space="0"/>
              <w:right w:val="single" w:color="auto" w:sz="4" w:space="0"/>
            </w:tcBorders>
            <w:noWrap/>
            <w:vAlign w:val="center"/>
          </w:tcPr>
          <w:p>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pacing w:val="-1"/>
                <w:sz w:val="21"/>
                <w:szCs w:val="21"/>
                <w:lang w:val="en-US" w:eastAsia="zh-CN"/>
              </w:rPr>
              <w:t>B</w:t>
            </w:r>
            <w:r>
              <w:rPr>
                <w:rFonts w:hint="eastAsia" w:ascii="宋体" w:hAnsi="宋体" w:eastAsia="宋体" w:cs="宋体"/>
                <w:color w:val="auto"/>
                <w:spacing w:val="-1"/>
                <w:sz w:val="21"/>
                <w:szCs w:val="21"/>
              </w:rPr>
              <w:t>4</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rPr>
              <w:t>生产设备</w:t>
            </w:r>
          </w:p>
        </w:tc>
        <w:tc>
          <w:tcPr>
            <w:tcW w:w="5677" w:type="dxa"/>
            <w:tcBorders>
              <w:top w:val="single" w:color="auto" w:sz="4" w:space="0"/>
              <w:left w:val="single" w:color="auto" w:sz="4" w:space="0"/>
              <w:bottom w:val="single" w:color="auto" w:sz="4" w:space="0"/>
              <w:right w:val="single" w:color="auto" w:sz="4" w:space="0"/>
            </w:tcBorders>
            <w:noWrap/>
            <w:vAlign w:val="top"/>
          </w:tcPr>
          <w:p>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134" w:rightChars="0"/>
              <w:jc w:val="both"/>
              <w:textAlignment w:val="auto"/>
              <w:rPr>
                <w:rFonts w:hint="eastAsia" w:ascii="宋体" w:hAnsi="宋体" w:eastAsia="宋体" w:cs="宋体"/>
                <w:color w:val="auto"/>
                <w:kern w:val="2"/>
                <w:sz w:val="21"/>
                <w:szCs w:val="21"/>
                <w:lang w:val="zh-CN" w:eastAsia="en-US" w:bidi="ar-SA"/>
              </w:rPr>
            </w:pPr>
            <w:r>
              <w:rPr>
                <w:rFonts w:hint="eastAsia" w:ascii="宋体" w:hAnsi="宋体" w:eastAsia="宋体" w:cs="宋体"/>
                <w:color w:val="auto"/>
                <w:spacing w:val="1"/>
                <w:sz w:val="21"/>
                <w:szCs w:val="21"/>
              </w:rPr>
              <w:t>投入本项目生产设备具有布料激光裁切机的得</w:t>
            </w:r>
            <w:r>
              <w:rPr>
                <w:rFonts w:hint="eastAsia" w:cs="宋体"/>
                <w:color w:val="auto"/>
                <w:spacing w:val="1"/>
                <w:sz w:val="21"/>
                <w:szCs w:val="21"/>
                <w:lang w:val="en-US" w:eastAsia="zh-CN"/>
              </w:rPr>
              <w:t>2</w:t>
            </w:r>
            <w:r>
              <w:rPr>
                <w:rFonts w:hint="eastAsia" w:ascii="宋体" w:hAnsi="宋体" w:eastAsia="宋体" w:cs="宋体"/>
                <w:color w:val="auto"/>
                <w:spacing w:val="1"/>
                <w:sz w:val="21"/>
                <w:szCs w:val="21"/>
              </w:rPr>
              <w:t>分。需提供设备购置发票（发票中应包含设备名称）或设备租赁合同复印件（合同中应包含设备名称</w:t>
            </w:r>
            <w:r>
              <w:rPr>
                <w:rFonts w:hint="eastAsia" w:ascii="宋体" w:hAnsi="宋体" w:eastAsia="宋体" w:cs="宋体"/>
                <w:color w:val="auto"/>
                <w:spacing w:val="1"/>
                <w:sz w:val="21"/>
                <w:szCs w:val="21"/>
                <w:lang w:eastAsia="zh-CN"/>
              </w:rPr>
              <w:t>，合同</w:t>
            </w:r>
            <w:r>
              <w:rPr>
                <w:rFonts w:hint="eastAsia" w:ascii="宋体" w:hAnsi="宋体" w:eastAsia="宋体" w:cs="宋体"/>
                <w:color w:val="auto"/>
                <w:spacing w:val="1"/>
                <w:sz w:val="21"/>
                <w:szCs w:val="21"/>
                <w:highlight w:val="none"/>
                <w:lang w:eastAsia="zh-CN"/>
              </w:rPr>
              <w:t>签订时间在本项目</w:t>
            </w:r>
            <w:r>
              <w:rPr>
                <w:rFonts w:hint="eastAsia" w:ascii="宋体" w:hAnsi="宋体" w:eastAsia="宋体" w:cs="宋体"/>
                <w:color w:val="auto"/>
                <w:spacing w:val="1"/>
                <w:sz w:val="21"/>
                <w:szCs w:val="21"/>
                <w:highlight w:val="none"/>
                <w:lang w:val="en-US" w:eastAsia="zh-CN"/>
              </w:rPr>
              <w:t>投标截止时间</w:t>
            </w:r>
            <w:r>
              <w:rPr>
                <w:rFonts w:hint="eastAsia" w:ascii="宋体" w:hAnsi="宋体" w:eastAsia="宋体" w:cs="宋体"/>
                <w:color w:val="auto"/>
                <w:spacing w:val="1"/>
                <w:sz w:val="21"/>
                <w:szCs w:val="21"/>
                <w:highlight w:val="none"/>
                <w:lang w:eastAsia="zh-CN"/>
              </w:rPr>
              <w:t>之前</w:t>
            </w:r>
            <w:r>
              <w:rPr>
                <w:rFonts w:hint="eastAsia" w:ascii="宋体" w:hAnsi="宋体" w:eastAsia="宋体" w:cs="宋体"/>
                <w:color w:val="auto"/>
                <w:spacing w:val="1"/>
                <w:sz w:val="21"/>
                <w:szCs w:val="21"/>
                <w:highlight w:val="none"/>
              </w:rPr>
              <w:t>且租赁年限不得低于本项目</w:t>
            </w:r>
            <w:r>
              <w:rPr>
                <w:rFonts w:hint="eastAsia" w:ascii="宋体" w:hAnsi="宋体" w:eastAsia="宋体" w:cs="宋体"/>
                <w:color w:val="auto"/>
                <w:sz w:val="21"/>
                <w:szCs w:val="21"/>
                <w:highlight w:val="none"/>
              </w:rPr>
              <w:t>履约时间</w:t>
            </w:r>
            <w:r>
              <w:rPr>
                <w:rFonts w:hint="eastAsia" w:ascii="宋体" w:hAnsi="宋体" w:eastAsia="宋体" w:cs="宋体"/>
                <w:color w:val="auto"/>
                <w:spacing w:val="15"/>
                <w:sz w:val="21"/>
                <w:szCs w:val="21"/>
                <w:highlight w:val="none"/>
              </w:rPr>
              <w:t>），</w:t>
            </w:r>
            <w:r>
              <w:rPr>
                <w:rFonts w:hint="eastAsia" w:ascii="宋体" w:hAnsi="宋体" w:eastAsia="宋体" w:cs="宋体"/>
                <w:color w:val="auto"/>
                <w:sz w:val="21"/>
                <w:szCs w:val="21"/>
                <w:highlight w:val="none"/>
              </w:rPr>
              <w:t>否则不得分。</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z w:val="21"/>
                <w:szCs w:val="21"/>
                <w:highlight w:val="none"/>
              </w:rPr>
              <w:t>注：设备名称不同，但具备激光</w:t>
            </w:r>
            <w:r>
              <w:rPr>
                <w:rFonts w:hint="eastAsia" w:ascii="宋体" w:hAnsi="宋体" w:eastAsia="宋体" w:cs="宋体"/>
                <w:color w:val="auto"/>
                <w:spacing w:val="1"/>
                <w:sz w:val="21"/>
                <w:szCs w:val="21"/>
                <w:highlight w:val="none"/>
              </w:rPr>
              <w:t>裁布功能的，经评标委员会认定，可视为符合本项要</w:t>
            </w:r>
            <w:r>
              <w:rPr>
                <w:rFonts w:hint="eastAsia" w:ascii="宋体" w:hAnsi="宋体" w:eastAsia="宋体" w:cs="宋体"/>
                <w:color w:val="auto"/>
                <w:spacing w:val="1"/>
                <w:sz w:val="21"/>
                <w:szCs w:val="21"/>
              </w:rPr>
              <w:t>求。</w:t>
            </w:r>
          </w:p>
        </w:tc>
        <w:tc>
          <w:tcPr>
            <w:tcW w:w="82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302" w:leftChars="0" w:right="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1217" w:type="dxa"/>
            <w:vMerge w:val="continue"/>
            <w:tcBorders>
              <w:left w:val="single" w:color="auto" w:sz="4" w:space="0"/>
              <w:right w:val="single" w:color="auto" w:sz="4" w:space="0"/>
            </w:tcBorders>
            <w:noWrap/>
            <w:vAlign w:val="top"/>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lang w:val="zh-CN"/>
              </w:rPr>
            </w:pPr>
          </w:p>
        </w:tc>
        <w:tc>
          <w:tcPr>
            <w:tcW w:w="791" w:type="dxa"/>
            <w:tcBorders>
              <w:top w:val="single" w:color="auto" w:sz="4" w:space="0"/>
              <w:left w:val="single" w:color="auto" w:sz="4" w:space="0"/>
              <w:bottom w:val="single" w:color="auto" w:sz="4" w:space="0"/>
              <w:right w:val="single" w:color="auto" w:sz="4" w:space="0"/>
            </w:tcBorders>
            <w:noWrap/>
            <w:vAlign w:val="center"/>
          </w:tcPr>
          <w:p>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pacing w:val="-2"/>
                <w:sz w:val="21"/>
                <w:szCs w:val="21"/>
                <w:lang w:val="en-US" w:eastAsia="zh-CN"/>
              </w:rPr>
              <w:t>B</w:t>
            </w:r>
            <w:r>
              <w:rPr>
                <w:rFonts w:hint="eastAsia" w:ascii="宋体" w:hAnsi="宋体" w:eastAsia="宋体" w:cs="宋体"/>
                <w:color w:val="auto"/>
                <w:spacing w:val="-2"/>
                <w:sz w:val="21"/>
                <w:szCs w:val="21"/>
              </w:rPr>
              <w:t>5、样品1</w:t>
            </w:r>
          </w:p>
        </w:tc>
        <w:tc>
          <w:tcPr>
            <w:tcW w:w="5677" w:type="dxa"/>
            <w:tcBorders>
              <w:top w:val="single" w:color="auto" w:sz="4" w:space="0"/>
              <w:left w:val="single" w:color="auto" w:sz="4" w:space="0"/>
              <w:bottom w:val="single" w:color="auto" w:sz="4" w:space="0"/>
              <w:right w:val="single" w:color="auto" w:sz="4" w:space="0"/>
            </w:tcBorders>
            <w:noWrap/>
            <w:vAlign w:val="top"/>
          </w:tcPr>
          <w:p>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104" w:rightChars="0"/>
              <w:textAlignment w:val="auto"/>
              <w:rPr>
                <w:rFonts w:hint="eastAsia" w:ascii="宋体" w:hAnsi="宋体" w:eastAsia="宋体" w:cs="宋体"/>
                <w:color w:val="auto"/>
                <w:kern w:val="2"/>
                <w:sz w:val="21"/>
                <w:szCs w:val="21"/>
                <w:lang w:val="zh-CN" w:eastAsia="en-US" w:bidi="ar-SA"/>
              </w:rPr>
            </w:pPr>
            <w:r>
              <w:rPr>
                <w:rFonts w:hint="eastAsia" w:ascii="宋体" w:hAnsi="宋体" w:eastAsia="宋体" w:cs="宋体"/>
                <w:color w:val="auto"/>
                <w:spacing w:val="1"/>
                <w:sz w:val="21"/>
                <w:szCs w:val="21"/>
              </w:rPr>
              <w:t>根据投标人所提供的样品1【序号1、布帘（含布带</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rPr>
              <w:t>布钩</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lang w:val="en-US" w:eastAsia="zh-CN"/>
              </w:rPr>
              <w:t>绑带</w:t>
            </w:r>
            <w:r>
              <w:rPr>
                <w:rFonts w:hint="eastAsia" w:ascii="宋体" w:hAnsi="宋体" w:eastAsia="宋体" w:cs="宋体"/>
                <w:color w:val="auto"/>
                <w:spacing w:val="14"/>
                <w:sz w:val="21"/>
                <w:szCs w:val="21"/>
              </w:rPr>
              <w:t xml:space="preserve"> </w:t>
            </w:r>
            <w:r>
              <w:rPr>
                <w:rFonts w:hint="eastAsia" w:ascii="宋体" w:hAnsi="宋体" w:eastAsia="宋体" w:cs="宋体"/>
                <w:color w:val="auto"/>
                <w:spacing w:val="1"/>
                <w:sz w:val="21"/>
                <w:szCs w:val="21"/>
              </w:rPr>
              <w:t>)】的主材用料质地、密度、遮光效果、整体造型外观、制</w:t>
            </w:r>
            <w:r>
              <w:rPr>
                <w:rFonts w:hint="eastAsia" w:ascii="宋体" w:hAnsi="宋体" w:eastAsia="宋体" w:cs="宋体"/>
                <w:color w:val="auto"/>
                <w:spacing w:val="2"/>
                <w:sz w:val="21"/>
                <w:szCs w:val="21"/>
              </w:rPr>
              <w:t>作工艺（线条柔顺度、无裂纹、结疤、无夹渣、无变形等）</w:t>
            </w:r>
            <w:r>
              <w:rPr>
                <w:rFonts w:hint="eastAsia" w:ascii="宋体" w:hAnsi="宋体" w:eastAsia="宋体" w:cs="宋体"/>
                <w:color w:val="auto"/>
                <w:spacing w:val="4"/>
                <w:sz w:val="21"/>
                <w:szCs w:val="21"/>
              </w:rPr>
              <w:t>等，由评标委员会按以下标准评分</w:t>
            </w:r>
            <w:r>
              <w:rPr>
                <w:rFonts w:hint="eastAsia" w:ascii="宋体" w:hAnsi="宋体" w:eastAsia="宋体" w:cs="宋体"/>
                <w:color w:val="auto"/>
                <w:spacing w:val="-14"/>
                <w:sz w:val="21"/>
                <w:szCs w:val="21"/>
              </w:rPr>
              <w:t>：</w:t>
            </w:r>
            <w:r>
              <w:rPr>
                <w:rFonts w:hint="eastAsia" w:ascii="宋体" w:hAnsi="宋体" w:eastAsia="宋体" w:cs="宋体"/>
                <w:color w:val="auto"/>
                <w:spacing w:val="-30"/>
                <w:sz w:val="21"/>
                <w:szCs w:val="21"/>
              </w:rPr>
              <w:t xml:space="preserve"> </w:t>
            </w:r>
            <w:r>
              <w:rPr>
                <w:rFonts w:hint="eastAsia" w:ascii="宋体" w:hAnsi="宋体" w:eastAsia="宋体" w:cs="宋体"/>
                <w:color w:val="auto"/>
                <w:spacing w:val="-14"/>
                <w:sz w:val="21"/>
                <w:szCs w:val="21"/>
              </w:rPr>
              <w:t>（</w:t>
            </w:r>
            <w:r>
              <w:rPr>
                <w:rFonts w:hint="eastAsia" w:ascii="宋体" w:hAnsi="宋体" w:eastAsia="宋体" w:cs="宋体"/>
                <w:color w:val="auto"/>
                <w:spacing w:val="4"/>
                <w:sz w:val="21"/>
                <w:szCs w:val="21"/>
              </w:rPr>
              <w:t>1）材质用料质地均</w:t>
            </w:r>
            <w:r>
              <w:rPr>
                <w:rFonts w:hint="eastAsia" w:ascii="宋体" w:hAnsi="宋体" w:eastAsia="宋体" w:cs="宋体"/>
                <w:color w:val="auto"/>
                <w:spacing w:val="1"/>
                <w:sz w:val="21"/>
                <w:szCs w:val="21"/>
              </w:rPr>
              <w:t>匀、密度高、遮光效果好、整体造型外观款式新颖、整体制</w:t>
            </w:r>
            <w:r>
              <w:rPr>
                <w:rFonts w:hint="eastAsia" w:ascii="宋体" w:hAnsi="宋体" w:eastAsia="宋体" w:cs="宋体"/>
                <w:color w:val="auto"/>
                <w:spacing w:val="5"/>
                <w:sz w:val="21"/>
                <w:szCs w:val="21"/>
              </w:rPr>
              <w:t>作工艺细节水平高的得</w:t>
            </w:r>
            <w:r>
              <w:rPr>
                <w:rFonts w:hint="eastAsia" w:cs="宋体"/>
                <w:color w:val="auto"/>
                <w:spacing w:val="5"/>
                <w:sz w:val="21"/>
                <w:szCs w:val="21"/>
                <w:lang w:val="en-US" w:eastAsia="zh-CN"/>
              </w:rPr>
              <w:t>2</w:t>
            </w:r>
            <w:r>
              <w:rPr>
                <w:rFonts w:hint="eastAsia" w:ascii="宋体" w:hAnsi="宋体" w:eastAsia="宋体" w:cs="宋体"/>
                <w:color w:val="auto"/>
                <w:spacing w:val="5"/>
                <w:sz w:val="21"/>
                <w:szCs w:val="21"/>
              </w:rPr>
              <w:t>分</w:t>
            </w:r>
            <w:r>
              <w:rPr>
                <w:rFonts w:hint="eastAsia" w:ascii="宋体" w:hAnsi="宋体" w:eastAsia="宋体" w:cs="宋体"/>
                <w:color w:val="auto"/>
                <w:spacing w:val="-11"/>
                <w:sz w:val="21"/>
                <w:szCs w:val="21"/>
              </w:rPr>
              <w:t>；</w:t>
            </w:r>
            <w:r>
              <w:rPr>
                <w:rFonts w:hint="eastAsia" w:ascii="宋体" w:hAnsi="宋体" w:eastAsia="宋体" w:cs="宋体"/>
                <w:color w:val="auto"/>
                <w:spacing w:val="-30"/>
                <w:sz w:val="21"/>
                <w:szCs w:val="21"/>
              </w:rPr>
              <w:t xml:space="preserve"> </w:t>
            </w:r>
            <w:r>
              <w:rPr>
                <w:rFonts w:hint="eastAsia" w:ascii="宋体" w:hAnsi="宋体" w:eastAsia="宋体" w:cs="宋体"/>
                <w:color w:val="auto"/>
                <w:spacing w:val="-11"/>
                <w:sz w:val="21"/>
                <w:szCs w:val="21"/>
              </w:rPr>
              <w:t>（</w:t>
            </w:r>
            <w:r>
              <w:rPr>
                <w:rFonts w:hint="eastAsia" w:ascii="宋体" w:hAnsi="宋体" w:eastAsia="宋体" w:cs="宋体"/>
                <w:color w:val="auto"/>
                <w:spacing w:val="5"/>
                <w:sz w:val="21"/>
                <w:szCs w:val="21"/>
              </w:rPr>
              <w:t>2）材质用料质地均匀、</w:t>
            </w:r>
            <w:r>
              <w:rPr>
                <w:rFonts w:hint="eastAsia" w:ascii="宋体" w:hAnsi="宋体" w:eastAsia="宋体" w:cs="宋体"/>
                <w:color w:val="auto"/>
                <w:spacing w:val="2"/>
                <w:sz w:val="21"/>
                <w:szCs w:val="21"/>
              </w:rPr>
              <w:t>密度较好，遮光效果较好，制作工艺较好的得</w:t>
            </w:r>
            <w:r>
              <w:rPr>
                <w:rFonts w:hint="eastAsia" w:cs="宋体"/>
                <w:color w:val="auto"/>
                <w:spacing w:val="2"/>
                <w:sz w:val="21"/>
                <w:szCs w:val="21"/>
                <w:lang w:val="en-US" w:eastAsia="zh-CN"/>
              </w:rPr>
              <w:t>1</w:t>
            </w:r>
            <w:r>
              <w:rPr>
                <w:rFonts w:hint="eastAsia" w:ascii="宋体" w:hAnsi="宋体" w:eastAsia="宋体" w:cs="宋体"/>
                <w:color w:val="auto"/>
                <w:spacing w:val="2"/>
                <w:sz w:val="21"/>
                <w:szCs w:val="21"/>
              </w:rPr>
              <w:t>分</w:t>
            </w:r>
            <w:r>
              <w:rPr>
                <w:rFonts w:hint="eastAsia" w:ascii="宋体" w:hAnsi="宋体" w:eastAsia="宋体" w:cs="宋体"/>
                <w:color w:val="auto"/>
                <w:spacing w:val="-11"/>
                <w:sz w:val="21"/>
                <w:szCs w:val="21"/>
              </w:rPr>
              <w:t>；</w:t>
            </w:r>
            <w:r>
              <w:rPr>
                <w:rFonts w:hint="eastAsia" w:ascii="宋体" w:hAnsi="宋体" w:eastAsia="宋体" w:cs="宋体"/>
                <w:color w:val="auto"/>
                <w:spacing w:val="-29"/>
                <w:sz w:val="21"/>
                <w:szCs w:val="21"/>
              </w:rPr>
              <w:t xml:space="preserve"> </w:t>
            </w:r>
            <w:r>
              <w:rPr>
                <w:rFonts w:hint="eastAsia" w:ascii="宋体" w:hAnsi="宋体" w:eastAsia="宋体" w:cs="宋体"/>
                <w:color w:val="auto"/>
                <w:spacing w:val="-11"/>
                <w:sz w:val="21"/>
                <w:szCs w:val="21"/>
              </w:rPr>
              <w:t>（</w:t>
            </w:r>
            <w:r>
              <w:rPr>
                <w:rFonts w:hint="eastAsia" w:ascii="宋体" w:hAnsi="宋体" w:eastAsia="宋体" w:cs="宋体"/>
                <w:color w:val="auto"/>
                <w:spacing w:val="2"/>
                <w:sz w:val="21"/>
                <w:szCs w:val="21"/>
              </w:rPr>
              <w:t>3）材质用料质地一般、工艺细节一般的得</w:t>
            </w:r>
            <w:r>
              <w:rPr>
                <w:rFonts w:hint="eastAsia" w:cs="宋体"/>
                <w:color w:val="auto"/>
                <w:spacing w:val="2"/>
                <w:sz w:val="21"/>
                <w:szCs w:val="21"/>
                <w:lang w:val="en-US" w:eastAsia="zh-CN"/>
              </w:rPr>
              <w:t>0.5</w:t>
            </w:r>
            <w:r>
              <w:rPr>
                <w:rFonts w:hint="eastAsia" w:ascii="宋体" w:hAnsi="宋体" w:eastAsia="宋体" w:cs="宋体"/>
                <w:color w:val="auto"/>
                <w:spacing w:val="2"/>
                <w:sz w:val="21"/>
                <w:szCs w:val="21"/>
              </w:rPr>
              <w:t>分</w:t>
            </w:r>
            <w:r>
              <w:rPr>
                <w:rFonts w:hint="eastAsia" w:ascii="宋体" w:hAnsi="宋体" w:eastAsia="宋体" w:cs="宋体"/>
                <w:color w:val="auto"/>
                <w:spacing w:val="-9"/>
                <w:sz w:val="21"/>
                <w:szCs w:val="21"/>
              </w:rPr>
              <w:t>；</w:t>
            </w:r>
            <w:r>
              <w:rPr>
                <w:rFonts w:hint="eastAsia" w:ascii="宋体" w:hAnsi="宋体" w:eastAsia="宋体" w:cs="宋体"/>
                <w:color w:val="auto"/>
                <w:spacing w:val="-31"/>
                <w:sz w:val="21"/>
                <w:szCs w:val="21"/>
              </w:rPr>
              <w:t xml:space="preserve"> </w:t>
            </w:r>
            <w:r>
              <w:rPr>
                <w:rFonts w:hint="eastAsia" w:ascii="宋体" w:hAnsi="宋体" w:eastAsia="宋体" w:cs="宋体"/>
                <w:color w:val="auto"/>
                <w:spacing w:val="-9"/>
                <w:sz w:val="21"/>
                <w:szCs w:val="21"/>
              </w:rPr>
              <w:t>（</w:t>
            </w:r>
            <w:r>
              <w:rPr>
                <w:rFonts w:hint="eastAsia" w:ascii="宋体" w:hAnsi="宋体" w:eastAsia="宋体" w:cs="宋体"/>
                <w:color w:val="auto"/>
                <w:spacing w:val="2"/>
                <w:sz w:val="21"/>
                <w:szCs w:val="21"/>
              </w:rPr>
              <w:t>4）未按</w:t>
            </w:r>
            <w:r>
              <w:rPr>
                <w:rFonts w:hint="eastAsia" w:ascii="宋体" w:hAnsi="宋体" w:eastAsia="宋体" w:cs="宋体"/>
                <w:color w:val="auto"/>
                <w:sz w:val="21"/>
                <w:szCs w:val="21"/>
              </w:rPr>
              <w:t>规定提供样品的不得分。</w:t>
            </w:r>
          </w:p>
        </w:tc>
        <w:tc>
          <w:tcPr>
            <w:tcW w:w="82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302" w:right="0"/>
              <w:textAlignment w:val="auto"/>
              <w:rPr>
                <w:rFonts w:hint="eastAsia" w:ascii="宋体" w:hAnsi="宋体" w:eastAsia="宋体" w:cs="宋体"/>
                <w:color w:val="auto"/>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302" w:right="0"/>
              <w:textAlignment w:val="auto"/>
              <w:rPr>
                <w:rFonts w:hint="eastAsia" w:ascii="宋体" w:hAnsi="宋体" w:eastAsia="宋体" w:cs="宋体"/>
                <w:color w:val="auto"/>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302" w:right="0"/>
              <w:textAlignment w:val="auto"/>
              <w:rPr>
                <w:rFonts w:hint="eastAsia" w:ascii="宋体" w:hAnsi="宋体" w:eastAsia="宋体" w:cs="宋体"/>
                <w:color w:val="auto"/>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302" w:right="0"/>
              <w:textAlignment w:val="auto"/>
              <w:rPr>
                <w:rFonts w:hint="eastAsia" w:ascii="宋体" w:hAnsi="宋体" w:eastAsia="宋体" w:cs="宋体"/>
                <w:color w:val="auto"/>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302" w:leftChars="0" w:right="0"/>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1217" w:type="dxa"/>
            <w:vMerge w:val="continue"/>
            <w:tcBorders>
              <w:left w:val="single" w:color="auto" w:sz="4" w:space="0"/>
              <w:right w:val="single" w:color="auto" w:sz="4" w:space="0"/>
            </w:tcBorders>
            <w:noWrap/>
            <w:vAlign w:val="top"/>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lang w:val="zh-CN"/>
              </w:rPr>
            </w:pPr>
          </w:p>
        </w:tc>
        <w:tc>
          <w:tcPr>
            <w:tcW w:w="791" w:type="dxa"/>
            <w:tcBorders>
              <w:top w:val="single" w:color="auto" w:sz="4" w:space="0"/>
              <w:left w:val="single" w:color="auto" w:sz="4" w:space="0"/>
              <w:bottom w:val="single" w:color="auto" w:sz="4" w:space="0"/>
              <w:right w:val="single" w:color="auto" w:sz="4" w:space="0"/>
            </w:tcBorders>
            <w:noWrap/>
            <w:vAlign w:val="center"/>
          </w:tcPr>
          <w:p>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pacing w:val="-2"/>
                <w:sz w:val="21"/>
                <w:szCs w:val="21"/>
                <w:lang w:val="en-US" w:eastAsia="zh-CN"/>
              </w:rPr>
              <w:t>B</w:t>
            </w:r>
            <w:r>
              <w:rPr>
                <w:rFonts w:hint="eastAsia" w:ascii="宋体" w:hAnsi="宋体" w:eastAsia="宋体" w:cs="宋体"/>
                <w:color w:val="auto"/>
                <w:spacing w:val="-2"/>
                <w:sz w:val="21"/>
                <w:szCs w:val="21"/>
              </w:rPr>
              <w:t>6、样品2</w:t>
            </w:r>
          </w:p>
        </w:tc>
        <w:tc>
          <w:tcPr>
            <w:tcW w:w="5677" w:type="dxa"/>
            <w:tcBorders>
              <w:top w:val="single" w:color="auto" w:sz="4" w:space="0"/>
              <w:left w:val="single" w:color="auto" w:sz="4" w:space="0"/>
              <w:bottom w:val="single" w:color="auto" w:sz="4" w:space="0"/>
              <w:right w:val="single" w:color="auto" w:sz="4" w:space="0"/>
            </w:tcBorders>
            <w:noWrap/>
            <w:vAlign w:val="top"/>
          </w:tcPr>
          <w:p>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110" w:rightChars="0"/>
              <w:textAlignment w:val="auto"/>
              <w:rPr>
                <w:rFonts w:hint="eastAsia" w:ascii="宋体" w:hAnsi="宋体" w:eastAsia="宋体" w:cs="宋体"/>
                <w:color w:val="auto"/>
                <w:kern w:val="2"/>
                <w:sz w:val="21"/>
                <w:szCs w:val="21"/>
                <w:lang w:val="zh-CN" w:eastAsia="en-US" w:bidi="ar-SA"/>
              </w:rPr>
            </w:pPr>
            <w:r>
              <w:rPr>
                <w:rFonts w:hint="eastAsia" w:ascii="宋体" w:hAnsi="宋体" w:eastAsia="宋体" w:cs="宋体"/>
                <w:color w:val="auto"/>
                <w:spacing w:val="1"/>
                <w:sz w:val="21"/>
                <w:szCs w:val="21"/>
              </w:rPr>
              <w:t>根据投标人提供的样品2</w:t>
            </w:r>
            <w:r>
              <w:rPr>
                <w:rFonts w:hint="eastAsia" w:ascii="宋体" w:hAnsi="宋体" w:cs="宋体"/>
                <w:color w:val="auto"/>
                <w:sz w:val="21"/>
                <w:szCs w:val="21"/>
                <w:lang w:eastAsia="zh-CN"/>
              </w:rPr>
              <w:t>【</w:t>
            </w:r>
            <w:r>
              <w:rPr>
                <w:rFonts w:hint="eastAsia" w:ascii="宋体" w:hAnsi="宋体" w:eastAsia="宋体" w:cs="宋体"/>
                <w:color w:val="auto"/>
                <w:spacing w:val="1"/>
                <w:sz w:val="21"/>
                <w:szCs w:val="21"/>
              </w:rPr>
              <w:t>序号2</w:t>
            </w:r>
            <w:r>
              <w:rPr>
                <w:rFonts w:hint="eastAsia" w:cs="宋体"/>
                <w:color w:val="auto"/>
                <w:spacing w:val="1"/>
                <w:sz w:val="21"/>
                <w:szCs w:val="21"/>
                <w:lang w:eastAsia="zh-CN"/>
              </w:rPr>
              <w:t>、</w:t>
            </w:r>
            <w:r>
              <w:rPr>
                <w:rFonts w:hint="eastAsia" w:ascii="宋体" w:hAnsi="宋体" w:eastAsia="宋体" w:cs="宋体"/>
                <w:color w:val="auto"/>
                <w:spacing w:val="1"/>
                <w:sz w:val="21"/>
                <w:szCs w:val="21"/>
              </w:rPr>
              <w:t>拉帘</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卷帘）</w:t>
            </w:r>
            <w:r>
              <w:rPr>
                <w:rFonts w:hint="eastAsia" w:ascii="宋体" w:hAnsi="宋体" w:eastAsia="宋体" w:cs="宋体"/>
                <w:color w:val="auto"/>
                <w:spacing w:val="1"/>
                <w:sz w:val="21"/>
                <w:szCs w:val="21"/>
              </w:rPr>
              <w:t>】的主材用料质地、密度、遮光效果、整体造型外观、制作工艺（线条柔顺度、无裂纹、结疤、无夹渣、无变形等）等，由评标委员会</w:t>
            </w:r>
            <w:r>
              <w:rPr>
                <w:rFonts w:hint="eastAsia" w:ascii="宋体" w:hAnsi="宋体" w:eastAsia="宋体" w:cs="宋体"/>
                <w:color w:val="auto"/>
                <w:spacing w:val="3"/>
                <w:sz w:val="21"/>
                <w:szCs w:val="21"/>
              </w:rPr>
              <w:t>按以下标准评分</w:t>
            </w:r>
            <w:r>
              <w:rPr>
                <w:rFonts w:hint="eastAsia" w:ascii="宋体" w:hAnsi="宋体" w:eastAsia="宋体" w:cs="宋体"/>
                <w:color w:val="auto"/>
                <w:spacing w:val="-15"/>
                <w:sz w:val="21"/>
                <w:szCs w:val="21"/>
              </w:rPr>
              <w:t>：</w:t>
            </w:r>
            <w:r>
              <w:rPr>
                <w:rFonts w:hint="eastAsia" w:ascii="宋体" w:hAnsi="宋体" w:eastAsia="宋体" w:cs="宋体"/>
                <w:color w:val="auto"/>
                <w:spacing w:val="-30"/>
                <w:sz w:val="21"/>
                <w:szCs w:val="21"/>
              </w:rPr>
              <w:t xml:space="preserve"> </w:t>
            </w:r>
            <w:r>
              <w:rPr>
                <w:rFonts w:hint="eastAsia" w:ascii="宋体" w:hAnsi="宋体" w:eastAsia="宋体" w:cs="宋体"/>
                <w:color w:val="auto"/>
                <w:spacing w:val="-15"/>
                <w:sz w:val="21"/>
                <w:szCs w:val="21"/>
              </w:rPr>
              <w:t>（</w:t>
            </w:r>
            <w:r>
              <w:rPr>
                <w:rFonts w:hint="eastAsia" w:ascii="宋体" w:hAnsi="宋体" w:eastAsia="宋体" w:cs="宋体"/>
                <w:color w:val="auto"/>
                <w:spacing w:val="3"/>
                <w:sz w:val="21"/>
                <w:szCs w:val="21"/>
              </w:rPr>
              <w:t>1）材质用料质地均匀、密度高、遮光</w:t>
            </w:r>
            <w:r>
              <w:rPr>
                <w:rFonts w:hint="eastAsia" w:ascii="宋体" w:hAnsi="宋体" w:eastAsia="宋体" w:cs="宋体"/>
                <w:color w:val="auto"/>
                <w:spacing w:val="1"/>
                <w:sz w:val="21"/>
                <w:szCs w:val="21"/>
              </w:rPr>
              <w:t>效果好、整体造型外观款式新颖、整体制作工艺细节水平高</w:t>
            </w:r>
            <w:r>
              <w:rPr>
                <w:rFonts w:hint="eastAsia" w:ascii="宋体" w:hAnsi="宋体" w:eastAsia="宋体" w:cs="宋体"/>
                <w:color w:val="auto"/>
                <w:spacing w:val="4"/>
                <w:sz w:val="21"/>
                <w:szCs w:val="21"/>
              </w:rPr>
              <w:t>的得2分</w:t>
            </w:r>
            <w:r>
              <w:rPr>
                <w:rFonts w:hint="eastAsia" w:ascii="宋体" w:hAnsi="宋体" w:eastAsia="宋体" w:cs="宋体"/>
                <w:color w:val="auto"/>
                <w:spacing w:val="-10"/>
                <w:sz w:val="21"/>
                <w:szCs w:val="21"/>
              </w:rPr>
              <w:t>；</w:t>
            </w:r>
            <w:r>
              <w:rPr>
                <w:rFonts w:hint="eastAsia" w:ascii="宋体" w:hAnsi="宋体" w:eastAsia="宋体" w:cs="宋体"/>
                <w:color w:val="auto"/>
                <w:spacing w:val="-30"/>
                <w:sz w:val="21"/>
                <w:szCs w:val="21"/>
              </w:rPr>
              <w:t xml:space="preserve"> </w:t>
            </w:r>
            <w:r>
              <w:rPr>
                <w:rFonts w:hint="eastAsia" w:ascii="宋体" w:hAnsi="宋体" w:eastAsia="宋体" w:cs="宋体"/>
                <w:color w:val="auto"/>
                <w:spacing w:val="-10"/>
                <w:sz w:val="21"/>
                <w:szCs w:val="21"/>
              </w:rPr>
              <w:t>（</w:t>
            </w:r>
            <w:r>
              <w:rPr>
                <w:rFonts w:hint="eastAsia" w:ascii="宋体" w:hAnsi="宋体" w:eastAsia="宋体" w:cs="宋体"/>
                <w:color w:val="auto"/>
                <w:spacing w:val="4"/>
                <w:sz w:val="21"/>
                <w:szCs w:val="21"/>
              </w:rPr>
              <w:t>2）材质用料质地均匀、密度较好，遮光效果较好，制作工艺较好的得1分</w:t>
            </w:r>
            <w:r>
              <w:rPr>
                <w:rFonts w:hint="eastAsia" w:ascii="宋体" w:hAnsi="宋体" w:eastAsia="宋体" w:cs="宋体"/>
                <w:color w:val="auto"/>
                <w:spacing w:val="-11"/>
                <w:sz w:val="21"/>
                <w:szCs w:val="21"/>
              </w:rPr>
              <w:t>；</w:t>
            </w:r>
            <w:r>
              <w:rPr>
                <w:rFonts w:hint="eastAsia" w:ascii="宋体" w:hAnsi="宋体" w:eastAsia="宋体" w:cs="宋体"/>
                <w:color w:val="auto"/>
                <w:spacing w:val="-30"/>
                <w:sz w:val="21"/>
                <w:szCs w:val="21"/>
              </w:rPr>
              <w:t xml:space="preserve"> </w:t>
            </w:r>
            <w:r>
              <w:rPr>
                <w:rFonts w:hint="eastAsia" w:ascii="宋体" w:hAnsi="宋体" w:eastAsia="宋体" w:cs="宋体"/>
                <w:color w:val="auto"/>
                <w:spacing w:val="-11"/>
                <w:sz w:val="21"/>
                <w:szCs w:val="21"/>
              </w:rPr>
              <w:t>（</w:t>
            </w:r>
            <w:r>
              <w:rPr>
                <w:rFonts w:hint="eastAsia" w:ascii="宋体" w:hAnsi="宋体" w:eastAsia="宋体" w:cs="宋体"/>
                <w:color w:val="auto"/>
                <w:spacing w:val="4"/>
                <w:sz w:val="21"/>
                <w:szCs w:val="21"/>
              </w:rPr>
              <w:t>3）材质用料质地一般、</w:t>
            </w:r>
            <w:r>
              <w:rPr>
                <w:rFonts w:hint="eastAsia" w:ascii="宋体" w:hAnsi="宋体" w:eastAsia="宋体" w:cs="宋体"/>
                <w:color w:val="auto"/>
                <w:spacing w:val="2"/>
                <w:sz w:val="21"/>
                <w:szCs w:val="21"/>
              </w:rPr>
              <w:t>工艺细节一般的得0.5分</w:t>
            </w:r>
            <w:r>
              <w:rPr>
                <w:rFonts w:hint="eastAsia" w:ascii="宋体" w:hAnsi="宋体" w:eastAsia="宋体" w:cs="宋体"/>
                <w:color w:val="auto"/>
                <w:spacing w:val="-11"/>
                <w:sz w:val="21"/>
                <w:szCs w:val="21"/>
              </w:rPr>
              <w:t>；</w:t>
            </w:r>
            <w:r>
              <w:rPr>
                <w:rFonts w:hint="eastAsia" w:ascii="宋体" w:hAnsi="宋体" w:eastAsia="宋体" w:cs="宋体"/>
                <w:color w:val="auto"/>
                <w:spacing w:val="-29"/>
                <w:sz w:val="21"/>
                <w:szCs w:val="21"/>
              </w:rPr>
              <w:t xml:space="preserve"> </w:t>
            </w:r>
            <w:r>
              <w:rPr>
                <w:rFonts w:hint="eastAsia" w:ascii="宋体" w:hAnsi="宋体" w:eastAsia="宋体" w:cs="宋体"/>
                <w:color w:val="auto"/>
                <w:spacing w:val="-11"/>
                <w:sz w:val="21"/>
                <w:szCs w:val="21"/>
              </w:rPr>
              <w:t>（</w:t>
            </w:r>
            <w:r>
              <w:rPr>
                <w:rFonts w:hint="eastAsia" w:ascii="宋体" w:hAnsi="宋体" w:eastAsia="宋体" w:cs="宋体"/>
                <w:color w:val="auto"/>
                <w:spacing w:val="2"/>
                <w:sz w:val="21"/>
                <w:szCs w:val="21"/>
              </w:rPr>
              <w:t>4）未按规定提供样品的不得</w:t>
            </w:r>
            <w:r>
              <w:rPr>
                <w:rFonts w:hint="eastAsia" w:ascii="宋体" w:hAnsi="宋体" w:eastAsia="宋体" w:cs="宋体"/>
                <w:color w:val="auto"/>
                <w:spacing w:val="-5"/>
                <w:sz w:val="21"/>
                <w:szCs w:val="21"/>
              </w:rPr>
              <w:t>分。</w:t>
            </w:r>
          </w:p>
        </w:tc>
        <w:tc>
          <w:tcPr>
            <w:tcW w:w="82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302" w:leftChars="0" w:right="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pacing w:val="-3"/>
                <w:sz w:val="21"/>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1217" w:type="dxa"/>
            <w:vMerge w:val="continue"/>
            <w:tcBorders>
              <w:left w:val="single" w:color="auto" w:sz="4" w:space="0"/>
              <w:right w:val="single" w:color="auto" w:sz="4" w:space="0"/>
            </w:tcBorders>
            <w:noWrap/>
            <w:vAlign w:val="top"/>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lang w:val="zh-CN"/>
              </w:rPr>
            </w:pPr>
          </w:p>
        </w:tc>
        <w:tc>
          <w:tcPr>
            <w:tcW w:w="7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both"/>
              <w:textAlignment w:val="baseline"/>
              <w:rPr>
                <w:rFonts w:hint="eastAsia" w:ascii="宋体" w:hAnsi="宋体" w:eastAsia="宋体" w:cs="宋体"/>
                <w:color w:val="auto"/>
                <w:sz w:val="21"/>
                <w:szCs w:val="21"/>
                <w:highlight w:val="none"/>
                <w:lang w:val="zh-CN"/>
              </w:rPr>
            </w:pPr>
            <w:r>
              <w:rPr>
                <w:rFonts w:hint="eastAsia" w:ascii="宋体" w:hAnsi="宋体" w:cs="宋体"/>
                <w:color w:val="auto"/>
                <w:spacing w:val="-2"/>
                <w:sz w:val="21"/>
                <w:szCs w:val="21"/>
                <w:lang w:val="en-US" w:eastAsia="zh-CN"/>
              </w:rPr>
              <w:t>B</w:t>
            </w:r>
            <w:r>
              <w:rPr>
                <w:rFonts w:hint="eastAsia" w:ascii="宋体" w:hAnsi="宋体" w:eastAsia="宋体" w:cs="宋体"/>
                <w:color w:val="auto"/>
                <w:spacing w:val="-2"/>
                <w:sz w:val="21"/>
                <w:szCs w:val="21"/>
              </w:rPr>
              <w:t>7、样品3</w:t>
            </w:r>
          </w:p>
        </w:tc>
        <w:tc>
          <w:tcPr>
            <w:tcW w:w="56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pacing w:val="1"/>
                <w:sz w:val="21"/>
                <w:szCs w:val="21"/>
              </w:rPr>
              <w:t>根据投标人提供的样品3</w:t>
            </w:r>
            <w:r>
              <w:rPr>
                <w:rFonts w:hint="eastAsia" w:ascii="宋体" w:hAnsi="宋体" w:cs="宋体"/>
                <w:color w:val="auto"/>
                <w:sz w:val="21"/>
                <w:szCs w:val="21"/>
                <w:lang w:eastAsia="zh-CN"/>
              </w:rPr>
              <w:t>【</w:t>
            </w:r>
            <w:r>
              <w:rPr>
                <w:rFonts w:hint="eastAsia" w:ascii="宋体" w:hAnsi="宋体" w:eastAsia="宋体" w:cs="宋体"/>
                <w:color w:val="auto"/>
                <w:spacing w:val="1"/>
                <w:sz w:val="21"/>
                <w:szCs w:val="21"/>
              </w:rPr>
              <w:t>序号3</w:t>
            </w:r>
            <w:r>
              <w:rPr>
                <w:rFonts w:hint="eastAsia" w:ascii="宋体" w:hAnsi="宋体" w:cs="宋体"/>
                <w:color w:val="auto"/>
                <w:spacing w:val="1"/>
                <w:sz w:val="21"/>
                <w:szCs w:val="21"/>
                <w:lang w:eastAsia="zh-CN"/>
              </w:rPr>
              <w:t>、</w:t>
            </w:r>
            <w:r>
              <w:rPr>
                <w:rFonts w:hint="eastAsia" w:ascii="宋体" w:hAnsi="宋体" w:eastAsia="宋体" w:cs="宋体"/>
                <w:color w:val="auto"/>
                <w:spacing w:val="1"/>
                <w:sz w:val="21"/>
                <w:szCs w:val="21"/>
                <w:lang w:eastAsia="zh-CN"/>
              </w:rPr>
              <w:t>百叶帘</w:t>
            </w:r>
            <w:r>
              <w:rPr>
                <w:rFonts w:hint="eastAsia" w:ascii="宋体" w:hAnsi="宋体" w:eastAsia="宋体" w:cs="宋体"/>
                <w:color w:val="auto"/>
                <w:spacing w:val="1"/>
                <w:sz w:val="21"/>
                <w:szCs w:val="21"/>
              </w:rPr>
              <w:t>）】 的主材用料质地、密度、遮光效果、整体造型外观、制作工艺（线条柔顺度、无裂纹、结疤、无夹渣、无变形等）等</w:t>
            </w:r>
            <w:r>
              <w:rPr>
                <w:rFonts w:hint="eastAsia" w:ascii="宋体" w:hAnsi="宋体" w:eastAsia="宋体" w:cs="宋体"/>
                <w:color w:val="auto"/>
                <w:spacing w:val="15"/>
                <w:sz w:val="21"/>
                <w:szCs w:val="21"/>
              </w:rPr>
              <w:t xml:space="preserve"> </w:t>
            </w:r>
            <w:r>
              <w:rPr>
                <w:rFonts w:hint="eastAsia" w:ascii="宋体" w:hAnsi="宋体" w:eastAsia="宋体" w:cs="宋体"/>
                <w:color w:val="auto"/>
                <w:spacing w:val="-1"/>
                <w:sz w:val="21"/>
                <w:szCs w:val="21"/>
              </w:rPr>
              <w:t>,由评委按以下标准评分</w:t>
            </w:r>
            <w:r>
              <w:rPr>
                <w:rFonts w:hint="eastAsia" w:ascii="宋体" w:hAnsi="宋体" w:eastAsia="宋体" w:cs="宋体"/>
                <w:color w:val="auto"/>
                <w:spacing w:val="-6"/>
                <w:sz w:val="21"/>
                <w:szCs w:val="21"/>
              </w:rPr>
              <w:t>：</w:t>
            </w:r>
            <w:r>
              <w:rPr>
                <w:rFonts w:hint="eastAsia" w:ascii="宋体" w:hAnsi="宋体" w:eastAsia="宋体" w:cs="宋体"/>
                <w:color w:val="auto"/>
                <w:spacing w:val="-31"/>
                <w:sz w:val="21"/>
                <w:szCs w:val="21"/>
              </w:rPr>
              <w:t xml:space="preserve"> </w:t>
            </w:r>
            <w:r>
              <w:rPr>
                <w:rFonts w:hint="eastAsia" w:ascii="宋体" w:hAnsi="宋体" w:eastAsia="宋体" w:cs="宋体"/>
                <w:color w:val="auto"/>
                <w:spacing w:val="-6"/>
                <w:sz w:val="21"/>
                <w:szCs w:val="21"/>
              </w:rPr>
              <w:t>（</w:t>
            </w:r>
            <w:r>
              <w:rPr>
                <w:rFonts w:hint="eastAsia" w:ascii="宋体" w:hAnsi="宋体" w:eastAsia="宋体" w:cs="宋体"/>
                <w:color w:val="auto"/>
                <w:spacing w:val="-1"/>
                <w:sz w:val="21"/>
                <w:szCs w:val="21"/>
              </w:rPr>
              <w:t>1）材质用料质地均匀、密度</w:t>
            </w:r>
            <w:r>
              <w:rPr>
                <w:rFonts w:hint="eastAsia" w:ascii="宋体" w:hAnsi="宋体" w:eastAsia="宋体" w:cs="宋体"/>
                <w:color w:val="auto"/>
                <w:spacing w:val="1"/>
                <w:sz w:val="21"/>
                <w:szCs w:val="21"/>
              </w:rPr>
              <w:t>高、遮光效果好、整体造型外观款式新颖、整体制作工艺细</w:t>
            </w:r>
            <w:r>
              <w:rPr>
                <w:rFonts w:hint="eastAsia" w:ascii="宋体" w:hAnsi="宋体" w:eastAsia="宋体" w:cs="宋体"/>
                <w:color w:val="auto"/>
                <w:spacing w:val="4"/>
                <w:sz w:val="21"/>
                <w:szCs w:val="21"/>
              </w:rPr>
              <w:t>节水平高的得2分</w:t>
            </w:r>
            <w:r>
              <w:rPr>
                <w:rFonts w:hint="eastAsia" w:ascii="宋体" w:hAnsi="宋体" w:eastAsia="宋体" w:cs="宋体"/>
                <w:color w:val="auto"/>
                <w:spacing w:val="-12"/>
                <w:sz w:val="21"/>
                <w:szCs w:val="21"/>
              </w:rPr>
              <w:t>；</w:t>
            </w:r>
            <w:r>
              <w:rPr>
                <w:rFonts w:hint="eastAsia" w:ascii="宋体" w:hAnsi="宋体" w:eastAsia="宋体" w:cs="宋体"/>
                <w:color w:val="auto"/>
                <w:spacing w:val="-31"/>
                <w:sz w:val="21"/>
                <w:szCs w:val="21"/>
              </w:rPr>
              <w:t xml:space="preserve"> </w:t>
            </w:r>
            <w:r>
              <w:rPr>
                <w:rFonts w:hint="eastAsia" w:ascii="宋体" w:hAnsi="宋体" w:eastAsia="宋体" w:cs="宋体"/>
                <w:color w:val="auto"/>
                <w:spacing w:val="-12"/>
                <w:sz w:val="21"/>
                <w:szCs w:val="21"/>
              </w:rPr>
              <w:t>（</w:t>
            </w:r>
            <w:r>
              <w:rPr>
                <w:rFonts w:hint="eastAsia" w:ascii="宋体" w:hAnsi="宋体" w:eastAsia="宋体" w:cs="宋体"/>
                <w:color w:val="auto"/>
                <w:spacing w:val="4"/>
                <w:sz w:val="21"/>
                <w:szCs w:val="21"/>
              </w:rPr>
              <w:t>2）材质用料质地均匀、密度较好，</w:t>
            </w:r>
            <w:r>
              <w:rPr>
                <w:rFonts w:hint="eastAsia" w:ascii="宋体" w:hAnsi="宋体" w:eastAsia="宋体" w:cs="宋体"/>
                <w:color w:val="auto"/>
                <w:spacing w:val="2"/>
                <w:sz w:val="21"/>
                <w:szCs w:val="21"/>
              </w:rPr>
              <w:t>遮光效果较好，制作工艺较好的得1分</w:t>
            </w:r>
            <w:r>
              <w:rPr>
                <w:rFonts w:hint="eastAsia" w:ascii="宋体" w:hAnsi="宋体" w:eastAsia="宋体" w:cs="宋体"/>
                <w:color w:val="auto"/>
                <w:spacing w:val="-7"/>
                <w:sz w:val="21"/>
                <w:szCs w:val="21"/>
              </w:rPr>
              <w:t>；</w:t>
            </w:r>
            <w:r>
              <w:rPr>
                <w:rFonts w:hint="eastAsia" w:ascii="宋体" w:hAnsi="宋体" w:eastAsia="宋体" w:cs="宋体"/>
                <w:color w:val="auto"/>
                <w:spacing w:val="-30"/>
                <w:sz w:val="21"/>
                <w:szCs w:val="21"/>
              </w:rPr>
              <w:t xml:space="preserve"> </w:t>
            </w:r>
            <w:r>
              <w:rPr>
                <w:rFonts w:hint="eastAsia" w:ascii="宋体" w:hAnsi="宋体" w:eastAsia="宋体" w:cs="宋体"/>
                <w:color w:val="auto"/>
                <w:spacing w:val="-7"/>
                <w:sz w:val="21"/>
                <w:szCs w:val="21"/>
              </w:rPr>
              <w:t>（</w:t>
            </w:r>
            <w:r>
              <w:rPr>
                <w:rFonts w:hint="eastAsia" w:ascii="宋体" w:hAnsi="宋体" w:eastAsia="宋体" w:cs="宋体"/>
                <w:color w:val="auto"/>
                <w:spacing w:val="2"/>
                <w:sz w:val="21"/>
                <w:szCs w:val="21"/>
              </w:rPr>
              <w:t>3）材质用料质地一般、工艺细节一般的得0.5分</w:t>
            </w:r>
            <w:r>
              <w:rPr>
                <w:rFonts w:hint="eastAsia" w:ascii="宋体" w:hAnsi="宋体" w:eastAsia="宋体" w:cs="宋体"/>
                <w:color w:val="auto"/>
                <w:spacing w:val="-9"/>
                <w:sz w:val="21"/>
                <w:szCs w:val="21"/>
              </w:rPr>
              <w:t>；</w:t>
            </w:r>
            <w:r>
              <w:rPr>
                <w:rFonts w:hint="eastAsia" w:ascii="宋体" w:hAnsi="宋体" w:eastAsia="宋体" w:cs="宋体"/>
                <w:color w:val="auto"/>
                <w:spacing w:val="-31"/>
                <w:sz w:val="21"/>
                <w:szCs w:val="21"/>
              </w:rPr>
              <w:t xml:space="preserve"> </w:t>
            </w:r>
            <w:r>
              <w:rPr>
                <w:rFonts w:hint="eastAsia" w:ascii="宋体" w:hAnsi="宋体" w:eastAsia="宋体" w:cs="宋体"/>
                <w:color w:val="auto"/>
                <w:spacing w:val="-9"/>
                <w:sz w:val="21"/>
                <w:szCs w:val="21"/>
              </w:rPr>
              <w:t>（</w:t>
            </w:r>
            <w:r>
              <w:rPr>
                <w:rFonts w:hint="eastAsia" w:ascii="宋体" w:hAnsi="宋体" w:eastAsia="宋体" w:cs="宋体"/>
                <w:color w:val="auto"/>
                <w:spacing w:val="2"/>
                <w:sz w:val="21"/>
                <w:szCs w:val="21"/>
              </w:rPr>
              <w:t>4）未按规定提供样</w:t>
            </w:r>
            <w:r>
              <w:rPr>
                <w:rFonts w:hint="eastAsia" w:ascii="宋体" w:hAnsi="宋体" w:eastAsia="宋体" w:cs="宋体"/>
                <w:color w:val="auto"/>
                <w:spacing w:val="-3"/>
                <w:sz w:val="21"/>
                <w:szCs w:val="21"/>
              </w:rPr>
              <w:t>品的不得分。</w:t>
            </w:r>
          </w:p>
        </w:tc>
        <w:tc>
          <w:tcPr>
            <w:tcW w:w="8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1217" w:type="dxa"/>
            <w:vMerge w:val="continue"/>
            <w:tcBorders>
              <w:left w:val="single" w:color="auto" w:sz="4" w:space="0"/>
              <w:right w:val="single" w:color="auto" w:sz="4" w:space="0"/>
            </w:tcBorders>
            <w:noWrap/>
            <w:vAlign w:val="top"/>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lang w:val="zh-CN"/>
              </w:rPr>
            </w:pPr>
          </w:p>
        </w:tc>
        <w:tc>
          <w:tcPr>
            <w:tcW w:w="791" w:type="dxa"/>
            <w:tcBorders>
              <w:top w:val="single" w:color="auto" w:sz="4" w:space="0"/>
              <w:left w:val="single" w:color="auto" w:sz="4" w:space="0"/>
              <w:bottom w:val="single" w:color="auto" w:sz="4" w:space="0"/>
              <w:right w:val="single" w:color="auto" w:sz="4" w:space="0"/>
            </w:tcBorders>
            <w:noWrap/>
            <w:vAlign w:val="center"/>
          </w:tcPr>
          <w:p>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pacing w:val="-2"/>
                <w:sz w:val="21"/>
                <w:szCs w:val="21"/>
                <w:lang w:val="en-US" w:eastAsia="zh-CN"/>
              </w:rPr>
              <w:t>B</w:t>
            </w:r>
            <w:r>
              <w:rPr>
                <w:rFonts w:hint="eastAsia" w:ascii="宋体" w:hAnsi="宋体" w:eastAsia="宋体" w:cs="宋体"/>
                <w:color w:val="auto"/>
                <w:spacing w:val="-2"/>
                <w:sz w:val="21"/>
                <w:szCs w:val="21"/>
              </w:rPr>
              <w:t>8、样品4</w:t>
            </w:r>
          </w:p>
        </w:tc>
        <w:tc>
          <w:tcPr>
            <w:tcW w:w="5677" w:type="dxa"/>
            <w:tcBorders>
              <w:top w:val="single" w:color="auto" w:sz="4" w:space="0"/>
              <w:left w:val="single" w:color="auto" w:sz="4" w:space="0"/>
              <w:bottom w:val="single" w:color="auto" w:sz="4" w:space="0"/>
              <w:right w:val="single" w:color="auto" w:sz="4" w:space="0"/>
            </w:tcBorders>
            <w:noWrap/>
            <w:vAlign w:val="top"/>
          </w:tcPr>
          <w:p>
            <w:pPr>
              <w:widowControl/>
              <w:overflowPunct w:val="0"/>
              <w:autoSpaceDE w:val="0"/>
              <w:autoSpaceDN w:val="0"/>
              <w:adjustRightInd w:val="0"/>
              <w:spacing w:line="360" w:lineRule="auto"/>
              <w:jc w:val="left"/>
              <w:textAlignment w:val="baseline"/>
              <w:rPr>
                <w:rFonts w:hint="eastAsia" w:ascii="宋体" w:hAnsi="宋体" w:cs="宋体"/>
                <w:color w:val="auto"/>
                <w:spacing w:val="1"/>
                <w:szCs w:val="21"/>
              </w:rPr>
            </w:pPr>
            <w:r>
              <w:rPr>
                <w:rFonts w:hint="eastAsia" w:ascii="宋体" w:hAnsi="宋体" w:eastAsia="宋体" w:cs="宋体"/>
                <w:color w:val="auto"/>
                <w:spacing w:val="1"/>
                <w:sz w:val="21"/>
                <w:szCs w:val="21"/>
              </w:rPr>
              <w:t>根据投标人提供的样品4</w:t>
            </w:r>
            <w:r>
              <w:rPr>
                <w:rFonts w:hint="eastAsia" w:ascii="宋体" w:hAnsi="宋体" w:cs="宋体"/>
                <w:color w:val="auto"/>
                <w:spacing w:val="1"/>
                <w:sz w:val="21"/>
                <w:szCs w:val="21"/>
                <w:lang w:eastAsia="zh-CN"/>
              </w:rPr>
              <w:t>【</w:t>
            </w:r>
            <w:r>
              <w:rPr>
                <w:rFonts w:hint="eastAsia" w:ascii="宋体" w:hAnsi="宋体" w:eastAsia="宋体" w:cs="宋体"/>
                <w:color w:val="auto"/>
                <w:spacing w:val="1"/>
                <w:sz w:val="21"/>
                <w:szCs w:val="21"/>
              </w:rPr>
              <w:t>序号4</w:t>
            </w:r>
            <w:r>
              <w:rPr>
                <w:rFonts w:hint="eastAsia" w:ascii="宋体" w:hAnsi="宋体" w:cs="宋体"/>
                <w:color w:val="auto"/>
                <w:spacing w:val="1"/>
                <w:sz w:val="21"/>
                <w:szCs w:val="21"/>
                <w:lang w:eastAsia="zh-CN"/>
              </w:rPr>
              <w:t>、</w:t>
            </w:r>
            <w:r>
              <w:rPr>
                <w:rFonts w:hint="eastAsia" w:ascii="宋体" w:hAnsi="宋体" w:eastAsia="宋体" w:cs="宋体"/>
                <w:color w:val="auto"/>
                <w:spacing w:val="1"/>
                <w:sz w:val="21"/>
                <w:szCs w:val="21"/>
              </w:rPr>
              <w:t>电动</w:t>
            </w:r>
            <w:r>
              <w:rPr>
                <w:rFonts w:hint="eastAsia" w:ascii="宋体" w:hAnsi="宋体" w:cs="宋体"/>
                <w:color w:val="auto"/>
                <w:spacing w:val="1"/>
                <w:sz w:val="21"/>
                <w:szCs w:val="21"/>
                <w:lang w:eastAsia="zh-CN"/>
              </w:rPr>
              <w:t>帘（</w:t>
            </w:r>
            <w:r>
              <w:rPr>
                <w:rFonts w:hint="eastAsia" w:ascii="宋体" w:hAnsi="宋体" w:cs="宋体"/>
                <w:color w:val="auto"/>
                <w:spacing w:val="1"/>
                <w:sz w:val="21"/>
                <w:szCs w:val="21"/>
                <w:lang w:val="en-US" w:eastAsia="zh-CN"/>
              </w:rPr>
              <w:t>罗马帘</w:t>
            </w:r>
            <w:r>
              <w:rPr>
                <w:rFonts w:hint="eastAsia" w:ascii="宋体" w:hAnsi="宋体" w:cs="宋体"/>
                <w:color w:val="auto"/>
                <w:spacing w:val="1"/>
                <w:sz w:val="21"/>
                <w:szCs w:val="21"/>
                <w:lang w:eastAsia="zh-CN"/>
              </w:rPr>
              <w:t>）】</w:t>
            </w:r>
            <w:r>
              <w:rPr>
                <w:rFonts w:hint="eastAsia" w:ascii="宋体" w:hAnsi="宋体" w:eastAsia="宋体" w:cs="宋体"/>
                <w:color w:val="auto"/>
                <w:spacing w:val="1"/>
                <w:sz w:val="21"/>
                <w:szCs w:val="21"/>
              </w:rPr>
              <w:t>的质量、</w:t>
            </w:r>
            <w:r>
              <w:rPr>
                <w:rFonts w:hint="eastAsia" w:ascii="宋体" w:hAnsi="宋体" w:cs="宋体"/>
                <w:color w:val="auto"/>
                <w:spacing w:val="1"/>
                <w:sz w:val="21"/>
                <w:szCs w:val="21"/>
                <w:lang w:val="en-US" w:eastAsia="zh-CN"/>
              </w:rPr>
              <w:t>面料材质、轨道</w:t>
            </w:r>
            <w:r>
              <w:rPr>
                <w:rFonts w:hint="eastAsia" w:ascii="宋体" w:hAnsi="宋体" w:eastAsia="宋体" w:cs="宋体"/>
                <w:color w:val="auto"/>
                <w:spacing w:val="1"/>
                <w:sz w:val="21"/>
                <w:szCs w:val="21"/>
              </w:rPr>
              <w:t>厚度、 五金配件、工艺等，由评委按以下标准评分：(1)</w:t>
            </w:r>
            <w:r>
              <w:rPr>
                <w:rFonts w:hint="eastAsia" w:ascii="宋体" w:hAnsi="宋体" w:cs="宋体"/>
                <w:color w:val="auto"/>
                <w:spacing w:val="1"/>
                <w:sz w:val="21"/>
                <w:szCs w:val="21"/>
                <w:lang w:val="en-US" w:eastAsia="zh-CN"/>
              </w:rPr>
              <w:t>面料</w:t>
            </w:r>
            <w:r>
              <w:rPr>
                <w:rFonts w:hint="eastAsia" w:ascii="宋体" w:hAnsi="宋体" w:eastAsia="宋体" w:cs="宋体"/>
                <w:color w:val="auto"/>
                <w:spacing w:val="1"/>
                <w:sz w:val="21"/>
                <w:szCs w:val="21"/>
              </w:rPr>
              <w:t>质量好，</w:t>
            </w:r>
            <w:r>
              <w:rPr>
                <w:rFonts w:hint="eastAsia" w:ascii="宋体" w:hAnsi="宋体" w:cs="宋体"/>
                <w:color w:val="auto"/>
                <w:spacing w:val="1"/>
                <w:sz w:val="21"/>
                <w:szCs w:val="21"/>
                <w:lang w:val="en-US" w:eastAsia="zh-CN"/>
              </w:rPr>
              <w:t>手感细腻、轨道</w:t>
            </w:r>
            <w:r>
              <w:rPr>
                <w:rFonts w:hint="eastAsia" w:ascii="宋体" w:hAnsi="宋体" w:eastAsia="宋体" w:cs="宋体"/>
                <w:color w:val="auto"/>
                <w:spacing w:val="1"/>
                <w:sz w:val="21"/>
                <w:szCs w:val="21"/>
              </w:rPr>
              <w:t>顺滑不卡顿，五金配件亮度好，无毛刺的得2分；</w:t>
            </w:r>
          </w:p>
          <w:p>
            <w:pPr>
              <w:keepNext w:val="0"/>
              <w:keepLines w:val="0"/>
              <w:pageBreakBefore w:val="0"/>
              <w:widowControl/>
              <w:suppressLineNumbers w:val="0"/>
              <w:kinsoku/>
              <w:wordWrap/>
              <w:overflowPunct w:val="0"/>
              <w:topLinePunct w:val="0"/>
              <w:autoSpaceDE w:val="0"/>
              <w:autoSpaceDN w:val="0"/>
              <w:bidi w:val="0"/>
              <w:adjustRightInd w:val="0"/>
              <w:snapToGrid/>
              <w:spacing w:before="0" w:beforeAutospacing="0" w:after="0" w:afterAutospacing="0" w:line="360" w:lineRule="auto"/>
              <w:ind w:left="0" w:right="0" w:rightChars="0"/>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pacing w:val="1"/>
                <w:sz w:val="21"/>
                <w:szCs w:val="21"/>
              </w:rPr>
              <w:t>(2)</w:t>
            </w:r>
            <w:r>
              <w:rPr>
                <w:rFonts w:hint="eastAsia" w:ascii="宋体" w:hAnsi="宋体" w:cs="宋体"/>
                <w:color w:val="auto"/>
                <w:spacing w:val="1"/>
                <w:sz w:val="21"/>
                <w:szCs w:val="21"/>
                <w:lang w:val="en-US" w:eastAsia="zh-CN"/>
              </w:rPr>
              <w:t>面料</w:t>
            </w:r>
            <w:r>
              <w:rPr>
                <w:rFonts w:hint="eastAsia" w:ascii="宋体" w:hAnsi="宋体" w:eastAsia="宋体" w:cs="宋体"/>
                <w:color w:val="auto"/>
                <w:spacing w:val="1"/>
                <w:sz w:val="21"/>
                <w:szCs w:val="21"/>
              </w:rPr>
              <w:t>质量较好，</w:t>
            </w:r>
            <w:r>
              <w:rPr>
                <w:rFonts w:hint="eastAsia" w:ascii="宋体" w:hAnsi="宋体" w:cs="宋体"/>
                <w:color w:val="auto"/>
                <w:spacing w:val="1"/>
                <w:sz w:val="21"/>
                <w:szCs w:val="21"/>
                <w:lang w:val="en-US" w:eastAsia="zh-CN"/>
              </w:rPr>
              <w:t>手感一般、轨道落有</w:t>
            </w:r>
            <w:r>
              <w:rPr>
                <w:rFonts w:hint="eastAsia" w:ascii="宋体" w:hAnsi="宋体" w:eastAsia="宋体" w:cs="宋体"/>
                <w:color w:val="auto"/>
                <w:spacing w:val="1"/>
                <w:sz w:val="21"/>
                <w:szCs w:val="21"/>
              </w:rPr>
              <w:t>卡顿，五金配件亮度较好，有少量毛刺的得1分；(3)</w:t>
            </w:r>
            <w:r>
              <w:rPr>
                <w:rFonts w:hint="eastAsia" w:ascii="宋体" w:hAnsi="宋体" w:cs="宋体"/>
                <w:color w:val="auto"/>
                <w:spacing w:val="1"/>
                <w:sz w:val="21"/>
                <w:szCs w:val="21"/>
                <w:lang w:val="en-US" w:eastAsia="zh-CN"/>
              </w:rPr>
              <w:t>面料</w:t>
            </w:r>
            <w:r>
              <w:rPr>
                <w:rFonts w:hint="eastAsia" w:ascii="宋体" w:hAnsi="宋体" w:eastAsia="宋体" w:cs="宋体"/>
                <w:color w:val="auto"/>
                <w:spacing w:val="1"/>
                <w:sz w:val="21"/>
                <w:szCs w:val="21"/>
              </w:rPr>
              <w:t>质量一般，</w:t>
            </w:r>
            <w:r>
              <w:rPr>
                <w:rFonts w:hint="eastAsia" w:ascii="宋体" w:hAnsi="宋体" w:cs="宋体"/>
                <w:color w:val="auto"/>
                <w:spacing w:val="1"/>
                <w:sz w:val="21"/>
                <w:szCs w:val="21"/>
                <w:lang w:val="en-US" w:eastAsia="zh-CN"/>
              </w:rPr>
              <w:t>手感差、轨道</w:t>
            </w:r>
            <w:r>
              <w:rPr>
                <w:rFonts w:hint="eastAsia" w:ascii="宋体" w:hAnsi="宋体" w:eastAsia="宋体" w:cs="宋体"/>
                <w:color w:val="auto"/>
                <w:spacing w:val="1"/>
                <w:sz w:val="21"/>
                <w:szCs w:val="21"/>
              </w:rPr>
              <w:t>卡顿</w:t>
            </w:r>
            <w:r>
              <w:rPr>
                <w:rFonts w:hint="eastAsia" w:ascii="宋体" w:hAnsi="宋体" w:cs="宋体"/>
                <w:color w:val="auto"/>
                <w:spacing w:val="1"/>
                <w:sz w:val="21"/>
                <w:szCs w:val="21"/>
                <w:lang w:eastAsia="zh-CN"/>
              </w:rPr>
              <w:t>、</w:t>
            </w:r>
            <w:r>
              <w:rPr>
                <w:rFonts w:hint="eastAsia" w:ascii="宋体" w:hAnsi="宋体" w:eastAsia="宋体" w:cs="宋体"/>
                <w:color w:val="auto"/>
                <w:spacing w:val="1"/>
                <w:sz w:val="21"/>
                <w:szCs w:val="21"/>
              </w:rPr>
              <w:t>五金配件亮度一般</w:t>
            </w:r>
            <w:r>
              <w:rPr>
                <w:rFonts w:hint="default" w:ascii="宋体" w:hAnsi="宋体" w:eastAsia="宋体" w:cs="宋体"/>
                <w:color w:val="auto"/>
                <w:sz w:val="21"/>
                <w:szCs w:val="21"/>
              </w:rPr>
              <w:t>的得0.5分；(4)未按规定提供样品的不得分。</w:t>
            </w:r>
          </w:p>
        </w:tc>
        <w:tc>
          <w:tcPr>
            <w:tcW w:w="8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1217" w:type="dxa"/>
            <w:vMerge w:val="continue"/>
            <w:tcBorders>
              <w:left w:val="single" w:color="auto" w:sz="4" w:space="0"/>
              <w:right w:val="single" w:color="auto" w:sz="4" w:space="0"/>
            </w:tcBorders>
            <w:noWrap/>
            <w:vAlign w:val="top"/>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lang w:val="zh-CN"/>
              </w:rPr>
            </w:pPr>
          </w:p>
        </w:tc>
        <w:tc>
          <w:tcPr>
            <w:tcW w:w="791" w:type="dxa"/>
            <w:tcBorders>
              <w:top w:val="single" w:color="auto" w:sz="4" w:space="0"/>
              <w:left w:val="single" w:color="auto" w:sz="4" w:space="0"/>
              <w:bottom w:val="single" w:color="auto" w:sz="4" w:space="0"/>
              <w:right w:val="single" w:color="auto" w:sz="4" w:space="0"/>
            </w:tcBorders>
            <w:noWrap/>
            <w:vAlign w:val="center"/>
          </w:tcPr>
          <w:p>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pacing w:val="-2"/>
                <w:sz w:val="21"/>
                <w:szCs w:val="21"/>
                <w:lang w:val="en-US" w:eastAsia="zh-CN"/>
              </w:rPr>
              <w:t>B</w:t>
            </w:r>
            <w:r>
              <w:rPr>
                <w:rFonts w:hint="eastAsia" w:ascii="宋体" w:hAnsi="宋体" w:eastAsia="宋体" w:cs="宋体"/>
                <w:color w:val="auto"/>
                <w:spacing w:val="-2"/>
                <w:sz w:val="21"/>
                <w:szCs w:val="21"/>
              </w:rPr>
              <w:t>9、样品5</w:t>
            </w:r>
          </w:p>
        </w:tc>
        <w:tc>
          <w:tcPr>
            <w:tcW w:w="5677" w:type="dxa"/>
            <w:tcBorders>
              <w:top w:val="single" w:color="auto" w:sz="4" w:space="0"/>
              <w:left w:val="single" w:color="auto" w:sz="4" w:space="0"/>
              <w:bottom w:val="single" w:color="auto" w:sz="4" w:space="0"/>
              <w:right w:val="single" w:color="auto" w:sz="4" w:space="0"/>
            </w:tcBorders>
            <w:noWrap/>
            <w:vAlign w:val="top"/>
          </w:tcPr>
          <w:p>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134" w:rightChars="0"/>
              <w:textAlignment w:val="auto"/>
              <w:rPr>
                <w:rFonts w:hint="eastAsia" w:ascii="宋体" w:hAnsi="宋体" w:eastAsia="宋体" w:cs="宋体"/>
                <w:color w:val="auto"/>
                <w:sz w:val="21"/>
                <w:szCs w:val="21"/>
                <w:highlight w:val="none"/>
                <w:lang w:val="zh-CN"/>
              </w:rPr>
            </w:pPr>
            <w:r>
              <w:rPr>
                <w:rFonts w:hint="default" w:ascii="宋体" w:hAnsi="宋体" w:eastAsia="宋体" w:cs="宋体"/>
                <w:color w:val="auto"/>
                <w:sz w:val="21"/>
                <w:szCs w:val="21"/>
              </w:rPr>
              <w:t>根据投标人提供的样品5</w:t>
            </w:r>
            <w:r>
              <w:rPr>
                <w:rFonts w:hint="eastAsia" w:ascii="宋体" w:hAnsi="宋体" w:cs="宋体"/>
                <w:color w:val="auto"/>
                <w:sz w:val="21"/>
                <w:szCs w:val="21"/>
                <w:lang w:eastAsia="zh-CN"/>
              </w:rPr>
              <w:t>【</w:t>
            </w:r>
            <w:r>
              <w:rPr>
                <w:rFonts w:hint="eastAsia" w:cs="宋体"/>
                <w:color w:val="auto"/>
                <w:sz w:val="21"/>
                <w:szCs w:val="21"/>
                <w:lang w:eastAsia="zh-CN"/>
              </w:rPr>
              <w:t>序号</w:t>
            </w:r>
            <w:r>
              <w:rPr>
                <w:rFonts w:hint="eastAsia" w:ascii="宋体" w:hAnsi="宋体" w:cs="宋体"/>
                <w:color w:val="auto"/>
                <w:sz w:val="21"/>
                <w:szCs w:val="21"/>
                <w:lang w:val="en-US" w:eastAsia="zh-CN"/>
              </w:rPr>
              <w:t>1</w:t>
            </w:r>
            <w:r>
              <w:rPr>
                <w:rFonts w:hint="eastAsia" w:cs="宋体"/>
                <w:color w:val="auto"/>
                <w:sz w:val="21"/>
                <w:szCs w:val="21"/>
                <w:lang w:val="en-US" w:eastAsia="zh-CN"/>
              </w:rPr>
              <w:t>、</w:t>
            </w:r>
            <w:r>
              <w:rPr>
                <w:rFonts w:hint="eastAsia" w:ascii="宋体" w:hAnsi="宋体" w:cs="宋体"/>
                <w:color w:val="auto"/>
                <w:sz w:val="21"/>
                <w:szCs w:val="21"/>
                <w:lang w:val="en-US" w:eastAsia="zh-CN"/>
              </w:rPr>
              <w:t>铝合金</w:t>
            </w:r>
            <w:r>
              <w:rPr>
                <w:rFonts w:hint="default" w:ascii="宋体" w:hAnsi="宋体" w:eastAsia="宋体" w:cs="宋体"/>
                <w:color w:val="auto"/>
                <w:sz w:val="21"/>
                <w:szCs w:val="21"/>
              </w:rPr>
              <w:t>轨道</w:t>
            </w:r>
            <w:r>
              <w:rPr>
                <w:rFonts w:hint="eastAsia" w:ascii="宋体" w:hAnsi="宋体" w:cs="宋体"/>
                <w:color w:val="auto"/>
                <w:sz w:val="21"/>
                <w:szCs w:val="21"/>
                <w:lang w:eastAsia="zh-CN"/>
              </w:rPr>
              <w:t>】</w:t>
            </w:r>
            <w:r>
              <w:rPr>
                <w:rFonts w:hint="default" w:ascii="宋体" w:hAnsi="宋体" w:eastAsia="宋体" w:cs="宋体"/>
                <w:color w:val="auto"/>
                <w:sz w:val="21"/>
                <w:szCs w:val="21"/>
              </w:rPr>
              <w:t>的质量、厚度、五 金配件、工艺等具体情况，由评委按以下标准评分：(1)轨道质量 好，顺滑不卡顿，厚度优于招标要求，五金配件亮度好，无毛刺的 得2分；(2)轨道质量较好，顺滑不卡顿，厚度优于招标要求，五金配件亮度较好，有少量毛刺的得1分；(3)轨道质量一般，厚度满足招标要求，五金配件亮度一般的得0.5分；(4)未按规定 提供样品的不得分。</w:t>
            </w:r>
          </w:p>
        </w:tc>
        <w:tc>
          <w:tcPr>
            <w:tcW w:w="8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p>
        </w:tc>
        <w:tc>
          <w:tcPr>
            <w:tcW w:w="1217" w:type="dxa"/>
            <w:vMerge w:val="continue"/>
            <w:tcBorders>
              <w:left w:val="single" w:color="auto" w:sz="4" w:space="0"/>
              <w:right w:val="single" w:color="auto" w:sz="4" w:space="0"/>
            </w:tcBorders>
            <w:noWrap/>
            <w:vAlign w:val="top"/>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lang w:val="zh-CN"/>
              </w:rPr>
            </w:pPr>
          </w:p>
        </w:tc>
        <w:tc>
          <w:tcPr>
            <w:tcW w:w="791" w:type="dxa"/>
            <w:tcBorders>
              <w:top w:val="single" w:color="auto" w:sz="4" w:space="0"/>
              <w:left w:val="single" w:color="auto" w:sz="4" w:space="0"/>
              <w:bottom w:val="single" w:color="auto" w:sz="4" w:space="0"/>
              <w:right w:val="single" w:color="auto" w:sz="4" w:space="0"/>
            </w:tcBorders>
            <w:noWrap/>
            <w:vAlign w:val="center"/>
          </w:tcPr>
          <w:p>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pacing w:val="-3"/>
                <w:sz w:val="21"/>
                <w:szCs w:val="21"/>
                <w:lang w:val="en-US" w:eastAsia="zh-CN"/>
              </w:rPr>
              <w:t>B</w:t>
            </w:r>
            <w:r>
              <w:rPr>
                <w:rFonts w:hint="eastAsia" w:ascii="宋体" w:hAnsi="宋体" w:eastAsia="宋体" w:cs="宋体"/>
                <w:color w:val="auto"/>
                <w:spacing w:val="-3"/>
                <w:sz w:val="21"/>
                <w:szCs w:val="21"/>
              </w:rPr>
              <w:t>10、样品6</w:t>
            </w:r>
          </w:p>
        </w:tc>
        <w:tc>
          <w:tcPr>
            <w:tcW w:w="5677" w:type="dxa"/>
            <w:tcBorders>
              <w:top w:val="single" w:color="auto" w:sz="4" w:space="0"/>
              <w:left w:val="single" w:color="auto" w:sz="4" w:space="0"/>
              <w:bottom w:val="single" w:color="auto" w:sz="4" w:space="0"/>
              <w:right w:val="single" w:color="auto" w:sz="4" w:space="0"/>
            </w:tcBorders>
            <w:noWrap/>
            <w:vAlign w:val="top"/>
          </w:tcPr>
          <w:p>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134"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pacing w:val="1"/>
                <w:sz w:val="21"/>
                <w:szCs w:val="21"/>
              </w:rPr>
              <w:t>根据投标人提供的样品6</w:t>
            </w:r>
            <w:r>
              <w:rPr>
                <w:rFonts w:hint="eastAsia" w:ascii="宋体" w:hAnsi="宋体" w:cs="宋体"/>
                <w:color w:val="auto"/>
                <w:sz w:val="21"/>
                <w:szCs w:val="21"/>
                <w:lang w:eastAsia="zh-CN"/>
              </w:rPr>
              <w:t>【</w:t>
            </w:r>
            <w:r>
              <w:rPr>
                <w:rFonts w:hint="eastAsia" w:ascii="宋体" w:hAnsi="宋体" w:eastAsia="宋体" w:cs="宋体"/>
                <w:color w:val="auto"/>
                <w:spacing w:val="1"/>
                <w:sz w:val="21"/>
                <w:szCs w:val="21"/>
              </w:rPr>
              <w:t>序号</w:t>
            </w:r>
            <w:r>
              <w:rPr>
                <w:rFonts w:hint="eastAsia" w:cs="宋体"/>
                <w:color w:val="auto"/>
                <w:spacing w:val="1"/>
                <w:sz w:val="21"/>
                <w:szCs w:val="21"/>
                <w:lang w:val="en-US" w:eastAsia="zh-CN"/>
              </w:rPr>
              <w:t>5、</w:t>
            </w:r>
            <w:r>
              <w:rPr>
                <w:rFonts w:hint="eastAsia" w:ascii="宋体" w:hAnsi="宋体" w:eastAsia="宋体" w:cs="宋体"/>
                <w:color w:val="auto"/>
                <w:spacing w:val="1"/>
                <w:sz w:val="21"/>
                <w:szCs w:val="21"/>
              </w:rPr>
              <w:t>柔纱帘</w:t>
            </w:r>
            <w:r>
              <w:rPr>
                <w:rFonts w:hint="eastAsia" w:ascii="宋体" w:hAnsi="宋体" w:cs="宋体"/>
                <w:color w:val="auto"/>
                <w:sz w:val="21"/>
                <w:szCs w:val="21"/>
                <w:lang w:eastAsia="zh-CN"/>
              </w:rPr>
              <w:t>】</w:t>
            </w:r>
            <w:r>
              <w:rPr>
                <w:rFonts w:hint="eastAsia" w:ascii="宋体" w:hAnsi="宋体" w:eastAsia="宋体" w:cs="宋体"/>
                <w:color w:val="auto"/>
                <w:spacing w:val="1"/>
                <w:sz w:val="21"/>
                <w:szCs w:val="21"/>
              </w:rPr>
              <w:t>的主材用料质地</w:t>
            </w:r>
            <w:r>
              <w:rPr>
                <w:rFonts w:hint="eastAsia" w:ascii="宋体" w:hAnsi="宋体" w:eastAsia="宋体" w:cs="宋体"/>
                <w:color w:val="auto"/>
                <w:spacing w:val="11"/>
                <w:sz w:val="21"/>
                <w:szCs w:val="21"/>
              </w:rPr>
              <w:t xml:space="preserve"> </w:t>
            </w:r>
            <w:r>
              <w:rPr>
                <w:rFonts w:hint="eastAsia" w:ascii="宋体" w:hAnsi="宋体" w:eastAsia="宋体" w:cs="宋体"/>
                <w:color w:val="auto"/>
                <w:spacing w:val="1"/>
                <w:sz w:val="21"/>
                <w:szCs w:val="21"/>
              </w:rPr>
              <w:t>、密度、遮光效果、整体造型外观、制作工艺（线条柔顺度</w:t>
            </w:r>
            <w:r>
              <w:rPr>
                <w:rFonts w:hint="eastAsia" w:ascii="宋体" w:hAnsi="宋体" w:eastAsia="宋体" w:cs="宋体"/>
                <w:color w:val="auto"/>
                <w:spacing w:val="9"/>
                <w:sz w:val="21"/>
                <w:szCs w:val="21"/>
              </w:rPr>
              <w:t xml:space="preserve"> </w:t>
            </w:r>
            <w:r>
              <w:rPr>
                <w:rFonts w:hint="eastAsia" w:ascii="宋体" w:hAnsi="宋体" w:eastAsia="宋体" w:cs="宋体"/>
                <w:color w:val="auto"/>
                <w:spacing w:val="1"/>
                <w:sz w:val="21"/>
                <w:szCs w:val="21"/>
              </w:rPr>
              <w:t>、无裂纹、结疤、无夹渣、无变形等）等，由评委按以下标</w:t>
            </w:r>
            <w:r>
              <w:rPr>
                <w:rFonts w:hint="eastAsia" w:ascii="宋体" w:hAnsi="宋体" w:eastAsia="宋体" w:cs="宋体"/>
                <w:color w:val="auto"/>
                <w:spacing w:val="3"/>
                <w:sz w:val="21"/>
                <w:szCs w:val="21"/>
              </w:rPr>
              <w:t>准评分</w:t>
            </w:r>
            <w:r>
              <w:rPr>
                <w:rFonts w:hint="eastAsia" w:ascii="宋体" w:hAnsi="宋体" w:eastAsia="宋体" w:cs="宋体"/>
                <w:color w:val="auto"/>
                <w:spacing w:val="-15"/>
                <w:sz w:val="21"/>
                <w:szCs w:val="21"/>
              </w:rPr>
              <w:t>：</w:t>
            </w:r>
            <w:r>
              <w:rPr>
                <w:rFonts w:hint="eastAsia" w:ascii="宋体" w:hAnsi="宋体" w:eastAsia="宋体" w:cs="宋体"/>
                <w:color w:val="auto"/>
                <w:spacing w:val="-29"/>
                <w:sz w:val="21"/>
                <w:szCs w:val="21"/>
              </w:rPr>
              <w:t xml:space="preserve"> </w:t>
            </w:r>
            <w:r>
              <w:rPr>
                <w:rFonts w:hint="eastAsia" w:ascii="宋体" w:hAnsi="宋体" w:eastAsia="宋体" w:cs="宋体"/>
                <w:color w:val="auto"/>
                <w:spacing w:val="-15"/>
                <w:sz w:val="21"/>
                <w:szCs w:val="21"/>
              </w:rPr>
              <w:t>（</w:t>
            </w:r>
            <w:r>
              <w:rPr>
                <w:rFonts w:hint="eastAsia" w:ascii="宋体" w:hAnsi="宋体" w:eastAsia="宋体" w:cs="宋体"/>
                <w:color w:val="auto"/>
                <w:spacing w:val="3"/>
                <w:sz w:val="21"/>
                <w:szCs w:val="21"/>
              </w:rPr>
              <w:t>1）材质用料质地均匀、密度高、遮光效</w:t>
            </w:r>
            <w:r>
              <w:rPr>
                <w:rFonts w:hint="eastAsia" w:ascii="宋体" w:hAnsi="宋体" w:eastAsia="宋体" w:cs="宋体"/>
                <w:color w:val="auto"/>
                <w:spacing w:val="2"/>
                <w:sz w:val="21"/>
                <w:szCs w:val="21"/>
              </w:rPr>
              <w:t>果好、整体造型外观款式新颖、整体制作工艺细节水平高的得2分</w:t>
            </w:r>
            <w:r>
              <w:rPr>
                <w:rFonts w:hint="eastAsia" w:ascii="宋体" w:hAnsi="宋体" w:eastAsia="宋体" w:cs="宋体"/>
                <w:color w:val="auto"/>
                <w:sz w:val="21"/>
                <w:szCs w:val="21"/>
              </w:rPr>
              <w:t>; （2）材质用料质地均匀、密度较好，遮光效果较好，制</w:t>
            </w:r>
            <w:r>
              <w:rPr>
                <w:rFonts w:hint="eastAsia" w:ascii="宋体" w:hAnsi="宋体" w:eastAsia="宋体" w:cs="宋体"/>
                <w:color w:val="auto"/>
                <w:spacing w:val="2"/>
                <w:sz w:val="21"/>
                <w:szCs w:val="21"/>
              </w:rPr>
              <w:t>作工艺较好的得1分</w:t>
            </w:r>
            <w:r>
              <w:rPr>
                <w:rFonts w:hint="eastAsia" w:ascii="宋体" w:hAnsi="宋体" w:eastAsia="宋体" w:cs="宋体"/>
                <w:color w:val="auto"/>
                <w:spacing w:val="-8"/>
                <w:sz w:val="21"/>
                <w:szCs w:val="21"/>
              </w:rPr>
              <w:t>；（</w:t>
            </w:r>
            <w:r>
              <w:rPr>
                <w:rFonts w:hint="eastAsia" w:ascii="宋体" w:hAnsi="宋体" w:eastAsia="宋体" w:cs="宋体"/>
                <w:color w:val="auto"/>
                <w:spacing w:val="2"/>
                <w:sz w:val="21"/>
                <w:szCs w:val="21"/>
              </w:rPr>
              <w:t>3）材质用料质地一般、工艺细节一般的得0.5分</w:t>
            </w:r>
            <w:r>
              <w:rPr>
                <w:rFonts w:hint="eastAsia" w:ascii="宋体" w:hAnsi="宋体" w:eastAsia="宋体" w:cs="宋体"/>
                <w:color w:val="auto"/>
                <w:spacing w:val="-12"/>
                <w:sz w:val="21"/>
                <w:szCs w:val="21"/>
              </w:rPr>
              <w:t>；</w:t>
            </w:r>
            <w:r>
              <w:rPr>
                <w:rFonts w:hint="eastAsia" w:ascii="宋体" w:hAnsi="宋体" w:eastAsia="宋体" w:cs="宋体"/>
                <w:color w:val="auto"/>
                <w:spacing w:val="-30"/>
                <w:sz w:val="21"/>
                <w:szCs w:val="21"/>
              </w:rPr>
              <w:t xml:space="preserve"> </w:t>
            </w:r>
            <w:r>
              <w:rPr>
                <w:rFonts w:hint="eastAsia" w:ascii="宋体" w:hAnsi="宋体" w:eastAsia="宋体" w:cs="宋体"/>
                <w:color w:val="auto"/>
                <w:spacing w:val="-12"/>
                <w:sz w:val="21"/>
                <w:szCs w:val="21"/>
              </w:rPr>
              <w:t>（</w:t>
            </w:r>
            <w:r>
              <w:rPr>
                <w:rFonts w:hint="eastAsia" w:ascii="宋体" w:hAnsi="宋体" w:eastAsia="宋体" w:cs="宋体"/>
                <w:color w:val="auto"/>
                <w:spacing w:val="2"/>
                <w:sz w:val="21"/>
                <w:szCs w:val="21"/>
              </w:rPr>
              <w:t>4）未按规定提供样品的不得分。</w:t>
            </w:r>
          </w:p>
        </w:tc>
        <w:tc>
          <w:tcPr>
            <w:tcW w:w="8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121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商务因素</w:t>
            </w:r>
          </w:p>
        </w:tc>
        <w:tc>
          <w:tcPr>
            <w:tcW w:w="791" w:type="dxa"/>
            <w:tcBorders>
              <w:top w:val="single" w:color="auto" w:sz="4" w:space="0"/>
              <w:left w:val="single" w:color="auto" w:sz="4" w:space="0"/>
              <w:bottom w:val="single" w:color="auto" w:sz="4" w:space="0"/>
              <w:right w:val="single" w:color="auto" w:sz="4" w:space="0"/>
            </w:tcBorders>
            <w:noWrap/>
            <w:vAlign w:val="center"/>
          </w:tcPr>
          <w:p>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pacing w:val="-5"/>
                <w:sz w:val="21"/>
                <w:szCs w:val="21"/>
                <w:lang w:val="en-US" w:eastAsia="zh-CN"/>
              </w:rPr>
              <w:t>C</w:t>
            </w:r>
            <w:r>
              <w:rPr>
                <w:rFonts w:hint="eastAsia" w:ascii="宋体" w:hAnsi="宋体" w:eastAsia="宋体" w:cs="宋体"/>
                <w:color w:val="auto"/>
                <w:spacing w:val="-5"/>
                <w:sz w:val="21"/>
                <w:szCs w:val="21"/>
              </w:rPr>
              <w:t>1、业绩</w:t>
            </w:r>
          </w:p>
        </w:tc>
        <w:tc>
          <w:tcPr>
            <w:tcW w:w="5677"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rightChars="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pacing w:val="1"/>
                <w:sz w:val="21"/>
                <w:szCs w:val="21"/>
              </w:rPr>
              <w:t>根据投标人自2021年01月01日至本项目投标截止时间止(以</w:t>
            </w:r>
            <w:r>
              <w:rPr>
                <w:rFonts w:hint="eastAsia" w:ascii="宋体" w:hAnsi="宋体" w:eastAsia="宋体" w:cs="宋体"/>
                <w:color w:val="auto"/>
                <w:spacing w:val="2"/>
                <w:sz w:val="21"/>
                <w:szCs w:val="21"/>
              </w:rPr>
              <w:t>合同签订日期为准)，提供的同类窗帘采购项目业绩情况</w:t>
            </w:r>
            <w:r>
              <w:rPr>
                <w:rFonts w:hint="eastAsia" w:ascii="宋体" w:hAnsi="宋体" w:eastAsia="宋体" w:cs="宋体"/>
                <w:color w:val="auto"/>
                <w:spacing w:val="1"/>
                <w:sz w:val="21"/>
                <w:szCs w:val="21"/>
              </w:rPr>
              <w:t>进行</w:t>
            </w:r>
            <w:r>
              <w:rPr>
                <w:rFonts w:hint="eastAsia" w:ascii="宋体" w:hAnsi="宋体" w:eastAsia="宋体" w:cs="宋体"/>
                <w:color w:val="auto"/>
                <w:spacing w:val="4"/>
                <w:sz w:val="21"/>
                <w:szCs w:val="21"/>
              </w:rPr>
              <w:t>评分：每提供一份合格有效的业绩得</w:t>
            </w:r>
            <w:r>
              <w:rPr>
                <w:rFonts w:hint="eastAsia" w:ascii="宋体" w:hAnsi="宋体" w:eastAsia="宋体" w:cs="宋体"/>
                <w:color w:val="auto"/>
                <w:spacing w:val="4"/>
                <w:sz w:val="21"/>
                <w:szCs w:val="21"/>
                <w:lang w:val="en-US" w:eastAsia="zh-CN"/>
              </w:rPr>
              <w:t>1</w:t>
            </w:r>
            <w:r>
              <w:rPr>
                <w:rFonts w:hint="eastAsia" w:ascii="宋体" w:hAnsi="宋体" w:eastAsia="宋体" w:cs="宋体"/>
                <w:color w:val="auto"/>
                <w:spacing w:val="4"/>
                <w:sz w:val="21"/>
                <w:szCs w:val="21"/>
              </w:rPr>
              <w:t>分，满分3分。</w:t>
            </w:r>
            <w:r>
              <w:rPr>
                <w:rFonts w:hint="eastAsia" w:ascii="宋体" w:hAnsi="宋体" w:eastAsia="宋体" w:cs="宋体"/>
                <w:color w:val="auto"/>
                <w:spacing w:val="-23"/>
                <w:sz w:val="21"/>
                <w:szCs w:val="21"/>
              </w:rPr>
              <w:t xml:space="preserve"> </w:t>
            </w:r>
            <w:r>
              <w:rPr>
                <w:rFonts w:hint="eastAsia" w:ascii="宋体" w:hAnsi="宋体" w:eastAsia="宋体" w:cs="宋体"/>
                <w:color w:val="auto"/>
                <w:spacing w:val="4"/>
                <w:sz w:val="21"/>
                <w:szCs w:val="21"/>
              </w:rPr>
              <w:t>注</w:t>
            </w:r>
            <w:r>
              <w:rPr>
                <w:rFonts w:hint="eastAsia" w:ascii="宋体" w:hAnsi="宋体" w:eastAsia="宋体" w:cs="宋体"/>
                <w:color w:val="auto"/>
                <w:spacing w:val="1"/>
                <w:sz w:val="21"/>
                <w:szCs w:val="21"/>
              </w:rPr>
              <w:t>：</w:t>
            </w:r>
            <w:r>
              <w:rPr>
                <w:rFonts w:hint="eastAsia" w:ascii="宋体" w:hAnsi="宋体" w:eastAsia="宋体" w:cs="宋体"/>
                <w:color w:val="auto"/>
                <w:spacing w:val="-43"/>
                <w:sz w:val="21"/>
                <w:szCs w:val="21"/>
              </w:rPr>
              <w:t xml:space="preserve"> </w:t>
            </w:r>
            <w:r>
              <w:rPr>
                <w:rFonts w:hint="eastAsia" w:ascii="宋体" w:hAnsi="宋体" w:eastAsia="宋体" w:cs="宋体"/>
                <w:color w:val="auto"/>
                <w:spacing w:val="1"/>
                <w:sz w:val="21"/>
                <w:szCs w:val="21"/>
              </w:rPr>
              <w:t>投标人应如实提供该业绩项目的中标公告（提供相关网站</w:t>
            </w:r>
            <w:r>
              <w:rPr>
                <w:rFonts w:hint="eastAsia" w:ascii="宋体" w:hAnsi="宋体" w:eastAsia="宋体" w:cs="宋体"/>
                <w:color w:val="auto"/>
                <w:spacing w:val="3"/>
                <w:sz w:val="21"/>
                <w:szCs w:val="21"/>
              </w:rPr>
              <w:t>中标公告的下载网页并注明网址）、中标通知书复印件、采购合同文本复印件，以及能够证明该业绩项目已经采购人验收合格</w:t>
            </w:r>
            <w:r>
              <w:rPr>
                <w:rFonts w:hint="eastAsia" w:ascii="宋体" w:hAnsi="宋体" w:eastAsia="宋体" w:cs="宋体"/>
                <w:color w:val="auto"/>
                <w:spacing w:val="3"/>
                <w:sz w:val="21"/>
                <w:szCs w:val="21"/>
                <w:lang w:val="en-US" w:eastAsia="zh-CN"/>
              </w:rPr>
              <w:t>及经业主单位盖章签字的满意度调查表评价为优、良好、满意、非常满意、好评的</w:t>
            </w:r>
            <w:r>
              <w:rPr>
                <w:rFonts w:hint="eastAsia" w:ascii="宋体" w:hAnsi="宋体" w:eastAsia="宋体" w:cs="宋体"/>
                <w:color w:val="auto"/>
                <w:spacing w:val="3"/>
                <w:sz w:val="21"/>
                <w:szCs w:val="21"/>
              </w:rPr>
              <w:t>的相关证明文件复印件，缺一不可。未提供相关证明文件复印件的不得分；评标过程中如发现填报不实，本项不得分。合同履行过程中发现本项有虚假者，取消其中标资格</w:t>
            </w:r>
            <w:r>
              <w:rPr>
                <w:rFonts w:hint="eastAsia" w:ascii="宋体" w:hAnsi="宋体" w:eastAsia="宋体" w:cs="宋体"/>
                <w:color w:val="auto"/>
                <w:spacing w:val="-3"/>
                <w:sz w:val="21"/>
                <w:szCs w:val="21"/>
              </w:rPr>
              <w:t>,并追究相应的法律责任和进行相应的赔偿。</w:t>
            </w:r>
          </w:p>
        </w:tc>
        <w:tc>
          <w:tcPr>
            <w:tcW w:w="82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302" w:leftChars="0" w:right="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pacing w:val="-3"/>
                <w:sz w:val="21"/>
                <w:szCs w:val="21"/>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
              </w:rPr>
              <w:t>3</w:t>
            </w:r>
          </w:p>
        </w:tc>
        <w:tc>
          <w:tcPr>
            <w:tcW w:w="1217" w:type="dxa"/>
            <w:vMerge w:val="continue"/>
            <w:tcBorders>
              <w:top w:val="single" w:color="auto" w:sz="4" w:space="0"/>
              <w:left w:val="single" w:color="auto" w:sz="4" w:space="0"/>
              <w:bottom w:val="single" w:color="auto" w:sz="4" w:space="0"/>
              <w:right w:val="single" w:color="auto" w:sz="4" w:space="0"/>
            </w:tcBorders>
            <w:noWrap/>
            <w:vAlign w:val="top"/>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lang w:val="zh-CN"/>
              </w:rPr>
            </w:pPr>
          </w:p>
        </w:tc>
        <w:tc>
          <w:tcPr>
            <w:tcW w:w="791" w:type="dxa"/>
            <w:tcBorders>
              <w:top w:val="single" w:color="auto" w:sz="4" w:space="0"/>
              <w:left w:val="single" w:color="auto" w:sz="4" w:space="0"/>
              <w:bottom w:val="single" w:color="auto" w:sz="4" w:space="0"/>
              <w:right w:val="single" w:color="auto" w:sz="4" w:space="0"/>
            </w:tcBorders>
            <w:noWrap/>
            <w:vAlign w:val="center"/>
          </w:tcPr>
          <w:p>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pacing w:val="-1"/>
                <w:sz w:val="21"/>
                <w:szCs w:val="21"/>
                <w:lang w:val="en-US" w:eastAsia="zh-CN"/>
              </w:rPr>
              <w:t>C</w:t>
            </w:r>
            <w:r>
              <w:rPr>
                <w:rFonts w:hint="eastAsia" w:cs="宋体"/>
                <w:color w:val="auto"/>
                <w:spacing w:val="-1"/>
                <w:sz w:val="21"/>
                <w:szCs w:val="21"/>
                <w:lang w:val="en-US" w:eastAsia="zh-CN"/>
              </w:rPr>
              <w:t>2</w:t>
            </w:r>
            <w:r>
              <w:rPr>
                <w:rFonts w:hint="eastAsia" w:ascii="宋体" w:hAnsi="宋体" w:eastAsia="宋体" w:cs="宋体"/>
                <w:color w:val="auto"/>
                <w:spacing w:val="-1"/>
                <w:sz w:val="21"/>
                <w:szCs w:val="21"/>
              </w:rPr>
              <w:t>、售后服务情况</w:t>
            </w:r>
          </w:p>
        </w:tc>
        <w:tc>
          <w:tcPr>
            <w:tcW w:w="5677" w:type="dxa"/>
            <w:tcBorders>
              <w:top w:val="single" w:color="auto" w:sz="4" w:space="0"/>
              <w:left w:val="single" w:color="auto" w:sz="4" w:space="0"/>
              <w:bottom w:val="single" w:color="auto" w:sz="4" w:space="0"/>
              <w:right w:val="single" w:color="auto" w:sz="4" w:space="0"/>
            </w:tcBorders>
            <w:noWrap/>
            <w:vAlign w:val="top"/>
          </w:tcPr>
          <w:p>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134"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pacing w:val="1"/>
                <w:sz w:val="21"/>
                <w:szCs w:val="21"/>
              </w:rPr>
              <w:t>根据投标人提供的售后服务承诺情况（包括但不限于具体的</w:t>
            </w:r>
            <w:r>
              <w:rPr>
                <w:rFonts w:hint="eastAsia" w:ascii="宋体" w:hAnsi="宋体" w:eastAsia="宋体" w:cs="宋体"/>
                <w:color w:val="auto"/>
                <w:sz w:val="21"/>
                <w:szCs w:val="21"/>
              </w:rPr>
              <w:t>服务内容、售后服务响应时间、响应方式等内容</w:t>
            </w:r>
            <w:r>
              <w:rPr>
                <w:rFonts w:hint="eastAsia" w:ascii="宋体" w:hAnsi="宋体" w:eastAsia="宋体" w:cs="宋体"/>
                <w:color w:val="auto"/>
                <w:spacing w:val="21"/>
                <w:sz w:val="21"/>
                <w:szCs w:val="21"/>
              </w:rPr>
              <w:t>），</w:t>
            </w:r>
            <w:r>
              <w:rPr>
                <w:rFonts w:hint="eastAsia" w:ascii="宋体" w:hAnsi="宋体" w:eastAsia="宋体" w:cs="宋体"/>
                <w:color w:val="auto"/>
                <w:sz w:val="21"/>
                <w:szCs w:val="21"/>
              </w:rPr>
              <w:t>由评标</w:t>
            </w:r>
            <w:r>
              <w:rPr>
                <w:rFonts w:hint="eastAsia" w:ascii="宋体" w:hAnsi="宋体" w:eastAsia="宋体" w:cs="宋体"/>
                <w:color w:val="auto"/>
                <w:spacing w:val="3"/>
                <w:sz w:val="21"/>
                <w:szCs w:val="21"/>
              </w:rPr>
              <w:t>委员会进行评分</w:t>
            </w:r>
            <w:r>
              <w:rPr>
                <w:rFonts w:hint="eastAsia" w:ascii="宋体" w:hAnsi="宋体" w:eastAsia="宋体" w:cs="宋体"/>
                <w:color w:val="auto"/>
                <w:spacing w:val="-12"/>
                <w:sz w:val="21"/>
                <w:szCs w:val="21"/>
              </w:rPr>
              <w:t>：</w:t>
            </w:r>
            <w:r>
              <w:rPr>
                <w:rFonts w:hint="eastAsia" w:ascii="宋体" w:hAnsi="宋体" w:eastAsia="宋体" w:cs="宋体"/>
                <w:color w:val="auto"/>
                <w:spacing w:val="-30"/>
                <w:sz w:val="21"/>
                <w:szCs w:val="21"/>
              </w:rPr>
              <w:t xml:space="preserve"> </w:t>
            </w:r>
            <w:r>
              <w:rPr>
                <w:rFonts w:hint="eastAsia" w:ascii="宋体" w:hAnsi="宋体" w:eastAsia="宋体" w:cs="宋体"/>
                <w:color w:val="auto"/>
                <w:spacing w:val="-12"/>
                <w:sz w:val="21"/>
                <w:szCs w:val="21"/>
              </w:rPr>
              <w:t>（</w:t>
            </w:r>
            <w:r>
              <w:rPr>
                <w:rFonts w:hint="eastAsia" w:ascii="宋体" w:hAnsi="宋体" w:eastAsia="宋体" w:cs="宋体"/>
                <w:color w:val="auto"/>
                <w:spacing w:val="3"/>
                <w:sz w:val="21"/>
                <w:szCs w:val="21"/>
              </w:rPr>
              <w:t>1）服务内容详细具体，可操作性强，响应方式明确，有响应时间及到场维护时间快且合理的得2</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3"/>
                <w:sz w:val="21"/>
                <w:szCs w:val="21"/>
              </w:rPr>
              <w:t>分</w:t>
            </w:r>
            <w:r>
              <w:rPr>
                <w:rFonts w:hint="eastAsia" w:ascii="宋体" w:hAnsi="宋体" w:eastAsia="宋体" w:cs="宋体"/>
                <w:color w:val="auto"/>
                <w:spacing w:val="-14"/>
                <w:sz w:val="21"/>
                <w:szCs w:val="21"/>
              </w:rPr>
              <w:t>；</w:t>
            </w:r>
            <w:r>
              <w:rPr>
                <w:rFonts w:hint="eastAsia" w:ascii="宋体" w:hAnsi="宋体" w:eastAsia="宋体" w:cs="宋体"/>
                <w:color w:val="auto"/>
                <w:spacing w:val="-30"/>
                <w:sz w:val="21"/>
                <w:szCs w:val="21"/>
              </w:rPr>
              <w:t xml:space="preserve"> </w:t>
            </w:r>
            <w:r>
              <w:rPr>
                <w:rFonts w:hint="eastAsia" w:ascii="宋体" w:hAnsi="宋体" w:eastAsia="宋体" w:cs="宋体"/>
                <w:color w:val="auto"/>
                <w:spacing w:val="-14"/>
                <w:sz w:val="21"/>
                <w:szCs w:val="21"/>
              </w:rPr>
              <w:t>（</w:t>
            </w:r>
            <w:r>
              <w:rPr>
                <w:rFonts w:hint="eastAsia" w:ascii="宋体" w:hAnsi="宋体" w:eastAsia="宋体" w:cs="宋体"/>
                <w:color w:val="auto"/>
                <w:spacing w:val="3"/>
                <w:sz w:val="21"/>
                <w:szCs w:val="21"/>
              </w:rPr>
              <w:t>2）服务内容详细，响应方式明确，有响应时间</w:t>
            </w:r>
            <w:r>
              <w:rPr>
                <w:rFonts w:hint="eastAsia" w:ascii="宋体" w:hAnsi="宋体" w:eastAsia="宋体" w:cs="宋体"/>
                <w:color w:val="auto"/>
                <w:spacing w:val="2"/>
                <w:sz w:val="21"/>
                <w:szCs w:val="21"/>
              </w:rPr>
              <w:t>及到</w:t>
            </w:r>
            <w:r>
              <w:rPr>
                <w:rFonts w:hint="eastAsia" w:ascii="宋体" w:hAnsi="宋体" w:eastAsia="宋体" w:cs="宋体"/>
                <w:color w:val="auto"/>
                <w:sz w:val="21"/>
                <w:szCs w:val="21"/>
              </w:rPr>
              <w:t xml:space="preserve"> </w:t>
            </w:r>
            <w:r>
              <w:rPr>
                <w:rFonts w:hint="eastAsia" w:ascii="宋体" w:hAnsi="宋体" w:eastAsia="宋体" w:cs="宋体"/>
                <w:color w:val="auto"/>
                <w:spacing w:val="4"/>
                <w:sz w:val="21"/>
                <w:szCs w:val="21"/>
              </w:rPr>
              <w:t>场维护时间较快且合理的得1分</w:t>
            </w:r>
            <w:r>
              <w:rPr>
                <w:rFonts w:hint="eastAsia" w:ascii="宋体" w:hAnsi="宋体" w:eastAsia="宋体" w:cs="宋体"/>
                <w:color w:val="auto"/>
                <w:spacing w:val="-10"/>
                <w:sz w:val="21"/>
                <w:szCs w:val="21"/>
              </w:rPr>
              <w:t>；</w:t>
            </w:r>
            <w:r>
              <w:rPr>
                <w:rFonts w:hint="eastAsia" w:ascii="宋体" w:hAnsi="宋体" w:eastAsia="宋体" w:cs="宋体"/>
                <w:color w:val="auto"/>
                <w:spacing w:val="-30"/>
                <w:sz w:val="21"/>
                <w:szCs w:val="21"/>
              </w:rPr>
              <w:t xml:space="preserve"> </w:t>
            </w:r>
            <w:r>
              <w:rPr>
                <w:rFonts w:hint="eastAsia" w:ascii="宋体" w:hAnsi="宋体" w:eastAsia="宋体" w:cs="宋体"/>
                <w:color w:val="auto"/>
                <w:spacing w:val="-10"/>
                <w:sz w:val="21"/>
                <w:szCs w:val="21"/>
              </w:rPr>
              <w:t>（</w:t>
            </w:r>
            <w:r>
              <w:rPr>
                <w:rFonts w:hint="eastAsia" w:ascii="宋体" w:hAnsi="宋体" w:eastAsia="宋体" w:cs="宋体"/>
                <w:color w:val="auto"/>
                <w:spacing w:val="4"/>
                <w:sz w:val="21"/>
                <w:szCs w:val="21"/>
              </w:rPr>
              <w:t>3）服务内容简单，有响应方式，有响应时间及到场维护时间的得0.5分</w:t>
            </w:r>
            <w:r>
              <w:rPr>
                <w:rFonts w:hint="eastAsia" w:ascii="宋体" w:hAnsi="宋体" w:eastAsia="宋体" w:cs="宋体"/>
                <w:color w:val="auto"/>
                <w:spacing w:val="-10"/>
                <w:sz w:val="21"/>
                <w:szCs w:val="21"/>
              </w:rPr>
              <w:t>；</w:t>
            </w:r>
            <w:r>
              <w:rPr>
                <w:rFonts w:hint="eastAsia" w:ascii="宋体" w:hAnsi="宋体" w:eastAsia="宋体" w:cs="宋体"/>
                <w:color w:val="auto"/>
                <w:spacing w:val="-30"/>
                <w:sz w:val="21"/>
                <w:szCs w:val="21"/>
              </w:rPr>
              <w:t xml:space="preserve"> </w:t>
            </w:r>
            <w:r>
              <w:rPr>
                <w:rFonts w:hint="eastAsia" w:ascii="宋体" w:hAnsi="宋体" w:eastAsia="宋体" w:cs="宋体"/>
                <w:color w:val="auto"/>
                <w:spacing w:val="-10"/>
                <w:sz w:val="21"/>
                <w:szCs w:val="21"/>
              </w:rPr>
              <w:t>（</w:t>
            </w:r>
            <w:r>
              <w:rPr>
                <w:rFonts w:hint="eastAsia" w:ascii="宋体" w:hAnsi="宋体" w:eastAsia="宋体" w:cs="宋体"/>
                <w:color w:val="auto"/>
                <w:spacing w:val="4"/>
                <w:sz w:val="21"/>
                <w:szCs w:val="21"/>
              </w:rPr>
              <w:t>4）</w:t>
            </w:r>
            <w:r>
              <w:rPr>
                <w:rFonts w:hint="eastAsia" w:ascii="宋体" w:hAnsi="宋体" w:eastAsia="宋体" w:cs="宋体"/>
                <w:color w:val="auto"/>
                <w:spacing w:val="1"/>
                <w:sz w:val="21"/>
                <w:szCs w:val="21"/>
              </w:rPr>
              <w:t>未提供或提供不全的本项不得分。</w:t>
            </w:r>
          </w:p>
        </w:tc>
        <w:tc>
          <w:tcPr>
            <w:tcW w:w="82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1"/>
                <w:szCs w:val="21"/>
              </w:rPr>
            </w:pPr>
          </w:p>
          <w:p>
            <w:pPr>
              <w:rPr>
                <w:color w:val="auto"/>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302" w:leftChars="0" w:right="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pacing w:val="-3"/>
                <w:sz w:val="21"/>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188"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合     计</w:t>
            </w:r>
          </w:p>
        </w:tc>
        <w:tc>
          <w:tcPr>
            <w:tcW w:w="82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xml:space="preserve">100 </w:t>
            </w:r>
          </w:p>
        </w:tc>
      </w:tr>
    </w:tbl>
    <w:tbl>
      <w:tblPr>
        <w:tblStyle w:val="17"/>
        <w:tblpPr w:leftFromText="180" w:rightFromText="180" w:vertAnchor="text" w:horzAnchor="page" w:tblpX="1561" w:tblpY="458"/>
        <w:tblOverlap w:val="never"/>
        <w:tblW w:w="89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8"/>
        <w:gridCol w:w="3561"/>
        <w:gridCol w:w="3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8" w:type="dxa"/>
            <w:noWrap w:val="0"/>
            <w:vAlign w:val="center"/>
          </w:tcPr>
          <w:p>
            <w:pPr>
              <w:pStyle w:val="23"/>
              <w:widowControl w:val="0"/>
              <w:spacing w:line="360" w:lineRule="auto"/>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政府采购政策</w:t>
            </w:r>
          </w:p>
        </w:tc>
        <w:tc>
          <w:tcPr>
            <w:tcW w:w="3561" w:type="dxa"/>
            <w:noWrap w:val="0"/>
            <w:vAlign w:val="center"/>
          </w:tcPr>
          <w:p>
            <w:pPr>
              <w:pStyle w:val="23"/>
              <w:widowControl w:val="0"/>
              <w:spacing w:line="360" w:lineRule="auto"/>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价格扣除规则</w:t>
            </w:r>
          </w:p>
        </w:tc>
        <w:tc>
          <w:tcPr>
            <w:tcW w:w="3355" w:type="dxa"/>
            <w:noWrap w:val="0"/>
            <w:vAlign w:val="center"/>
          </w:tcPr>
          <w:p>
            <w:pPr>
              <w:pStyle w:val="23"/>
              <w:widowControl w:val="0"/>
              <w:spacing w:line="360" w:lineRule="auto"/>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享受价格扣除的条件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8" w:type="dxa"/>
            <w:noWrap w:val="0"/>
            <w:vAlign w:val="center"/>
          </w:tcPr>
          <w:p>
            <w:pPr>
              <w:pStyle w:val="23"/>
              <w:widowControl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节约能源政策</w:t>
            </w:r>
          </w:p>
        </w:tc>
        <w:tc>
          <w:tcPr>
            <w:tcW w:w="6916" w:type="dxa"/>
            <w:gridSpan w:val="2"/>
            <w:vMerge w:val="restart"/>
            <w:noWrap w:val="0"/>
            <w:vAlign w:val="center"/>
          </w:tcPr>
          <w:p>
            <w:pPr>
              <w:pStyle w:val="28"/>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textAlignment w:val="auto"/>
              <w:rPr>
                <w:rFonts w:hint="eastAsia" w:ascii="宋体" w:hAnsi="宋体" w:eastAsia="宋体" w:cs="宋体"/>
                <w:color w:val="auto"/>
                <w:spacing w:val="-17"/>
                <w:sz w:val="21"/>
                <w:szCs w:val="21"/>
              </w:rPr>
            </w:pPr>
            <w:r>
              <w:rPr>
                <w:rFonts w:hint="eastAsia" w:ascii="宋体" w:hAnsi="宋体" w:eastAsia="宋体" w:cs="宋体"/>
                <w:color w:val="auto"/>
                <w:spacing w:val="1"/>
                <w:sz w:val="21"/>
                <w:szCs w:val="21"/>
                <w:lang w:val="en-US" w:eastAsia="zh-CN"/>
              </w:rPr>
              <w:t>1、</w:t>
            </w:r>
            <w:r>
              <w:rPr>
                <w:rFonts w:hint="eastAsia" w:ascii="宋体" w:hAnsi="宋体" w:eastAsia="宋体" w:cs="宋体"/>
                <w:color w:val="auto"/>
                <w:spacing w:val="1"/>
                <w:sz w:val="21"/>
                <w:szCs w:val="21"/>
              </w:rPr>
              <w:t>同一采购包内，对节能产品、环境标志产品政府采购品目清单范围内，</w:t>
            </w:r>
            <w:r>
              <w:rPr>
                <w:rFonts w:hint="eastAsia" w:ascii="宋体" w:hAnsi="宋体" w:eastAsia="宋体" w:cs="宋体"/>
                <w:color w:val="auto"/>
                <w:spacing w:val="2"/>
                <w:sz w:val="21"/>
                <w:szCs w:val="21"/>
              </w:rPr>
              <w:t>实施优先采购的产品，给予产品价格报价10%的扣除，用扣除后的价格参加评审。采购标的同时包含其它非优先采购产品的，</w:t>
            </w:r>
            <w:r>
              <w:rPr>
                <w:rFonts w:hint="eastAsia" w:ascii="宋体" w:hAnsi="宋体" w:eastAsia="宋体" w:cs="宋体"/>
                <w:color w:val="auto"/>
                <w:spacing w:val="2"/>
                <w:sz w:val="21"/>
                <w:szCs w:val="21"/>
                <w:lang w:val="en-US" w:eastAsia="zh-CN"/>
              </w:rPr>
              <w:t>投标人</w:t>
            </w:r>
            <w:r>
              <w:rPr>
                <w:rFonts w:hint="eastAsia" w:ascii="宋体" w:hAnsi="宋体" w:eastAsia="宋体" w:cs="宋体"/>
                <w:color w:val="auto"/>
                <w:spacing w:val="2"/>
                <w:sz w:val="21"/>
                <w:szCs w:val="21"/>
              </w:rPr>
              <w:t>应</w:t>
            </w:r>
            <w:r>
              <w:rPr>
                <w:rFonts w:hint="eastAsia" w:ascii="宋体" w:hAnsi="宋体" w:eastAsia="宋体" w:cs="宋体"/>
                <w:color w:val="auto"/>
                <w:spacing w:val="1"/>
                <w:sz w:val="21"/>
                <w:szCs w:val="21"/>
              </w:rPr>
              <w:t>对优先采购产品</w:t>
            </w:r>
            <w:r>
              <w:rPr>
                <w:rFonts w:hint="eastAsia" w:ascii="宋体" w:hAnsi="宋体" w:eastAsia="宋体" w:cs="宋体"/>
                <w:color w:val="auto"/>
                <w:spacing w:val="2"/>
                <w:sz w:val="21"/>
                <w:szCs w:val="21"/>
              </w:rPr>
              <w:t>和非优先采购产品进行分项报价，非优先采购产品的报价不</w:t>
            </w:r>
            <w:r>
              <w:rPr>
                <w:rFonts w:hint="eastAsia" w:ascii="宋体" w:hAnsi="宋体" w:eastAsia="宋体" w:cs="宋体"/>
                <w:color w:val="auto"/>
                <w:spacing w:val="1"/>
                <w:sz w:val="21"/>
                <w:szCs w:val="21"/>
              </w:rPr>
              <w:t>享受给予节能产</w:t>
            </w:r>
            <w:r>
              <w:rPr>
                <w:rFonts w:hint="eastAsia" w:ascii="宋体" w:hAnsi="宋体" w:eastAsia="宋体" w:cs="宋体"/>
                <w:color w:val="auto"/>
                <w:spacing w:val="2"/>
                <w:sz w:val="21"/>
                <w:szCs w:val="21"/>
              </w:rPr>
              <w:t>品、环境标志产品的价格扣除优惠。</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textAlignment w:val="auto"/>
              <w:rPr>
                <w:rFonts w:hint="eastAsia" w:ascii="宋体" w:hAnsi="宋体" w:eastAsia="宋体" w:cs="宋体"/>
                <w:color w:val="auto"/>
                <w:spacing w:val="-17"/>
                <w:sz w:val="21"/>
                <w:szCs w:val="21"/>
              </w:rPr>
            </w:pPr>
            <w:r>
              <w:rPr>
                <w:rFonts w:hint="eastAsia" w:ascii="宋体" w:hAnsi="宋体" w:eastAsia="宋体" w:cs="宋体"/>
                <w:color w:val="auto"/>
                <w:spacing w:val="-20"/>
                <w:sz w:val="21"/>
                <w:szCs w:val="21"/>
                <w:lang w:val="en-US" w:eastAsia="zh-CN"/>
              </w:rPr>
              <w:t>2、</w:t>
            </w:r>
            <w:r>
              <w:rPr>
                <w:rFonts w:hint="eastAsia" w:ascii="宋体" w:hAnsi="宋体" w:eastAsia="宋体" w:cs="宋体"/>
                <w:color w:val="auto"/>
                <w:spacing w:val="2"/>
                <w:sz w:val="21"/>
                <w:szCs w:val="21"/>
                <w:lang w:val="en-US" w:eastAsia="zh-CN"/>
              </w:rPr>
              <w:t>投标人</w:t>
            </w:r>
            <w:r>
              <w:rPr>
                <w:rFonts w:hint="eastAsia" w:ascii="宋体" w:hAnsi="宋体" w:eastAsia="宋体" w:cs="宋体"/>
                <w:color w:val="auto"/>
                <w:spacing w:val="2"/>
                <w:sz w:val="21"/>
                <w:szCs w:val="21"/>
              </w:rPr>
              <w:t>应在投</w:t>
            </w:r>
            <w:r>
              <w:rPr>
                <w:rFonts w:hint="eastAsia" w:ascii="宋体" w:hAnsi="宋体" w:eastAsia="宋体" w:cs="宋体"/>
                <w:color w:val="auto"/>
                <w:spacing w:val="1"/>
                <w:sz w:val="21"/>
                <w:szCs w:val="21"/>
              </w:rPr>
              <w:t>标文件</w:t>
            </w:r>
            <w:r>
              <w:rPr>
                <w:rFonts w:hint="eastAsia" w:asciiTheme="minorEastAsia" w:hAnsiTheme="minorEastAsia" w:eastAsiaTheme="minorEastAsia" w:cstheme="minorEastAsia"/>
                <w:b w:val="0"/>
                <w:bCs w:val="0"/>
                <w:color w:val="auto"/>
                <w:sz w:val="21"/>
                <w:szCs w:val="21"/>
                <w:lang w:eastAsia="zh-CN"/>
              </w:rPr>
              <w:t>报价部分中</w:t>
            </w:r>
            <w:r>
              <w:rPr>
                <w:rFonts w:hint="eastAsia" w:ascii="宋体" w:hAnsi="宋体" w:eastAsia="宋体" w:cs="宋体"/>
                <w:color w:val="auto"/>
                <w:spacing w:val="1"/>
                <w:sz w:val="21"/>
                <w:szCs w:val="21"/>
              </w:rPr>
              <w:t>同</w:t>
            </w:r>
            <w:r>
              <w:rPr>
                <w:rFonts w:hint="eastAsia" w:ascii="宋体" w:hAnsi="宋体" w:eastAsia="宋体" w:cs="宋体"/>
                <w:color w:val="auto"/>
                <w:spacing w:val="3"/>
                <w:sz w:val="21"/>
                <w:szCs w:val="21"/>
              </w:rPr>
              <w:t>时提供下述材料，否则不予价格扣除</w:t>
            </w:r>
            <w:r>
              <w:rPr>
                <w:rFonts w:hint="eastAsia" w:ascii="宋体" w:hAnsi="宋体" w:eastAsia="宋体" w:cs="宋体"/>
                <w:color w:val="auto"/>
                <w:spacing w:val="-11"/>
                <w:sz w:val="21"/>
                <w:szCs w:val="21"/>
              </w:rPr>
              <w:t>：（</w:t>
            </w:r>
            <w:r>
              <w:rPr>
                <w:rFonts w:hint="eastAsia" w:ascii="宋体" w:hAnsi="宋体" w:eastAsia="宋体" w:cs="宋体"/>
                <w:color w:val="auto"/>
                <w:spacing w:val="3"/>
                <w:sz w:val="21"/>
                <w:szCs w:val="21"/>
              </w:rPr>
              <w:t>1)优先类节能产品、环境标志产品统计表</w:t>
            </w:r>
            <w:r>
              <w:rPr>
                <w:rFonts w:hint="eastAsia" w:ascii="宋体" w:hAnsi="宋体" w:eastAsia="宋体" w:cs="宋体"/>
                <w:color w:val="auto"/>
                <w:spacing w:val="-11"/>
                <w:sz w:val="21"/>
                <w:szCs w:val="21"/>
              </w:rPr>
              <w:t>；（</w:t>
            </w:r>
            <w:r>
              <w:rPr>
                <w:rFonts w:hint="eastAsia" w:ascii="宋体" w:hAnsi="宋体" w:eastAsia="宋体" w:cs="宋体"/>
                <w:color w:val="auto"/>
                <w:spacing w:val="3"/>
                <w:sz w:val="21"/>
                <w:szCs w:val="21"/>
              </w:rPr>
              <w:t>2)《节能产品政府采购品目清单》或《环境标志产品政府采购品</w:t>
            </w:r>
            <w:r>
              <w:rPr>
                <w:rFonts w:hint="eastAsia" w:ascii="宋体" w:hAnsi="宋体" w:eastAsia="宋体" w:cs="宋体"/>
                <w:color w:val="auto"/>
                <w:spacing w:val="1"/>
                <w:sz w:val="21"/>
                <w:szCs w:val="21"/>
              </w:rPr>
              <w:t xml:space="preserve"> 目清单》（在该品目清单中标明所投产品属于哪项对应品</w:t>
            </w:r>
            <w:r>
              <w:rPr>
                <w:rFonts w:hint="eastAsia" w:ascii="宋体" w:hAnsi="宋体" w:eastAsia="宋体" w:cs="宋体"/>
                <w:color w:val="auto"/>
                <w:sz w:val="21"/>
                <w:szCs w:val="21"/>
              </w:rPr>
              <w:t>目</w:t>
            </w:r>
            <w:r>
              <w:rPr>
                <w:rFonts w:hint="eastAsia" w:ascii="宋体" w:hAnsi="宋体" w:eastAsia="宋体" w:cs="宋体"/>
                <w:color w:val="auto"/>
                <w:spacing w:val="11"/>
                <w:sz w:val="21"/>
                <w:szCs w:val="21"/>
              </w:rPr>
              <w:t>）；</w:t>
            </w:r>
            <w:r>
              <w:rPr>
                <w:rFonts w:hint="eastAsia" w:ascii="宋体" w:hAnsi="宋体" w:eastAsia="宋体" w:cs="宋体"/>
                <w:color w:val="auto"/>
                <w:sz w:val="21"/>
                <w:szCs w:val="21"/>
              </w:rPr>
              <w:t>(3)所投产品</w:t>
            </w:r>
            <w:r>
              <w:rPr>
                <w:rFonts w:hint="eastAsia" w:ascii="宋体" w:hAnsi="宋体" w:eastAsia="宋体" w:cs="宋体"/>
                <w:color w:val="auto"/>
                <w:spacing w:val="2"/>
                <w:sz w:val="21"/>
                <w:szCs w:val="21"/>
              </w:rPr>
              <w:t>属于节能（优先类）、环境标志产品的证明资料（国家确定</w:t>
            </w:r>
            <w:r>
              <w:rPr>
                <w:rFonts w:hint="eastAsia" w:ascii="宋体" w:hAnsi="宋体" w:eastAsia="宋体" w:cs="宋体"/>
                <w:color w:val="auto"/>
                <w:spacing w:val="1"/>
                <w:sz w:val="21"/>
                <w:szCs w:val="21"/>
              </w:rPr>
              <w:t>的认证机构出具</w:t>
            </w:r>
            <w:r>
              <w:rPr>
                <w:rFonts w:hint="eastAsia" w:ascii="宋体" w:hAnsi="宋体" w:eastAsia="宋体" w:cs="宋体"/>
                <w:color w:val="auto"/>
                <w:sz w:val="21"/>
                <w:szCs w:val="21"/>
              </w:rPr>
              <w:t xml:space="preserve"> 的、处于有效期之内的产品认证证书复印件）。</w:t>
            </w:r>
            <w:r>
              <w:rPr>
                <w:rFonts w:hint="eastAsia" w:ascii="宋体" w:hAnsi="宋体" w:eastAsia="宋体" w:cs="宋体"/>
                <w:color w:val="auto"/>
                <w:spacing w:val="-17"/>
                <w:sz w:val="21"/>
                <w:szCs w:val="21"/>
              </w:rPr>
              <w:t xml:space="preserve"> </w:t>
            </w:r>
          </w:p>
          <w:p>
            <w:pPr>
              <w:pStyle w:val="23"/>
              <w:widowControl w:val="0"/>
              <w:spacing w:line="360" w:lineRule="auto"/>
              <w:jc w:val="center"/>
              <w:rPr>
                <w:rFonts w:hint="eastAsia" w:ascii="宋体" w:hAnsi="宋体" w:eastAsia="宋体" w:cs="宋体"/>
                <w:color w:val="auto"/>
                <w:spacing w:val="1"/>
                <w:kern w:val="0"/>
                <w:sz w:val="21"/>
                <w:szCs w:val="21"/>
              </w:rPr>
            </w:pPr>
            <w:r>
              <w:rPr>
                <w:rFonts w:hint="eastAsia" w:ascii="宋体" w:hAnsi="宋体" w:eastAsia="宋体" w:cs="宋体"/>
                <w:color w:val="auto"/>
                <w:kern w:val="0"/>
                <w:sz w:val="21"/>
                <w:szCs w:val="21"/>
              </w:rPr>
              <w:t>备注：①节能产品是指财政</w:t>
            </w:r>
            <w:r>
              <w:rPr>
                <w:rFonts w:hint="eastAsia" w:ascii="宋体" w:hAnsi="宋体" w:eastAsia="宋体" w:cs="宋体"/>
                <w:color w:val="auto"/>
                <w:spacing w:val="2"/>
                <w:kern w:val="0"/>
                <w:sz w:val="21"/>
                <w:szCs w:val="21"/>
              </w:rPr>
              <w:t>部、发展改革委最新公布的《节能产品政府采购品目清单》</w:t>
            </w:r>
            <w:r>
              <w:rPr>
                <w:rFonts w:hint="eastAsia" w:ascii="宋体" w:hAnsi="宋体" w:eastAsia="宋体" w:cs="宋体"/>
                <w:color w:val="auto"/>
                <w:spacing w:val="1"/>
                <w:kern w:val="0"/>
                <w:sz w:val="21"/>
                <w:szCs w:val="21"/>
              </w:rPr>
              <w:t>内且获得国家确</w:t>
            </w:r>
            <w:r>
              <w:rPr>
                <w:rFonts w:hint="eastAsia" w:ascii="宋体" w:hAnsi="宋体" w:eastAsia="宋体" w:cs="宋体"/>
                <w:color w:val="auto"/>
                <w:spacing w:val="2"/>
                <w:kern w:val="0"/>
                <w:sz w:val="21"/>
                <w:szCs w:val="21"/>
              </w:rPr>
              <w:t>定的认证机构出具的、处于有效期之内的产品认证证书的产</w:t>
            </w:r>
            <w:r>
              <w:rPr>
                <w:rFonts w:hint="eastAsia" w:ascii="宋体" w:hAnsi="宋体" w:eastAsia="宋体" w:cs="宋体"/>
                <w:color w:val="auto"/>
                <w:spacing w:val="1"/>
                <w:kern w:val="0"/>
                <w:sz w:val="21"/>
                <w:szCs w:val="21"/>
              </w:rPr>
              <w:t>品；环境标志产</w:t>
            </w:r>
            <w:r>
              <w:rPr>
                <w:rFonts w:hint="eastAsia" w:ascii="宋体" w:hAnsi="宋体" w:eastAsia="宋体" w:cs="宋体"/>
                <w:color w:val="auto"/>
                <w:spacing w:val="2"/>
                <w:kern w:val="0"/>
                <w:sz w:val="21"/>
                <w:szCs w:val="21"/>
              </w:rPr>
              <w:t>品是指生态环境部和财政部最新公布的《环境</w:t>
            </w:r>
            <w:r>
              <w:rPr>
                <w:rFonts w:hint="eastAsia" w:ascii="宋体" w:hAnsi="宋体" w:eastAsia="宋体" w:cs="宋体"/>
                <w:color w:val="auto"/>
                <w:spacing w:val="1"/>
                <w:kern w:val="0"/>
                <w:sz w:val="21"/>
                <w:szCs w:val="21"/>
              </w:rPr>
              <w:t>标志产品政府采购品目清单》</w:t>
            </w:r>
            <w:r>
              <w:rPr>
                <w:rFonts w:hint="eastAsia" w:ascii="宋体" w:hAnsi="宋体" w:eastAsia="宋体" w:cs="宋体"/>
                <w:color w:val="auto"/>
                <w:kern w:val="0"/>
                <w:sz w:val="21"/>
                <w:szCs w:val="21"/>
              </w:rPr>
              <w:t xml:space="preserve"> </w:t>
            </w:r>
            <w:r>
              <w:rPr>
                <w:rFonts w:hint="eastAsia" w:ascii="宋体" w:hAnsi="宋体" w:eastAsia="宋体" w:cs="宋体"/>
                <w:color w:val="auto"/>
                <w:spacing w:val="2"/>
                <w:kern w:val="0"/>
                <w:sz w:val="21"/>
                <w:szCs w:val="21"/>
              </w:rPr>
              <w:t>内且获得国家确定的认证机构出具的、处于有效期之内的产</w:t>
            </w:r>
            <w:r>
              <w:rPr>
                <w:rFonts w:hint="eastAsia" w:ascii="宋体" w:hAnsi="宋体" w:eastAsia="宋体" w:cs="宋体"/>
                <w:color w:val="auto"/>
                <w:spacing w:val="1"/>
                <w:kern w:val="0"/>
                <w:sz w:val="21"/>
                <w:szCs w:val="21"/>
              </w:rPr>
              <w:t>品认证证书的产品；②同一优先采购产品中</w:t>
            </w:r>
          </w:p>
          <w:p>
            <w:pPr>
              <w:pStyle w:val="4"/>
              <w:numPr>
                <w:ilvl w:val="0"/>
                <w:numId w:val="0"/>
              </w:numPr>
              <w:spacing w:before="0" w:beforeAutospacing="0" w:after="0" w:afterAutospacing="0" w:line="360" w:lineRule="auto"/>
              <w:ind w:left="0" w:leftChars="0" w:firstLine="0" w:firstLineChars="0"/>
              <w:rPr>
                <w:rFonts w:hint="eastAsia" w:ascii="宋体" w:hAnsi="宋体" w:eastAsia="宋体" w:cs="宋体"/>
                <w:color w:val="auto"/>
                <w:spacing w:val="-1"/>
                <w:sz w:val="21"/>
                <w:szCs w:val="21"/>
              </w:rPr>
            </w:pPr>
            <w:bookmarkStart w:id="77" w:name="_Toc14846"/>
            <w:bookmarkStart w:id="78" w:name="_Toc9221"/>
            <w:bookmarkStart w:id="79" w:name="_Toc19134"/>
            <w:r>
              <w:rPr>
                <w:rFonts w:hint="eastAsia" w:ascii="宋体" w:hAnsi="宋体" w:eastAsia="宋体" w:cs="宋体"/>
                <w:b w:val="0"/>
                <w:bCs w:val="0"/>
                <w:color w:val="auto"/>
                <w:spacing w:val="1"/>
                <w:sz w:val="21"/>
                <w:szCs w:val="21"/>
              </w:rPr>
              <w:t>各认证证书不重复计算价格扣除。强制类节能产</w:t>
            </w:r>
            <w:r>
              <w:rPr>
                <w:rFonts w:hint="eastAsia" w:ascii="宋体" w:hAnsi="宋体" w:eastAsia="宋体" w:cs="宋体"/>
                <w:b w:val="0"/>
                <w:bCs w:val="0"/>
                <w:color w:val="auto"/>
                <w:spacing w:val="-1"/>
                <w:sz w:val="21"/>
                <w:szCs w:val="21"/>
              </w:rPr>
              <w:t>品不进行价格扣除。</w:t>
            </w:r>
            <w:bookmarkEnd w:id="77"/>
            <w:bookmarkEnd w:id="78"/>
            <w:bookmarkEnd w:id="7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8" w:type="dxa"/>
            <w:noWrap w:val="0"/>
            <w:vAlign w:val="center"/>
          </w:tcPr>
          <w:p>
            <w:pPr>
              <w:pStyle w:val="23"/>
              <w:widowControl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0"/>
                <w:sz w:val="21"/>
                <w:szCs w:val="21"/>
              </w:rPr>
              <w:t>节能、环境标志产品</w:t>
            </w:r>
          </w:p>
        </w:tc>
        <w:tc>
          <w:tcPr>
            <w:tcW w:w="6916" w:type="dxa"/>
            <w:gridSpan w:val="2"/>
            <w:vMerge w:val="continue"/>
            <w:noWrap w:val="0"/>
            <w:vAlign w:val="center"/>
          </w:tcPr>
          <w:p>
            <w:pPr>
              <w:pStyle w:val="23"/>
              <w:widowControl w:val="0"/>
              <w:spacing w:line="360" w:lineRule="auto"/>
              <w:jc w:val="center"/>
              <w:rPr>
                <w:rFonts w:hint="eastAsia" w:ascii="宋体" w:hAnsi="宋体" w:eastAsia="宋体" w:cs="宋体"/>
                <w:color w:val="auto"/>
                <w:kern w:val="2"/>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8" w:type="dxa"/>
            <w:noWrap w:val="0"/>
            <w:vAlign w:val="center"/>
          </w:tcPr>
          <w:p>
            <w:pPr>
              <w:pStyle w:val="23"/>
              <w:widowControl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促进中小企业</w:t>
            </w:r>
          </w:p>
          <w:p>
            <w:pPr>
              <w:pStyle w:val="23"/>
              <w:widowControl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发展政策</w:t>
            </w:r>
          </w:p>
        </w:tc>
        <w:tc>
          <w:tcPr>
            <w:tcW w:w="6916" w:type="dxa"/>
            <w:gridSpan w:val="2"/>
            <w:vMerge w:val="restart"/>
            <w:noWrap w:val="0"/>
            <w:vAlign w:val="center"/>
          </w:tcPr>
          <w:p>
            <w:pPr>
              <w:pStyle w:val="23"/>
              <w:widowControl w:val="0"/>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rPr>
              <w:t>本项目专门面向中小企业采购，不再进行价格扣除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8" w:type="dxa"/>
            <w:noWrap w:val="0"/>
            <w:vAlign w:val="center"/>
          </w:tcPr>
          <w:p>
            <w:pPr>
              <w:pStyle w:val="23"/>
              <w:widowControl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促进残疾人就业政策</w:t>
            </w:r>
          </w:p>
        </w:tc>
        <w:tc>
          <w:tcPr>
            <w:tcW w:w="6916" w:type="dxa"/>
            <w:gridSpan w:val="2"/>
            <w:vMerge w:val="continue"/>
            <w:noWrap w:val="0"/>
            <w:vAlign w:val="center"/>
          </w:tcPr>
          <w:p>
            <w:pPr>
              <w:pStyle w:val="23"/>
              <w:widowControl w:val="0"/>
              <w:spacing w:line="360" w:lineRule="auto"/>
              <w:jc w:val="center"/>
              <w:rPr>
                <w:rFonts w:hint="eastAsia" w:ascii="宋体" w:hAnsi="宋体" w:eastAsia="宋体" w:cs="宋体"/>
                <w:color w:val="auto"/>
                <w:kern w:val="2"/>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8" w:type="dxa"/>
            <w:noWrap w:val="0"/>
            <w:vAlign w:val="center"/>
          </w:tcPr>
          <w:p>
            <w:pPr>
              <w:pStyle w:val="23"/>
              <w:widowControl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支持监狱企业</w:t>
            </w:r>
          </w:p>
          <w:p>
            <w:pPr>
              <w:pStyle w:val="23"/>
              <w:widowControl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发展政策</w:t>
            </w:r>
          </w:p>
        </w:tc>
        <w:tc>
          <w:tcPr>
            <w:tcW w:w="6916" w:type="dxa"/>
            <w:gridSpan w:val="2"/>
            <w:vMerge w:val="continue"/>
            <w:noWrap w:val="0"/>
            <w:vAlign w:val="center"/>
          </w:tcPr>
          <w:p>
            <w:pPr>
              <w:pStyle w:val="23"/>
              <w:widowControl w:val="0"/>
              <w:spacing w:line="360" w:lineRule="auto"/>
              <w:jc w:val="center"/>
              <w:rPr>
                <w:rFonts w:hint="eastAsia" w:ascii="宋体" w:hAnsi="宋体" w:eastAsia="宋体" w:cs="宋体"/>
                <w:color w:val="auto"/>
                <w:kern w:val="2"/>
                <w:sz w:val="21"/>
                <w:szCs w:val="21"/>
                <w:highlight w:val="none"/>
              </w:rPr>
            </w:pPr>
          </w:p>
        </w:tc>
      </w:tr>
    </w:tbl>
    <w:p>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pPr>
        <w:keepNext w:val="0"/>
        <w:keepLines w:val="0"/>
        <w:pageBreakBefore w:val="0"/>
        <w:widowControl w:val="0"/>
        <w:kinsoku/>
        <w:wordWrap/>
        <w:overflowPunct/>
        <w:topLinePunct/>
        <w:autoSpaceDE w:val="0"/>
        <w:autoSpaceDN w:val="0"/>
        <w:bidi w:val="0"/>
        <w:adjustRightInd/>
        <w:snapToGrid/>
        <w:spacing w:after="0" w:line="360" w:lineRule="auto"/>
        <w:ind w:firstLine="42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1"/>
          <w:szCs w:val="21"/>
          <w:highlight w:val="none"/>
        </w:rPr>
        <w:t>2.3 落实政府采购政策进行价格调整的规则：</w:t>
      </w:r>
    </w:p>
    <w:p>
      <w:pPr>
        <w:pStyle w:val="23"/>
        <w:keepNext w:val="0"/>
        <w:keepLines w:val="0"/>
        <w:pageBreakBefore w:val="0"/>
        <w:widowControl w:val="0"/>
        <w:kinsoku/>
        <w:wordWrap/>
        <w:overflowPunct/>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2.4推荐中标候选人</w:t>
      </w:r>
    </w:p>
    <w:p>
      <w:pPr>
        <w:keepNext w:val="0"/>
        <w:keepLines w:val="0"/>
        <w:pageBreakBefore w:val="0"/>
        <w:widowControl/>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2.4.1按评审后得分由高到低顺序排列。得分相同的，按投标报价由低到高顺序排列。得分且投标报价相同的并列。</w:t>
      </w:r>
    </w:p>
    <w:p>
      <w:pPr>
        <w:keepNext w:val="0"/>
        <w:keepLines w:val="0"/>
        <w:pageBreakBefore w:val="0"/>
        <w:widowControl/>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2.4.2本采购包推荐中标候选人的数量：</w:t>
      </w:r>
      <w:r>
        <w:rPr>
          <w:rFonts w:hint="eastAsia" w:ascii="Times New Roman" w:hAnsi="Times New Roman" w:cs="Times New Roman"/>
          <w:color w:val="auto"/>
          <w:sz w:val="21"/>
          <w:szCs w:val="21"/>
          <w:highlight w:val="none"/>
          <w:u w:val="single"/>
          <w:lang w:val="en-US" w:eastAsia="zh-CN"/>
        </w:rPr>
        <w:t>3</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家。</w:t>
      </w:r>
    </w:p>
    <w:p>
      <w:pPr>
        <w:keepNext w:val="0"/>
        <w:keepLines w:val="0"/>
        <w:pageBreakBefore w:val="0"/>
        <w:widowControl/>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2.4.3中标人数量：</w:t>
      </w:r>
      <w:r>
        <w:rPr>
          <w:rFonts w:hint="default" w:ascii="Times New Roman" w:hAnsi="Times New Roman"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 xml:space="preserve">1 </w:t>
      </w:r>
      <w:r>
        <w:rPr>
          <w:rFonts w:hint="default" w:ascii="Times New Roman" w:hAnsi="Times New Roman" w:cs="Times New Roman"/>
          <w:color w:val="auto"/>
          <w:sz w:val="21"/>
          <w:szCs w:val="21"/>
          <w:highlight w:val="none"/>
        </w:rPr>
        <w:t>家。</w:t>
      </w:r>
    </w:p>
    <w:p>
      <w:pPr>
        <w:widowControl/>
        <w:topLinePunct/>
        <w:autoSpaceDE w:val="0"/>
        <w:autoSpaceDN w:val="0"/>
        <w:adjustRightInd w:val="0"/>
        <w:snapToGrid w:val="0"/>
        <w:spacing w:after="0"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中标候选人并列的，</w:t>
      </w:r>
      <w:r>
        <w:rPr>
          <w:rFonts w:hint="eastAsia" w:ascii="宋体" w:hAnsi="宋体"/>
          <w:color w:val="auto"/>
          <w:sz w:val="21"/>
          <w:szCs w:val="21"/>
          <w:highlight w:val="none"/>
        </w:rPr>
        <w:t>按照</w:t>
      </w:r>
      <w:r>
        <w:rPr>
          <w:rFonts w:hint="eastAsia" w:ascii="宋体" w:hAnsi="宋体"/>
          <w:color w:val="auto"/>
          <w:szCs w:val="21"/>
          <w:u w:val="single"/>
        </w:rPr>
        <w:t>投标报价由低到高</w:t>
      </w:r>
      <w:r>
        <w:rPr>
          <w:rFonts w:ascii="宋体" w:hAnsi="宋体"/>
          <w:color w:val="auto"/>
          <w:sz w:val="21"/>
          <w:szCs w:val="21"/>
          <w:highlight w:val="none"/>
        </w:rPr>
        <w:t>的方式确定中标人。招标文件未规定的，采取</w:t>
      </w:r>
      <w:r>
        <w:rPr>
          <w:rFonts w:ascii="宋体" w:hAnsi="宋体" w:cs="宋体"/>
          <w:color w:val="auto"/>
          <w:sz w:val="21"/>
          <w:szCs w:val="21"/>
          <w:highlight w:val="none"/>
        </w:rPr>
        <w:t>随机</w:t>
      </w:r>
      <w:r>
        <w:rPr>
          <w:rFonts w:ascii="宋体" w:hAnsi="宋体"/>
          <w:color w:val="auto"/>
          <w:sz w:val="21"/>
          <w:szCs w:val="21"/>
          <w:highlight w:val="none"/>
        </w:rPr>
        <w:t>抽取的方式确定。</w:t>
      </w:r>
    </w:p>
    <w:p>
      <w:pPr>
        <w:rPr>
          <w:color w:val="auto"/>
          <w:sz w:val="21"/>
          <w:szCs w:val="21"/>
          <w:highlight w:val="none"/>
        </w:rPr>
        <w:sectPr>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pStyle w:val="3"/>
        <w:bidi w:val="0"/>
        <w:jc w:val="center"/>
        <w:rPr>
          <w:rFonts w:hint="eastAsia"/>
          <w:color w:val="auto"/>
          <w:sz w:val="32"/>
          <w:szCs w:val="32"/>
          <w:lang w:val="en-US" w:eastAsia="zh-CN"/>
        </w:rPr>
      </w:pPr>
      <w:bookmarkStart w:id="80" w:name="_Toc38030150"/>
      <w:bookmarkStart w:id="81" w:name="_Toc132880283"/>
      <w:bookmarkStart w:id="82" w:name="_Toc19627"/>
      <w:bookmarkStart w:id="83" w:name="_Toc3648"/>
      <w:bookmarkStart w:id="84" w:name="_Toc1484421284"/>
      <w:bookmarkStart w:id="85" w:name="_Toc1406510925"/>
      <w:bookmarkStart w:id="86" w:name="_Toc1914430521"/>
      <w:bookmarkStart w:id="87" w:name="_Toc525052847"/>
      <w:bookmarkStart w:id="88" w:name="_Toc353483817"/>
      <w:bookmarkStart w:id="89" w:name="_Toc1505390621"/>
      <w:bookmarkStart w:id="90" w:name="_Toc614538032"/>
      <w:r>
        <w:rPr>
          <w:rFonts w:hint="eastAsia"/>
          <w:color w:val="auto"/>
          <w:sz w:val="32"/>
          <w:szCs w:val="32"/>
          <w:lang w:val="en-US" w:eastAsia="zh-CN"/>
        </w:rPr>
        <w:t>第四章  采购合同文本</w:t>
      </w:r>
      <w:bookmarkEnd w:id="80"/>
      <w:bookmarkEnd w:id="81"/>
      <w:bookmarkEnd w:id="82"/>
      <w:bookmarkEnd w:id="83"/>
      <w:bookmarkEnd w:id="84"/>
      <w:bookmarkEnd w:id="85"/>
      <w:bookmarkEnd w:id="86"/>
      <w:bookmarkEnd w:id="87"/>
      <w:bookmarkEnd w:id="88"/>
      <w:bookmarkEnd w:id="89"/>
      <w:bookmarkEnd w:id="90"/>
    </w:p>
    <w:p>
      <w:pPr>
        <w:pStyle w:val="12"/>
        <w:jc w:val="center"/>
        <w:rPr>
          <w:rFonts w:hint="eastAsia" w:hAnsi="宋体" w:cs="宋体"/>
          <w:b/>
          <w:color w:val="auto"/>
          <w:sz w:val="96"/>
          <w:szCs w:val="96"/>
          <w:highlight w:val="none"/>
        </w:rPr>
      </w:pPr>
    </w:p>
    <w:p>
      <w:pPr>
        <w:pStyle w:val="12"/>
        <w:jc w:val="center"/>
        <w:rPr>
          <w:rFonts w:hint="eastAsia" w:hAnsi="宋体" w:cs="宋体"/>
          <w:b/>
          <w:color w:val="auto"/>
          <w:sz w:val="96"/>
          <w:szCs w:val="96"/>
          <w:highlight w:val="none"/>
        </w:rPr>
      </w:pPr>
    </w:p>
    <w:p>
      <w:pPr>
        <w:pStyle w:val="12"/>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中宋" w:hAnsi="华文中宋" w:eastAsia="华文中宋" w:cs="华文中宋"/>
          <w:b w:val="0"/>
          <w:bCs/>
          <w:color w:val="auto"/>
          <w:sz w:val="32"/>
          <w:szCs w:val="32"/>
          <w:highlight w:val="none"/>
        </w:rPr>
      </w:pPr>
      <w:r>
        <w:rPr>
          <w:rFonts w:hint="eastAsia" w:ascii="华文中宋" w:hAnsi="华文中宋" w:eastAsia="华文中宋" w:cs="华文中宋"/>
          <w:b w:val="0"/>
          <w:bCs/>
          <w:color w:val="auto"/>
          <w:sz w:val="32"/>
          <w:szCs w:val="32"/>
          <w:highlight w:val="none"/>
        </w:rPr>
        <w:t>合 同 书</w:t>
      </w:r>
    </w:p>
    <w:p>
      <w:pPr>
        <w:pStyle w:val="12"/>
        <w:jc w:val="center"/>
        <w:rPr>
          <w:rFonts w:hint="eastAsia" w:ascii="华文中宋" w:hAnsi="华文中宋" w:eastAsia="华文中宋" w:cs="华文中宋"/>
          <w:b w:val="0"/>
          <w:bCs/>
          <w:color w:val="auto"/>
          <w:sz w:val="32"/>
          <w:szCs w:val="32"/>
          <w:highlight w:val="none"/>
        </w:rPr>
      </w:pPr>
    </w:p>
    <w:p>
      <w:pPr>
        <w:tabs>
          <w:tab w:val="left" w:pos="540"/>
          <w:tab w:val="left" w:pos="1080"/>
          <w:tab w:val="left" w:pos="1440"/>
        </w:tabs>
        <w:snapToGrid w:val="0"/>
        <w:jc w:val="center"/>
        <w:rPr>
          <w:rFonts w:hint="eastAsia" w:ascii="宋体" w:hAnsi="宋体" w:cs="宋体"/>
          <w:color w:val="auto"/>
          <w:sz w:val="32"/>
          <w:szCs w:val="32"/>
          <w:highlight w:val="none"/>
        </w:rPr>
      </w:pPr>
    </w:p>
    <w:p>
      <w:pPr>
        <w:tabs>
          <w:tab w:val="left" w:pos="540"/>
          <w:tab w:val="left" w:pos="1080"/>
          <w:tab w:val="left" w:pos="1440"/>
        </w:tabs>
        <w:snapToGrid w:val="0"/>
        <w:jc w:val="center"/>
        <w:rPr>
          <w:rFonts w:hint="eastAsia" w:ascii="宋体" w:hAnsi="宋体" w:cs="宋体"/>
          <w:color w:val="auto"/>
          <w:sz w:val="32"/>
          <w:szCs w:val="32"/>
          <w:highlight w:val="none"/>
        </w:rPr>
      </w:pPr>
    </w:p>
    <w:p>
      <w:pPr>
        <w:tabs>
          <w:tab w:val="left" w:pos="540"/>
          <w:tab w:val="left" w:pos="1080"/>
          <w:tab w:val="left" w:pos="1440"/>
        </w:tabs>
        <w:snapToGrid w:val="0"/>
        <w:jc w:val="center"/>
        <w:rPr>
          <w:rFonts w:hint="eastAsia" w:ascii="宋体" w:hAnsi="宋体" w:cs="宋体"/>
          <w:color w:val="auto"/>
          <w:sz w:val="32"/>
          <w:szCs w:val="32"/>
          <w:highlight w:val="none"/>
        </w:rPr>
      </w:pPr>
    </w:p>
    <w:p>
      <w:pPr>
        <w:keepNext w:val="0"/>
        <w:keepLines w:val="0"/>
        <w:pageBreakBefore w:val="0"/>
        <w:widowControl w:val="0"/>
        <w:tabs>
          <w:tab w:val="left" w:pos="540"/>
          <w:tab w:val="left" w:pos="1080"/>
          <w:tab w:val="left" w:pos="1440"/>
        </w:tabs>
        <w:kinsoku/>
        <w:wordWrap/>
        <w:overflowPunct/>
        <w:bidi w:val="0"/>
        <w:adjustRightInd/>
        <w:snapToGrid w:val="0"/>
        <w:ind w:left="1680" w:leftChars="800"/>
        <w:jc w:val="center"/>
        <w:textAlignment w:val="auto"/>
        <w:rPr>
          <w:rFonts w:hint="eastAsia" w:ascii="宋体" w:hAnsi="宋体" w:cs="宋体"/>
          <w:color w:val="auto"/>
          <w:sz w:val="32"/>
          <w:szCs w:val="32"/>
          <w:highlight w:val="none"/>
        </w:rPr>
      </w:pPr>
    </w:p>
    <w:p>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100" w:leftChars="1000" w:firstLine="0" w:firstLineChars="0"/>
        <w:textAlignment w:val="auto"/>
        <w:rPr>
          <w:rFonts w:hint="default" w:ascii="方正小标宋简体" w:hAnsi="方正小标宋简体" w:eastAsia="方正小标宋简体" w:cs="方正小标宋简体"/>
          <w:b w:val="0"/>
          <w:bCs/>
          <w:color w:val="auto"/>
          <w:sz w:val="24"/>
          <w:szCs w:val="24"/>
          <w:highlight w:val="none"/>
          <w:lang w:val="en-US" w:eastAsia="zh-CN"/>
        </w:rPr>
      </w:pPr>
      <w:r>
        <w:rPr>
          <w:rFonts w:hint="eastAsia" w:ascii="方正小标宋简体" w:hAnsi="方正小标宋简体" w:eastAsia="方正小标宋简体" w:cs="方正小标宋简体"/>
          <w:b w:val="0"/>
          <w:bCs/>
          <w:color w:val="auto"/>
          <w:sz w:val="24"/>
          <w:szCs w:val="24"/>
          <w:highlight w:val="none"/>
        </w:rPr>
        <w:t>项目名称：</w:t>
      </w:r>
      <w:bookmarkStart w:id="91" w:name="计划表_项目名称_planName"/>
      <w:bookmarkEnd w:id="91"/>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p>
    <w:p>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100" w:leftChars="1000" w:firstLine="0" w:firstLineChars="0"/>
        <w:textAlignment w:val="auto"/>
        <w:rPr>
          <w:rFonts w:hint="default" w:ascii="方正小标宋简体" w:hAnsi="方正小标宋简体" w:eastAsia="方正小标宋简体" w:cs="方正小标宋简体"/>
          <w:b w:val="0"/>
          <w:bCs/>
          <w:color w:val="auto"/>
          <w:sz w:val="24"/>
          <w:szCs w:val="24"/>
          <w:highlight w:val="none"/>
          <w:lang w:val="en-US" w:eastAsia="zh-CN"/>
        </w:rPr>
      </w:pPr>
      <w:r>
        <w:rPr>
          <w:rFonts w:hint="eastAsia" w:ascii="方正小标宋简体" w:hAnsi="方正小标宋简体" w:eastAsia="方正小标宋简体" w:cs="方正小标宋简体"/>
          <w:b w:val="0"/>
          <w:bCs/>
          <w:color w:val="auto"/>
          <w:sz w:val="24"/>
          <w:szCs w:val="24"/>
          <w:highlight w:val="none"/>
          <w:lang w:eastAsia="zh-CN"/>
        </w:rPr>
        <w:t>包</w:t>
      </w:r>
      <w:r>
        <w:rPr>
          <w:rFonts w:hint="eastAsia" w:ascii="方正小标宋简体" w:hAnsi="方正小标宋简体" w:eastAsia="方正小标宋简体" w:cs="方正小标宋简体"/>
          <w:b w:val="0"/>
          <w:bCs/>
          <w:color w:val="auto"/>
          <w:sz w:val="24"/>
          <w:szCs w:val="24"/>
          <w:highlight w:val="none"/>
          <w:lang w:val="en-US" w:eastAsia="zh-CN"/>
        </w:rPr>
        <w:t xml:space="preserve">    </w:t>
      </w:r>
      <w:r>
        <w:rPr>
          <w:rFonts w:hint="eastAsia" w:ascii="方正小标宋简体" w:hAnsi="方正小标宋简体" w:eastAsia="方正小标宋简体" w:cs="方正小标宋简体"/>
          <w:b w:val="0"/>
          <w:bCs/>
          <w:color w:val="auto"/>
          <w:sz w:val="24"/>
          <w:szCs w:val="24"/>
          <w:highlight w:val="none"/>
          <w:lang w:eastAsia="zh-CN"/>
        </w:rPr>
        <w:t>号：</w:t>
      </w:r>
      <w:bookmarkStart w:id="92" w:name="计划包表_项目名称_packageNo"/>
      <w:bookmarkEnd w:id="92"/>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p>
    <w:p>
      <w:pPr>
        <w:keepNext w:val="0"/>
        <w:keepLines w:val="0"/>
        <w:pageBreakBefore w:val="0"/>
        <w:widowControl w:val="0"/>
        <w:tabs>
          <w:tab w:val="left" w:pos="540"/>
          <w:tab w:val="left" w:pos="1080"/>
          <w:tab w:val="left" w:pos="1440"/>
        </w:tabs>
        <w:kinsoku/>
        <w:wordWrap/>
        <w:overflowPunct/>
        <w:bidi w:val="0"/>
        <w:adjustRightInd/>
        <w:snapToGrid w:val="0"/>
        <w:spacing w:line="360" w:lineRule="auto"/>
        <w:ind w:left="2100" w:leftChars="1000" w:firstLine="0" w:firstLineChars="0"/>
        <w:textAlignment w:val="auto"/>
        <w:rPr>
          <w:rFonts w:hint="default" w:ascii="方正小标宋简体" w:hAnsi="方正小标宋简体" w:eastAsia="方正小标宋简体" w:cs="方正小标宋简体"/>
          <w:b w:val="0"/>
          <w:bCs/>
          <w:color w:val="auto"/>
          <w:sz w:val="24"/>
          <w:szCs w:val="24"/>
          <w:highlight w:val="none"/>
          <w:lang w:val="en-US" w:eastAsia="zh-CN"/>
        </w:rPr>
      </w:pPr>
      <w:r>
        <w:rPr>
          <w:rFonts w:hint="eastAsia" w:ascii="方正小标宋简体" w:hAnsi="方正小标宋简体" w:eastAsia="方正小标宋简体" w:cs="方正小标宋简体"/>
          <w:b w:val="0"/>
          <w:bCs/>
          <w:color w:val="auto"/>
          <w:sz w:val="24"/>
          <w:szCs w:val="24"/>
          <w:highlight w:val="none"/>
        </w:rPr>
        <w:t>合同编号：</w:t>
      </w:r>
      <w:bookmarkStart w:id="93" w:name="合同表_合同编号_contractNo1"/>
      <w:bookmarkEnd w:id="93"/>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lang w:val="en-US" w:eastAsia="zh-CN"/>
        </w:rPr>
        <w:t xml:space="preserve"> </w:t>
      </w:r>
    </w:p>
    <w:p>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880" w:leftChars="800" w:hanging="1200" w:hangingChars="500"/>
        <w:textAlignment w:val="auto"/>
        <w:rPr>
          <w:rFonts w:hint="eastAsia" w:ascii="方正小标宋简体" w:hAnsi="方正小标宋简体" w:eastAsia="方正小标宋简体" w:cs="方正小标宋简体"/>
          <w:b w:val="0"/>
          <w:bCs/>
          <w:color w:val="auto"/>
          <w:sz w:val="24"/>
          <w:szCs w:val="24"/>
          <w:highlight w:val="none"/>
        </w:rPr>
      </w:pPr>
    </w:p>
    <w:p>
      <w:pPr>
        <w:pStyle w:val="12"/>
        <w:spacing w:line="460" w:lineRule="exact"/>
        <w:jc w:val="center"/>
        <w:rPr>
          <w:rFonts w:hint="eastAsia" w:ascii="方正小标宋简体" w:hAnsi="方正小标宋简体" w:eastAsia="方正小标宋简体" w:cs="方正小标宋简体"/>
          <w:b w:val="0"/>
          <w:bCs/>
          <w:color w:val="auto"/>
          <w:sz w:val="24"/>
          <w:szCs w:val="24"/>
          <w:highlight w:val="none"/>
        </w:rPr>
      </w:pPr>
    </w:p>
    <w:p>
      <w:pPr>
        <w:pStyle w:val="12"/>
        <w:tabs>
          <w:tab w:val="left" w:pos="3045"/>
        </w:tabs>
        <w:spacing w:line="460" w:lineRule="exact"/>
        <w:rPr>
          <w:rFonts w:hint="eastAsia" w:ascii="方正小标宋简体" w:hAnsi="方正小标宋简体" w:eastAsia="方正小标宋简体" w:cs="方正小标宋简体"/>
          <w:b w:val="0"/>
          <w:bCs/>
          <w:color w:val="auto"/>
          <w:sz w:val="24"/>
          <w:szCs w:val="24"/>
          <w:highlight w:val="none"/>
        </w:rPr>
      </w:pPr>
      <w:r>
        <w:rPr>
          <w:rFonts w:hint="eastAsia" w:ascii="方正小标宋简体" w:hAnsi="方正小标宋简体" w:eastAsia="方正小标宋简体" w:cs="方正小标宋简体"/>
          <w:b w:val="0"/>
          <w:bCs/>
          <w:color w:val="auto"/>
          <w:sz w:val="24"/>
          <w:szCs w:val="24"/>
          <w:highlight w:val="none"/>
        </w:rPr>
        <w:tab/>
      </w:r>
    </w:p>
    <w:p>
      <w:pPr>
        <w:pStyle w:val="12"/>
        <w:spacing w:line="460" w:lineRule="exact"/>
        <w:jc w:val="both"/>
        <w:rPr>
          <w:rFonts w:hint="eastAsia" w:ascii="方正小标宋简体" w:hAnsi="方正小标宋简体" w:eastAsia="方正小标宋简体" w:cs="方正小标宋简体"/>
          <w:b w:val="0"/>
          <w:bCs/>
          <w:color w:val="auto"/>
          <w:sz w:val="24"/>
          <w:szCs w:val="24"/>
          <w:highlight w:val="none"/>
        </w:rPr>
      </w:pPr>
    </w:p>
    <w:p>
      <w:pPr>
        <w:pStyle w:val="12"/>
        <w:spacing w:line="460" w:lineRule="exact"/>
        <w:jc w:val="center"/>
        <w:rPr>
          <w:rFonts w:hint="eastAsia" w:ascii="方正小标宋简体" w:hAnsi="方正小标宋简体" w:eastAsia="方正小标宋简体" w:cs="方正小标宋简体"/>
          <w:b w:val="0"/>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rPr>
          <w:rFonts w:hint="eastAsia" w:ascii="方正小标宋简体" w:hAnsi="方正小标宋简体" w:eastAsia="方正小标宋简体" w:cs="方正小标宋简体"/>
          <w:b w:val="0"/>
          <w:bCs/>
          <w:color w:val="auto"/>
          <w:sz w:val="24"/>
          <w:szCs w:val="24"/>
          <w:highlight w:val="none"/>
        </w:rPr>
      </w:pPr>
      <w:r>
        <w:rPr>
          <w:rFonts w:hint="eastAsia" w:ascii="方正小标宋简体" w:hAnsi="方正小标宋简体" w:eastAsia="方正小标宋简体" w:cs="方正小标宋简体"/>
          <w:b w:val="0"/>
          <w:bCs/>
          <w:color w:val="auto"/>
          <w:sz w:val="24"/>
          <w:szCs w:val="24"/>
          <w:highlight w:val="none"/>
        </w:rPr>
        <w:t xml:space="preserve">甲    方： </w:t>
      </w:r>
      <w:r>
        <w:rPr>
          <w:rFonts w:hint="eastAsia" w:ascii="方正小标宋简体" w:hAnsi="方正小标宋简体" w:eastAsia="方正小标宋简体" w:cs="方正小标宋简体"/>
          <w:b w:val="0"/>
          <w:bCs/>
          <w:color w:val="auto"/>
          <w:sz w:val="24"/>
          <w:szCs w:val="24"/>
          <w:highlight w:val="none"/>
          <w:u w:val="single"/>
        </w:rPr>
        <w:t>国家税务总局</w:t>
      </w:r>
      <w:r>
        <w:rPr>
          <w:rFonts w:hint="eastAsia" w:ascii="方正小标宋简体" w:hAnsi="方正小标宋简体" w:eastAsia="方正小标宋简体" w:cs="方正小标宋简体"/>
          <w:b w:val="0"/>
          <w:bCs/>
          <w:color w:val="auto"/>
          <w:sz w:val="24"/>
          <w:szCs w:val="24"/>
          <w:highlight w:val="none"/>
          <w:u w:val="single"/>
          <w:lang w:val="en-US" w:eastAsia="zh-CN"/>
        </w:rPr>
        <w:t>南平市税务局</w:t>
      </w:r>
    </w:p>
    <w:p>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rPr>
          <w:rFonts w:hint="eastAsia" w:ascii="方正小标宋简体" w:hAnsi="方正小标宋简体" w:eastAsia="方正小标宋简体" w:cs="方正小标宋简体"/>
          <w:b w:val="0"/>
          <w:bCs/>
          <w:color w:val="auto"/>
          <w:sz w:val="24"/>
          <w:szCs w:val="24"/>
          <w:highlight w:val="none"/>
          <w:u w:val="single"/>
          <w:lang w:val="en-US" w:eastAsia="zh-CN"/>
        </w:rPr>
      </w:pPr>
      <w:r>
        <w:rPr>
          <w:rFonts w:hint="eastAsia" w:ascii="方正小标宋简体" w:hAnsi="方正小标宋简体" w:eastAsia="方正小标宋简体" w:cs="方正小标宋简体"/>
          <w:b w:val="0"/>
          <w:bCs/>
          <w:color w:val="auto"/>
          <w:sz w:val="24"/>
          <w:szCs w:val="24"/>
          <w:highlight w:val="none"/>
        </w:rPr>
        <w:t xml:space="preserve">乙    方： </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rPr>
          <w:rFonts w:hint="eastAsia" w:ascii="方正小标宋简体" w:hAnsi="方正小标宋简体" w:eastAsia="方正小标宋简体" w:cs="方正小标宋简体"/>
          <w:b w:val="0"/>
          <w:bCs/>
          <w:color w:val="auto"/>
          <w:sz w:val="24"/>
          <w:szCs w:val="24"/>
          <w:highlight w:val="none"/>
          <w:u w:val="single"/>
          <w:lang w:eastAsia="zh-CN"/>
        </w:rPr>
      </w:pPr>
      <w:r>
        <w:rPr>
          <w:rFonts w:hint="eastAsia" w:ascii="方正小标宋简体" w:hAnsi="方正小标宋简体" w:eastAsia="方正小标宋简体" w:cs="方正小标宋简体"/>
          <w:b w:val="0"/>
          <w:bCs/>
          <w:color w:val="auto"/>
          <w:sz w:val="24"/>
          <w:szCs w:val="24"/>
          <w:highlight w:val="none"/>
        </w:rPr>
        <w:t xml:space="preserve">日    期： </w:t>
      </w:r>
      <w:r>
        <w:rPr>
          <w:rFonts w:hint="eastAsia" w:ascii="方正小标宋简体" w:hAnsi="方正小标宋简体" w:eastAsia="方正小标宋简体" w:cs="方正小标宋简体"/>
          <w:b w:val="0"/>
          <w:bCs/>
          <w:color w:val="auto"/>
          <w:sz w:val="24"/>
          <w:szCs w:val="24"/>
          <w:highlight w:val="none"/>
          <w:u w:val="single"/>
        </w:rPr>
        <w:t xml:space="preserve">    </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u w:val="single"/>
        </w:rPr>
        <w:t>年</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u w:val="single"/>
        </w:rPr>
        <w:t xml:space="preserve">月  </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u w:val="single"/>
          <w:lang w:eastAsia="zh-CN"/>
        </w:rPr>
        <w:t>日</w:t>
      </w:r>
    </w:p>
    <w:p>
      <w:pPr>
        <w:spacing w:line="300" w:lineRule="auto"/>
        <w:jc w:val="center"/>
        <w:rPr>
          <w:rFonts w:hint="eastAsia" w:ascii="宋体" w:hAnsi="宋体" w:cs="宋体"/>
          <w:b/>
          <w:color w:val="auto"/>
          <w:sz w:val="24"/>
          <w:szCs w:val="24"/>
          <w:highlight w:val="none"/>
        </w:rPr>
      </w:pPr>
      <w:r>
        <w:rPr>
          <w:rFonts w:hint="eastAsia" w:ascii="方正小标宋简体" w:hAnsi="方正小标宋简体" w:eastAsia="方正小标宋简体" w:cs="方正小标宋简体"/>
          <w:b w:val="0"/>
          <w:bCs/>
          <w:color w:val="auto"/>
          <w:sz w:val="24"/>
          <w:szCs w:val="24"/>
          <w:highlight w:val="none"/>
          <w:u w:val="single"/>
        </w:rPr>
        <w:br w:type="page"/>
      </w:r>
      <w:r>
        <w:rPr>
          <w:rFonts w:hint="eastAsia" w:ascii="宋体" w:hAnsi="宋体" w:cs="宋体"/>
          <w:b/>
          <w:color w:val="auto"/>
          <w:sz w:val="24"/>
          <w:szCs w:val="24"/>
          <w:highlight w:val="none"/>
        </w:rPr>
        <w:t>合同条款前附表</w:t>
      </w:r>
    </w:p>
    <w:tbl>
      <w:tblPr>
        <w:tblStyle w:val="16"/>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9"/>
        <w:gridCol w:w="1584"/>
        <w:gridCol w:w="6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817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合同名称</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合同编号</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default" w:ascii="Times New Roman" w:hAnsi="Times New Roman" w:cs="Times New Roman"/>
                <w:bCs/>
                <w:color w:val="auto"/>
                <w:sz w:val="21"/>
                <w:szCs w:val="21"/>
                <w:highlight w:val="none"/>
              </w:rPr>
            </w:pPr>
            <w:bookmarkStart w:id="94" w:name="合同表_合同编号_contractNo2"/>
            <w:bookmarkEnd w:id="9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合同类型</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default" w:ascii="Times New Roman" w:hAnsi="Times New Roman" w:eastAsia="宋体" w:cs="Times New Roman"/>
                <w:b/>
                <w:bCs/>
                <w:color w:val="auto"/>
                <w:sz w:val="21"/>
                <w:szCs w:val="21"/>
                <w:highlight w:val="none"/>
                <w:lang w:eastAsia="zh-CN"/>
              </w:rPr>
            </w:pPr>
            <w:bookmarkStart w:id="95" w:name="合同表_合同类型_contractTypeCn"/>
            <w:bookmarkEnd w:id="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w:t>
            </w: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定价方式</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default" w:ascii="Times New Roman" w:hAnsi="Times New Roman" w:eastAsia="宋体" w:cs="Times New Roman"/>
                <w:b/>
                <w:bCs/>
                <w:color w:val="auto"/>
                <w:sz w:val="21"/>
                <w:szCs w:val="21"/>
                <w:highlight w:val="none"/>
                <w:lang w:eastAsia="zh-CN"/>
              </w:rPr>
            </w:pPr>
            <w:bookmarkStart w:id="96" w:name="合同表_定价方式_contractFixPriceTypeCn"/>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5</w:t>
            </w:r>
          </w:p>
        </w:tc>
        <w:tc>
          <w:tcPr>
            <w:tcW w:w="1993" w:type="dxa"/>
            <w:gridSpan w:val="2"/>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甲方名称</w:t>
            </w:r>
          </w:p>
        </w:tc>
        <w:tc>
          <w:tcPr>
            <w:tcW w:w="6180"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93" w:type="dxa"/>
            <w:gridSpan w:val="2"/>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甲方地址</w:t>
            </w:r>
          </w:p>
        </w:tc>
        <w:tc>
          <w:tcPr>
            <w:tcW w:w="6180"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restart"/>
            <w:tcBorders>
              <w:top w:val="single" w:color="auto" w:sz="6" w:space="0"/>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甲方相关部门</w:t>
            </w:r>
          </w:p>
        </w:tc>
        <w:tc>
          <w:tcPr>
            <w:tcW w:w="1584"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甲方采购部门</w:t>
            </w:r>
          </w:p>
        </w:tc>
        <w:tc>
          <w:tcPr>
            <w:tcW w:w="6180"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continue"/>
            <w:tcBorders>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1584"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联系人</w:t>
            </w:r>
          </w:p>
        </w:tc>
        <w:tc>
          <w:tcPr>
            <w:tcW w:w="6180"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continue"/>
            <w:tcBorders>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1584" w:type="dxa"/>
            <w:tcBorders>
              <w:top w:val="single" w:color="auto" w:sz="6" w:space="0"/>
              <w:left w:val="single" w:color="auto" w:sz="4" w:space="0"/>
              <w:bottom w:val="single" w:color="auto" w:sz="4"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联系电话</w:t>
            </w:r>
          </w:p>
        </w:tc>
        <w:tc>
          <w:tcPr>
            <w:tcW w:w="6180"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continue"/>
            <w:tcBorders>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1584" w:type="dxa"/>
            <w:tcBorders>
              <w:top w:val="single" w:color="auto" w:sz="6" w:space="0"/>
              <w:left w:val="single" w:color="auto" w:sz="4" w:space="0"/>
              <w:bottom w:val="single" w:color="auto" w:sz="4"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default" w:ascii="Times New Roman" w:hAnsi="Times New Roman" w:cs="Times New Roman"/>
                <w:color w:val="auto"/>
                <w:sz w:val="21"/>
                <w:szCs w:val="21"/>
                <w:highlight w:val="none"/>
                <w:lang w:eastAsia="zh-CN"/>
              </w:rPr>
              <w:t>需求部门</w:t>
            </w:r>
          </w:p>
        </w:tc>
        <w:tc>
          <w:tcPr>
            <w:tcW w:w="6180"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continue"/>
            <w:tcBorders>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1584" w:type="dxa"/>
            <w:tcBorders>
              <w:top w:val="single" w:color="auto" w:sz="6" w:space="0"/>
              <w:left w:val="single" w:color="auto" w:sz="4" w:space="0"/>
              <w:bottom w:val="single" w:color="auto" w:sz="4"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联系人</w:t>
            </w:r>
          </w:p>
        </w:tc>
        <w:tc>
          <w:tcPr>
            <w:tcW w:w="6180"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1584" w:type="dxa"/>
            <w:tcBorders>
              <w:top w:val="single" w:color="auto" w:sz="6" w:space="0"/>
              <w:left w:val="single" w:color="auto" w:sz="4" w:space="0"/>
              <w:bottom w:val="single" w:color="auto" w:sz="4"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联系电话</w:t>
            </w:r>
          </w:p>
        </w:tc>
        <w:tc>
          <w:tcPr>
            <w:tcW w:w="6180"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6</w:t>
            </w: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乙方名称</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乙方企业性质</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中型企业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小型企业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微型企业    </w:t>
            </w: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监狱企业</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残疾人福利性单位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乙方地址</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乙方联系人</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联系电话</w:t>
            </w:r>
            <w:r>
              <w:rPr>
                <w:rFonts w:hint="default" w:ascii="Times New Roman" w:hAnsi="Times New Roman" w:cs="Times New Roman"/>
                <w:color w:val="auto"/>
                <w:sz w:val="21"/>
                <w:szCs w:val="21"/>
                <w:highlight w:val="none"/>
                <w:lang w:val="en-US" w:eastAsia="zh-CN"/>
              </w:rPr>
              <w:t>/传真</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开户银行名称</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银行账号</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7</w:t>
            </w: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合同金额</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人民币</w:t>
            </w:r>
            <w:bookmarkStart w:id="97" w:name="合同表_合同金额大写_capitalizeMoney"/>
            <w:r>
              <w:rPr>
                <w:rFonts w:hint="default" w:ascii="Times New Roman" w:hAnsi="Times New Roman" w:cs="Times New Roman"/>
                <w:color w:val="auto"/>
                <w:sz w:val="21"/>
                <w:szCs w:val="21"/>
                <w:highlight w:val="none"/>
                <w:u w:val="single"/>
                <w:lang w:val="en-US" w:eastAsia="zh-CN"/>
              </w:rPr>
              <w:t xml:space="preserve">        </w:t>
            </w:r>
            <w:bookmarkEnd w:id="97"/>
            <w:r>
              <w:rPr>
                <w:rFonts w:hint="default" w:ascii="Times New Roman" w:hAnsi="Times New Roman" w:cs="Times New Roman"/>
                <w:color w:val="auto"/>
                <w:sz w:val="21"/>
                <w:szCs w:val="21"/>
                <w:highlight w:val="none"/>
                <w:u w:val="none"/>
              </w:rPr>
              <w:t>元</w:t>
            </w:r>
            <w:r>
              <w:rPr>
                <w:rFonts w:hint="default" w:ascii="Times New Roman" w:hAnsi="Times New Roman" w:cs="Times New Roman"/>
                <w:color w:val="auto"/>
                <w:sz w:val="21"/>
                <w:szCs w:val="21"/>
                <w:highlight w:val="none"/>
              </w:rPr>
              <w:t>整（¥</w:t>
            </w:r>
            <w:bookmarkStart w:id="98" w:name="合同表_合同金额_lastPrice"/>
            <w:r>
              <w:rPr>
                <w:rFonts w:hint="default" w:ascii="Times New Roman" w:hAnsi="Times New Roman" w:cs="Times New Roman"/>
                <w:color w:val="auto"/>
                <w:sz w:val="21"/>
                <w:szCs w:val="21"/>
                <w:highlight w:val="none"/>
                <w:u w:val="single"/>
                <w:lang w:val="en-US" w:eastAsia="zh-CN"/>
              </w:rPr>
              <w:t xml:space="preserve">           </w:t>
            </w:r>
            <w:bookmarkEnd w:id="98"/>
            <w:r>
              <w:rPr>
                <w:rFonts w:hint="default" w:ascii="Times New Roman" w:hAnsi="Times New Roman"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8</w:t>
            </w: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交货时间和地点</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时间：</w:t>
            </w: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lang w:eastAsia="zh-CN"/>
              </w:rPr>
            </w:pP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9</w:t>
            </w: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合同付款</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numPr>
                <w:ilvl w:val="0"/>
                <w:numId w:val="0"/>
              </w:numPr>
              <w:tabs>
                <w:tab w:val="left" w:pos="84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合同以人民币结算，付款方式：</w:t>
            </w:r>
          </w:p>
          <w:p>
            <w:pPr>
              <w:pStyle w:val="24"/>
              <w:keepNext w:val="0"/>
              <w:keepLines w:val="0"/>
              <w:pageBreakBefore w:val="0"/>
              <w:numPr>
                <w:ilvl w:val="0"/>
                <w:numId w:val="0"/>
              </w:numPr>
              <w:tabs>
                <w:tab w:val="left" w:pos="840"/>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第一次付款：在</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后，甲方支付乙方合同金额</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%的款项，即人民币</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元整（¥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pStyle w:val="24"/>
              <w:keepNext w:val="0"/>
              <w:keepLines w:val="0"/>
              <w:pageBreakBefore w:val="0"/>
              <w:numPr>
                <w:ilvl w:val="0"/>
                <w:numId w:val="0"/>
              </w:numPr>
              <w:tabs>
                <w:tab w:val="left" w:pos="840"/>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第二次付款：在</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后，甲方支付乙方合同金额</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%的款项，即人民币</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元整（¥</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w:t>
            </w:r>
          </w:p>
          <w:p>
            <w:pPr>
              <w:pStyle w:val="24"/>
              <w:keepNext w:val="0"/>
              <w:keepLines w:val="0"/>
              <w:pageBreakBefore w:val="0"/>
              <w:numPr>
                <w:ilvl w:val="0"/>
                <w:numId w:val="0"/>
              </w:numPr>
              <w:tabs>
                <w:tab w:val="left" w:pos="84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
              </w:rPr>
              <w:t>......</w:t>
            </w:r>
          </w:p>
          <w:p>
            <w:pPr>
              <w:pStyle w:val="24"/>
              <w:keepNext w:val="0"/>
              <w:keepLines w:val="0"/>
              <w:pageBreakBefore w:val="0"/>
              <w:numPr>
                <w:ilvl w:val="0"/>
                <w:numId w:val="0"/>
              </w:numPr>
              <w:tabs>
                <w:tab w:val="left" w:pos="840"/>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每次办理付款时，乙方应提供发票、付款申请（格式另附）、</w:t>
            </w:r>
            <w:r>
              <w:rPr>
                <w:rFonts w:hint="default" w:ascii="Times New Roman" w:hAnsi="Times New Roman" w:cs="Times New Roman"/>
                <w:color w:val="auto"/>
                <w:sz w:val="21"/>
                <w:szCs w:val="21"/>
                <w:highlight w:val="none"/>
                <w:lang w:eastAsia="zh-CN"/>
              </w:rPr>
              <w:t>合同或</w:t>
            </w:r>
            <w:r>
              <w:rPr>
                <w:rFonts w:hint="default" w:ascii="Times New Roman" w:hAnsi="Times New Roman" w:cs="Times New Roman"/>
                <w:color w:val="auto"/>
                <w:sz w:val="21"/>
                <w:szCs w:val="21"/>
                <w:highlight w:val="none"/>
              </w:rPr>
              <w:t>合同关键页复印件、合同约定的其他资料。涉及验收的，应同时提交验收意见。</w:t>
            </w:r>
            <w:r>
              <w:rPr>
                <w:rFonts w:hint="default" w:ascii="Times New Roman" w:hAnsi="Times New Roman" w:cs="Times New Roman"/>
                <w:color w:val="auto"/>
                <w:sz w:val="21"/>
                <w:szCs w:val="21"/>
                <w:highlight w:val="none"/>
                <w:lang w:eastAsia="zh-CN"/>
              </w:rPr>
              <w:t>支付合同款项时（合同初次付款外），如属于信息化监理范围内的项目，应经实施单位、业主单位、监理单位共同签字认可；如属于需要进行中期报告的项目，应附中期报告审议意见为“通过”的文书。</w:t>
            </w:r>
          </w:p>
          <w:p>
            <w:pPr>
              <w:pStyle w:val="24"/>
              <w:keepNext w:val="0"/>
              <w:keepLines w:val="0"/>
              <w:pageBreakBefore w:val="0"/>
              <w:numPr>
                <w:ilvl w:val="0"/>
                <w:numId w:val="0"/>
              </w:numPr>
              <w:tabs>
                <w:tab w:val="left" w:pos="840"/>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甲方在收到发票等合同约定资料后，进行核实。满足合同约定支付条件的，自收到发票后30日内将资金以</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方式支付到乙方账户。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w:t>
            </w: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履约保证金及返还</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lang w:eastAsia="zh-CN"/>
              </w:rPr>
              <w:t>本合同不收取履约保证金</w:t>
            </w: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□履约保证金为合同金额</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%，即人民币</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u w:val="none"/>
                <w:lang w:val="en" w:eastAsia="zh-CN"/>
              </w:rPr>
              <w:t>元</w:t>
            </w:r>
            <w:r>
              <w:rPr>
                <w:rFonts w:hint="default" w:ascii="Times New Roman" w:hAnsi="Times New Roman" w:cs="Times New Roman"/>
                <w:color w:val="auto"/>
                <w:sz w:val="21"/>
                <w:szCs w:val="21"/>
                <w:highlight w:val="none"/>
              </w:rPr>
              <w:t>整（¥</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在合同履行期满后，无息返还。</w:t>
            </w:r>
          </w:p>
          <w:p>
            <w:pPr>
              <w:keepNext w:val="0"/>
              <w:keepLines w:val="0"/>
              <w:pageBreakBefore w:val="0"/>
              <w:tabs>
                <w:tab w:val="left" w:pos="700"/>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办理返还履约保证金时，乙方应提供履约保证金返还申请（格式另附）、</w:t>
            </w:r>
            <w:r>
              <w:rPr>
                <w:rFonts w:hint="default" w:ascii="Times New Roman" w:hAnsi="Times New Roman" w:cs="Times New Roman"/>
                <w:color w:val="auto"/>
                <w:sz w:val="21"/>
                <w:szCs w:val="21"/>
                <w:highlight w:val="none"/>
                <w:lang w:eastAsia="zh-CN"/>
              </w:rPr>
              <w:t>合同或</w:t>
            </w:r>
            <w:r>
              <w:rPr>
                <w:rFonts w:hint="default" w:ascii="Times New Roman" w:hAnsi="Times New Roman" w:cs="Times New Roman"/>
                <w:color w:val="auto"/>
                <w:sz w:val="21"/>
                <w:szCs w:val="21"/>
                <w:highlight w:val="none"/>
              </w:rPr>
              <w:t>合同关键页复印件、合同约定的其他资料。涉及验收的，应同时提交甲方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出具的项目终验意见或质保期（服务期）满验收意见。</w:t>
            </w:r>
          </w:p>
          <w:p>
            <w:pPr>
              <w:keepNext w:val="0"/>
              <w:keepLines w:val="0"/>
              <w:pageBreakBefore w:val="0"/>
              <w:tabs>
                <w:tab w:val="left" w:pos="700"/>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满足履约保证金返还条件的，甲方在收到返还相关信息等合同约定资料后，进行核实。对核实结果无异议的，自完成核实之日起</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日内，</w:t>
            </w:r>
            <w:r>
              <w:rPr>
                <w:rFonts w:hint="default" w:ascii="Times New Roman" w:hAnsi="Times New Roman" w:cs="Times New Roman"/>
                <w:color w:val="auto"/>
                <w:sz w:val="21"/>
                <w:szCs w:val="21"/>
                <w:highlight w:val="none"/>
                <w:lang w:eastAsia="zh-CN"/>
              </w:rPr>
              <w:t>以</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u w:val="none"/>
                <w:lang w:val="en" w:eastAsia="zh-CN"/>
              </w:rPr>
              <w:t>方式</w:t>
            </w:r>
            <w:r>
              <w:rPr>
                <w:rFonts w:hint="default" w:ascii="Times New Roman" w:hAnsi="Times New Roman" w:cs="Times New Roman"/>
                <w:color w:val="auto"/>
                <w:sz w:val="21"/>
                <w:szCs w:val="21"/>
                <w:highlight w:val="none"/>
              </w:rPr>
              <w:t>返还履约保证金。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w:t>
            </w: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合同履行期限</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自合同签订之日起至质量保障期</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服务期）满</w:t>
            </w:r>
            <w:r>
              <w:rPr>
                <w:rFonts w:hint="default" w:ascii="Times New Roman" w:hAnsi="Times New Roman" w:cs="Times New Roman"/>
                <w:color w:val="auto"/>
                <w:sz w:val="21"/>
                <w:szCs w:val="21"/>
                <w:highlight w:val="none"/>
                <w:lang w:eastAsia="zh-CN"/>
              </w:rPr>
              <w:t>验收合格</w:t>
            </w:r>
            <w:r>
              <w:rPr>
                <w:rFonts w:hint="default" w:ascii="Times New Roman" w:hAnsi="Times New Roman" w:cs="Times New Roman"/>
                <w:color w:val="auto"/>
                <w:sz w:val="21"/>
                <w:szCs w:val="21"/>
                <w:highlight w:val="none"/>
              </w:rPr>
              <w:t>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 w:eastAsia="zh-CN"/>
              </w:rPr>
            </w:pPr>
            <w:r>
              <w:rPr>
                <w:rFonts w:hint="default" w:ascii="Times New Roman" w:hAnsi="Times New Roman" w:cs="Times New Roman"/>
                <w:color w:val="auto"/>
                <w:sz w:val="21"/>
                <w:szCs w:val="21"/>
                <w:highlight w:val="none"/>
              </w:rPr>
              <w:t>质量保</w:t>
            </w:r>
            <w:r>
              <w:rPr>
                <w:rFonts w:hint="default" w:ascii="Times New Roman" w:hAnsi="Times New Roman" w:cs="Times New Roman"/>
                <w:color w:val="auto"/>
                <w:sz w:val="21"/>
                <w:szCs w:val="21"/>
                <w:highlight w:val="none"/>
                <w:lang w:eastAsia="zh-CN"/>
              </w:rPr>
              <w:t>证</w:t>
            </w:r>
            <w:r>
              <w:rPr>
                <w:rFonts w:hint="default" w:ascii="Times New Roman" w:hAnsi="Times New Roman" w:cs="Times New Roman"/>
                <w:color w:val="auto"/>
                <w:sz w:val="21"/>
                <w:szCs w:val="21"/>
                <w:highlight w:val="none"/>
              </w:rPr>
              <w:t>期</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自</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lang w:eastAsia="zh-CN"/>
              </w:rPr>
              <w:t>之日起至</w:t>
            </w:r>
            <w:r>
              <w:rPr>
                <w:rFonts w:hint="default" w:ascii="Times New Roman" w:hAnsi="Times New Roman" w:cs="Times New Roman"/>
                <w:color w:val="auto"/>
                <w:sz w:val="21"/>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合同履约地点</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合同约定地点或甲方指定地点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14</w:t>
            </w:r>
          </w:p>
        </w:tc>
        <w:tc>
          <w:tcPr>
            <w:tcW w:w="1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合同纠纷解决方式</w:t>
            </w:r>
          </w:p>
        </w:tc>
        <w:tc>
          <w:tcPr>
            <w:tcW w:w="6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甲乙双方应首先通过友好协商解决在执行本合同中所发生的或与本合同有关的一切争端。如从协商开始</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lang w:eastAsia="zh-CN"/>
              </w:rPr>
              <w:t>天内仍不能解决，可以选择以下途径之一解决纠纷：</w:t>
            </w: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□向甲方所在地仲裁委员会或</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lang w:eastAsia="zh-CN"/>
              </w:rPr>
              <w:t>仲裁委员会申请仲裁</w:t>
            </w: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□向甲方所在地人民法院或</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lang w:eastAsia="zh-CN"/>
              </w:rPr>
              <w:t>人民法院提起诉讼</w:t>
            </w:r>
          </w:p>
        </w:tc>
      </w:tr>
    </w:tbl>
    <w:p>
      <w:pPr>
        <w:tabs>
          <w:tab w:val="left" w:pos="700"/>
        </w:tabs>
        <w:topLinePunct/>
        <w:autoSpaceDE w:val="0"/>
        <w:autoSpaceDN w:val="0"/>
        <w:spacing w:line="460" w:lineRule="exact"/>
        <w:jc w:val="center"/>
        <w:rPr>
          <w:rFonts w:hint="eastAsia" w:ascii="宋体" w:hAnsi="宋体" w:cs="宋体"/>
          <w:b/>
          <w:color w:val="auto"/>
          <w:sz w:val="24"/>
          <w:highlight w:val="none"/>
        </w:rPr>
      </w:pPr>
      <w:r>
        <w:rPr>
          <w:rFonts w:hint="eastAsia" w:ascii="宋体" w:hAnsi="宋体" w:cs="宋体"/>
          <w:b/>
          <w:color w:val="auto"/>
          <w:sz w:val="28"/>
          <w:highlight w:val="none"/>
        </w:rPr>
        <w:br w:type="page"/>
      </w:r>
      <w:r>
        <w:rPr>
          <w:rFonts w:hint="eastAsia" w:ascii="宋体" w:hAnsi="宋体" w:cs="宋体"/>
          <w:b/>
          <w:color w:val="auto"/>
          <w:sz w:val="24"/>
          <w:highlight w:val="none"/>
        </w:rPr>
        <w:t>一   合  同</w:t>
      </w:r>
    </w:p>
    <w:p>
      <w:pPr>
        <w:tabs>
          <w:tab w:val="left" w:pos="540"/>
        </w:tabs>
        <w:topLinePunct/>
        <w:autoSpaceDE w:val="0"/>
        <w:autoSpaceDN w:val="0"/>
        <w:spacing w:line="460" w:lineRule="exact"/>
        <w:rPr>
          <w:rFonts w:hint="eastAsia" w:ascii="宋体" w:hAnsi="宋体" w:cs="宋体"/>
          <w:b/>
          <w:color w:val="auto"/>
          <w:sz w:val="24"/>
          <w:highlight w:val="none"/>
        </w:rPr>
      </w:pP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国家税务总局</w:t>
      </w:r>
      <w:r>
        <w:rPr>
          <w:rFonts w:hint="eastAsia" w:ascii="宋体" w:hAnsi="宋体" w:cs="宋体"/>
          <w:color w:val="auto"/>
          <w:sz w:val="21"/>
          <w:szCs w:val="21"/>
          <w:highlight w:val="none"/>
          <w:lang w:val="en-US" w:eastAsia="zh-CN"/>
        </w:rPr>
        <w:t>南平市税务局</w:t>
      </w:r>
      <w:r>
        <w:rPr>
          <w:rFonts w:hint="eastAsia" w:ascii="宋体" w:hAnsi="宋体" w:cs="宋体"/>
          <w:color w:val="auto"/>
          <w:sz w:val="21"/>
          <w:szCs w:val="21"/>
          <w:highlight w:val="none"/>
        </w:rPr>
        <w:t>（以下简称“甲方”）通过</w:t>
      </w:r>
      <w:r>
        <w:rPr>
          <w:rFonts w:hint="eastAsia" w:ascii="宋体" w:hAnsi="宋体" w:cs="宋体"/>
          <w:color w:val="auto"/>
          <w:sz w:val="21"/>
          <w:szCs w:val="21"/>
          <w:highlight w:val="none"/>
          <w:u w:val="single"/>
          <w:lang w:val="en-US" w:eastAsia="zh-CN"/>
        </w:rPr>
        <w:t xml:space="preserve">  公开招标  方</w:t>
      </w:r>
      <w:r>
        <w:rPr>
          <w:rFonts w:hint="eastAsia" w:ascii="宋体" w:hAnsi="宋体" w:cs="宋体"/>
          <w:color w:val="auto"/>
          <w:sz w:val="21"/>
          <w:szCs w:val="21"/>
          <w:highlight w:val="none"/>
          <w:lang w:val="en-US" w:eastAsia="zh-CN"/>
        </w:rPr>
        <w:t>式</w:t>
      </w:r>
      <w:r>
        <w:rPr>
          <w:rFonts w:hint="eastAsia" w:ascii="宋体" w:hAnsi="宋体" w:cs="宋体"/>
          <w:color w:val="auto"/>
          <w:sz w:val="21"/>
          <w:szCs w:val="21"/>
          <w:highlight w:val="none"/>
        </w:rPr>
        <w:t>采购</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确定______公司（以下简称“乙方”）为《</w:t>
      </w:r>
      <w:r>
        <w:rPr>
          <w:rFonts w:hint="eastAsia" w:ascii="宋体" w:hAnsi="宋体" w:cs="宋体"/>
          <w:color w:val="auto"/>
          <w:szCs w:val="21"/>
          <w:u w:val="single"/>
          <w:lang w:eastAsia="zh-CN"/>
        </w:rPr>
        <w:t>南平市税务局办公场所窗帘采购</w:t>
      </w:r>
      <w:r>
        <w:rPr>
          <w:rFonts w:hint="eastAsia" w:ascii="宋体" w:hAnsi="宋体" w:cs="宋体"/>
          <w:color w:val="auto"/>
          <w:sz w:val="21"/>
          <w:szCs w:val="21"/>
          <w:highlight w:val="none"/>
        </w:rPr>
        <w:t>项目》中标</w:t>
      </w:r>
      <w:r>
        <w:rPr>
          <w:rFonts w:hint="eastAsia" w:ascii="宋体" w:hAnsi="宋体" w:cs="宋体"/>
          <w:color w:val="auto"/>
          <w:sz w:val="21"/>
          <w:szCs w:val="21"/>
          <w:highlight w:val="none"/>
          <w:lang w:eastAsia="zh-CN"/>
        </w:rPr>
        <w:t>（成交）供应商</w:t>
      </w:r>
      <w:r>
        <w:rPr>
          <w:rFonts w:hint="eastAsia" w:ascii="宋体" w:hAnsi="宋体" w:cs="宋体"/>
          <w:color w:val="auto"/>
          <w:sz w:val="21"/>
          <w:szCs w:val="21"/>
          <w:highlight w:val="none"/>
        </w:rPr>
        <w:t>。甲乙双方同意按照该项目招标</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文件约定的内容，签署《</w:t>
      </w:r>
      <w:r>
        <w:rPr>
          <w:rFonts w:hint="eastAsia" w:ascii="宋体" w:hAnsi="宋体" w:cs="宋体"/>
          <w:color w:val="auto"/>
          <w:szCs w:val="21"/>
          <w:u w:val="single"/>
          <w:lang w:eastAsia="zh-CN"/>
        </w:rPr>
        <w:t>南平市税务局办公场所窗帘采购项目</w:t>
      </w:r>
      <w:r>
        <w:rPr>
          <w:rFonts w:hint="eastAsia" w:ascii="宋体" w:hAnsi="宋体" w:cs="宋体"/>
          <w:color w:val="auto"/>
          <w:sz w:val="21"/>
          <w:szCs w:val="21"/>
          <w:highlight w:val="none"/>
        </w:rPr>
        <w:t>合同书》（合同编号：      ，以下简称“合同”)。</w:t>
      </w:r>
    </w:p>
    <w:p>
      <w:pPr>
        <w:keepNext w:val="0"/>
        <w:keepLines w:val="0"/>
        <w:pageBreakBefore w:val="0"/>
        <w:widowControl w:val="0"/>
        <w:kinsoku/>
        <w:wordWrap/>
        <w:overflowPunct/>
        <w:topLinePunct/>
        <w:autoSpaceDE w:val="0"/>
        <w:autoSpaceDN w:val="0"/>
        <w:bidi w:val="0"/>
        <w:snapToGrid w:val="0"/>
        <w:spacing w:line="360" w:lineRule="auto"/>
        <w:ind w:left="482"/>
        <w:rPr>
          <w:rFonts w:hint="eastAsia" w:ascii="宋体" w:hAnsi="宋体" w:cs="宋体"/>
          <w:b/>
          <w:color w:val="auto"/>
          <w:sz w:val="21"/>
          <w:szCs w:val="21"/>
          <w:highlight w:val="none"/>
        </w:rPr>
      </w:pPr>
      <w:r>
        <w:rPr>
          <w:rFonts w:hint="eastAsia" w:ascii="宋体" w:hAnsi="宋体" w:cs="宋体"/>
          <w:b/>
          <w:color w:val="auto"/>
          <w:sz w:val="21"/>
          <w:szCs w:val="21"/>
          <w:highlight w:val="none"/>
        </w:rPr>
        <w:t>1. 合同文件</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本合同所附下列文件是构成本合同不可分割的部分：</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（1）合同通用条款；</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（2）报价表（总报价表和分项报价表）；</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）招标（采购）文件；</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投标（响应）</w:t>
      </w:r>
      <w:r>
        <w:rPr>
          <w:rFonts w:hint="eastAsia" w:ascii="宋体" w:hAnsi="宋体" w:cs="宋体"/>
          <w:color w:val="auto"/>
          <w:sz w:val="21"/>
          <w:szCs w:val="21"/>
          <w:highlight w:val="none"/>
        </w:rPr>
        <w:t>文件。</w:t>
      </w:r>
    </w:p>
    <w:p>
      <w:pPr>
        <w:keepNext w:val="0"/>
        <w:keepLines w:val="0"/>
        <w:pageBreakBefore w:val="0"/>
        <w:widowControl w:val="0"/>
        <w:kinsoku/>
        <w:wordWrap/>
        <w:overflowPunct/>
        <w:topLinePunct/>
        <w:autoSpaceDE w:val="0"/>
        <w:autoSpaceDN w:val="0"/>
        <w:bidi w:val="0"/>
        <w:snapToGrid w:val="0"/>
        <w:spacing w:line="360" w:lineRule="auto"/>
        <w:ind w:left="482"/>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rPr>
        <w:t>2. 合同</w:t>
      </w:r>
      <w:r>
        <w:rPr>
          <w:rFonts w:hint="eastAsia" w:ascii="宋体" w:hAnsi="宋体" w:cs="宋体"/>
          <w:b/>
          <w:color w:val="auto"/>
          <w:sz w:val="21"/>
          <w:szCs w:val="21"/>
          <w:highlight w:val="none"/>
          <w:lang w:eastAsia="zh-CN"/>
        </w:rPr>
        <w:t>主要标的及数量</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本合同的范围和条件应与上述合同文件的规定相一致</w:t>
      </w:r>
      <w:r>
        <w:rPr>
          <w:rFonts w:hint="eastAsia" w:ascii="宋体" w:hAnsi="宋体" w:cs="宋体"/>
          <w:color w:val="auto"/>
          <w:sz w:val="21"/>
          <w:szCs w:val="21"/>
          <w:highlight w:val="none"/>
          <w:lang w:eastAsia="zh-CN"/>
        </w:rPr>
        <w:t>。</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3. 合同金额</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本合同金额为人民币</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rPr>
        <w:t>元</w:t>
      </w:r>
      <w:r>
        <w:rPr>
          <w:rFonts w:hint="eastAsia" w:ascii="宋体" w:hAnsi="宋体" w:cs="宋体"/>
          <w:color w:val="auto"/>
          <w:sz w:val="21"/>
          <w:szCs w:val="21"/>
          <w:highlight w:val="none"/>
        </w:rPr>
        <w:t>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p>
    <w:p>
      <w:pPr>
        <w:keepNext w:val="0"/>
        <w:keepLines w:val="0"/>
        <w:pageBreakBefore w:val="0"/>
        <w:widowControl w:val="0"/>
        <w:numPr>
          <w:ilvl w:val="0"/>
          <w:numId w:val="0"/>
        </w:numPr>
        <w:tabs>
          <w:tab w:val="left" w:pos="700"/>
        </w:tabs>
        <w:kinsoku/>
        <w:wordWrap/>
        <w:overflowPunct/>
        <w:topLinePunct/>
        <w:autoSpaceDE w:val="0"/>
        <w:autoSpaceDN w:val="0"/>
        <w:bidi w:val="0"/>
        <w:snapToGrid w:val="0"/>
        <w:spacing w:line="360" w:lineRule="auto"/>
        <w:ind w:firstLine="422" w:firstLineChars="200"/>
        <w:rPr>
          <w:rFonts w:hint="eastAsia" w:ascii="宋体" w:hAnsi="宋体" w:cs="宋体"/>
          <w:b/>
          <w:color w:val="auto"/>
          <w:sz w:val="21"/>
          <w:szCs w:val="21"/>
          <w:highlight w:val="none"/>
        </w:rPr>
      </w:pPr>
      <w:r>
        <w:rPr>
          <w:rFonts w:hint="default" w:ascii="宋体" w:hAnsi="宋体" w:cs="宋体"/>
          <w:b/>
          <w:color w:val="auto"/>
          <w:sz w:val="21"/>
          <w:szCs w:val="21"/>
          <w:highlight w:val="none"/>
          <w:lang w:val="en"/>
        </w:rPr>
        <w:t>4.</w:t>
      </w:r>
      <w:r>
        <w:rPr>
          <w:rFonts w:hint="eastAsia" w:ascii="宋体" w:hAnsi="宋体" w:cs="宋体"/>
          <w:b/>
          <w:color w:val="auto"/>
          <w:sz w:val="21"/>
          <w:szCs w:val="21"/>
          <w:highlight w:val="none"/>
        </w:rPr>
        <w:t>付款条件</w:t>
      </w:r>
    </w:p>
    <w:p>
      <w:pPr>
        <w:pStyle w:val="24"/>
        <w:keepNext w:val="0"/>
        <w:keepLines w:val="0"/>
        <w:pageBreakBefore w:val="0"/>
        <w:widowControl w:val="0"/>
        <w:numPr>
          <w:ilvl w:val="0"/>
          <w:numId w:val="0"/>
        </w:numPr>
        <w:tabs>
          <w:tab w:val="left" w:pos="840"/>
        </w:tabs>
        <w:kinsoku/>
        <w:wordWrap/>
        <w:overflowPunct/>
        <w:topLinePunct w:val="0"/>
        <w:autoSpaceDE/>
        <w:autoSpaceDN/>
        <w:bidi w:val="0"/>
        <w:adjustRightInd w:val="0"/>
        <w:snapToGrid w:val="0"/>
        <w:spacing w:line="360" w:lineRule="auto"/>
        <w:ind w:firstLine="420" w:firstLineChars="200"/>
        <w:jc w:val="left"/>
        <w:textAlignment w:val="baseline"/>
        <w:rPr>
          <w:rFonts w:hint="eastAsia" w:cs="宋体"/>
          <w:color w:val="auto"/>
          <w:sz w:val="21"/>
          <w:szCs w:val="21"/>
          <w:highlight w:val="none"/>
        </w:rPr>
      </w:pPr>
      <w:r>
        <w:rPr>
          <w:rFonts w:hint="eastAsia" w:cs="宋体"/>
          <w:color w:val="auto"/>
          <w:sz w:val="21"/>
          <w:szCs w:val="21"/>
          <w:highlight w:val="none"/>
        </w:rPr>
        <w:t>合同以人民币结算，付款方式：</w:t>
      </w:r>
    </w:p>
    <w:p>
      <w:pPr>
        <w:pStyle w:val="24"/>
        <w:keepNext w:val="0"/>
        <w:keepLines w:val="0"/>
        <w:pageBreakBefore w:val="0"/>
        <w:widowControl w:val="0"/>
        <w:numPr>
          <w:ilvl w:val="0"/>
          <w:numId w:val="0"/>
        </w:numPr>
        <w:tabs>
          <w:tab w:val="left" w:pos="840"/>
        </w:tabs>
        <w:kinsoku/>
        <w:wordWrap/>
        <w:overflowPunct/>
        <w:topLinePunct w:val="0"/>
        <w:autoSpaceDE/>
        <w:autoSpaceDN/>
        <w:bidi w:val="0"/>
        <w:adjustRightInd w:val="0"/>
        <w:snapToGrid w:val="0"/>
        <w:spacing w:line="360" w:lineRule="auto"/>
        <w:ind w:left="19" w:leftChars="9" w:firstLine="401" w:firstLineChars="191"/>
        <w:jc w:val="left"/>
        <w:textAlignment w:val="baseline"/>
        <w:rPr>
          <w:rFonts w:hint="eastAsia" w:cs="宋体"/>
          <w:color w:val="auto"/>
          <w:sz w:val="21"/>
          <w:szCs w:val="21"/>
          <w:highlight w:val="none"/>
        </w:rPr>
      </w:pPr>
      <w:r>
        <w:rPr>
          <w:rFonts w:hint="eastAsia" w:cs="宋体"/>
          <w:color w:val="auto"/>
          <w:sz w:val="21"/>
          <w:szCs w:val="21"/>
          <w:highlight w:val="none"/>
        </w:rPr>
        <w:t>第一次付款：在</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rPr>
        <w:t>后，甲方支付乙方合同金额</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u w:val="single"/>
        </w:rPr>
        <w:t xml:space="preserve"> </w:t>
      </w:r>
      <w:r>
        <w:rPr>
          <w:rFonts w:hint="eastAsia" w:cs="宋体"/>
          <w:color w:val="auto"/>
          <w:sz w:val="21"/>
          <w:szCs w:val="21"/>
          <w:highlight w:val="none"/>
        </w:rPr>
        <w:t>%的款项，即人民币</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u w:val="none"/>
          <w:lang w:val="en-US" w:eastAsia="zh-CN"/>
        </w:rPr>
        <w:t>元</w:t>
      </w:r>
      <w:r>
        <w:rPr>
          <w:rFonts w:hint="eastAsia" w:cs="宋体"/>
          <w:color w:val="auto"/>
          <w:sz w:val="21"/>
          <w:szCs w:val="21"/>
          <w:highlight w:val="none"/>
        </w:rPr>
        <w:t>整（¥</w:t>
      </w:r>
      <w:r>
        <w:rPr>
          <w:rFonts w:hint="eastAsia" w:cs="宋体"/>
          <w:color w:val="auto"/>
          <w:sz w:val="21"/>
          <w:szCs w:val="21"/>
          <w:highlight w:val="none"/>
          <w:u w:val="single"/>
        </w:rPr>
        <w:t xml:space="preserve">         </w:t>
      </w:r>
      <w:r>
        <w:rPr>
          <w:rFonts w:hint="eastAsia" w:cs="宋体"/>
          <w:color w:val="auto"/>
          <w:sz w:val="21"/>
          <w:szCs w:val="21"/>
          <w:highlight w:val="none"/>
        </w:rPr>
        <w:t>）；</w:t>
      </w:r>
    </w:p>
    <w:p>
      <w:pPr>
        <w:pStyle w:val="24"/>
        <w:keepNext w:val="0"/>
        <w:keepLines w:val="0"/>
        <w:pageBreakBefore w:val="0"/>
        <w:widowControl w:val="0"/>
        <w:numPr>
          <w:ilvl w:val="0"/>
          <w:numId w:val="0"/>
        </w:numPr>
        <w:tabs>
          <w:tab w:val="left" w:pos="840"/>
        </w:tabs>
        <w:kinsoku/>
        <w:wordWrap/>
        <w:overflowPunct/>
        <w:topLinePunct w:val="0"/>
        <w:autoSpaceDE/>
        <w:autoSpaceDN/>
        <w:bidi w:val="0"/>
        <w:adjustRightInd w:val="0"/>
        <w:snapToGrid w:val="0"/>
        <w:spacing w:line="360" w:lineRule="auto"/>
        <w:ind w:firstLine="420" w:firstLineChars="200"/>
        <w:jc w:val="left"/>
        <w:textAlignment w:val="baseline"/>
        <w:rPr>
          <w:rFonts w:hint="eastAsia" w:cs="宋体"/>
          <w:color w:val="auto"/>
          <w:sz w:val="21"/>
          <w:szCs w:val="21"/>
          <w:highlight w:val="none"/>
        </w:rPr>
      </w:pPr>
      <w:r>
        <w:rPr>
          <w:rFonts w:hint="eastAsia" w:cs="宋体"/>
          <w:color w:val="auto"/>
          <w:sz w:val="21"/>
          <w:szCs w:val="21"/>
          <w:highlight w:val="none"/>
        </w:rPr>
        <w:t>第二次付款：在</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rPr>
        <w:t>后，甲方支付乙方合同金额</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rPr>
        <w:t>%的款项，即人民币</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u w:val="none"/>
          <w:lang w:val="en-US" w:eastAsia="zh-CN"/>
        </w:rPr>
        <w:t>元</w:t>
      </w:r>
      <w:r>
        <w:rPr>
          <w:rFonts w:hint="eastAsia" w:cs="宋体"/>
          <w:color w:val="auto"/>
          <w:sz w:val="21"/>
          <w:szCs w:val="21"/>
          <w:highlight w:val="none"/>
        </w:rPr>
        <w:t>整（¥</w:t>
      </w:r>
      <w:r>
        <w:rPr>
          <w:rFonts w:hint="eastAsia" w:cs="宋体"/>
          <w:color w:val="auto"/>
          <w:sz w:val="21"/>
          <w:szCs w:val="21"/>
          <w:highlight w:val="none"/>
          <w:u w:val="single"/>
        </w:rPr>
        <w:t xml:space="preserve">         </w:t>
      </w:r>
      <w:r>
        <w:rPr>
          <w:rFonts w:hint="eastAsia" w:cs="宋体"/>
          <w:color w:val="auto"/>
          <w:sz w:val="21"/>
          <w:szCs w:val="21"/>
          <w:highlight w:val="none"/>
        </w:rPr>
        <w:t>）；</w:t>
      </w:r>
    </w:p>
    <w:p>
      <w:pPr>
        <w:pStyle w:val="24"/>
        <w:keepNext w:val="0"/>
        <w:keepLines w:val="0"/>
        <w:pageBreakBefore w:val="0"/>
        <w:widowControl w:val="0"/>
        <w:numPr>
          <w:ilvl w:val="0"/>
          <w:numId w:val="0"/>
        </w:numPr>
        <w:tabs>
          <w:tab w:val="left" w:pos="840"/>
        </w:tabs>
        <w:kinsoku/>
        <w:wordWrap/>
        <w:overflowPunct/>
        <w:topLinePunct w:val="0"/>
        <w:autoSpaceDE/>
        <w:autoSpaceDN/>
        <w:bidi w:val="0"/>
        <w:adjustRightInd w:val="0"/>
        <w:snapToGrid w:val="0"/>
        <w:spacing w:line="360" w:lineRule="auto"/>
        <w:ind w:firstLine="420" w:firstLineChars="200"/>
        <w:jc w:val="left"/>
        <w:textAlignment w:val="baseline"/>
        <w:rPr>
          <w:rFonts w:hint="eastAsia" w:cs="宋体"/>
          <w:color w:val="auto"/>
          <w:sz w:val="21"/>
          <w:szCs w:val="21"/>
          <w:highlight w:val="none"/>
        </w:rPr>
      </w:pPr>
      <w:r>
        <w:rPr>
          <w:rFonts w:hint="eastAsia" w:cs="宋体"/>
          <w:color w:val="auto"/>
          <w:sz w:val="21"/>
          <w:szCs w:val="21"/>
          <w:highlight w:val="none"/>
        </w:rPr>
        <w:t>......</w:t>
      </w:r>
    </w:p>
    <w:p>
      <w:pPr>
        <w:pStyle w:val="24"/>
        <w:keepNext w:val="0"/>
        <w:keepLines w:val="0"/>
        <w:pageBreakBefore w:val="0"/>
        <w:widowControl w:val="0"/>
        <w:numPr>
          <w:ilvl w:val="0"/>
          <w:numId w:val="0"/>
        </w:numPr>
        <w:tabs>
          <w:tab w:val="left" w:pos="840"/>
        </w:tabs>
        <w:kinsoku/>
        <w:wordWrap/>
        <w:overflowPunct/>
        <w:topLinePunct w:val="0"/>
        <w:autoSpaceDE/>
        <w:autoSpaceDN/>
        <w:bidi w:val="0"/>
        <w:adjustRightInd w:val="0"/>
        <w:snapToGrid w:val="0"/>
        <w:spacing w:line="360" w:lineRule="auto"/>
        <w:ind w:firstLine="420" w:firstLineChars="200"/>
        <w:jc w:val="left"/>
        <w:textAlignment w:val="baseline"/>
        <w:rPr>
          <w:rFonts w:hint="eastAsia" w:cs="宋体"/>
          <w:color w:val="auto"/>
          <w:sz w:val="21"/>
          <w:szCs w:val="21"/>
          <w:highlight w:val="none"/>
        </w:rPr>
      </w:pPr>
      <w:r>
        <w:rPr>
          <w:rFonts w:hint="eastAsia" w:cs="宋体"/>
          <w:color w:val="auto"/>
          <w:sz w:val="21"/>
          <w:szCs w:val="21"/>
          <w:highlight w:val="none"/>
        </w:rPr>
        <w:t>每次办理付款时，乙方应提供发票、付款申请（格式另附）、</w:t>
      </w:r>
      <w:r>
        <w:rPr>
          <w:rFonts w:hint="eastAsia" w:cs="宋体"/>
          <w:color w:val="auto"/>
          <w:sz w:val="21"/>
          <w:szCs w:val="21"/>
          <w:highlight w:val="none"/>
          <w:lang w:eastAsia="zh-CN"/>
        </w:rPr>
        <w:t>合同或</w:t>
      </w:r>
      <w:r>
        <w:rPr>
          <w:rFonts w:hint="eastAsia" w:cs="宋体"/>
          <w:color w:val="auto"/>
          <w:sz w:val="21"/>
          <w:szCs w:val="21"/>
          <w:highlight w:val="none"/>
        </w:rPr>
        <w:t>合同关键页复印件、合同约定的其他资料。涉及验收的，应同时提交甲方</w:t>
      </w:r>
      <w:r>
        <w:rPr>
          <w:rFonts w:hint="eastAsia" w:cs="宋体"/>
          <w:color w:val="auto"/>
          <w:sz w:val="21"/>
          <w:szCs w:val="21"/>
          <w:highlight w:val="none"/>
          <w:lang w:eastAsia="zh-CN"/>
        </w:rPr>
        <w:t>需求部门</w:t>
      </w:r>
      <w:r>
        <w:rPr>
          <w:rFonts w:hint="eastAsia" w:cs="宋体"/>
          <w:color w:val="auto"/>
          <w:sz w:val="21"/>
          <w:szCs w:val="21"/>
          <w:highlight w:val="none"/>
        </w:rPr>
        <w:t>出具的验收意见。</w:t>
      </w:r>
      <w:r>
        <w:rPr>
          <w:rFonts w:hint="eastAsia" w:cs="宋体"/>
          <w:color w:val="auto"/>
          <w:sz w:val="21"/>
          <w:szCs w:val="21"/>
          <w:highlight w:val="none"/>
          <w:lang w:eastAsia="zh-CN"/>
        </w:rPr>
        <w:t>支付合同款项时（合同初次付款外），如属于信息化监理范围内的项目，应经实施单位、业主单位、监理单位共同签字认可；如属于需要进行中期报告的项目，应附中期报告审议意见为“通过”的文书。</w:t>
      </w:r>
    </w:p>
    <w:p>
      <w:pPr>
        <w:pStyle w:val="24"/>
        <w:keepNext w:val="0"/>
        <w:keepLines w:val="0"/>
        <w:pageBreakBefore w:val="0"/>
        <w:widowControl w:val="0"/>
        <w:numPr>
          <w:ilvl w:val="0"/>
          <w:numId w:val="0"/>
        </w:numPr>
        <w:tabs>
          <w:tab w:val="left" w:pos="840"/>
        </w:tabs>
        <w:kinsoku/>
        <w:wordWrap/>
        <w:overflowPunct/>
        <w:topLinePunct w:val="0"/>
        <w:autoSpaceDE/>
        <w:autoSpaceDN/>
        <w:bidi w:val="0"/>
        <w:adjustRightInd w:val="0"/>
        <w:snapToGrid w:val="0"/>
        <w:spacing w:line="360" w:lineRule="auto"/>
        <w:ind w:firstLine="420" w:firstLineChars="200"/>
        <w:jc w:val="left"/>
        <w:textAlignment w:val="baseline"/>
        <w:rPr>
          <w:rFonts w:hint="eastAsia" w:cs="宋体"/>
          <w:color w:val="auto"/>
          <w:sz w:val="21"/>
          <w:szCs w:val="21"/>
          <w:highlight w:val="none"/>
        </w:rPr>
      </w:pPr>
      <w:r>
        <w:rPr>
          <w:rFonts w:hint="eastAsia" w:cs="宋体"/>
          <w:color w:val="auto"/>
          <w:sz w:val="21"/>
          <w:szCs w:val="21"/>
          <w:highlight w:val="none"/>
        </w:rPr>
        <w:t>甲方在收到发票等合同约定资料后，进行核实。满足合同约定支付条件的，自收到发票后30日内将资金以</w:t>
      </w:r>
      <w:r>
        <w:rPr>
          <w:rFonts w:hint="eastAsia" w:cs="宋体"/>
          <w:color w:val="auto"/>
          <w:sz w:val="21"/>
          <w:szCs w:val="21"/>
          <w:highlight w:val="none"/>
          <w:lang w:val="en-US" w:eastAsia="zh-CN"/>
        </w:rPr>
        <w:t xml:space="preserve">      </w:t>
      </w:r>
      <w:r>
        <w:rPr>
          <w:rFonts w:hint="eastAsia" w:cs="宋体"/>
          <w:color w:val="auto"/>
          <w:sz w:val="21"/>
          <w:szCs w:val="21"/>
          <w:highlight w:val="none"/>
        </w:rPr>
        <w:t>方式支付到乙方账户。</w:t>
      </w:r>
    </w:p>
    <w:p>
      <w:pPr>
        <w:keepNext w:val="0"/>
        <w:keepLines w:val="0"/>
        <w:pageBreakBefore w:val="0"/>
        <w:widowControl w:val="0"/>
        <w:kinsoku/>
        <w:wordWrap/>
        <w:overflowPunct/>
        <w:topLinePunct/>
        <w:autoSpaceDE w:val="0"/>
        <w:autoSpaceDN w:val="0"/>
        <w:bidi w:val="0"/>
        <w:snapToGrid w:val="0"/>
        <w:spacing w:line="360" w:lineRule="auto"/>
        <w:ind w:left="482"/>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rPr>
        <w:t>5. 合同签订</w:t>
      </w:r>
      <w:r>
        <w:rPr>
          <w:rFonts w:hint="eastAsia" w:ascii="宋体" w:hAnsi="宋体" w:cs="宋体"/>
          <w:b/>
          <w:color w:val="auto"/>
          <w:sz w:val="21"/>
          <w:szCs w:val="21"/>
          <w:highlight w:val="none"/>
          <w:lang w:eastAsia="zh-CN"/>
        </w:rPr>
        <w:t>及生效</w:t>
      </w:r>
    </w:p>
    <w:p>
      <w:pPr>
        <w:pStyle w:val="24"/>
        <w:keepNext w:val="0"/>
        <w:keepLines w:val="0"/>
        <w:pageBreakBefore w:val="0"/>
        <w:widowControl w:val="0"/>
        <w:numPr>
          <w:ilvl w:val="0"/>
          <w:numId w:val="0"/>
        </w:numPr>
        <w:tabs>
          <w:tab w:val="left" w:pos="840"/>
        </w:tabs>
        <w:kinsoku/>
        <w:wordWrap/>
        <w:overflowPunct/>
        <w:bidi w:val="0"/>
        <w:snapToGrid w:val="0"/>
        <w:spacing w:line="360" w:lineRule="auto"/>
        <w:ind w:firstLine="420" w:firstLineChars="200"/>
        <w:jc w:val="left"/>
        <w:rPr>
          <w:rFonts w:hint="eastAsia" w:cs="宋体"/>
          <w:color w:val="auto"/>
          <w:sz w:val="21"/>
          <w:szCs w:val="21"/>
          <w:highlight w:val="none"/>
          <w:lang w:eastAsia="zh-CN"/>
        </w:rPr>
      </w:pPr>
      <w:r>
        <w:rPr>
          <w:rFonts w:hint="eastAsia" w:ascii="宋体" w:hAnsi="宋体" w:cs="宋体"/>
          <w:color w:val="auto"/>
          <w:sz w:val="21"/>
          <w:szCs w:val="21"/>
          <w:highlight w:val="none"/>
        </w:rPr>
        <w:t>本合同一式</w:t>
      </w:r>
      <w:r>
        <w:rPr>
          <w:rFonts w:hint="default" w:ascii="宋体" w:hAnsi="宋体" w:cs="宋体"/>
          <w:color w:val="auto"/>
          <w:sz w:val="21"/>
          <w:szCs w:val="21"/>
          <w:highlight w:val="none"/>
          <w:u w:val="single"/>
          <w:lang w:val="en"/>
        </w:rPr>
        <w:t xml:space="preserve">   </w:t>
      </w:r>
      <w:r>
        <w:rPr>
          <w:rFonts w:hint="eastAsia" w:ascii="宋体" w:hAnsi="宋体" w:cs="宋体"/>
          <w:color w:val="auto"/>
          <w:sz w:val="21"/>
          <w:szCs w:val="21"/>
          <w:highlight w:val="none"/>
        </w:rPr>
        <w:t>份</w:t>
      </w:r>
      <w:r>
        <w:rPr>
          <w:rFonts w:hint="eastAsia" w:cs="宋体"/>
          <w:color w:val="auto"/>
          <w:sz w:val="21"/>
          <w:szCs w:val="21"/>
          <w:highlight w:val="none"/>
          <w:lang w:eastAsia="zh-CN"/>
        </w:rPr>
        <w:t>，</w:t>
      </w:r>
      <w:r>
        <w:rPr>
          <w:rFonts w:hint="eastAsia" w:cs="宋体"/>
          <w:color w:val="auto"/>
          <w:sz w:val="21"/>
          <w:szCs w:val="21"/>
          <w:highlight w:val="none"/>
        </w:rPr>
        <w:t>由甲乙双方</w:t>
      </w:r>
      <w:r>
        <w:rPr>
          <w:rFonts w:hint="eastAsia" w:cs="宋体"/>
          <w:color w:val="auto"/>
          <w:sz w:val="21"/>
          <w:szCs w:val="21"/>
          <w:highlight w:val="none"/>
          <w:lang w:eastAsia="zh-CN"/>
        </w:rPr>
        <w:t>法定代表人或被</w:t>
      </w:r>
      <w:r>
        <w:rPr>
          <w:rFonts w:hint="eastAsia" w:cs="宋体"/>
          <w:color w:val="auto"/>
          <w:sz w:val="21"/>
          <w:szCs w:val="21"/>
          <w:highlight w:val="none"/>
        </w:rPr>
        <w:t>授权</w:t>
      </w:r>
      <w:r>
        <w:rPr>
          <w:rFonts w:hint="eastAsia" w:cs="宋体"/>
          <w:color w:val="auto"/>
          <w:sz w:val="21"/>
          <w:szCs w:val="21"/>
          <w:highlight w:val="none"/>
          <w:lang w:eastAsia="zh-CN"/>
        </w:rPr>
        <w:t>人</w:t>
      </w:r>
      <w:r>
        <w:rPr>
          <w:rFonts w:hint="eastAsia" w:cs="宋体"/>
          <w:color w:val="auto"/>
          <w:sz w:val="21"/>
          <w:szCs w:val="21"/>
          <w:highlight w:val="none"/>
        </w:rPr>
        <w:t>签字</w:t>
      </w:r>
      <w:r>
        <w:rPr>
          <w:rFonts w:hint="eastAsia" w:cs="宋体"/>
          <w:color w:val="auto"/>
          <w:sz w:val="21"/>
          <w:szCs w:val="21"/>
          <w:highlight w:val="none"/>
          <w:lang w:eastAsia="zh-CN"/>
        </w:rPr>
        <w:t>并</w:t>
      </w:r>
      <w:r>
        <w:rPr>
          <w:rFonts w:hint="eastAsia" w:cs="宋体"/>
          <w:color w:val="auto"/>
          <w:sz w:val="21"/>
          <w:szCs w:val="21"/>
          <w:highlight w:val="none"/>
        </w:rPr>
        <w:t>盖章</w:t>
      </w:r>
      <w:r>
        <w:rPr>
          <w:rFonts w:hint="eastAsia" w:cs="宋体"/>
          <w:color w:val="auto"/>
          <w:sz w:val="21"/>
          <w:szCs w:val="21"/>
          <w:highlight w:val="none"/>
          <w:lang w:eastAsia="zh-CN"/>
        </w:rPr>
        <w:t>后生效。</w:t>
      </w:r>
    </w:p>
    <w:p>
      <w:pPr>
        <w:pStyle w:val="24"/>
        <w:keepNext w:val="0"/>
        <w:keepLines w:val="0"/>
        <w:pageBreakBefore w:val="0"/>
        <w:widowControl w:val="0"/>
        <w:numPr>
          <w:ilvl w:val="0"/>
          <w:numId w:val="0"/>
        </w:numPr>
        <w:tabs>
          <w:tab w:val="left" w:pos="840"/>
        </w:tabs>
        <w:kinsoku/>
        <w:wordWrap/>
        <w:overflowPunct/>
        <w:bidi w:val="0"/>
        <w:snapToGrid w:val="0"/>
        <w:spacing w:line="360" w:lineRule="auto"/>
        <w:ind w:firstLine="420" w:firstLineChars="200"/>
        <w:jc w:val="left"/>
        <w:rPr>
          <w:rFonts w:hint="eastAsia" w:cs="宋体"/>
          <w:color w:val="auto"/>
          <w:sz w:val="21"/>
          <w:szCs w:val="21"/>
          <w:highlight w:val="none"/>
        </w:rPr>
      </w:pPr>
      <w:r>
        <w:rPr>
          <w:rFonts w:hint="eastAsia" w:cs="宋体"/>
          <w:color w:val="auto"/>
          <w:sz w:val="21"/>
          <w:szCs w:val="21"/>
          <w:highlight w:val="none"/>
        </w:rPr>
        <w:t>乙方由</w:t>
      </w:r>
      <w:r>
        <w:rPr>
          <w:rFonts w:hint="eastAsia" w:cs="宋体"/>
          <w:color w:val="auto"/>
          <w:sz w:val="21"/>
          <w:szCs w:val="21"/>
          <w:highlight w:val="none"/>
          <w:lang w:eastAsia="zh-CN"/>
        </w:rPr>
        <w:t>法定代表人</w:t>
      </w:r>
      <w:r>
        <w:rPr>
          <w:rFonts w:hint="eastAsia" w:cs="宋体"/>
          <w:color w:val="auto"/>
          <w:sz w:val="21"/>
          <w:szCs w:val="21"/>
          <w:highlight w:val="none"/>
        </w:rPr>
        <w:t>签订合同的，应提供</w:t>
      </w:r>
      <w:r>
        <w:rPr>
          <w:rFonts w:hint="eastAsia" w:cs="宋体"/>
          <w:color w:val="auto"/>
          <w:sz w:val="21"/>
          <w:szCs w:val="21"/>
          <w:highlight w:val="none"/>
          <w:lang w:eastAsia="zh-CN"/>
        </w:rPr>
        <w:t>法定代表人</w:t>
      </w:r>
      <w:r>
        <w:rPr>
          <w:rFonts w:hint="eastAsia" w:cs="宋体"/>
          <w:color w:val="auto"/>
          <w:sz w:val="21"/>
          <w:szCs w:val="21"/>
          <w:highlight w:val="none"/>
        </w:rPr>
        <w:t>身份证复印件；乙方由</w:t>
      </w:r>
      <w:r>
        <w:rPr>
          <w:rFonts w:hint="eastAsia" w:cs="宋体"/>
          <w:color w:val="auto"/>
          <w:sz w:val="21"/>
          <w:szCs w:val="21"/>
          <w:highlight w:val="none"/>
          <w:lang w:eastAsia="zh-CN"/>
        </w:rPr>
        <w:t>被</w:t>
      </w:r>
      <w:r>
        <w:rPr>
          <w:rFonts w:hint="eastAsia" w:cs="宋体"/>
          <w:color w:val="auto"/>
          <w:sz w:val="21"/>
          <w:szCs w:val="21"/>
          <w:highlight w:val="none"/>
        </w:rPr>
        <w:t>授权</w:t>
      </w:r>
      <w:r>
        <w:rPr>
          <w:rFonts w:hint="eastAsia" w:cs="宋体"/>
          <w:color w:val="auto"/>
          <w:sz w:val="21"/>
          <w:szCs w:val="21"/>
          <w:highlight w:val="none"/>
          <w:lang w:eastAsia="zh-CN"/>
        </w:rPr>
        <w:t>人</w:t>
      </w:r>
      <w:r>
        <w:rPr>
          <w:rFonts w:hint="eastAsia" w:cs="宋体"/>
          <w:color w:val="auto"/>
          <w:sz w:val="21"/>
          <w:szCs w:val="21"/>
          <w:highlight w:val="none"/>
        </w:rPr>
        <w:t>签订合同的，</w:t>
      </w:r>
      <w:r>
        <w:rPr>
          <w:rFonts w:hint="eastAsia" w:cs="宋体"/>
          <w:color w:val="auto"/>
          <w:sz w:val="21"/>
          <w:szCs w:val="21"/>
          <w:highlight w:val="none"/>
          <w:lang w:eastAsia="zh-CN"/>
        </w:rPr>
        <w:t>应</w:t>
      </w:r>
      <w:r>
        <w:rPr>
          <w:rFonts w:hint="eastAsia" w:cs="宋体"/>
          <w:color w:val="auto"/>
          <w:sz w:val="21"/>
          <w:szCs w:val="21"/>
          <w:highlight w:val="none"/>
        </w:rPr>
        <w:t>提供授权</w:t>
      </w:r>
      <w:r>
        <w:rPr>
          <w:rFonts w:hint="eastAsia" w:cs="宋体"/>
          <w:color w:val="auto"/>
          <w:sz w:val="21"/>
          <w:szCs w:val="21"/>
          <w:highlight w:val="none"/>
          <w:lang w:eastAsia="zh-CN"/>
        </w:rPr>
        <w:t>委托</w:t>
      </w:r>
      <w:r>
        <w:rPr>
          <w:rFonts w:hint="eastAsia" w:cs="宋体"/>
          <w:color w:val="auto"/>
          <w:sz w:val="21"/>
          <w:szCs w:val="21"/>
          <w:highlight w:val="none"/>
        </w:rPr>
        <w:t>书和</w:t>
      </w:r>
      <w:r>
        <w:rPr>
          <w:rFonts w:hint="eastAsia" w:cs="宋体"/>
          <w:color w:val="auto"/>
          <w:sz w:val="21"/>
          <w:szCs w:val="21"/>
          <w:highlight w:val="none"/>
          <w:lang w:eastAsia="zh-CN"/>
        </w:rPr>
        <w:t>法定代表人及被</w:t>
      </w:r>
      <w:r>
        <w:rPr>
          <w:rFonts w:hint="eastAsia" w:cs="宋体"/>
          <w:color w:val="auto"/>
          <w:sz w:val="21"/>
          <w:szCs w:val="21"/>
          <w:highlight w:val="none"/>
        </w:rPr>
        <w:t>授权</w:t>
      </w:r>
      <w:r>
        <w:rPr>
          <w:rFonts w:hint="eastAsia" w:cs="宋体"/>
          <w:color w:val="auto"/>
          <w:sz w:val="21"/>
          <w:szCs w:val="21"/>
          <w:highlight w:val="none"/>
          <w:lang w:eastAsia="zh-CN"/>
        </w:rPr>
        <w:t>人</w:t>
      </w:r>
      <w:r>
        <w:rPr>
          <w:rFonts w:hint="eastAsia" w:cs="宋体"/>
          <w:color w:val="auto"/>
          <w:sz w:val="21"/>
          <w:szCs w:val="21"/>
          <w:highlight w:val="none"/>
        </w:rPr>
        <w:t>身份证复印件。</w:t>
      </w:r>
    </w:p>
    <w:p>
      <w:pPr>
        <w:keepNext w:val="0"/>
        <w:keepLines w:val="0"/>
        <w:pageBreakBefore w:val="0"/>
        <w:widowControl w:val="0"/>
        <w:tabs>
          <w:tab w:val="left" w:pos="700"/>
        </w:tabs>
        <w:kinsoku/>
        <w:wordWrap/>
        <w:overflowPunct/>
        <w:topLinePunct/>
        <w:autoSpaceDE w:val="0"/>
        <w:autoSpaceDN w:val="0"/>
        <w:bidi w:val="0"/>
        <w:spacing w:line="360" w:lineRule="auto"/>
        <w:ind w:firstLine="420" w:firstLineChars="200"/>
        <w:rPr>
          <w:rFonts w:hint="eastAsia" w:ascii="宋体" w:hAnsi="宋体" w:cs="宋体"/>
          <w:color w:val="auto"/>
          <w:sz w:val="21"/>
          <w:szCs w:val="21"/>
          <w:highlight w:val="none"/>
        </w:rPr>
      </w:pPr>
    </w:p>
    <w:p>
      <w:pPr>
        <w:keepNext w:val="0"/>
        <w:keepLines w:val="0"/>
        <w:pageBreakBefore w:val="0"/>
        <w:widowControl w:val="0"/>
        <w:tabs>
          <w:tab w:val="left" w:pos="700"/>
        </w:tabs>
        <w:kinsoku/>
        <w:wordWrap/>
        <w:overflowPunct/>
        <w:topLinePunct/>
        <w:autoSpaceDE w:val="0"/>
        <w:autoSpaceDN w:val="0"/>
        <w:bidi w:val="0"/>
        <w:spacing w:line="360" w:lineRule="auto"/>
        <w:rPr>
          <w:rFonts w:hint="eastAsia" w:ascii="宋体" w:hAnsi="宋体" w:cs="宋体"/>
          <w:color w:val="auto"/>
          <w:sz w:val="21"/>
          <w:szCs w:val="21"/>
          <w:highlight w:val="none"/>
        </w:rPr>
      </w:pPr>
    </w:p>
    <w:p>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甲方：国家税务总局</w:t>
      </w:r>
      <w:r>
        <w:rPr>
          <w:rFonts w:hint="eastAsia" w:ascii="宋体" w:hAnsi="宋体" w:cs="宋体"/>
          <w:color w:val="auto"/>
          <w:sz w:val="21"/>
          <w:szCs w:val="21"/>
          <w:highlight w:val="none"/>
          <w:lang w:val="en-US" w:eastAsia="zh-CN"/>
        </w:rPr>
        <w:t>南平市税务局</w:t>
      </w:r>
      <w:r>
        <w:rPr>
          <w:rFonts w:hint="eastAsia" w:ascii="宋体" w:hAnsi="宋体" w:cs="宋体"/>
          <w:color w:val="auto"/>
          <w:sz w:val="21"/>
          <w:szCs w:val="21"/>
          <w:highlight w:val="none"/>
        </w:rPr>
        <w:tab/>
      </w:r>
      <w:r>
        <w:rPr>
          <w:rFonts w:hint="eastAsia" w:ascii="宋体" w:hAnsi="宋体" w:cs="宋体"/>
          <w:color w:val="auto"/>
          <w:sz w:val="21"/>
          <w:szCs w:val="21"/>
          <w:highlight w:val="none"/>
        </w:rPr>
        <w:t xml:space="preserve">                 乙方：</w:t>
      </w:r>
    </w:p>
    <w:p>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签字：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签字：</w:t>
      </w:r>
    </w:p>
    <w:p>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盖章：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盖章： </w:t>
      </w:r>
    </w:p>
    <w:p>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日期：    年    月    日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日期：     年   月   日</w:t>
      </w:r>
    </w:p>
    <w:p>
      <w:pPr>
        <w:keepNext w:val="0"/>
        <w:keepLines w:val="0"/>
        <w:pageBreakBefore w:val="0"/>
        <w:widowControl w:val="0"/>
        <w:kinsoku/>
        <w:wordWrap/>
        <w:overflowPunct/>
        <w:topLinePunct/>
        <w:autoSpaceDE w:val="0"/>
        <w:autoSpaceDN w:val="0"/>
        <w:bidi w:val="0"/>
        <w:spacing w:line="360" w:lineRule="auto"/>
        <w:rPr>
          <w:rFonts w:hint="eastAsia" w:ascii="宋体" w:hAnsi="宋体" w:cs="宋体"/>
          <w:b/>
          <w:color w:val="auto"/>
          <w:sz w:val="21"/>
          <w:szCs w:val="21"/>
          <w:highlight w:val="none"/>
        </w:rPr>
      </w:pPr>
    </w:p>
    <w:p>
      <w:pPr>
        <w:topLinePunct/>
        <w:autoSpaceDE w:val="0"/>
        <w:autoSpaceDN w:val="0"/>
        <w:spacing w:line="460" w:lineRule="exact"/>
        <w:jc w:val="center"/>
        <w:rPr>
          <w:rFonts w:hint="eastAsia" w:ascii="宋体" w:hAnsi="宋体" w:eastAsia="宋体" w:cs="宋体"/>
          <w:b/>
          <w:color w:val="auto"/>
          <w:sz w:val="24"/>
          <w:highlight w:val="none"/>
          <w:lang w:eastAsia="zh-CN"/>
        </w:rPr>
      </w:pPr>
    </w:p>
    <w:p>
      <w:pPr>
        <w:topLinePunct/>
        <w:autoSpaceDE w:val="0"/>
        <w:autoSpaceDN w:val="0"/>
        <w:spacing w:line="460" w:lineRule="exact"/>
        <w:jc w:val="center"/>
        <w:rPr>
          <w:rFonts w:hint="eastAsia" w:ascii="宋体" w:hAnsi="宋体" w:eastAsia="宋体" w:cs="宋体"/>
          <w:b/>
          <w:color w:val="auto"/>
          <w:sz w:val="24"/>
          <w:highlight w:val="none"/>
          <w:lang w:eastAsia="zh-CN"/>
        </w:rPr>
      </w:pPr>
    </w:p>
    <w:p>
      <w:pPr>
        <w:keepNext w:val="0"/>
        <w:keepLines w:val="0"/>
        <w:pageBreakBefore w:val="0"/>
        <w:widowControl w:val="0"/>
        <w:kinsoku/>
        <w:wordWrap/>
        <w:overflowPunct/>
        <w:topLinePunct/>
        <w:autoSpaceDE w:val="0"/>
        <w:autoSpaceDN w:val="0"/>
        <w:bidi w:val="0"/>
        <w:adjustRightInd/>
        <w:snapToGrid/>
        <w:spacing w:line="360" w:lineRule="auto"/>
        <w:jc w:val="center"/>
        <w:textAlignment w:val="auto"/>
        <w:rPr>
          <w:rFonts w:hint="default" w:ascii="Times New Roman" w:hAnsi="Times New Roman" w:cs="Times New Roman"/>
          <w:b/>
          <w:color w:val="auto"/>
          <w:sz w:val="24"/>
          <w:highlight w:val="none"/>
        </w:rPr>
      </w:pPr>
      <w:r>
        <w:rPr>
          <w:rFonts w:ascii="宋体" w:hAnsi="宋体" w:cs="宋体"/>
          <w:b/>
          <w:color w:val="auto"/>
          <w:sz w:val="24"/>
          <w:highlight w:val="none"/>
        </w:rPr>
        <w:br w:type="page"/>
      </w:r>
      <w:r>
        <w:rPr>
          <w:rFonts w:hint="default" w:ascii="Times New Roman" w:hAnsi="Times New Roman" w:cs="Times New Roman"/>
          <w:b/>
          <w:color w:val="auto"/>
          <w:sz w:val="24"/>
          <w:highlight w:val="none"/>
        </w:rPr>
        <w:t>二   合 同 通 用 条 款</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 定义</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本合同下列术语应解释为：</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1.1“甲方”是指国家税务总局</w:t>
      </w:r>
      <w:r>
        <w:rPr>
          <w:rFonts w:hint="eastAsia" w:ascii="Times New Roman" w:hAnsi="Times New Roman" w:cs="Times New Roman"/>
          <w:color w:val="auto"/>
          <w:sz w:val="21"/>
          <w:szCs w:val="21"/>
          <w:highlight w:val="none"/>
          <w:lang w:val="en-US" w:eastAsia="zh-CN"/>
        </w:rPr>
        <w:t>南平市</w:t>
      </w:r>
      <w:r>
        <w:rPr>
          <w:rFonts w:hint="default" w:ascii="Times New Roman" w:hAnsi="Times New Roman" w:cs="Times New Roman"/>
          <w:color w:val="auto"/>
          <w:sz w:val="21"/>
          <w:szCs w:val="21"/>
          <w:highlight w:val="none"/>
          <w:lang w:val="en-US" w:eastAsia="zh-CN"/>
        </w:rPr>
        <w:t>税务局</w:t>
      </w:r>
      <w:r>
        <w:rPr>
          <w:rFonts w:hint="default" w:ascii="Times New Roman" w:hAnsi="Times New Roman" w:cs="Times New Roman"/>
          <w:color w:val="auto"/>
          <w:sz w:val="21"/>
          <w:szCs w:val="21"/>
          <w:highlight w:val="none"/>
        </w:rPr>
        <w:t>。</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1.1.1“甲方采购部门”见“合同条款前附表”第</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项“甲方采购部门”。</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1.1.2“甲方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”见“合同条款前附表”第</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项“甲方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1.2“乙方”见“合同条款前附表”第</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项“乙方名称”。</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 “合同”系指甲乙双方签订的、合同格式中载明的甲乙双方所达成的协议，包括所有的附件、附录和上述文件所提到的构成合同的所有文件。</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 “天”除非特别指出，“天”均为自然天。</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 标准</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2.1乙方为甲方交付的货物及服务应符合招标</w:t>
      </w:r>
      <w:r>
        <w:rPr>
          <w:rFonts w:hint="default" w:ascii="Times New Roman" w:hAnsi="Times New Roman" w:cs="Times New Roman"/>
          <w:color w:val="auto"/>
          <w:sz w:val="21"/>
          <w:szCs w:val="21"/>
          <w:highlight w:val="none"/>
          <w:lang w:eastAsia="zh-CN"/>
        </w:rPr>
        <w:t>（采购）</w:t>
      </w:r>
      <w:r>
        <w:rPr>
          <w:rFonts w:hint="default" w:ascii="Times New Roman" w:hAnsi="Times New Roman" w:cs="Times New Roman"/>
          <w:color w:val="auto"/>
          <w:sz w:val="21"/>
          <w:szCs w:val="21"/>
          <w:highlight w:val="none"/>
        </w:rPr>
        <w:t>文件所述的内容，如果没有提及适用标准，则应符合相应的国家标准。这些标准必须是有关机构发布的最新版本的标准。</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2.2除非技术要求中另有规定，计量单位均采用中华人民共和国法定计量单位。</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2.3货物还应符合国家有关安全、环保、卫生的相关规定。</w:t>
      </w:r>
    </w:p>
    <w:p>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eastAsia="宋体" w:cs="Times New Roman"/>
          <w:b/>
          <w:color w:val="auto"/>
          <w:sz w:val="21"/>
          <w:szCs w:val="21"/>
          <w:highlight w:val="none"/>
          <w:lang w:eastAsia="zh-CN"/>
        </w:rPr>
      </w:pPr>
      <w:r>
        <w:rPr>
          <w:rFonts w:hint="default" w:ascii="Times New Roman" w:hAnsi="Times New Roman" w:cs="Times New Roman"/>
          <w:b/>
          <w:color w:val="auto"/>
          <w:sz w:val="21"/>
          <w:szCs w:val="21"/>
          <w:highlight w:val="none"/>
        </w:rPr>
        <w:t xml:space="preserve">3. </w:t>
      </w:r>
      <w:r>
        <w:rPr>
          <w:rFonts w:hint="default" w:ascii="Times New Roman" w:hAnsi="Times New Roman" w:cs="Times New Roman"/>
          <w:b/>
          <w:color w:val="auto"/>
          <w:sz w:val="21"/>
          <w:szCs w:val="21"/>
          <w:highlight w:val="none"/>
          <w:lang w:eastAsia="zh-CN"/>
        </w:rPr>
        <w:t>质量保证和包装要求</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3.1乙方应保证所供货物是全新的、未使用过的，并完全符合或高于合同要求的质量、规格和技术性能的要求。</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乙方应保证其货物在正确安装、正常使用和保养条件下，在其使用寿命期内具有满意的性能，或者没有因乙方的行为或疏忽而产生的缺陷。在货物最终交付验收后不少于合同规定或乙方承诺(两者以较长的为准)的质量保证期内，本保证保持有效。</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3.3</w:t>
      </w:r>
      <w:r>
        <w:rPr>
          <w:rFonts w:hint="default" w:ascii="Times New Roman" w:hAnsi="Times New Roman" w:cs="Times New Roman"/>
          <w:color w:val="auto"/>
          <w:sz w:val="21"/>
          <w:szCs w:val="21"/>
          <w:highlight w:val="none"/>
        </w:rPr>
        <w:t>本合同涉及货物的包装应符合《商品包装政府采购需求标准（试行）》（财办库〔2020〕123 号）要求。除合同另有规定外，乙方提供的全部货物均应按标准保护措施进行包装，这类包装应适应于远距离运输、防潮、防震、防锈和防野蛮装卸，以确保货物安全无损运抵指定现场。</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3.4</w:t>
      </w:r>
      <w:r>
        <w:rPr>
          <w:rFonts w:hint="default" w:ascii="Times New Roman" w:hAnsi="Times New Roman" w:cs="Times New Roman"/>
          <w:color w:val="auto"/>
          <w:sz w:val="21"/>
          <w:szCs w:val="21"/>
          <w:highlight w:val="none"/>
        </w:rPr>
        <w:t>乙方应承担由于其包装或防护措施不当而引起的货物损坏和丢失的任何损失责任和费用。</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3.5</w:t>
      </w:r>
      <w:r>
        <w:rPr>
          <w:rFonts w:hint="default" w:ascii="Times New Roman" w:hAnsi="Times New Roman" w:cs="Times New Roman"/>
          <w:color w:val="auto"/>
          <w:sz w:val="21"/>
          <w:szCs w:val="21"/>
          <w:highlight w:val="none"/>
        </w:rPr>
        <w:t>每一个包装箱内应附一份详细装箱单和质量证书。</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如果</w:t>
      </w:r>
      <w:r>
        <w:rPr>
          <w:rFonts w:hint="default" w:ascii="Times New Roman" w:hAnsi="Times New Roman" w:cs="Times New Roman"/>
          <w:color w:val="auto"/>
          <w:sz w:val="21"/>
          <w:szCs w:val="21"/>
          <w:highlight w:val="none"/>
          <w:lang w:eastAsia="zh-CN"/>
        </w:rPr>
        <w:t>货</w:t>
      </w:r>
      <w:r>
        <w:rPr>
          <w:rFonts w:hint="default" w:ascii="Times New Roman" w:hAnsi="Times New Roman" w:cs="Times New Roman"/>
          <w:color w:val="auto"/>
          <w:sz w:val="21"/>
          <w:szCs w:val="21"/>
          <w:highlight w:val="none"/>
        </w:rPr>
        <w:t>物质量或规格与合同不符或不符合甲方要求，或证实</w:t>
      </w:r>
      <w:r>
        <w:rPr>
          <w:rFonts w:hint="default" w:ascii="Times New Roman" w:hAnsi="Times New Roman" w:cs="Times New Roman"/>
          <w:color w:val="auto"/>
          <w:sz w:val="21"/>
          <w:szCs w:val="21"/>
          <w:highlight w:val="none"/>
          <w:lang w:eastAsia="zh-CN"/>
        </w:rPr>
        <w:t>货</w:t>
      </w:r>
      <w:r>
        <w:rPr>
          <w:rFonts w:hint="default" w:ascii="Times New Roman" w:hAnsi="Times New Roman" w:cs="Times New Roman"/>
          <w:color w:val="auto"/>
          <w:sz w:val="21"/>
          <w:szCs w:val="21"/>
          <w:highlight w:val="none"/>
        </w:rPr>
        <w:t>物是有缺陷的，包括潜在的缺陷或使用不符合要求的材料等，由此引起的全部费用由乙方承担。若以上原因导致或引起甲方损失及导致或引起第三方受到损害的，全部赔偿责任均应由乙方承担。</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在质量保证期内所发现的缺陷，甲方应尽快以书面形式通知乙方。</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乙方收到通知后应在本合同规定的响应时间内以合理的速度免费维修或更换有缺陷的货物或部件。</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乙方在约定的时间内未能弥补缺陷，甲方可采取必要的补救措施，但其风险和费用将由乙方承担，甲方根据合同规定对乙方行使的其他权利不受影响。</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本合同的质量保证期见合同条款前附表</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12.质量保证期”</w:t>
      </w:r>
      <w:r>
        <w:rPr>
          <w:rFonts w:hint="default" w:ascii="Times New Roman" w:hAnsi="Times New Roman" w:cs="Times New Roman"/>
          <w:color w:val="auto"/>
          <w:sz w:val="21"/>
          <w:szCs w:val="21"/>
          <w:highlight w:val="none"/>
        </w:rPr>
        <w:t>。</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3.11</w:t>
      </w:r>
      <w:r>
        <w:rPr>
          <w:rFonts w:hint="default" w:ascii="Times New Roman" w:hAnsi="Times New Roman" w:cs="Times New Roman"/>
          <w:color w:val="auto"/>
          <w:sz w:val="21"/>
          <w:szCs w:val="21"/>
          <w:highlight w:val="none"/>
        </w:rPr>
        <w:t>乙方保证对其出售的货物享有合法的权利。</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3.12</w:t>
      </w:r>
      <w:r>
        <w:rPr>
          <w:rFonts w:hint="default" w:ascii="Times New Roman" w:hAnsi="Times New Roman" w:cs="Times New Roman"/>
          <w:color w:val="auto"/>
          <w:sz w:val="21"/>
          <w:szCs w:val="21"/>
          <w:highlight w:val="none"/>
        </w:rPr>
        <w:t>乙方保证在其出售的货物上不存在任何未曾向甲方透露的担保物权，如抵押权、质押权、留置权等。</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3.13</w:t>
      </w:r>
      <w:r>
        <w:rPr>
          <w:rFonts w:hint="default" w:ascii="Times New Roman" w:hAnsi="Times New Roman" w:cs="Times New Roman"/>
          <w:color w:val="auto"/>
          <w:sz w:val="21"/>
          <w:szCs w:val="21"/>
          <w:highlight w:val="none"/>
        </w:rPr>
        <w:t>如甲方使用该货物构成上述侵权的，则由乙方承担全部责任。</w:t>
      </w:r>
    </w:p>
    <w:p>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4. 知识产权</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4.1</w:t>
      </w:r>
      <w:r>
        <w:rPr>
          <w:rFonts w:hint="default" w:ascii="Times New Roman" w:hAnsi="Times New Roman" w:cs="Times New Roman"/>
          <w:color w:val="auto"/>
          <w:sz w:val="21"/>
          <w:szCs w:val="21"/>
          <w:highlight w:val="none"/>
        </w:rPr>
        <w:t>乙方应保证所提供的货物及服务免受第三方提出侵犯其知识产权(专利权、商标权、版权等)的起诉。如果甲方在使用乙方货物或货物的任何一部分过程中，第三方提出货物侵犯其专利权、工业设计权、使用权等知识产权，乙方应当修正以避免侵权。</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4.2</w:t>
      </w:r>
      <w:r>
        <w:rPr>
          <w:rFonts w:hint="default" w:ascii="Times New Roman" w:hAnsi="Times New Roman" w:cs="Times New Roman"/>
          <w:color w:val="auto"/>
          <w:sz w:val="21"/>
          <w:szCs w:val="21"/>
          <w:highlight w:val="none"/>
        </w:rPr>
        <w:t>如果甲方在使用乙方货物或货物的任何一部分过程中，第三方指控侵犯其专利权、工业设计权、使用权等知识产权，乙方将自费为甲方、各采购人答辩，并支付法院最终判决的甲方应支付第三方的一切费用。</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4.3</w:t>
      </w:r>
      <w:r>
        <w:rPr>
          <w:rFonts w:hint="default" w:ascii="Times New Roman" w:hAnsi="Times New Roman" w:cs="Times New Roman"/>
          <w:color w:val="auto"/>
          <w:sz w:val="21"/>
          <w:szCs w:val="21"/>
          <w:highlight w:val="none"/>
        </w:rPr>
        <w:t>有关本项目的所有设计、施工文件的著作权属于甲方。乙方有保护甲方著作权的义务，并对在设计过程中所接触到的甲方的相关秘密有保密的义务。未经甲方书面同意，乙方不得将设计文件、成果另作其他商业用途或向任何第三方披露，不得将设计文件用于其他项目工程的建设，不得用于与本协议无关的工程。发生此类情况时，乙方应当赔偿甲方损失，甲方保留向乙方追偿的权利。</w:t>
      </w:r>
    </w:p>
    <w:p>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5. 保密条款</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5.1 甲乙双方应对在本合同签订或履行过程中所接触的对方信息，包括但不限于知识产权、技术资料、技术诀窍、内部管理及其他相关信息，负有保密义务。</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 应以审慎态度避免泄漏、公开或传播甲方的信息；</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 在开发过程中对数据的处理方式应事先得到甲方的许可；</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 未经甲方书面许可，不得对有关信息进行修改、补充、复制；</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 未经甲方书面许可，不得将信息以任何方式（如E-mail）携带出甲方场所；</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（5） 未经甲方书面许可，不得将信息透露给任何其他人； </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 严禁在提交的</w:t>
      </w:r>
      <w:r>
        <w:rPr>
          <w:rFonts w:hint="default" w:ascii="Times New Roman" w:hAnsi="Times New Roman" w:cs="Times New Roman"/>
          <w:color w:val="auto"/>
          <w:sz w:val="21"/>
          <w:szCs w:val="21"/>
          <w:highlight w:val="none"/>
          <w:lang w:eastAsia="zh-CN"/>
        </w:rPr>
        <w:t>产品</w:t>
      </w:r>
      <w:r>
        <w:rPr>
          <w:rFonts w:hint="default" w:ascii="Times New Roman" w:hAnsi="Times New Roman" w:cs="Times New Roman"/>
          <w:color w:val="auto"/>
          <w:sz w:val="21"/>
          <w:szCs w:val="21"/>
          <w:highlight w:val="none"/>
        </w:rPr>
        <w:t>中设置远程维护接口和后门程序；</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 不得进行系统软硬件设备的远程维护；</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 甲方以书面形式提出的其他保密措施。</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5.3 保密期限不受合同有效期的限制，在合同有效期结束后，信息接受方仍应承担保密义务，直至该等信息成为公开信息。</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5.4 甲乙双方如出现泄密行为，泄密方应承担相关的法律责任，包括但是不限于对由此给对方造成的经济损失进行赔偿。</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6</w:t>
      </w:r>
      <w:r>
        <w:rPr>
          <w:rFonts w:hint="default" w:ascii="Times New Roman" w:hAnsi="Times New Roman" w:cs="Times New Roman"/>
          <w:b/>
          <w:color w:val="auto"/>
          <w:sz w:val="21"/>
          <w:szCs w:val="21"/>
          <w:highlight w:val="none"/>
        </w:rPr>
        <w:t xml:space="preserve">. </w:t>
      </w:r>
      <w:r>
        <w:rPr>
          <w:rFonts w:hint="default" w:ascii="Times New Roman" w:hAnsi="Times New Roman" w:cs="Times New Roman"/>
          <w:b/>
          <w:color w:val="auto"/>
          <w:sz w:val="21"/>
          <w:szCs w:val="21"/>
          <w:highlight w:val="none"/>
          <w:lang w:eastAsia="zh-CN"/>
        </w:rPr>
        <w:t>交货和履约</w:t>
      </w:r>
      <w:r>
        <w:rPr>
          <w:rFonts w:hint="default" w:ascii="Times New Roman" w:hAnsi="Times New Roman" w:cs="Times New Roman"/>
          <w:b/>
          <w:color w:val="auto"/>
          <w:sz w:val="21"/>
          <w:szCs w:val="21"/>
          <w:highlight w:val="none"/>
        </w:rPr>
        <w:t>验收</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6.1交货时间和地点：</w:t>
      </w:r>
      <w:r>
        <w:rPr>
          <w:rFonts w:hint="default" w:ascii="Times New Roman" w:hAnsi="Times New Roman" w:cs="Times New Roman"/>
          <w:color w:val="auto"/>
          <w:sz w:val="21"/>
          <w:szCs w:val="21"/>
          <w:highlight w:val="none"/>
        </w:rPr>
        <w:t>详见“合同条款前附表”第</w:t>
      </w: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项“</w:t>
      </w:r>
      <w:r>
        <w:rPr>
          <w:rFonts w:hint="default" w:ascii="Times New Roman" w:hAnsi="Times New Roman" w:cs="Times New Roman"/>
          <w:color w:val="auto"/>
          <w:sz w:val="21"/>
          <w:szCs w:val="21"/>
          <w:highlight w:val="none"/>
          <w:lang w:val="en-US" w:eastAsia="zh-CN"/>
        </w:rPr>
        <w:t>交货时间和地点</w:t>
      </w:r>
      <w:r>
        <w:rPr>
          <w:rFonts w:hint="default" w:ascii="Times New Roman" w:hAnsi="Times New Roman" w:cs="Times New Roman"/>
          <w:color w:val="auto"/>
          <w:sz w:val="21"/>
          <w:szCs w:val="21"/>
          <w:highlight w:val="none"/>
        </w:rPr>
        <w:t>”</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6.2甲方在收到乙方交付的货物后应当及时组织验收。货物的表面瑕疵，甲方应在验收时当面提出；对质量问题有异议的应在安装调试时进行记录；甲方对货物进行检查验收合格后，应当及时履行验收手续。</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6.3在验收过程中发现数量不足或有质量、技术等问题，乙方应按照合同要求采取补足、更换或退货等处理措施，并承担由此发生的一切费用和损失。</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6.4由</w:t>
      </w:r>
      <w:r>
        <w:rPr>
          <w:rFonts w:hint="default" w:ascii="Times New Roman" w:hAnsi="Times New Roman" w:cs="Times New Roman"/>
          <w:color w:val="auto"/>
          <w:sz w:val="21"/>
          <w:szCs w:val="21"/>
          <w:highlight w:val="none"/>
        </w:rPr>
        <w:t>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严格按照采购合同开展履约验收。验收时,</w:t>
      </w:r>
      <w:r>
        <w:rPr>
          <w:rFonts w:hint="default" w:ascii="Times New Roman" w:hAnsi="Times New Roman" w:cs="Times New Roman"/>
          <w:color w:val="auto"/>
          <w:sz w:val="21"/>
          <w:szCs w:val="21"/>
          <w:highlight w:val="none"/>
          <w:lang w:eastAsia="zh-CN"/>
        </w:rPr>
        <w:t>应当按照本合同约定的技术、服务和安全标准，对供应商各项义务履行情况进行验收确认。未约定相关标准的，应当按照国家强制性规定、政策要求、安全标准和行业有关标准进行验收确认。</w:t>
      </w:r>
      <w:r>
        <w:rPr>
          <w:rFonts w:hint="default" w:ascii="Times New Roman" w:hAnsi="Times New Roman" w:cs="Times New Roman"/>
          <w:color w:val="auto"/>
          <w:sz w:val="21"/>
          <w:szCs w:val="21"/>
          <w:highlight w:val="none"/>
        </w:rPr>
        <w:t>验收结束后</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应当出具验收意见，列明合同事项、验收标准及验收情况</w:t>
      </w:r>
      <w:r>
        <w:rPr>
          <w:rFonts w:hint="default" w:ascii="Times New Roman" w:hAnsi="Times New Roman" w:cs="Times New Roman"/>
          <w:color w:val="auto"/>
          <w:sz w:val="21"/>
          <w:szCs w:val="21"/>
          <w:highlight w:val="none"/>
          <w:lang w:eastAsia="zh-CN"/>
        </w:rPr>
        <w:t>，由全体验收人员签字。</w:t>
      </w:r>
      <w:r>
        <w:rPr>
          <w:rFonts w:hint="default" w:ascii="Times New Roman" w:hAnsi="Times New Roman" w:cs="Times New Roman"/>
          <w:color w:val="auto"/>
          <w:sz w:val="21"/>
          <w:szCs w:val="21"/>
          <w:highlight w:val="none"/>
          <w:lang w:val="en-US" w:eastAsia="zh-CN"/>
        </w:rPr>
        <w:t>大型或者复杂的货物采购项目，甲方可以邀请国家认可的质量检测机构参加验收工作，并由其出具验收报告。</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lang w:val="en-US" w:eastAsia="zh-CN"/>
        </w:rPr>
        <w:t>6.5</w:t>
      </w:r>
      <w:r>
        <w:rPr>
          <w:rFonts w:hint="default" w:ascii="Times New Roman" w:hAnsi="Times New Roman" w:cs="Times New Roman"/>
          <w:color w:val="auto"/>
          <w:sz w:val="21"/>
          <w:szCs w:val="21"/>
          <w:highlight w:val="none"/>
        </w:rPr>
        <w:t>具体</w:t>
      </w:r>
      <w:r>
        <w:rPr>
          <w:rFonts w:hint="default" w:ascii="Times New Roman" w:hAnsi="Times New Roman" w:cs="Times New Roman"/>
          <w:color w:val="auto"/>
          <w:sz w:val="21"/>
          <w:szCs w:val="21"/>
          <w:highlight w:val="none"/>
          <w:lang w:eastAsia="zh-CN"/>
        </w:rPr>
        <w:t>履约</w:t>
      </w:r>
      <w:r>
        <w:rPr>
          <w:rFonts w:hint="default" w:ascii="Times New Roman" w:hAnsi="Times New Roman" w:cs="Times New Roman"/>
          <w:color w:val="auto"/>
          <w:sz w:val="21"/>
          <w:szCs w:val="21"/>
          <w:highlight w:val="none"/>
        </w:rPr>
        <w:t>验收要求详见</w:t>
      </w:r>
      <w:r>
        <w:rPr>
          <w:rFonts w:hint="default" w:ascii="Times New Roman" w:hAnsi="Times New Roman" w:cs="Times New Roman"/>
          <w:color w:val="auto"/>
          <w:sz w:val="21"/>
          <w:szCs w:val="21"/>
          <w:highlight w:val="none"/>
          <w:lang w:eastAsia="zh-CN"/>
        </w:rPr>
        <w:t>招标（</w:t>
      </w:r>
      <w:r>
        <w:rPr>
          <w:rFonts w:hint="default" w:ascii="Times New Roman" w:hAnsi="Times New Roman" w:cs="Times New Roman"/>
          <w:color w:val="auto"/>
          <w:sz w:val="21"/>
          <w:szCs w:val="21"/>
          <w:highlight w:val="none"/>
        </w:rPr>
        <w:t>采购</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文件。</w:t>
      </w:r>
    </w:p>
    <w:p>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 履约保证金</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.1乙方在签署合同时，应向甲方提供相当于合同总金额</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%的履约保证金。履约保证金可以银行保函或银行电汇形式提交，也可以履约担保函的形式交纳。</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.2履约保证金的金额应能补偿甲方因乙方不能完成其合同义务而蒙受的损失。</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7.4乙方不履行合同、或者履行合同义务不符合约定使得合同目的不能实现，履约保证金不予退还，并应按合同约定支付违约金、赔偿金等。</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.5履约保证金在合同履行期满后，凭返还申请等资料一次性返还，详见“合同条款前附表”第</w:t>
      </w: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项“履约保证金及返还”。</w:t>
      </w:r>
    </w:p>
    <w:p>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．履约延误</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.1 乙方应按照本合同的规定的时间交货和提供服务。</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.2 如乙方没有</w:t>
      </w:r>
      <w:r>
        <w:rPr>
          <w:rFonts w:hint="default" w:ascii="Times New Roman" w:hAnsi="Times New Roman" w:cs="Times New Roman"/>
          <w:color w:val="auto"/>
          <w:sz w:val="21"/>
          <w:szCs w:val="21"/>
          <w:highlight w:val="none"/>
          <w:lang w:eastAsia="zh-CN"/>
        </w:rPr>
        <w:t>按合同规定的时间交货和提供服务</w:t>
      </w:r>
      <w:r>
        <w:rPr>
          <w:rFonts w:hint="default" w:ascii="Times New Roman" w:hAnsi="Times New Roman" w:cs="Times New Roman"/>
          <w:color w:val="auto"/>
          <w:sz w:val="21"/>
          <w:szCs w:val="21"/>
          <w:highlight w:val="none"/>
        </w:rPr>
        <w:t>，甲方有权从货款或履约保证金中扣除误期赔偿费而不影响合同项下的其他补救方法。赔偿费按每日加收合同金额的</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%计收，直至交货或提供服务为止。但误期赔偿费的最高限额不超过合同价的</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误期赔偿费累计达到合同金额的</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时</w:t>
      </w:r>
      <w:r>
        <w:rPr>
          <w:rFonts w:hint="default" w:ascii="Times New Roman" w:hAnsi="Times New Roman" w:cs="Times New Roman"/>
          <w:color w:val="auto"/>
          <w:sz w:val="21"/>
          <w:szCs w:val="21"/>
          <w:highlight w:val="none"/>
        </w:rPr>
        <w:t>，甲方有权终止合同。</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.3 在履行合同过程中，如果乙方可能遇到妨碍按时提供</w:t>
      </w:r>
      <w:r>
        <w:rPr>
          <w:rFonts w:hint="default" w:ascii="Times New Roman" w:hAnsi="Times New Roman" w:cs="Times New Roman"/>
          <w:color w:val="auto"/>
          <w:sz w:val="21"/>
          <w:szCs w:val="21"/>
          <w:highlight w:val="none"/>
          <w:lang w:eastAsia="zh-CN"/>
        </w:rPr>
        <w:t>货物和服务</w:t>
      </w:r>
      <w:r>
        <w:rPr>
          <w:rFonts w:hint="default" w:ascii="Times New Roman" w:hAnsi="Times New Roman" w:cs="Times New Roman"/>
          <w:color w:val="auto"/>
          <w:sz w:val="21"/>
          <w:szCs w:val="21"/>
          <w:highlight w:val="none"/>
        </w:rPr>
        <w:t>的情况时，应及时以书面形式将拖延的事实，可能拖延的期限和理由通知甲方。甲方在收到乙方通知后，应尽快对情况进行评估，并确定是否酌情延长工期以及是否收取误期赔偿费。</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.4 除不可抗力和根据合同规定延期取得甲方同意而不收取误期赔偿费之外，乙方延误工期，将按合同规定被收取误期赔偿费。</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.5 逾期退还履约保证金的违约责任。满足履约保证金返还条件的，甲方在收到返还相关信息等合同约定资料后，进行核实。对核实结果无异议的，应当自完成核实之日起</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日内返还履约保证金。无特殊原因逾期退还履约保证金，乙方可要求支付逾期银行同期活期存款利息。特殊原因逾期返还的，双方协商解决。</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 违约责任</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.1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.2 乙方没有按照时限要求提供</w:t>
      </w:r>
      <w:r>
        <w:rPr>
          <w:rFonts w:hint="default" w:ascii="Times New Roman" w:hAnsi="Times New Roman" w:cs="Times New Roman"/>
          <w:color w:val="auto"/>
          <w:sz w:val="21"/>
          <w:szCs w:val="21"/>
          <w:highlight w:val="none"/>
          <w:lang w:eastAsia="zh-CN"/>
        </w:rPr>
        <w:t>货物和</w:t>
      </w:r>
      <w:r>
        <w:rPr>
          <w:rFonts w:hint="default" w:ascii="Times New Roman" w:hAnsi="Times New Roman" w:cs="Times New Roman"/>
          <w:color w:val="auto"/>
          <w:sz w:val="21"/>
          <w:szCs w:val="21"/>
          <w:highlight w:val="none"/>
        </w:rPr>
        <w:t>服务，且在延长的期限内没有采取补救措施，甲方有权自行采取其他方式进行补救，所发生的一切费用从乙方的合同款项中扣除。</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.3 甲方有权根据合同或有关部门出具的检验证书向乙方提出索赔。</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.4 如果乙方对差异负有责任而甲方提出索赔，乙方同意按照下列方式解决索赔事宜：</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如果在甲方发出索赔通知后5个工作日内，乙方未作书面答复，上述索赔应视为已被乙方接受。如乙方未能在甲方发出索赔通知后5个工作日内或甲方同意的延长期限内着手解决索赔事宜，甲方有权从乙方的合同款项中扣除索赔金额。</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.5 乙方利用</w:t>
      </w:r>
      <w:r>
        <w:rPr>
          <w:rFonts w:hint="default" w:ascii="Times New Roman" w:hAnsi="Times New Roman" w:cs="Times New Roman"/>
          <w:color w:val="auto"/>
          <w:sz w:val="21"/>
          <w:szCs w:val="21"/>
          <w:highlight w:val="none"/>
          <w:lang w:eastAsia="zh-CN"/>
        </w:rPr>
        <w:t>在</w:t>
      </w:r>
      <w:r>
        <w:rPr>
          <w:rFonts w:hint="default" w:ascii="Times New Roman" w:hAnsi="Times New Roman" w:cs="Times New Roman"/>
          <w:color w:val="auto"/>
          <w:sz w:val="21"/>
          <w:szCs w:val="21"/>
          <w:highlight w:val="none"/>
        </w:rPr>
        <w:t>本项目</w:t>
      </w:r>
      <w:r>
        <w:rPr>
          <w:rFonts w:hint="default" w:ascii="Times New Roman" w:hAnsi="Times New Roman" w:cs="Times New Roman"/>
          <w:color w:val="auto"/>
          <w:sz w:val="21"/>
          <w:szCs w:val="21"/>
          <w:highlight w:val="none"/>
          <w:lang w:eastAsia="zh-CN"/>
        </w:rPr>
        <w:t>为税务机关提供信息化货物和服务的</w:t>
      </w:r>
      <w:r>
        <w:rPr>
          <w:rFonts w:hint="default" w:ascii="Times New Roman" w:hAnsi="Times New Roman" w:cs="Times New Roman"/>
          <w:color w:val="auto"/>
          <w:sz w:val="21"/>
          <w:szCs w:val="21"/>
          <w:highlight w:val="none"/>
        </w:rPr>
        <w:t>便利</w:t>
      </w:r>
      <w:r>
        <w:rPr>
          <w:rFonts w:hint="default" w:ascii="Times New Roman" w:hAnsi="Times New Roman" w:cs="Times New Roman"/>
          <w:color w:val="auto"/>
          <w:sz w:val="21"/>
          <w:szCs w:val="21"/>
          <w:highlight w:val="none"/>
          <w:lang w:eastAsia="zh-CN"/>
        </w:rPr>
        <w:t>，向纳税人缴费人</w:t>
      </w:r>
      <w:r>
        <w:rPr>
          <w:rFonts w:hint="default" w:ascii="Times New Roman" w:hAnsi="Times New Roman" w:cs="Times New Roman"/>
          <w:color w:val="auto"/>
          <w:sz w:val="21"/>
          <w:szCs w:val="21"/>
          <w:highlight w:val="none"/>
        </w:rPr>
        <w:t>搭车收费或变相收费的，</w:t>
      </w:r>
      <w:r>
        <w:rPr>
          <w:rFonts w:hint="default" w:ascii="Times New Roman" w:hAnsi="Times New Roman" w:cs="Times New Roman"/>
          <w:color w:val="auto"/>
          <w:sz w:val="21"/>
          <w:szCs w:val="21"/>
          <w:highlight w:val="none"/>
          <w:lang w:eastAsia="zh-CN"/>
        </w:rPr>
        <w:t>或有其他失信行为的，</w:t>
      </w:r>
      <w:r>
        <w:rPr>
          <w:rFonts w:hint="default" w:ascii="Times New Roman" w:hAnsi="Times New Roman" w:cs="Times New Roman"/>
          <w:color w:val="auto"/>
          <w:sz w:val="21"/>
          <w:szCs w:val="21"/>
          <w:highlight w:val="none"/>
        </w:rPr>
        <w:t>纳入国家税务总局失信名单。</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对于影响恶劣的严重违法失信行为，推送财政部纳入政府采购严重违法失信行为记录名单。</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9.6 如果乙方在本项目实施过程中发生违反网络安全规定行为造成不良后果的，自甲方做出认定之日起三年内，税务系统各单位可以拒绝乙方参与税务系统政府采购活动。</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不良后果指造成数据失窃或丢失、敏感信息泄露、主要业务系统瘫痪等网络安全事件。</w:t>
      </w:r>
    </w:p>
    <w:p>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9.7 信息化服务商聘用离职税务人员的风险控制</w:t>
      </w:r>
    </w:p>
    <w:p>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9.7.1 信息化服务商是指为税务总局、各省（自治区、直辖市和计划单列市）税务局提供信息化项目承建、运维、咨询、监理服务或参加相关采购活动的单位或个人。</w:t>
      </w:r>
    </w:p>
    <w:p>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9.7.2乙方应建立防止违法违规聘用离职税务人员的风险控制制度。如乙方未建立上述风险控制制度，甲方有权要求乙方限期纠正。</w:t>
      </w:r>
    </w:p>
    <w:p>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9.7.3本合同履行期间，乙方不得聘用3年内离职的原从事过税收信息化及相关信息系统业务条线的税务人员。原从事过，是指离职前3年内从事过税收信息化工作及相关信息系统业务条线工作。如果乙方有前述违约行为，甲方有权要求乙方承担下列违约责任：</w:t>
      </w:r>
    </w:p>
    <w:p>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9.7.3.1要求乙方限期改正并从应付款项中扣除合同总金额的百分之一（1%）作为违约金；</w:t>
      </w:r>
    </w:p>
    <w:p>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9.7.3.2自甲方通报之日起三年内，所聘税务人员原单位及下属单位可以拒绝乙方参与信息化项目政府采购活动。</w:t>
      </w:r>
    </w:p>
    <w:p>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9.8 乙方在本合同履行期间存在“围猎”甲方税务人员行为的（指以获取不正当利益为目的，采取馈赠礼品礼金、邀请娱乐旅游消费、提供便利条件等非正常交往手段“围猎”相关税务人员及亲属），自甲方认定或通报之日起三年内，甲方可以拒绝乙方参与其政府采购活动。</w:t>
      </w:r>
    </w:p>
    <w:p>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9.9 甲方发票电子化改革领导小组办公室认定乙方在本合同履行期间存在失信行为的，自甲方发票电子化改革领导小组办公室做出认定并通报之日起三年内，税务系统各单位可以拒绝乙方参与信息化项目政府采购活动。</w:t>
      </w:r>
    </w:p>
    <w:p>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9.10 对于本协议未约定的、招标（采购）文件（技术部分）中约定的违约处理条款，按招标（采购）文件（技术部分）相关约定执行；对本协议与招标（采购）文件（技术部分）约定不同的违约处理条款，以本协议约定为准。</w:t>
      </w:r>
    </w:p>
    <w:p>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 不可抗力</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 xml:space="preserve"> 本条所述的“不可抗力”系指双方不可预见、不可避免、不可克服的客观情况，但不包括双方的违约或疏忽。这些事件包括但不限于：战争、严重火灾、洪水、台风、地震等。</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如果乙方因不可抗力而导致合同实施延误或不能履行合同义务，不应承担误期赔偿或终止合同的责任。</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0</w:t>
      </w:r>
      <w:r>
        <w:rPr>
          <w:rFonts w:hint="default" w:ascii="Times New Roman" w:hAnsi="Times New Roman" w:cs="Times New Roman"/>
          <w:color w:val="auto"/>
          <w:sz w:val="21"/>
          <w:szCs w:val="21"/>
          <w:highlight w:val="none"/>
        </w:rPr>
        <w:t>.4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1</w:t>
      </w:r>
      <w:r>
        <w:rPr>
          <w:rFonts w:hint="default" w:ascii="Times New Roman" w:hAnsi="Times New Roman" w:cs="Times New Roman"/>
          <w:b/>
          <w:color w:val="auto"/>
          <w:sz w:val="21"/>
          <w:szCs w:val="21"/>
          <w:highlight w:val="none"/>
        </w:rPr>
        <w:t>. 争端的解决</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.1 甲乙双方应</w:t>
      </w:r>
      <w:r>
        <w:rPr>
          <w:rFonts w:hint="default" w:ascii="Times New Roman" w:hAnsi="Times New Roman" w:cs="Times New Roman"/>
          <w:color w:val="auto"/>
          <w:sz w:val="21"/>
          <w:szCs w:val="21"/>
          <w:highlight w:val="none"/>
          <w:lang w:eastAsia="zh-CN"/>
        </w:rPr>
        <w:t>首先</w:t>
      </w:r>
      <w:r>
        <w:rPr>
          <w:rFonts w:hint="default" w:ascii="Times New Roman" w:hAnsi="Times New Roman" w:cs="Times New Roman"/>
          <w:color w:val="auto"/>
          <w:sz w:val="21"/>
          <w:szCs w:val="21"/>
          <w:highlight w:val="none"/>
        </w:rPr>
        <w:t>通过友好协商解决在执行本合同中所发生的或与本合同有关的一切争端。如从协商开始</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天内仍不能解决，</w:t>
      </w:r>
      <w:r>
        <w:rPr>
          <w:rFonts w:hint="default" w:ascii="Times New Roman" w:hAnsi="Times New Roman" w:cs="Times New Roman"/>
          <w:color w:val="auto"/>
          <w:sz w:val="21"/>
          <w:szCs w:val="21"/>
          <w:highlight w:val="none"/>
          <w:lang w:eastAsia="zh-CN"/>
        </w:rPr>
        <w:t>可以按合同约定的方式提起仲裁或诉讼</w:t>
      </w:r>
      <w:r>
        <w:rPr>
          <w:rFonts w:hint="default" w:ascii="Times New Roman" w:hAnsi="Times New Roman" w:cs="Times New Roman"/>
          <w:color w:val="auto"/>
          <w:sz w:val="21"/>
          <w:szCs w:val="21"/>
          <w:highlight w:val="none"/>
        </w:rPr>
        <w:t>。</w:t>
      </w:r>
    </w:p>
    <w:p>
      <w:pPr>
        <w:keepNext w:val="0"/>
        <w:keepLines w:val="0"/>
        <w:pageBreakBefore w:val="0"/>
        <w:widowControl w:val="0"/>
        <w:kinsoku/>
        <w:wordWrap/>
        <w:overflowPunct/>
        <w:bidi w:val="0"/>
        <w:adjustRightInd/>
        <w:snapToGrid/>
        <w:spacing w:line="360" w:lineRule="auto"/>
        <w:ind w:left="239" w:leftChars="114" w:firstLine="210" w:firstLineChars="1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2.1</w:t>
      </w:r>
      <w:r>
        <w:rPr>
          <w:rFonts w:hint="default" w:ascii="Times New Roman" w:hAnsi="Times New Roman" w:cs="Times New Roman"/>
          <w:color w:val="auto"/>
          <w:sz w:val="21"/>
          <w:szCs w:val="21"/>
          <w:highlight w:val="none"/>
        </w:rPr>
        <w:t>仲裁应</w:t>
      </w:r>
      <w:r>
        <w:rPr>
          <w:rFonts w:hint="default" w:ascii="Times New Roman" w:hAnsi="Times New Roman" w:cs="Times New Roman"/>
          <w:color w:val="auto"/>
          <w:sz w:val="21"/>
          <w:szCs w:val="21"/>
          <w:highlight w:val="none"/>
          <w:lang w:eastAsia="zh-CN"/>
        </w:rPr>
        <w:t>向</w:t>
      </w:r>
      <w:r>
        <w:rPr>
          <w:rFonts w:hint="default" w:ascii="Times New Roman" w:hAnsi="Times New Roman" w:cs="Times New Roman"/>
          <w:color w:val="auto"/>
          <w:sz w:val="21"/>
          <w:szCs w:val="21"/>
          <w:highlight w:val="none"/>
        </w:rPr>
        <w:t>甲方所在地或</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仲裁委员会申请仲裁。</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2.2</w:t>
      </w:r>
      <w:r>
        <w:rPr>
          <w:rFonts w:hint="default" w:ascii="Times New Roman" w:hAnsi="Times New Roman" w:cs="Times New Roman"/>
          <w:color w:val="auto"/>
          <w:sz w:val="21"/>
          <w:szCs w:val="21"/>
          <w:highlight w:val="none"/>
        </w:rPr>
        <w:t xml:space="preserve"> 仲裁裁决应为最终裁决，对双方均具有约束力。</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2.3</w:t>
      </w:r>
      <w:r>
        <w:rPr>
          <w:rFonts w:hint="default" w:ascii="Times New Roman" w:hAnsi="Times New Roman" w:cs="Times New Roman"/>
          <w:color w:val="auto"/>
          <w:sz w:val="21"/>
          <w:szCs w:val="21"/>
          <w:highlight w:val="none"/>
        </w:rPr>
        <w:t xml:space="preserve"> 仲裁费除仲裁机关另有裁决外应由败诉方负担。</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2.4</w:t>
      </w:r>
      <w:r>
        <w:rPr>
          <w:rFonts w:hint="default" w:ascii="Times New Roman" w:hAnsi="Times New Roman" w:cs="Times New Roman"/>
          <w:color w:val="auto"/>
          <w:sz w:val="21"/>
          <w:szCs w:val="21"/>
          <w:highlight w:val="none"/>
        </w:rPr>
        <w:t>在仲裁期间，除正在进行仲裁部分外，本合同的其它部分应继续执行。</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11.3.1诉讼应向甲方所在地或</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lang w:val="en-US" w:eastAsia="zh-CN"/>
        </w:rPr>
        <w:t>人民法院提起诉讼。</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11.3.2诉讼费除人民法院另有判决外，应由败诉方负担。</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11.3.3在诉讼期间，除正在进行诉讼部分外，本</w:t>
      </w:r>
      <w:r>
        <w:rPr>
          <w:rFonts w:hint="default" w:ascii="Times New Roman" w:hAnsi="Times New Roman" w:cs="Times New Roman"/>
          <w:color w:val="auto"/>
          <w:sz w:val="21"/>
          <w:szCs w:val="21"/>
          <w:highlight w:val="none"/>
        </w:rPr>
        <w:t>合同的其它部分应继续执行。</w:t>
      </w:r>
    </w:p>
    <w:p>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 违约终止合同</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 若出现如下情况，在甲方对乙方违约行为而采取的任何补救措施不受影响的情况下，甲方可向乙方发出书面通知书，提出终止部分或全部合同。</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 xml:space="preserve">12.1.1 </w:t>
      </w:r>
      <w:r>
        <w:rPr>
          <w:rFonts w:hint="default" w:ascii="Times New Roman" w:hAnsi="Times New Roman" w:cs="Times New Roman"/>
          <w:color w:val="auto"/>
          <w:sz w:val="21"/>
          <w:szCs w:val="21"/>
          <w:highlight w:val="none"/>
          <w:lang w:eastAsia="zh-CN"/>
        </w:rPr>
        <w:t>乙方不履行合同业务或者履行合同义务不符合合同约定；</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如果乙方未能在合同规定的期限或甲方同意延长的期限内提供</w:t>
      </w:r>
      <w:r>
        <w:rPr>
          <w:rFonts w:hint="default" w:ascii="Times New Roman" w:hAnsi="Times New Roman" w:cs="Times New Roman"/>
          <w:color w:val="auto"/>
          <w:sz w:val="21"/>
          <w:szCs w:val="21"/>
          <w:highlight w:val="none"/>
          <w:lang w:eastAsia="zh-CN"/>
        </w:rPr>
        <w:t>货物和</w:t>
      </w:r>
      <w:r>
        <w:rPr>
          <w:rFonts w:hint="default" w:ascii="Times New Roman" w:hAnsi="Times New Roman" w:cs="Times New Roman"/>
          <w:color w:val="auto"/>
          <w:sz w:val="21"/>
          <w:szCs w:val="21"/>
          <w:highlight w:val="none"/>
        </w:rPr>
        <w:t>服务；</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 xml:space="preserve"> 因乙方人员自身技术能力、经验不足等问题造成甲方发生重大紧急故障，带来重大影响和损失的；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 xml:space="preserve"> 在合同</w:t>
      </w:r>
      <w:r>
        <w:rPr>
          <w:rFonts w:hint="default" w:ascii="Times New Roman" w:hAnsi="Times New Roman" w:cs="Times New Roman"/>
          <w:color w:val="auto"/>
          <w:sz w:val="21"/>
          <w:szCs w:val="21"/>
          <w:highlight w:val="none"/>
          <w:lang w:eastAsia="zh-CN"/>
        </w:rPr>
        <w:t>质保</w:t>
      </w:r>
      <w:r>
        <w:rPr>
          <w:rFonts w:hint="default" w:ascii="Times New Roman" w:hAnsi="Times New Roman" w:cs="Times New Roman"/>
          <w:color w:val="auto"/>
          <w:sz w:val="21"/>
          <w:szCs w:val="21"/>
          <w:highlight w:val="none"/>
        </w:rPr>
        <w:t>期内</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乙方对重大紧急故障没有及时响应，或不能在规定时间内解决处理故障、恢复正常运行的；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 xml:space="preserve"> 不能满足本项目技术需求的管理要求和规范，且经多次整改无明显改进的</w:t>
      </w:r>
      <w:r>
        <w:rPr>
          <w:rFonts w:hint="default" w:ascii="Times New Roman" w:hAnsi="Times New Roman" w:cs="Times New Roman"/>
          <w:color w:val="auto"/>
          <w:sz w:val="21"/>
          <w:szCs w:val="21"/>
          <w:highlight w:val="none"/>
          <w:lang w:eastAsia="zh-CN"/>
        </w:rPr>
        <w:t>；</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lang w:eastAsia="zh-CN"/>
        </w:rPr>
        <w:t>在合同履行期限内</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设备调优、巡检、故障解决等</w:t>
      </w:r>
      <w:r>
        <w:rPr>
          <w:rFonts w:hint="default" w:ascii="Times New Roman" w:hAnsi="Times New Roman" w:cs="Times New Roman"/>
          <w:color w:val="auto"/>
          <w:sz w:val="21"/>
          <w:szCs w:val="21"/>
          <w:highlight w:val="none"/>
        </w:rPr>
        <w:t>运行维护支持服务过程中，出现5次经甲乙双方确认的</w:t>
      </w:r>
      <w:r>
        <w:rPr>
          <w:rFonts w:hint="default" w:ascii="Times New Roman" w:hAnsi="Times New Roman" w:cs="Times New Roman"/>
          <w:color w:val="auto"/>
          <w:sz w:val="21"/>
          <w:szCs w:val="21"/>
          <w:highlight w:val="none"/>
          <w:lang w:eastAsia="zh-CN"/>
        </w:rPr>
        <w:t>违约情形</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lang w:eastAsia="zh-CN"/>
        </w:rPr>
        <w:t>；</w:t>
      </w:r>
    </w:p>
    <w:p>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 xml:space="preserve">12.1.7 </w:t>
      </w:r>
      <w:r>
        <w:rPr>
          <w:rFonts w:hint="default" w:ascii="Times New Roman" w:hAnsi="Times New Roman" w:cs="Times New Roman"/>
          <w:color w:val="auto"/>
          <w:sz w:val="21"/>
          <w:szCs w:val="21"/>
          <w:highlight w:val="none"/>
        </w:rPr>
        <w:t>乙方利用本项目</w:t>
      </w:r>
      <w:r>
        <w:rPr>
          <w:rFonts w:hint="default" w:ascii="Times New Roman" w:hAnsi="Times New Roman" w:cs="Times New Roman"/>
          <w:color w:val="auto"/>
          <w:sz w:val="21"/>
          <w:szCs w:val="21"/>
          <w:highlight w:val="none"/>
          <w:lang w:eastAsia="zh-CN"/>
        </w:rPr>
        <w:t>为税务机关提供信息化货物和服务的</w:t>
      </w:r>
      <w:r>
        <w:rPr>
          <w:rFonts w:hint="default" w:ascii="Times New Roman" w:hAnsi="Times New Roman" w:cs="Times New Roman"/>
          <w:color w:val="auto"/>
          <w:sz w:val="21"/>
          <w:szCs w:val="21"/>
          <w:highlight w:val="none"/>
        </w:rPr>
        <w:t>便利</w:t>
      </w:r>
      <w:r>
        <w:rPr>
          <w:rFonts w:hint="default" w:ascii="Times New Roman" w:hAnsi="Times New Roman" w:cs="Times New Roman"/>
          <w:color w:val="auto"/>
          <w:sz w:val="21"/>
          <w:szCs w:val="21"/>
          <w:highlight w:val="none"/>
          <w:lang w:eastAsia="zh-CN"/>
        </w:rPr>
        <w:t>，向纳税人缴费人</w:t>
      </w:r>
      <w:r>
        <w:rPr>
          <w:rFonts w:hint="default" w:ascii="Times New Roman" w:hAnsi="Times New Roman" w:cs="Times New Roman"/>
          <w:color w:val="auto"/>
          <w:sz w:val="21"/>
          <w:szCs w:val="21"/>
          <w:highlight w:val="none"/>
        </w:rPr>
        <w:t>搭车收费或变相收费的，</w:t>
      </w:r>
      <w:r>
        <w:rPr>
          <w:rFonts w:hint="default" w:ascii="Times New Roman" w:hAnsi="Times New Roman" w:cs="Times New Roman"/>
          <w:color w:val="auto"/>
          <w:sz w:val="21"/>
          <w:szCs w:val="21"/>
          <w:highlight w:val="none"/>
          <w:lang w:eastAsia="zh-CN"/>
        </w:rPr>
        <w:t>或有其他失信行为的；</w:t>
      </w:r>
    </w:p>
    <w:p>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12.1.8 乙方在本项目实施过程中发生违反网络安全规定行为造成不良后果的。</w:t>
      </w:r>
    </w:p>
    <w:p>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.2 如果甲方根据上述第1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.1条的规定，终止了全部或部分合同，甲方可以适当的条件和方法购买乙方未能提供的</w:t>
      </w:r>
      <w:r>
        <w:rPr>
          <w:rFonts w:hint="default" w:ascii="Times New Roman" w:hAnsi="Times New Roman" w:cs="Times New Roman"/>
          <w:color w:val="auto"/>
          <w:sz w:val="21"/>
          <w:szCs w:val="21"/>
          <w:highlight w:val="none"/>
          <w:lang w:eastAsia="zh-CN"/>
        </w:rPr>
        <w:t>货物和服务</w:t>
      </w:r>
      <w:r>
        <w:rPr>
          <w:rFonts w:hint="default" w:ascii="Times New Roman" w:hAnsi="Times New Roman" w:cs="Times New Roman"/>
          <w:color w:val="auto"/>
          <w:sz w:val="21"/>
          <w:szCs w:val="21"/>
          <w:highlight w:val="none"/>
        </w:rPr>
        <w:t>，乙方应对甲方购买类似</w:t>
      </w:r>
      <w:r>
        <w:rPr>
          <w:rFonts w:hint="default" w:ascii="Times New Roman" w:hAnsi="Times New Roman" w:cs="Times New Roman"/>
          <w:color w:val="auto"/>
          <w:sz w:val="21"/>
          <w:szCs w:val="21"/>
          <w:highlight w:val="none"/>
          <w:lang w:eastAsia="zh-CN"/>
        </w:rPr>
        <w:t>货物和</w:t>
      </w:r>
      <w:r>
        <w:rPr>
          <w:rFonts w:hint="default" w:ascii="Times New Roman" w:hAnsi="Times New Roman" w:cs="Times New Roman"/>
          <w:color w:val="auto"/>
          <w:sz w:val="21"/>
          <w:szCs w:val="21"/>
          <w:highlight w:val="none"/>
        </w:rPr>
        <w:t>服务所超出的费用负责。同时，乙方应继续执行合同中未终止的部分。</w:t>
      </w:r>
    </w:p>
    <w:p>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rPr>
        <w:t>. 破产终止合同</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.1 如果乙方破产或无清偿能力，甲方可在任何时候以书面形式通知乙方终止合同而不给乙方补偿。</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.2该终止合同将不损害或影响甲方已经采取或将要采取的任何行动或补救措施的权力。</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4</w:t>
      </w:r>
      <w:r>
        <w:rPr>
          <w:rFonts w:hint="default" w:ascii="Times New Roman" w:hAnsi="Times New Roman" w:cs="Times New Roman"/>
          <w:b/>
          <w:color w:val="auto"/>
          <w:sz w:val="21"/>
          <w:szCs w:val="21"/>
          <w:highlight w:val="none"/>
        </w:rPr>
        <w:t>. 其他情况的终止合同</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.1 乙方在执行合同的过程中发生重大事故或变故，对履行合同有直接影响的，甲方可以提出终止合同而不给予乙方任何补偿。</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.2 在</w:t>
      </w:r>
      <w:r>
        <w:rPr>
          <w:rFonts w:hint="default" w:ascii="Times New Roman" w:hAnsi="Times New Roman" w:cs="Times New Roman"/>
          <w:color w:val="auto"/>
          <w:sz w:val="21"/>
          <w:szCs w:val="21"/>
          <w:highlight w:val="none"/>
          <w:lang w:eastAsia="zh-CN"/>
        </w:rPr>
        <w:t>合同履行期限</w:t>
      </w:r>
      <w:r>
        <w:rPr>
          <w:rFonts w:hint="default" w:ascii="Times New Roman" w:hAnsi="Times New Roman" w:cs="Times New Roman"/>
          <w:color w:val="auto"/>
          <w:sz w:val="21"/>
          <w:szCs w:val="21"/>
          <w:highlight w:val="none"/>
        </w:rPr>
        <w:t>内，由于甲方工作计划调整，推广使用新应用系统导致本项目相关服务</w:t>
      </w:r>
      <w:r>
        <w:rPr>
          <w:rFonts w:hint="default" w:ascii="Times New Roman" w:hAnsi="Times New Roman" w:cs="Times New Roman"/>
          <w:color w:val="auto"/>
          <w:sz w:val="21"/>
          <w:szCs w:val="21"/>
          <w:highlight w:val="none"/>
          <w:lang w:eastAsia="zh-CN"/>
        </w:rPr>
        <w:t>或货物</w:t>
      </w:r>
      <w:r>
        <w:rPr>
          <w:rFonts w:hint="default" w:ascii="Times New Roman" w:hAnsi="Times New Roman" w:cs="Times New Roman"/>
          <w:color w:val="auto"/>
          <w:sz w:val="21"/>
          <w:szCs w:val="21"/>
          <w:highlight w:val="none"/>
        </w:rPr>
        <w:t>停止的，甲方可以提出终止合同而不给予乙方任何补偿。</w:t>
      </w:r>
    </w:p>
    <w:p>
      <w:pPr>
        <w:keepNext w:val="0"/>
        <w:keepLines w:val="0"/>
        <w:pageBreakBefore w:val="0"/>
        <w:widowControl w:val="0"/>
        <w:tabs>
          <w:tab w:val="left" w:pos="70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5</w:t>
      </w:r>
      <w:r>
        <w:rPr>
          <w:rFonts w:hint="default" w:ascii="Times New Roman" w:hAnsi="Times New Roman" w:cs="Times New Roman"/>
          <w:b/>
          <w:color w:val="auto"/>
          <w:sz w:val="21"/>
          <w:szCs w:val="21"/>
          <w:highlight w:val="none"/>
        </w:rPr>
        <w:t>. 合同修改或变更</w:t>
      </w:r>
    </w:p>
    <w:p>
      <w:pPr>
        <w:keepNext w:val="0"/>
        <w:keepLines w:val="0"/>
        <w:pageBreakBefore w:val="0"/>
        <w:widowControl w:val="0"/>
        <w:kinsoku/>
        <w:wordWrap/>
        <w:overflowPunct/>
        <w:bidi w:val="0"/>
        <w:adjustRightInd/>
        <w:snapToGrid/>
        <w:spacing w:line="360" w:lineRule="auto"/>
        <w:ind w:firstLine="48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.1 合同如有未尽事宜，须经甲乙双方共同协商，做出补充约定，并签订书面补充合同或变更协议。补充合同或变更协议作为本合同的一部分，与本合同具有同等效力。</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.2 除了双方签署书面修改或变更协议，并成为本合同不可分割的一部分的情况之外，本合同的条款不得有任何变化或修改。</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.3 由于采购人项目统一规划等原因导致本项目</w:t>
      </w:r>
      <w:r>
        <w:rPr>
          <w:rFonts w:hint="default" w:ascii="Times New Roman" w:hAnsi="Times New Roman" w:cs="Times New Roman"/>
          <w:color w:val="auto"/>
          <w:sz w:val="21"/>
          <w:szCs w:val="21"/>
          <w:highlight w:val="none"/>
          <w:lang w:eastAsia="zh-CN"/>
        </w:rPr>
        <w:t>合同</w:t>
      </w:r>
      <w:r>
        <w:rPr>
          <w:rFonts w:hint="default" w:ascii="Times New Roman" w:hAnsi="Times New Roman" w:cs="Times New Roman"/>
          <w:color w:val="auto"/>
          <w:sz w:val="21"/>
          <w:szCs w:val="21"/>
          <w:highlight w:val="none"/>
        </w:rPr>
        <w:t>停止</w:t>
      </w:r>
      <w:r>
        <w:rPr>
          <w:rFonts w:hint="default" w:ascii="Times New Roman" w:hAnsi="Times New Roman" w:cs="Times New Roman"/>
          <w:color w:val="auto"/>
          <w:sz w:val="21"/>
          <w:szCs w:val="21"/>
          <w:highlight w:val="none"/>
          <w:lang w:eastAsia="zh-CN"/>
        </w:rPr>
        <w:t>履行部分内容</w:t>
      </w:r>
      <w:r>
        <w:rPr>
          <w:rFonts w:hint="default" w:ascii="Times New Roman" w:hAnsi="Times New Roman" w:cs="Times New Roman"/>
          <w:color w:val="auto"/>
          <w:sz w:val="21"/>
          <w:szCs w:val="21"/>
          <w:highlight w:val="none"/>
        </w:rPr>
        <w:t>，甲方将启动合同变更程序，与乙方协商变更相关合同条款。</w:t>
      </w:r>
    </w:p>
    <w:p>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6</w:t>
      </w:r>
      <w:r>
        <w:rPr>
          <w:rFonts w:hint="default" w:ascii="Times New Roman" w:hAnsi="Times New Roman" w:cs="Times New Roman"/>
          <w:b/>
          <w:color w:val="auto"/>
          <w:sz w:val="21"/>
          <w:szCs w:val="21"/>
          <w:highlight w:val="none"/>
        </w:rPr>
        <w:t>. 转让和分包</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.1 除甲方事先书面同意外，乙方不得部分转让或全部转让其应履行的合同义务。</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 xml:space="preserve">16.2 </w:t>
      </w:r>
      <w:r>
        <w:rPr>
          <w:rFonts w:hint="default" w:ascii="Times New Roman" w:hAnsi="Times New Roman" w:eastAsia="宋体" w:cs="Times New Roman"/>
          <w:color w:val="auto"/>
          <w:sz w:val="21"/>
          <w:szCs w:val="21"/>
          <w:highlight w:val="none"/>
          <w:lang w:val="en-US" w:eastAsia="zh-CN"/>
        </w:rPr>
        <w:t>未经甲方同意，乙方不得采取分包方式履行合同。经甲方同意分包履行合同的，乙方就采购项目及分包项目向甲方负责，分包供应商就分包项目承担责任。</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 合同语言</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.1 本合同语言为中文。</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.2 双方交换的与合同有关的信件和其他文件应用合同语言书写。</w:t>
      </w:r>
    </w:p>
    <w:p>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18</w:t>
      </w:r>
      <w:r>
        <w:rPr>
          <w:rFonts w:hint="default" w:ascii="Times New Roman" w:hAnsi="Times New Roman" w:cs="Times New Roman"/>
          <w:b/>
          <w:color w:val="auto"/>
          <w:sz w:val="21"/>
          <w:szCs w:val="21"/>
          <w:highlight w:val="none"/>
        </w:rPr>
        <w:t>. 适用法律</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18</w:t>
      </w:r>
      <w:r>
        <w:rPr>
          <w:rFonts w:hint="default" w:ascii="Times New Roman" w:hAnsi="Times New Roman" w:cs="Times New Roman"/>
          <w:color w:val="auto"/>
          <w:sz w:val="21"/>
          <w:szCs w:val="21"/>
          <w:highlight w:val="none"/>
        </w:rPr>
        <w:t>.1 本合同按照中华人民共和国现行法律进行解释。</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18</w:t>
      </w:r>
      <w:r>
        <w:rPr>
          <w:rFonts w:hint="default" w:ascii="Times New Roman" w:hAnsi="Times New Roman" w:cs="Times New Roman"/>
          <w:color w:val="auto"/>
          <w:sz w:val="21"/>
          <w:szCs w:val="21"/>
          <w:highlight w:val="none"/>
        </w:rPr>
        <w:t>.2 本合同的履行、违约责任和解决争议的方法等适用《中华人民共和国</w:t>
      </w:r>
      <w:r>
        <w:rPr>
          <w:rFonts w:hint="default" w:ascii="Times New Roman" w:hAnsi="Times New Roman" w:cs="Times New Roman"/>
          <w:color w:val="auto"/>
          <w:sz w:val="21"/>
          <w:szCs w:val="21"/>
          <w:highlight w:val="none"/>
          <w:lang w:eastAsia="zh-CN"/>
        </w:rPr>
        <w:t>民法典（合同编）</w:t>
      </w:r>
      <w:r>
        <w:rPr>
          <w:rFonts w:hint="default" w:ascii="Times New Roman" w:hAnsi="Times New Roman" w:cs="Times New Roman"/>
          <w:color w:val="auto"/>
          <w:sz w:val="21"/>
          <w:szCs w:val="21"/>
          <w:highlight w:val="none"/>
        </w:rPr>
        <w:t>》。</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19</w:t>
      </w:r>
      <w:r>
        <w:rPr>
          <w:rFonts w:hint="default" w:ascii="Times New Roman" w:hAnsi="Times New Roman" w:cs="Times New Roman"/>
          <w:b/>
          <w:color w:val="auto"/>
          <w:sz w:val="21"/>
          <w:szCs w:val="21"/>
          <w:highlight w:val="none"/>
        </w:rPr>
        <w:t>. 税费</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19</w:t>
      </w:r>
      <w:r>
        <w:rPr>
          <w:rFonts w:hint="default" w:ascii="Times New Roman" w:hAnsi="Times New Roman" w:cs="Times New Roman"/>
          <w:color w:val="auto"/>
          <w:sz w:val="21"/>
          <w:szCs w:val="21"/>
          <w:highlight w:val="none"/>
        </w:rPr>
        <w:t>.1 合同服务的所有税费均已包含于合同价中，甲方不再另行支付。</w:t>
      </w:r>
    </w:p>
    <w:p>
      <w:pPr>
        <w:keepNext w:val="0"/>
        <w:keepLines w:val="0"/>
        <w:pageBreakBefore w:val="0"/>
        <w:widowControl w:val="0"/>
        <w:tabs>
          <w:tab w:val="left" w:pos="70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20</w:t>
      </w:r>
      <w:r>
        <w:rPr>
          <w:rFonts w:hint="default" w:ascii="Times New Roman" w:hAnsi="Times New Roman" w:cs="Times New Roman"/>
          <w:b/>
          <w:color w:val="auto"/>
          <w:sz w:val="21"/>
          <w:szCs w:val="21"/>
          <w:highlight w:val="none"/>
        </w:rPr>
        <w:t>. 合同生效</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20</w:t>
      </w:r>
      <w:r>
        <w:rPr>
          <w:rFonts w:hint="default" w:ascii="Times New Roman" w:hAnsi="Times New Roman" w:cs="Times New Roman"/>
          <w:color w:val="auto"/>
          <w:sz w:val="21"/>
          <w:szCs w:val="21"/>
          <w:highlight w:val="none"/>
        </w:rPr>
        <w:t>.1 本合同一式</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份，由甲乙双方法定代表人或被授权人签字并盖章后生效</w:t>
      </w:r>
      <w:r>
        <w:rPr>
          <w:rFonts w:hint="default" w:ascii="Times New Roman" w:hAnsi="Times New Roman" w:cs="Times New Roman"/>
          <w:color w:val="auto"/>
          <w:sz w:val="21"/>
          <w:szCs w:val="21"/>
          <w:highlight w:val="none"/>
          <w:lang w:eastAsia="zh-CN"/>
        </w:rPr>
        <w:t>。</w:t>
      </w:r>
    </w:p>
    <w:p>
      <w:pPr>
        <w:topLinePunct/>
        <w:autoSpaceDE w:val="0"/>
        <w:autoSpaceDN w:val="0"/>
        <w:spacing w:line="460" w:lineRule="exact"/>
        <w:jc w:val="center"/>
        <w:rPr>
          <w:rFonts w:hint="eastAsia" w:ascii="宋体" w:hAnsi="宋体" w:cs="宋体"/>
          <w:b/>
          <w:color w:val="auto"/>
          <w:sz w:val="24"/>
          <w:highlight w:val="none"/>
          <w:lang w:eastAsia="zh-CN"/>
        </w:rPr>
      </w:pPr>
    </w:p>
    <w:p>
      <w:pPr>
        <w:topLinePunct/>
        <w:autoSpaceDE w:val="0"/>
        <w:autoSpaceDN w:val="0"/>
        <w:spacing w:line="460" w:lineRule="exact"/>
        <w:jc w:val="center"/>
        <w:rPr>
          <w:rFonts w:hint="eastAsia" w:ascii="宋体" w:hAnsi="宋体" w:cs="宋体"/>
          <w:b/>
          <w:color w:val="auto"/>
          <w:sz w:val="24"/>
          <w:highlight w:val="none"/>
          <w:lang w:eastAsia="zh-CN"/>
        </w:rPr>
      </w:pPr>
    </w:p>
    <w:p>
      <w:pPr>
        <w:topLinePunct/>
        <w:autoSpaceDE w:val="0"/>
        <w:autoSpaceDN w:val="0"/>
        <w:spacing w:line="460" w:lineRule="exact"/>
        <w:jc w:val="center"/>
        <w:rPr>
          <w:rFonts w:hint="eastAsia" w:ascii="宋体" w:hAnsi="宋体" w:cs="宋体"/>
          <w:b/>
          <w:color w:val="auto"/>
          <w:sz w:val="24"/>
          <w:highlight w:val="none"/>
          <w:lang w:eastAsia="zh-CN"/>
        </w:rPr>
        <w:sectPr>
          <w:footerReference r:id="rId8" w:type="default"/>
          <w:pgSz w:w="11907" w:h="16839"/>
          <w:pgMar w:top="1440" w:right="1746" w:bottom="1440" w:left="1746" w:header="1148" w:footer="709" w:gutter="0"/>
          <w:pgNumType w:fmt="decimal"/>
          <w:cols w:space="720" w:num="1"/>
          <w:docGrid w:linePitch="360" w:charSpace="0"/>
        </w:sectPr>
      </w:pPr>
    </w:p>
    <w:p>
      <w:pPr>
        <w:keepNext w:val="0"/>
        <w:keepLines w:val="0"/>
        <w:pageBreakBefore w:val="0"/>
        <w:widowControl w:val="0"/>
        <w:kinsoku/>
        <w:wordWrap/>
        <w:overflowPunct/>
        <w:topLinePunct/>
        <w:autoSpaceDE w:val="0"/>
        <w:autoSpaceDN w:val="0"/>
        <w:bidi w:val="0"/>
        <w:adjustRightInd/>
        <w:snapToGrid/>
        <w:spacing w:line="360" w:lineRule="auto"/>
        <w:jc w:val="center"/>
        <w:textAlignment w:val="auto"/>
        <w:rPr>
          <w:rFonts w:hint="eastAsia" w:ascii="宋体" w:hAnsi="宋体" w:cs="宋体"/>
          <w:b/>
          <w:color w:val="auto"/>
          <w:sz w:val="24"/>
          <w:highlight w:val="none"/>
          <w:lang w:eastAsia="zh-CN"/>
        </w:rPr>
      </w:pPr>
      <w:r>
        <w:rPr>
          <w:rFonts w:hint="eastAsia" w:ascii="宋体" w:hAnsi="宋体" w:cs="宋体"/>
          <w:b/>
          <w:color w:val="auto"/>
          <w:sz w:val="24"/>
          <w:highlight w:val="none"/>
          <w:lang w:eastAsia="zh-CN"/>
        </w:rPr>
        <w:t>三</w:t>
      </w:r>
      <w:r>
        <w:rPr>
          <w:rFonts w:hint="eastAsia" w:ascii="宋体" w:hAnsi="宋体" w:cs="宋体"/>
          <w:b/>
          <w:color w:val="auto"/>
          <w:sz w:val="24"/>
          <w:highlight w:val="none"/>
          <w:lang w:val="en-US" w:eastAsia="zh-CN"/>
        </w:rPr>
        <w:t xml:space="preserve">  招标（采购）文件及投标（响应）文件</w:t>
      </w:r>
      <w:r>
        <w:rPr>
          <w:rFonts w:hint="eastAsia" w:ascii="宋体" w:hAnsi="宋体" w:cs="宋体"/>
          <w:b/>
          <w:color w:val="auto"/>
          <w:sz w:val="24"/>
          <w:highlight w:val="none"/>
          <w:lang w:eastAsia="zh-CN"/>
        </w:rPr>
        <w:t>（如需要，可另附）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color w:val="auto"/>
          <w:sz w:val="24"/>
          <w:highlight w:val="none"/>
          <w:lang w:eastAsia="zh-CN"/>
        </w:rPr>
      </w:pPr>
      <w:r>
        <w:rPr>
          <w:rFonts w:hint="eastAsia" w:ascii="宋体" w:hAnsi="宋体" w:cs="宋体"/>
          <w:color w:val="auto"/>
          <w:sz w:val="24"/>
          <w:highlight w:val="none"/>
        </w:rPr>
        <w:br w:type="page"/>
      </w:r>
      <w:r>
        <w:rPr>
          <w:rFonts w:hint="eastAsia" w:ascii="宋体" w:hAnsi="宋体" w:cs="宋体"/>
          <w:b/>
          <w:color w:val="auto"/>
          <w:sz w:val="24"/>
          <w:highlight w:val="none"/>
          <w:lang w:eastAsia="zh-CN"/>
        </w:rPr>
        <w:t>四</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lang w:eastAsia="zh-CN"/>
        </w:rPr>
        <w:t>报价表（总报价表和分项报价表）</w:t>
      </w:r>
    </w:p>
    <w:tbl>
      <w:tblPr>
        <w:tblStyle w:val="16"/>
        <w:tblW w:w="7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236"/>
        <w:gridCol w:w="816"/>
        <w:gridCol w:w="1236"/>
        <w:gridCol w:w="816"/>
        <w:gridCol w:w="816"/>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1400" w:type="dxa"/>
            <w:noWrap w:val="0"/>
            <w:vAlign w:val="center"/>
          </w:tcPr>
          <w:p>
            <w:pPr>
              <w:pStyle w:val="12"/>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序号</w:t>
            </w:r>
          </w:p>
        </w:tc>
        <w:tc>
          <w:tcPr>
            <w:tcW w:w="1236" w:type="dxa"/>
            <w:noWrap w:val="0"/>
            <w:vAlign w:val="center"/>
          </w:tcPr>
          <w:p>
            <w:pPr>
              <w:pStyle w:val="12"/>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货物名称</w:t>
            </w:r>
          </w:p>
        </w:tc>
        <w:tc>
          <w:tcPr>
            <w:tcW w:w="816" w:type="dxa"/>
            <w:noWrap w:val="0"/>
            <w:vAlign w:val="center"/>
          </w:tcPr>
          <w:p>
            <w:pPr>
              <w:pStyle w:val="12"/>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品牌</w:t>
            </w:r>
          </w:p>
        </w:tc>
        <w:tc>
          <w:tcPr>
            <w:tcW w:w="1236" w:type="dxa"/>
            <w:noWrap w:val="0"/>
            <w:vAlign w:val="center"/>
          </w:tcPr>
          <w:p>
            <w:pPr>
              <w:pStyle w:val="12"/>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型号规格</w:t>
            </w:r>
          </w:p>
        </w:tc>
        <w:tc>
          <w:tcPr>
            <w:tcW w:w="816" w:type="dxa"/>
            <w:noWrap w:val="0"/>
            <w:vAlign w:val="center"/>
          </w:tcPr>
          <w:p>
            <w:pPr>
              <w:pStyle w:val="12"/>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单价</w:t>
            </w:r>
          </w:p>
        </w:tc>
        <w:tc>
          <w:tcPr>
            <w:tcW w:w="816" w:type="dxa"/>
            <w:noWrap w:val="0"/>
            <w:vAlign w:val="center"/>
          </w:tcPr>
          <w:p>
            <w:pPr>
              <w:pStyle w:val="12"/>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数量</w:t>
            </w:r>
          </w:p>
        </w:tc>
        <w:tc>
          <w:tcPr>
            <w:tcW w:w="816" w:type="dxa"/>
            <w:noWrap w:val="0"/>
            <w:vAlign w:val="center"/>
          </w:tcPr>
          <w:p>
            <w:pPr>
              <w:pStyle w:val="12"/>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小计</w:t>
            </w:r>
          </w:p>
        </w:tc>
        <w:tc>
          <w:tcPr>
            <w:tcW w:w="816" w:type="dxa"/>
            <w:noWrap w:val="0"/>
            <w:vAlign w:val="center"/>
          </w:tcPr>
          <w:p>
            <w:pPr>
              <w:pStyle w:val="12"/>
              <w:jc w:val="center"/>
              <w:rPr>
                <w:rFonts w:ascii="Times New Roman" w:hAnsi="Times New Roman" w:eastAsia="MingLiU_HKSCS" w:cs="Times New Roman"/>
                <w:color w:val="auto"/>
                <w:sz w:val="21"/>
                <w:szCs w:val="21"/>
                <w:highlight w:val="none"/>
              </w:rPr>
            </w:pPr>
            <w:r>
              <w:rPr>
                <w:rFonts w:hint="eastAsia" w:ascii="Times New Roman" w:hAnsi="Times New Roman" w:cs="Times New Roman"/>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00" w:type="dxa"/>
            <w:noWrap w:val="0"/>
            <w:vAlign w:val="center"/>
          </w:tcPr>
          <w:p>
            <w:pPr>
              <w:pStyle w:val="12"/>
              <w:jc w:val="center"/>
              <w:rPr>
                <w:rFonts w:ascii="Times New Roman" w:hAnsi="Times New Roman" w:cs="Times New Roman"/>
                <w:color w:val="auto"/>
                <w:sz w:val="21"/>
                <w:szCs w:val="21"/>
                <w:highlight w:val="none"/>
              </w:rPr>
            </w:pPr>
          </w:p>
        </w:tc>
        <w:tc>
          <w:tcPr>
            <w:tcW w:w="1236" w:type="dxa"/>
            <w:noWrap w:val="0"/>
            <w:vAlign w:val="center"/>
          </w:tcPr>
          <w:p>
            <w:pPr>
              <w:pStyle w:val="12"/>
              <w:jc w:val="center"/>
              <w:rPr>
                <w:rFonts w:ascii="Times New Roman" w:hAnsi="Times New Roman" w:cs="Times New Roman"/>
                <w:color w:val="auto"/>
                <w:sz w:val="21"/>
                <w:szCs w:val="21"/>
                <w:highlight w:val="none"/>
              </w:rPr>
            </w:pPr>
          </w:p>
        </w:tc>
        <w:tc>
          <w:tcPr>
            <w:tcW w:w="816" w:type="dxa"/>
            <w:noWrap w:val="0"/>
            <w:vAlign w:val="center"/>
          </w:tcPr>
          <w:p>
            <w:pPr>
              <w:pStyle w:val="12"/>
              <w:jc w:val="center"/>
              <w:rPr>
                <w:rFonts w:ascii="Times New Roman" w:hAnsi="Times New Roman" w:cs="Times New Roman"/>
                <w:color w:val="auto"/>
                <w:sz w:val="21"/>
                <w:szCs w:val="21"/>
                <w:highlight w:val="none"/>
              </w:rPr>
            </w:pPr>
          </w:p>
        </w:tc>
        <w:tc>
          <w:tcPr>
            <w:tcW w:w="1236" w:type="dxa"/>
            <w:noWrap w:val="0"/>
            <w:vAlign w:val="center"/>
          </w:tcPr>
          <w:p>
            <w:pPr>
              <w:pStyle w:val="12"/>
              <w:jc w:val="center"/>
              <w:rPr>
                <w:rFonts w:ascii="Times New Roman" w:hAnsi="Times New Roman" w:cs="Times New Roman"/>
                <w:color w:val="auto"/>
                <w:sz w:val="21"/>
                <w:szCs w:val="21"/>
                <w:highlight w:val="none"/>
              </w:rPr>
            </w:pPr>
          </w:p>
        </w:tc>
        <w:tc>
          <w:tcPr>
            <w:tcW w:w="816" w:type="dxa"/>
            <w:noWrap w:val="0"/>
            <w:vAlign w:val="center"/>
          </w:tcPr>
          <w:p>
            <w:pPr>
              <w:pStyle w:val="12"/>
              <w:jc w:val="center"/>
              <w:rPr>
                <w:rFonts w:ascii="Times New Roman" w:hAnsi="Times New Roman" w:cs="Times New Roman"/>
                <w:color w:val="auto"/>
                <w:sz w:val="21"/>
                <w:szCs w:val="21"/>
                <w:highlight w:val="none"/>
              </w:rPr>
            </w:pPr>
          </w:p>
        </w:tc>
        <w:tc>
          <w:tcPr>
            <w:tcW w:w="816" w:type="dxa"/>
            <w:noWrap w:val="0"/>
            <w:vAlign w:val="center"/>
          </w:tcPr>
          <w:p>
            <w:pPr>
              <w:pStyle w:val="12"/>
              <w:jc w:val="center"/>
              <w:rPr>
                <w:rFonts w:ascii="Times New Roman" w:hAnsi="Times New Roman" w:cs="Times New Roman"/>
                <w:color w:val="auto"/>
                <w:sz w:val="21"/>
                <w:szCs w:val="21"/>
                <w:highlight w:val="none"/>
              </w:rPr>
            </w:pPr>
          </w:p>
        </w:tc>
        <w:tc>
          <w:tcPr>
            <w:tcW w:w="816" w:type="dxa"/>
            <w:noWrap w:val="0"/>
            <w:vAlign w:val="center"/>
          </w:tcPr>
          <w:p>
            <w:pPr>
              <w:pStyle w:val="12"/>
              <w:jc w:val="center"/>
              <w:rPr>
                <w:rFonts w:ascii="Times New Roman" w:hAnsi="Times New Roman" w:cs="Times New Roman"/>
                <w:color w:val="auto"/>
                <w:sz w:val="21"/>
                <w:szCs w:val="21"/>
                <w:highlight w:val="none"/>
              </w:rPr>
            </w:pPr>
          </w:p>
        </w:tc>
        <w:tc>
          <w:tcPr>
            <w:tcW w:w="816" w:type="dxa"/>
            <w:noWrap w:val="0"/>
            <w:vAlign w:val="center"/>
          </w:tcPr>
          <w:p>
            <w:pPr>
              <w:pStyle w:val="12"/>
              <w:jc w:val="center"/>
              <w:rPr>
                <w:rFonts w:ascii="Times New Roman" w:hAnsi="Times New Roman" w:eastAsia="MingLiU_HKSCS"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00" w:type="dxa"/>
            <w:noWrap w:val="0"/>
            <w:vAlign w:val="center"/>
          </w:tcPr>
          <w:p>
            <w:pPr>
              <w:pStyle w:val="12"/>
              <w:jc w:val="center"/>
              <w:rPr>
                <w:rFonts w:ascii="Times New Roman" w:hAnsi="Times New Roman" w:cs="Times New Roman"/>
                <w:color w:val="auto"/>
                <w:sz w:val="21"/>
                <w:szCs w:val="21"/>
                <w:highlight w:val="none"/>
              </w:rPr>
            </w:pPr>
          </w:p>
        </w:tc>
        <w:tc>
          <w:tcPr>
            <w:tcW w:w="1236" w:type="dxa"/>
            <w:noWrap w:val="0"/>
            <w:vAlign w:val="center"/>
          </w:tcPr>
          <w:p>
            <w:pPr>
              <w:pStyle w:val="12"/>
              <w:jc w:val="center"/>
              <w:rPr>
                <w:rFonts w:ascii="Times New Roman" w:hAnsi="Times New Roman" w:cs="Times New Roman"/>
                <w:color w:val="auto"/>
                <w:sz w:val="21"/>
                <w:szCs w:val="21"/>
                <w:highlight w:val="none"/>
              </w:rPr>
            </w:pPr>
          </w:p>
        </w:tc>
        <w:tc>
          <w:tcPr>
            <w:tcW w:w="816" w:type="dxa"/>
            <w:noWrap w:val="0"/>
            <w:vAlign w:val="center"/>
          </w:tcPr>
          <w:p>
            <w:pPr>
              <w:pStyle w:val="12"/>
              <w:jc w:val="center"/>
              <w:rPr>
                <w:rFonts w:ascii="Times New Roman" w:hAnsi="Times New Roman" w:cs="Times New Roman"/>
                <w:color w:val="auto"/>
                <w:sz w:val="21"/>
                <w:szCs w:val="21"/>
                <w:highlight w:val="none"/>
              </w:rPr>
            </w:pPr>
          </w:p>
        </w:tc>
        <w:tc>
          <w:tcPr>
            <w:tcW w:w="1236" w:type="dxa"/>
            <w:noWrap w:val="0"/>
            <w:vAlign w:val="center"/>
          </w:tcPr>
          <w:p>
            <w:pPr>
              <w:pStyle w:val="12"/>
              <w:jc w:val="center"/>
              <w:rPr>
                <w:rFonts w:ascii="Times New Roman" w:hAnsi="Times New Roman" w:cs="Times New Roman"/>
                <w:color w:val="auto"/>
                <w:sz w:val="21"/>
                <w:szCs w:val="21"/>
                <w:highlight w:val="none"/>
              </w:rPr>
            </w:pPr>
          </w:p>
        </w:tc>
        <w:tc>
          <w:tcPr>
            <w:tcW w:w="816" w:type="dxa"/>
            <w:noWrap w:val="0"/>
            <w:vAlign w:val="center"/>
          </w:tcPr>
          <w:p>
            <w:pPr>
              <w:pStyle w:val="12"/>
              <w:jc w:val="center"/>
              <w:rPr>
                <w:rFonts w:ascii="Times New Roman" w:hAnsi="Times New Roman" w:cs="Times New Roman"/>
                <w:color w:val="auto"/>
                <w:sz w:val="21"/>
                <w:szCs w:val="21"/>
                <w:highlight w:val="none"/>
              </w:rPr>
            </w:pPr>
          </w:p>
        </w:tc>
        <w:tc>
          <w:tcPr>
            <w:tcW w:w="816" w:type="dxa"/>
            <w:noWrap w:val="0"/>
            <w:vAlign w:val="center"/>
          </w:tcPr>
          <w:p>
            <w:pPr>
              <w:pStyle w:val="12"/>
              <w:jc w:val="center"/>
              <w:rPr>
                <w:rFonts w:ascii="Times New Roman" w:hAnsi="Times New Roman" w:cs="Times New Roman"/>
                <w:color w:val="auto"/>
                <w:sz w:val="21"/>
                <w:szCs w:val="21"/>
                <w:highlight w:val="none"/>
              </w:rPr>
            </w:pPr>
          </w:p>
        </w:tc>
        <w:tc>
          <w:tcPr>
            <w:tcW w:w="816" w:type="dxa"/>
            <w:noWrap w:val="0"/>
            <w:vAlign w:val="center"/>
          </w:tcPr>
          <w:p>
            <w:pPr>
              <w:pStyle w:val="12"/>
              <w:jc w:val="center"/>
              <w:rPr>
                <w:rFonts w:ascii="Times New Roman" w:hAnsi="Times New Roman" w:cs="Times New Roman"/>
                <w:color w:val="auto"/>
                <w:sz w:val="21"/>
                <w:szCs w:val="21"/>
                <w:highlight w:val="none"/>
              </w:rPr>
            </w:pPr>
          </w:p>
        </w:tc>
        <w:tc>
          <w:tcPr>
            <w:tcW w:w="816" w:type="dxa"/>
            <w:noWrap w:val="0"/>
            <w:vAlign w:val="center"/>
          </w:tcPr>
          <w:p>
            <w:pPr>
              <w:pStyle w:val="12"/>
              <w:jc w:val="center"/>
              <w:rPr>
                <w:rFonts w:ascii="Times New Roman" w:hAnsi="Times New Roman" w:eastAsia="MingLiU_HKSCS"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00" w:type="dxa"/>
            <w:noWrap w:val="0"/>
            <w:vAlign w:val="center"/>
          </w:tcPr>
          <w:p>
            <w:pPr>
              <w:pStyle w:val="12"/>
              <w:jc w:val="center"/>
              <w:rPr>
                <w:rFonts w:ascii="Times New Roman" w:hAnsi="Times New Roman" w:cs="Times New Roman"/>
                <w:color w:val="auto"/>
                <w:sz w:val="21"/>
                <w:szCs w:val="21"/>
                <w:highlight w:val="none"/>
              </w:rPr>
            </w:pPr>
          </w:p>
        </w:tc>
        <w:tc>
          <w:tcPr>
            <w:tcW w:w="1236" w:type="dxa"/>
            <w:noWrap w:val="0"/>
            <w:vAlign w:val="center"/>
          </w:tcPr>
          <w:p>
            <w:pPr>
              <w:pStyle w:val="12"/>
              <w:jc w:val="center"/>
              <w:rPr>
                <w:rFonts w:ascii="Times New Roman" w:hAnsi="Times New Roman" w:cs="Times New Roman"/>
                <w:color w:val="auto"/>
                <w:sz w:val="21"/>
                <w:szCs w:val="21"/>
                <w:highlight w:val="none"/>
              </w:rPr>
            </w:pPr>
          </w:p>
        </w:tc>
        <w:tc>
          <w:tcPr>
            <w:tcW w:w="816" w:type="dxa"/>
            <w:noWrap w:val="0"/>
            <w:vAlign w:val="center"/>
          </w:tcPr>
          <w:p>
            <w:pPr>
              <w:pStyle w:val="12"/>
              <w:jc w:val="center"/>
              <w:rPr>
                <w:rFonts w:ascii="Times New Roman" w:hAnsi="Times New Roman" w:cs="Times New Roman"/>
                <w:color w:val="auto"/>
                <w:sz w:val="21"/>
                <w:szCs w:val="21"/>
                <w:highlight w:val="none"/>
              </w:rPr>
            </w:pPr>
          </w:p>
        </w:tc>
        <w:tc>
          <w:tcPr>
            <w:tcW w:w="1236" w:type="dxa"/>
            <w:noWrap w:val="0"/>
            <w:vAlign w:val="center"/>
          </w:tcPr>
          <w:p>
            <w:pPr>
              <w:pStyle w:val="12"/>
              <w:jc w:val="center"/>
              <w:rPr>
                <w:rFonts w:ascii="Times New Roman" w:hAnsi="Times New Roman" w:cs="Times New Roman"/>
                <w:color w:val="auto"/>
                <w:sz w:val="21"/>
                <w:szCs w:val="21"/>
                <w:highlight w:val="none"/>
              </w:rPr>
            </w:pPr>
          </w:p>
        </w:tc>
        <w:tc>
          <w:tcPr>
            <w:tcW w:w="816" w:type="dxa"/>
            <w:noWrap w:val="0"/>
            <w:vAlign w:val="center"/>
          </w:tcPr>
          <w:p>
            <w:pPr>
              <w:pStyle w:val="12"/>
              <w:jc w:val="center"/>
              <w:rPr>
                <w:rFonts w:ascii="Times New Roman" w:hAnsi="Times New Roman" w:cs="Times New Roman"/>
                <w:color w:val="auto"/>
                <w:sz w:val="21"/>
                <w:szCs w:val="21"/>
                <w:highlight w:val="none"/>
              </w:rPr>
            </w:pPr>
          </w:p>
        </w:tc>
        <w:tc>
          <w:tcPr>
            <w:tcW w:w="816" w:type="dxa"/>
            <w:noWrap w:val="0"/>
            <w:vAlign w:val="center"/>
          </w:tcPr>
          <w:p>
            <w:pPr>
              <w:pStyle w:val="12"/>
              <w:jc w:val="center"/>
              <w:rPr>
                <w:rFonts w:ascii="Times New Roman" w:hAnsi="Times New Roman" w:cs="Times New Roman"/>
                <w:color w:val="auto"/>
                <w:sz w:val="21"/>
                <w:szCs w:val="21"/>
                <w:highlight w:val="none"/>
              </w:rPr>
            </w:pPr>
          </w:p>
        </w:tc>
        <w:tc>
          <w:tcPr>
            <w:tcW w:w="816" w:type="dxa"/>
            <w:noWrap w:val="0"/>
            <w:vAlign w:val="center"/>
          </w:tcPr>
          <w:p>
            <w:pPr>
              <w:pStyle w:val="12"/>
              <w:jc w:val="center"/>
              <w:rPr>
                <w:rFonts w:ascii="Times New Roman" w:hAnsi="Times New Roman" w:cs="Times New Roman"/>
                <w:color w:val="auto"/>
                <w:sz w:val="21"/>
                <w:szCs w:val="21"/>
                <w:highlight w:val="none"/>
              </w:rPr>
            </w:pPr>
          </w:p>
        </w:tc>
        <w:tc>
          <w:tcPr>
            <w:tcW w:w="816" w:type="dxa"/>
            <w:noWrap w:val="0"/>
            <w:vAlign w:val="center"/>
          </w:tcPr>
          <w:p>
            <w:pPr>
              <w:pStyle w:val="12"/>
              <w:jc w:val="center"/>
              <w:rPr>
                <w:rFonts w:ascii="Times New Roman" w:hAnsi="Times New Roman" w:eastAsia="MingLiU_HKSCS"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00" w:type="dxa"/>
            <w:noWrap w:val="0"/>
            <w:vAlign w:val="center"/>
          </w:tcPr>
          <w:p>
            <w:pPr>
              <w:pStyle w:val="12"/>
              <w:jc w:val="center"/>
              <w:rPr>
                <w:rFonts w:ascii="Times New Roman" w:hAnsi="Times New Roman" w:cs="Times New Roman"/>
                <w:color w:val="auto"/>
                <w:sz w:val="21"/>
                <w:szCs w:val="21"/>
                <w:highlight w:val="none"/>
              </w:rPr>
            </w:pPr>
          </w:p>
        </w:tc>
        <w:tc>
          <w:tcPr>
            <w:tcW w:w="1236" w:type="dxa"/>
            <w:noWrap w:val="0"/>
            <w:vAlign w:val="center"/>
          </w:tcPr>
          <w:p>
            <w:pPr>
              <w:pStyle w:val="12"/>
              <w:jc w:val="center"/>
              <w:rPr>
                <w:rFonts w:ascii="Times New Roman" w:hAnsi="Times New Roman" w:cs="Times New Roman"/>
                <w:color w:val="auto"/>
                <w:sz w:val="21"/>
                <w:szCs w:val="21"/>
                <w:highlight w:val="none"/>
              </w:rPr>
            </w:pPr>
          </w:p>
        </w:tc>
        <w:tc>
          <w:tcPr>
            <w:tcW w:w="816" w:type="dxa"/>
            <w:noWrap w:val="0"/>
            <w:vAlign w:val="center"/>
          </w:tcPr>
          <w:p>
            <w:pPr>
              <w:pStyle w:val="12"/>
              <w:jc w:val="center"/>
              <w:rPr>
                <w:rFonts w:ascii="Times New Roman" w:hAnsi="Times New Roman" w:cs="Times New Roman"/>
                <w:color w:val="auto"/>
                <w:sz w:val="21"/>
                <w:szCs w:val="21"/>
                <w:highlight w:val="none"/>
              </w:rPr>
            </w:pPr>
          </w:p>
        </w:tc>
        <w:tc>
          <w:tcPr>
            <w:tcW w:w="1236" w:type="dxa"/>
            <w:noWrap w:val="0"/>
            <w:vAlign w:val="center"/>
          </w:tcPr>
          <w:p>
            <w:pPr>
              <w:pStyle w:val="12"/>
              <w:jc w:val="center"/>
              <w:rPr>
                <w:rFonts w:ascii="Times New Roman" w:hAnsi="Times New Roman" w:cs="Times New Roman"/>
                <w:color w:val="auto"/>
                <w:sz w:val="21"/>
                <w:szCs w:val="21"/>
                <w:highlight w:val="none"/>
              </w:rPr>
            </w:pPr>
          </w:p>
        </w:tc>
        <w:tc>
          <w:tcPr>
            <w:tcW w:w="816" w:type="dxa"/>
            <w:noWrap w:val="0"/>
            <w:vAlign w:val="center"/>
          </w:tcPr>
          <w:p>
            <w:pPr>
              <w:pStyle w:val="12"/>
              <w:jc w:val="center"/>
              <w:rPr>
                <w:rFonts w:ascii="Times New Roman" w:hAnsi="Times New Roman" w:cs="Times New Roman"/>
                <w:color w:val="auto"/>
                <w:sz w:val="21"/>
                <w:szCs w:val="21"/>
                <w:highlight w:val="none"/>
              </w:rPr>
            </w:pPr>
          </w:p>
        </w:tc>
        <w:tc>
          <w:tcPr>
            <w:tcW w:w="816" w:type="dxa"/>
            <w:noWrap w:val="0"/>
            <w:vAlign w:val="center"/>
          </w:tcPr>
          <w:p>
            <w:pPr>
              <w:pStyle w:val="12"/>
              <w:jc w:val="center"/>
              <w:rPr>
                <w:rFonts w:ascii="Times New Roman" w:hAnsi="Times New Roman" w:cs="Times New Roman"/>
                <w:color w:val="auto"/>
                <w:sz w:val="21"/>
                <w:szCs w:val="21"/>
                <w:highlight w:val="none"/>
              </w:rPr>
            </w:pPr>
          </w:p>
        </w:tc>
        <w:tc>
          <w:tcPr>
            <w:tcW w:w="816" w:type="dxa"/>
            <w:noWrap w:val="0"/>
            <w:vAlign w:val="center"/>
          </w:tcPr>
          <w:p>
            <w:pPr>
              <w:pStyle w:val="12"/>
              <w:jc w:val="center"/>
              <w:rPr>
                <w:rFonts w:ascii="Times New Roman" w:hAnsi="Times New Roman" w:cs="Times New Roman"/>
                <w:color w:val="auto"/>
                <w:sz w:val="21"/>
                <w:szCs w:val="21"/>
                <w:highlight w:val="none"/>
              </w:rPr>
            </w:pPr>
          </w:p>
        </w:tc>
        <w:tc>
          <w:tcPr>
            <w:tcW w:w="816" w:type="dxa"/>
            <w:noWrap w:val="0"/>
            <w:vAlign w:val="center"/>
          </w:tcPr>
          <w:p>
            <w:pPr>
              <w:pStyle w:val="12"/>
              <w:jc w:val="center"/>
              <w:rPr>
                <w:rFonts w:ascii="Times New Roman" w:hAnsi="Times New Roman" w:eastAsia="MingLiU_HKSCS"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00" w:type="dxa"/>
            <w:noWrap w:val="0"/>
            <w:vAlign w:val="center"/>
          </w:tcPr>
          <w:p>
            <w:pPr>
              <w:pStyle w:val="12"/>
              <w:jc w:val="center"/>
              <w:rPr>
                <w:rFonts w:ascii="Times New Roman" w:hAnsi="Times New Roman" w:cs="Times New Roman"/>
                <w:color w:val="auto"/>
                <w:sz w:val="21"/>
                <w:szCs w:val="21"/>
                <w:highlight w:val="none"/>
              </w:rPr>
            </w:pPr>
          </w:p>
        </w:tc>
        <w:tc>
          <w:tcPr>
            <w:tcW w:w="1236" w:type="dxa"/>
            <w:noWrap w:val="0"/>
            <w:vAlign w:val="center"/>
          </w:tcPr>
          <w:p>
            <w:pPr>
              <w:pStyle w:val="12"/>
              <w:jc w:val="center"/>
              <w:rPr>
                <w:rFonts w:ascii="Times New Roman" w:hAnsi="Times New Roman" w:cs="Times New Roman"/>
                <w:color w:val="auto"/>
                <w:sz w:val="21"/>
                <w:szCs w:val="21"/>
                <w:highlight w:val="none"/>
              </w:rPr>
            </w:pPr>
          </w:p>
        </w:tc>
        <w:tc>
          <w:tcPr>
            <w:tcW w:w="816" w:type="dxa"/>
            <w:noWrap w:val="0"/>
            <w:vAlign w:val="center"/>
          </w:tcPr>
          <w:p>
            <w:pPr>
              <w:pStyle w:val="12"/>
              <w:jc w:val="center"/>
              <w:rPr>
                <w:rFonts w:ascii="Times New Roman" w:hAnsi="Times New Roman" w:cs="Times New Roman"/>
                <w:color w:val="auto"/>
                <w:sz w:val="21"/>
                <w:szCs w:val="21"/>
                <w:highlight w:val="none"/>
              </w:rPr>
            </w:pPr>
          </w:p>
        </w:tc>
        <w:tc>
          <w:tcPr>
            <w:tcW w:w="1236" w:type="dxa"/>
            <w:noWrap w:val="0"/>
            <w:vAlign w:val="center"/>
          </w:tcPr>
          <w:p>
            <w:pPr>
              <w:pStyle w:val="12"/>
              <w:jc w:val="center"/>
              <w:rPr>
                <w:rFonts w:ascii="Times New Roman" w:hAnsi="Times New Roman" w:cs="Times New Roman"/>
                <w:color w:val="auto"/>
                <w:sz w:val="21"/>
                <w:szCs w:val="21"/>
                <w:highlight w:val="none"/>
              </w:rPr>
            </w:pPr>
          </w:p>
        </w:tc>
        <w:tc>
          <w:tcPr>
            <w:tcW w:w="816" w:type="dxa"/>
            <w:noWrap w:val="0"/>
            <w:vAlign w:val="center"/>
          </w:tcPr>
          <w:p>
            <w:pPr>
              <w:pStyle w:val="12"/>
              <w:jc w:val="center"/>
              <w:rPr>
                <w:rFonts w:ascii="Times New Roman" w:hAnsi="Times New Roman" w:cs="Times New Roman"/>
                <w:color w:val="auto"/>
                <w:sz w:val="21"/>
                <w:szCs w:val="21"/>
                <w:highlight w:val="none"/>
              </w:rPr>
            </w:pPr>
          </w:p>
        </w:tc>
        <w:tc>
          <w:tcPr>
            <w:tcW w:w="816" w:type="dxa"/>
            <w:noWrap w:val="0"/>
            <w:vAlign w:val="center"/>
          </w:tcPr>
          <w:p>
            <w:pPr>
              <w:pStyle w:val="12"/>
              <w:jc w:val="center"/>
              <w:rPr>
                <w:rFonts w:ascii="Times New Roman" w:hAnsi="Times New Roman" w:cs="Times New Roman"/>
                <w:color w:val="auto"/>
                <w:sz w:val="21"/>
                <w:szCs w:val="21"/>
                <w:highlight w:val="none"/>
              </w:rPr>
            </w:pPr>
          </w:p>
        </w:tc>
        <w:tc>
          <w:tcPr>
            <w:tcW w:w="816" w:type="dxa"/>
            <w:noWrap w:val="0"/>
            <w:vAlign w:val="center"/>
          </w:tcPr>
          <w:p>
            <w:pPr>
              <w:pStyle w:val="12"/>
              <w:jc w:val="center"/>
              <w:rPr>
                <w:rFonts w:ascii="Times New Roman" w:hAnsi="Times New Roman" w:cs="Times New Roman"/>
                <w:color w:val="auto"/>
                <w:sz w:val="21"/>
                <w:szCs w:val="21"/>
                <w:highlight w:val="none"/>
              </w:rPr>
            </w:pPr>
          </w:p>
        </w:tc>
        <w:tc>
          <w:tcPr>
            <w:tcW w:w="816" w:type="dxa"/>
            <w:noWrap w:val="0"/>
            <w:vAlign w:val="center"/>
          </w:tcPr>
          <w:p>
            <w:pPr>
              <w:pStyle w:val="12"/>
              <w:jc w:val="center"/>
              <w:rPr>
                <w:rFonts w:ascii="Times New Roman" w:hAnsi="Times New Roman" w:eastAsia="MingLiU_HKSCS"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00" w:type="dxa"/>
            <w:noWrap w:val="0"/>
            <w:vAlign w:val="center"/>
          </w:tcPr>
          <w:p>
            <w:pPr>
              <w:pStyle w:val="12"/>
              <w:jc w:val="center"/>
              <w:rPr>
                <w:rFonts w:ascii="Times New Roman" w:hAnsi="Times New Roman" w:cs="Times New Roman"/>
                <w:color w:val="auto"/>
                <w:sz w:val="21"/>
                <w:szCs w:val="21"/>
                <w:highlight w:val="none"/>
              </w:rPr>
            </w:pPr>
          </w:p>
        </w:tc>
        <w:tc>
          <w:tcPr>
            <w:tcW w:w="1236" w:type="dxa"/>
            <w:noWrap w:val="0"/>
            <w:vAlign w:val="center"/>
          </w:tcPr>
          <w:p>
            <w:pPr>
              <w:pStyle w:val="12"/>
              <w:jc w:val="center"/>
              <w:rPr>
                <w:rFonts w:ascii="Times New Roman" w:hAnsi="Times New Roman" w:cs="Times New Roman"/>
                <w:color w:val="auto"/>
                <w:sz w:val="21"/>
                <w:szCs w:val="21"/>
                <w:highlight w:val="none"/>
              </w:rPr>
            </w:pPr>
          </w:p>
        </w:tc>
        <w:tc>
          <w:tcPr>
            <w:tcW w:w="816" w:type="dxa"/>
            <w:noWrap w:val="0"/>
            <w:vAlign w:val="center"/>
          </w:tcPr>
          <w:p>
            <w:pPr>
              <w:pStyle w:val="12"/>
              <w:jc w:val="center"/>
              <w:rPr>
                <w:rFonts w:ascii="Times New Roman" w:hAnsi="Times New Roman" w:cs="Times New Roman"/>
                <w:color w:val="auto"/>
                <w:sz w:val="21"/>
                <w:szCs w:val="21"/>
                <w:highlight w:val="none"/>
              </w:rPr>
            </w:pPr>
          </w:p>
        </w:tc>
        <w:tc>
          <w:tcPr>
            <w:tcW w:w="1236" w:type="dxa"/>
            <w:noWrap w:val="0"/>
            <w:vAlign w:val="center"/>
          </w:tcPr>
          <w:p>
            <w:pPr>
              <w:pStyle w:val="12"/>
              <w:jc w:val="center"/>
              <w:rPr>
                <w:rFonts w:ascii="Times New Roman" w:hAnsi="Times New Roman" w:cs="Times New Roman"/>
                <w:color w:val="auto"/>
                <w:sz w:val="21"/>
                <w:szCs w:val="21"/>
                <w:highlight w:val="none"/>
              </w:rPr>
            </w:pPr>
          </w:p>
        </w:tc>
        <w:tc>
          <w:tcPr>
            <w:tcW w:w="816" w:type="dxa"/>
            <w:noWrap w:val="0"/>
            <w:vAlign w:val="center"/>
          </w:tcPr>
          <w:p>
            <w:pPr>
              <w:pStyle w:val="12"/>
              <w:jc w:val="center"/>
              <w:rPr>
                <w:rFonts w:ascii="Times New Roman" w:hAnsi="Times New Roman" w:cs="Times New Roman"/>
                <w:color w:val="auto"/>
                <w:sz w:val="21"/>
                <w:szCs w:val="21"/>
                <w:highlight w:val="none"/>
              </w:rPr>
            </w:pPr>
          </w:p>
        </w:tc>
        <w:tc>
          <w:tcPr>
            <w:tcW w:w="816" w:type="dxa"/>
            <w:noWrap w:val="0"/>
            <w:vAlign w:val="center"/>
          </w:tcPr>
          <w:p>
            <w:pPr>
              <w:pStyle w:val="12"/>
              <w:jc w:val="center"/>
              <w:rPr>
                <w:rFonts w:ascii="Times New Roman" w:hAnsi="Times New Roman" w:cs="Times New Roman"/>
                <w:color w:val="auto"/>
                <w:sz w:val="21"/>
                <w:szCs w:val="21"/>
                <w:highlight w:val="none"/>
              </w:rPr>
            </w:pPr>
          </w:p>
        </w:tc>
        <w:tc>
          <w:tcPr>
            <w:tcW w:w="816" w:type="dxa"/>
            <w:noWrap w:val="0"/>
            <w:vAlign w:val="center"/>
          </w:tcPr>
          <w:p>
            <w:pPr>
              <w:pStyle w:val="12"/>
              <w:jc w:val="center"/>
              <w:rPr>
                <w:rFonts w:ascii="Times New Roman" w:hAnsi="Times New Roman" w:cs="Times New Roman"/>
                <w:color w:val="auto"/>
                <w:sz w:val="21"/>
                <w:szCs w:val="21"/>
                <w:highlight w:val="none"/>
              </w:rPr>
            </w:pPr>
          </w:p>
        </w:tc>
        <w:tc>
          <w:tcPr>
            <w:tcW w:w="816" w:type="dxa"/>
            <w:noWrap w:val="0"/>
            <w:vAlign w:val="center"/>
          </w:tcPr>
          <w:p>
            <w:pPr>
              <w:pStyle w:val="12"/>
              <w:jc w:val="center"/>
              <w:rPr>
                <w:rFonts w:ascii="MingLiU_HKSCS" w:hAnsi="MingLiU_HKSCS" w:eastAsia="MingLiU_HKSCS" w:cs="MingLiU_HKS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688" w:type="dxa"/>
            <w:gridSpan w:val="4"/>
            <w:noWrap w:val="0"/>
            <w:vAlign w:val="center"/>
          </w:tcPr>
          <w:p>
            <w:pPr>
              <w:pStyle w:val="12"/>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合计</w:t>
            </w:r>
          </w:p>
        </w:tc>
        <w:tc>
          <w:tcPr>
            <w:tcW w:w="816" w:type="dxa"/>
            <w:noWrap w:val="0"/>
            <w:vAlign w:val="center"/>
          </w:tcPr>
          <w:p>
            <w:pPr>
              <w:pStyle w:val="12"/>
              <w:jc w:val="center"/>
              <w:rPr>
                <w:rFonts w:ascii="Times New Roman" w:hAnsi="Times New Roman" w:eastAsia="MingLiU_HKSCS" w:cs="Times New Roman"/>
                <w:color w:val="auto"/>
                <w:sz w:val="21"/>
                <w:szCs w:val="21"/>
                <w:highlight w:val="none"/>
              </w:rPr>
            </w:pPr>
          </w:p>
        </w:tc>
        <w:tc>
          <w:tcPr>
            <w:tcW w:w="816" w:type="dxa"/>
            <w:noWrap w:val="0"/>
            <w:vAlign w:val="center"/>
          </w:tcPr>
          <w:p>
            <w:pPr>
              <w:pStyle w:val="12"/>
              <w:jc w:val="center"/>
              <w:rPr>
                <w:rFonts w:ascii="Times New Roman" w:hAnsi="Times New Roman" w:eastAsia="MingLiU_HKSCS" w:cs="Times New Roman"/>
                <w:color w:val="auto"/>
                <w:sz w:val="21"/>
                <w:szCs w:val="21"/>
                <w:highlight w:val="none"/>
              </w:rPr>
            </w:pPr>
          </w:p>
        </w:tc>
        <w:tc>
          <w:tcPr>
            <w:tcW w:w="816" w:type="dxa"/>
            <w:noWrap w:val="0"/>
            <w:vAlign w:val="center"/>
          </w:tcPr>
          <w:p>
            <w:pPr>
              <w:pStyle w:val="12"/>
              <w:jc w:val="center"/>
              <w:rPr>
                <w:rFonts w:ascii="Times New Roman" w:hAnsi="Times New Roman" w:eastAsia="MingLiU_HKSCS" w:cs="Times New Roman"/>
                <w:color w:val="auto"/>
                <w:sz w:val="21"/>
                <w:szCs w:val="21"/>
                <w:highlight w:val="none"/>
              </w:rPr>
            </w:pPr>
          </w:p>
        </w:tc>
        <w:tc>
          <w:tcPr>
            <w:tcW w:w="816" w:type="dxa"/>
            <w:noWrap w:val="0"/>
            <w:vAlign w:val="center"/>
          </w:tcPr>
          <w:p>
            <w:pPr>
              <w:pStyle w:val="12"/>
              <w:jc w:val="center"/>
              <w:rPr>
                <w:rFonts w:ascii="Times New Roman" w:hAnsi="Times New Roman" w:eastAsia="MingLiU_HKSCS" w:cs="Times New Roman"/>
                <w:color w:val="auto"/>
                <w:sz w:val="21"/>
                <w:szCs w:val="21"/>
                <w:highlight w:val="none"/>
              </w:rPr>
            </w:pPr>
          </w:p>
        </w:tc>
      </w:tr>
    </w:tbl>
    <w:p>
      <w:pPr>
        <w:jc w:val="both"/>
        <w:rPr>
          <w:rFonts w:hint="eastAsia" w:ascii="宋体" w:hAnsi="宋体" w:cs="宋体"/>
          <w:b/>
          <w:color w:val="auto"/>
          <w:sz w:val="24"/>
          <w:highlight w:val="none"/>
          <w:lang w:eastAsia="zh-CN"/>
        </w:rPr>
      </w:pPr>
    </w:p>
    <w:p>
      <w:pPr>
        <w:rPr>
          <w:color w:val="auto"/>
          <w:highlight w:val="none"/>
        </w:rPr>
      </w:pPr>
      <w:r>
        <w:rPr>
          <w:color w:val="auto"/>
          <w:highlight w:val="none"/>
        </w:rPr>
        <w:br w:type="page"/>
      </w:r>
    </w:p>
    <w:p>
      <w:pPr>
        <w:pStyle w:val="3"/>
        <w:jc w:val="center"/>
        <w:rPr>
          <w:rFonts w:hint="eastAsia" w:ascii="Calibri" w:hAnsi="Calibri" w:eastAsia="宋体" w:cs="Times New Roman"/>
          <w:color w:val="auto"/>
          <w:sz w:val="44"/>
          <w:szCs w:val="44"/>
          <w:lang w:eastAsia="zh-CN"/>
        </w:rPr>
      </w:pPr>
      <w:bookmarkStart w:id="99" w:name="_Toc23636"/>
      <w:bookmarkStart w:id="100" w:name="_Toc132880284"/>
      <w:r>
        <w:rPr>
          <w:rFonts w:hint="eastAsia"/>
          <w:color w:val="auto"/>
          <w:sz w:val="44"/>
          <w:szCs w:val="44"/>
          <w:lang w:val="en-US" w:eastAsia="zh-CN"/>
        </w:rPr>
        <w:t>第五章</w:t>
      </w:r>
      <w:r>
        <w:rPr>
          <w:rFonts w:hint="default" w:ascii="Calibri" w:hAnsi="Calibri" w:eastAsia="宋体" w:cs="Times New Roman"/>
          <w:color w:val="auto"/>
          <w:sz w:val="44"/>
          <w:szCs w:val="44"/>
        </w:rPr>
        <w:t xml:space="preserve"> 投标</w:t>
      </w:r>
      <w:r>
        <w:rPr>
          <w:rFonts w:hint="eastAsia" w:cs="Times New Roman"/>
          <w:color w:val="auto"/>
          <w:sz w:val="44"/>
          <w:szCs w:val="44"/>
          <w:lang w:eastAsia="zh-CN"/>
        </w:rPr>
        <w:t>文件格式</w:t>
      </w:r>
      <w:bookmarkEnd w:id="99"/>
    </w:p>
    <w:bookmarkEnd w:id="100"/>
    <w:p>
      <w:pPr>
        <w:topLinePunct/>
        <w:autoSpaceDE w:val="0"/>
        <w:autoSpaceDN w:val="0"/>
        <w:adjustRightInd w:val="0"/>
        <w:snapToGrid w:val="0"/>
        <w:spacing w:line="360" w:lineRule="auto"/>
        <w:ind w:firstLine="420" w:firstLineChars="200"/>
        <w:rPr>
          <w:rFonts w:ascii="Times New Roman" w:hAnsi="Times New Roman"/>
          <w:color w:val="auto"/>
          <w:szCs w:val="21"/>
        </w:rPr>
      </w:pPr>
      <w:r>
        <w:rPr>
          <w:rFonts w:ascii="Times New Roman" w:hAnsi="Times New Roman"/>
          <w:color w:val="auto"/>
          <w:szCs w:val="21"/>
        </w:rPr>
        <w:t>投标人按下列文本格式，如实提供具有法律效力的资格证明文件和真实有效的其他文件资料，任何不按下列文本格式提供或有实质性变更将由投标人承担风险。</w:t>
      </w:r>
    </w:p>
    <w:p>
      <w:pPr>
        <w:topLinePunct/>
        <w:autoSpaceDE w:val="0"/>
        <w:autoSpaceDN w:val="0"/>
        <w:adjustRightInd w:val="0"/>
        <w:snapToGrid w:val="0"/>
        <w:spacing w:line="360" w:lineRule="auto"/>
        <w:ind w:firstLine="420" w:firstLineChars="200"/>
        <w:rPr>
          <w:rFonts w:ascii="Times New Roman" w:hAnsi="Times New Roman"/>
          <w:color w:val="auto"/>
          <w:szCs w:val="21"/>
        </w:rPr>
      </w:pPr>
      <w:r>
        <w:rPr>
          <w:rFonts w:ascii="Times New Roman" w:hAnsi="Times New Roman"/>
          <w:color w:val="auto"/>
          <w:szCs w:val="21"/>
        </w:rPr>
        <w:t>1.投标人按照本章规定填写和提交全部格式文件以及其他有关资料，混乱的编排导致投标文件被误读或查找不到，后果由投标人承担。</w:t>
      </w:r>
    </w:p>
    <w:p>
      <w:pPr>
        <w:topLinePunct/>
        <w:autoSpaceDE w:val="0"/>
        <w:autoSpaceDN w:val="0"/>
        <w:adjustRightInd w:val="0"/>
        <w:snapToGrid w:val="0"/>
        <w:spacing w:line="360" w:lineRule="auto"/>
        <w:ind w:firstLine="420" w:firstLineChars="200"/>
        <w:rPr>
          <w:rFonts w:ascii="Times New Roman" w:hAnsi="Times New Roman"/>
          <w:color w:val="auto"/>
          <w:szCs w:val="21"/>
        </w:rPr>
      </w:pPr>
      <w:r>
        <w:rPr>
          <w:rFonts w:ascii="Times New Roman" w:hAnsi="Times New Roman"/>
          <w:color w:val="auto"/>
          <w:szCs w:val="21"/>
        </w:rPr>
        <w:t>2.所附表格中要求回答的全部问题和信息都必须正面回答。</w:t>
      </w:r>
    </w:p>
    <w:p>
      <w:pPr>
        <w:topLinePunct/>
        <w:autoSpaceDE w:val="0"/>
        <w:autoSpaceDN w:val="0"/>
        <w:adjustRightInd w:val="0"/>
        <w:snapToGrid w:val="0"/>
        <w:spacing w:line="360" w:lineRule="auto"/>
        <w:ind w:firstLine="420" w:firstLineChars="200"/>
        <w:rPr>
          <w:rFonts w:ascii="Times New Roman" w:hAnsi="Times New Roman"/>
          <w:color w:val="auto"/>
          <w:szCs w:val="21"/>
        </w:rPr>
      </w:pPr>
      <w:r>
        <w:rPr>
          <w:rFonts w:ascii="Times New Roman" w:hAnsi="Times New Roman"/>
          <w:color w:val="auto"/>
          <w:szCs w:val="21"/>
        </w:rPr>
        <w:t>3.资格声明文件的签字人应保证全部声明和问题的回答是真实的和准确的。</w:t>
      </w:r>
    </w:p>
    <w:p>
      <w:pPr>
        <w:topLinePunct/>
        <w:autoSpaceDE w:val="0"/>
        <w:autoSpaceDN w:val="0"/>
        <w:adjustRightInd w:val="0"/>
        <w:snapToGrid w:val="0"/>
        <w:spacing w:line="360" w:lineRule="auto"/>
        <w:ind w:firstLine="420" w:firstLineChars="200"/>
        <w:rPr>
          <w:rFonts w:ascii="Times New Roman" w:hAnsi="Times New Roman"/>
          <w:color w:val="auto"/>
          <w:szCs w:val="21"/>
        </w:rPr>
      </w:pPr>
      <w:r>
        <w:rPr>
          <w:rFonts w:ascii="Times New Roman" w:hAnsi="Times New Roman"/>
          <w:color w:val="auto"/>
          <w:szCs w:val="21"/>
        </w:rPr>
        <w:t>4.评标委员会将应用投标人提交的资料并根据自己的判断，决定投标人履行合同的合格性及能力。</w:t>
      </w:r>
    </w:p>
    <w:p>
      <w:pPr>
        <w:topLinePunct/>
        <w:autoSpaceDE w:val="0"/>
        <w:autoSpaceDN w:val="0"/>
        <w:adjustRightInd w:val="0"/>
        <w:snapToGrid w:val="0"/>
        <w:spacing w:line="360" w:lineRule="auto"/>
        <w:ind w:firstLine="420" w:firstLineChars="200"/>
        <w:rPr>
          <w:rFonts w:ascii="Times New Roman" w:hAnsi="Times New Roman"/>
          <w:color w:val="auto"/>
          <w:szCs w:val="21"/>
        </w:rPr>
      </w:pPr>
      <w:r>
        <w:rPr>
          <w:rFonts w:ascii="Times New Roman" w:hAnsi="Times New Roman"/>
          <w:color w:val="auto"/>
          <w:szCs w:val="21"/>
        </w:rPr>
        <w:t>5.全部文件应按投标人须知中规定的语言提交。</w:t>
      </w:r>
    </w:p>
    <w:p>
      <w:pPr>
        <w:topLinePunct/>
        <w:autoSpaceDE w:val="0"/>
        <w:autoSpaceDN w:val="0"/>
        <w:adjustRightInd w:val="0"/>
        <w:snapToGrid w:val="0"/>
        <w:spacing w:line="360" w:lineRule="auto"/>
        <w:ind w:firstLine="420" w:firstLineChars="200"/>
        <w:rPr>
          <w:rFonts w:ascii="Times New Roman" w:hAnsi="Times New Roman"/>
          <w:color w:val="auto"/>
          <w:szCs w:val="21"/>
        </w:rPr>
      </w:pPr>
      <w:r>
        <w:rPr>
          <w:rFonts w:ascii="Times New Roman" w:hAnsi="Times New Roman"/>
          <w:color w:val="auto"/>
          <w:szCs w:val="21"/>
        </w:rPr>
        <w:t>6.以下格式文件为</w:t>
      </w:r>
      <w:r>
        <w:rPr>
          <w:rFonts w:hint="eastAsia" w:ascii="Times New Roman" w:hAnsi="Times New Roman"/>
          <w:color w:val="auto"/>
          <w:szCs w:val="21"/>
        </w:rPr>
        <w:t>参考</w:t>
      </w:r>
      <w:r>
        <w:rPr>
          <w:rFonts w:ascii="Times New Roman" w:hAnsi="Times New Roman"/>
          <w:color w:val="auto"/>
          <w:szCs w:val="21"/>
        </w:rPr>
        <w:t>格式，其他未提供格式的文件和资料由投标人自行设计编制格式填写。</w:t>
      </w:r>
    </w:p>
    <w:p>
      <w:pPr>
        <w:adjustRightInd w:val="0"/>
        <w:snapToGrid w:val="0"/>
        <w:spacing w:beforeLines="20" w:after="4" w:line="360" w:lineRule="auto"/>
        <w:ind w:firstLine="422" w:firstLineChars="200"/>
        <w:jc w:val="center"/>
        <w:rPr>
          <w:b/>
          <w:bCs/>
          <w:color w:val="auto"/>
          <w:highlight w:val="none"/>
        </w:rPr>
      </w:pPr>
    </w:p>
    <w:p>
      <w:pPr>
        <w:ind w:firstLine="422" w:firstLineChars="200"/>
        <w:jc w:val="center"/>
        <w:rPr>
          <w:b/>
          <w:bCs/>
          <w:color w:val="auto"/>
          <w:highlight w:val="none"/>
        </w:rPr>
      </w:pPr>
    </w:p>
    <w:p>
      <w:pPr>
        <w:rPr>
          <w:color w:val="auto"/>
          <w:highlight w:val="none"/>
        </w:rPr>
      </w:pPr>
    </w:p>
    <w:p>
      <w:pPr>
        <w:rPr>
          <w:b/>
          <w:bCs/>
          <w:color w:val="auto"/>
          <w:highlight w:val="none"/>
        </w:rPr>
      </w:pPr>
    </w:p>
    <w:p>
      <w:pPr>
        <w:spacing w:line="600" w:lineRule="auto"/>
        <w:jc w:val="center"/>
        <w:rPr>
          <w:rFonts w:hint="eastAsia" w:ascii="华文中宋" w:hAnsi="华文中宋" w:eastAsia="华文中宋" w:cs="华文中宋"/>
          <w:b w:val="0"/>
          <w:bCs/>
          <w:color w:val="auto"/>
          <w:kern w:val="0"/>
          <w:sz w:val="32"/>
          <w:szCs w:val="32"/>
          <w:highlight w:val="none"/>
        </w:rPr>
      </w:pPr>
      <w:r>
        <w:rPr>
          <w:rFonts w:hint="eastAsia"/>
          <w:b/>
          <w:bCs/>
          <w:color w:val="auto"/>
          <w:highlight w:val="none"/>
        </w:rPr>
        <w:br w:type="page"/>
      </w:r>
      <w:r>
        <w:rPr>
          <w:rFonts w:hint="eastAsia" w:ascii="华文中宋" w:hAnsi="华文中宋" w:eastAsia="华文中宋" w:cs="华文中宋"/>
          <w:b w:val="0"/>
          <w:bCs/>
          <w:color w:val="auto"/>
          <w:kern w:val="0"/>
          <w:sz w:val="32"/>
          <w:szCs w:val="32"/>
          <w:highlight w:val="none"/>
        </w:rPr>
        <w:t>投  标  文  件</w:t>
      </w:r>
    </w:p>
    <w:p>
      <w:pPr>
        <w:spacing w:line="600" w:lineRule="auto"/>
        <w:jc w:val="center"/>
        <w:rPr>
          <w:rFonts w:hint="eastAsia" w:ascii="华文中宋" w:hAnsi="华文中宋" w:eastAsia="华文中宋" w:cs="华文中宋"/>
          <w:b w:val="0"/>
          <w:bCs/>
          <w:color w:val="auto"/>
          <w:kern w:val="0"/>
          <w:sz w:val="32"/>
          <w:szCs w:val="32"/>
          <w:highlight w:val="none"/>
        </w:rPr>
      </w:pPr>
      <w:r>
        <w:rPr>
          <w:rFonts w:hint="eastAsia" w:ascii="华文中宋" w:hAnsi="华文中宋" w:eastAsia="华文中宋" w:cs="华文中宋"/>
          <w:b w:val="0"/>
          <w:bCs/>
          <w:color w:val="auto"/>
          <w:kern w:val="0"/>
          <w:sz w:val="32"/>
          <w:szCs w:val="32"/>
          <w:highlight w:val="none"/>
        </w:rPr>
        <w:t>商务部分</w:t>
      </w:r>
    </w:p>
    <w:p>
      <w:pPr>
        <w:spacing w:line="360" w:lineRule="auto"/>
        <w:ind w:firstLine="640" w:firstLineChars="200"/>
        <w:jc w:val="center"/>
        <w:rPr>
          <w:rFonts w:ascii="宋体" w:hAnsi="宋体"/>
          <w:color w:val="auto"/>
          <w:kern w:val="0"/>
          <w:sz w:val="32"/>
          <w:szCs w:val="32"/>
          <w:highlight w:val="none"/>
        </w:rPr>
      </w:pPr>
    </w:p>
    <w:p>
      <w:pPr>
        <w:spacing w:line="360" w:lineRule="auto"/>
        <w:jc w:val="center"/>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（填写正本或副本）</w:t>
      </w:r>
    </w:p>
    <w:p>
      <w:pPr>
        <w:spacing w:line="360" w:lineRule="auto"/>
        <w:ind w:firstLine="480" w:firstLineChars="200"/>
        <w:jc w:val="center"/>
        <w:rPr>
          <w:rFonts w:hint="eastAsia" w:ascii="方正小标宋简体" w:hAnsi="方正小标宋简体" w:eastAsia="方正小标宋简体" w:cs="方正小标宋简体"/>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项目名称：</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项目编号：</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所投采购包：</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方正小标宋简体" w:hAnsi="方正小标宋简体" w:eastAsia="方正小标宋简体" w:cs="方正小标宋简体"/>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投标人：</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日  期：</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widowControl/>
        <w:spacing w:after="0" w:line="240" w:lineRule="auto"/>
        <w:jc w:val="left"/>
        <w:rPr>
          <w:rFonts w:ascii="宋体" w:hAnsi="宋体" w:cs="宋体"/>
          <w:b/>
          <w:bCs/>
          <w:color w:val="auto"/>
          <w:sz w:val="36"/>
          <w:szCs w:val="36"/>
          <w:highlight w:val="none"/>
        </w:rPr>
      </w:pPr>
      <w:r>
        <w:rPr>
          <w:rFonts w:ascii="宋体" w:hAnsi="宋体" w:cs="宋体"/>
          <w:b/>
          <w:bCs/>
          <w:color w:val="auto"/>
          <w:sz w:val="36"/>
          <w:szCs w:val="36"/>
          <w:highlight w:val="none"/>
        </w:rPr>
        <w:br w:type="page"/>
      </w:r>
    </w:p>
    <w:p>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格式1  授权委托书</w:t>
      </w:r>
    </w:p>
    <w:p>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1-1法定代表人授权委托书</w:t>
      </w:r>
    </w:p>
    <w:p>
      <w:pPr>
        <w:adjustRightInd w:val="0"/>
        <w:snapToGrid w:val="0"/>
        <w:spacing w:after="0" w:line="360" w:lineRule="auto"/>
        <w:jc w:val="center"/>
        <w:rPr>
          <w:rFonts w:ascii="宋体" w:hAnsi="宋体" w:cs="宋体"/>
          <w:b/>
          <w:bCs/>
          <w:color w:val="auto"/>
          <w:sz w:val="24"/>
          <w:highlight w:val="none"/>
        </w:rPr>
      </w:pPr>
      <w:r>
        <w:rPr>
          <w:rFonts w:ascii="宋体" w:hAnsi="宋体" w:cs="宋体"/>
          <w:b w:val="0"/>
          <w:bCs w:val="0"/>
          <w:color w:val="auto"/>
          <w:sz w:val="21"/>
          <w:szCs w:val="21"/>
          <w:highlight w:val="none"/>
        </w:rPr>
        <w:t>(</w:t>
      </w:r>
      <w:r>
        <w:rPr>
          <w:rFonts w:hint="eastAsia" w:ascii="宋体" w:hAnsi="宋体" w:cs="宋体"/>
          <w:b w:val="0"/>
          <w:bCs w:val="0"/>
          <w:color w:val="auto"/>
          <w:sz w:val="21"/>
          <w:szCs w:val="21"/>
          <w:highlight w:val="none"/>
        </w:rPr>
        <w:t>适用于授权代表参加投标</w:t>
      </w:r>
      <w:r>
        <w:rPr>
          <w:rFonts w:ascii="宋体" w:hAnsi="宋体" w:cs="宋体"/>
          <w:b w:val="0"/>
          <w:bCs w:val="0"/>
          <w:color w:val="auto"/>
          <w:sz w:val="21"/>
          <w:szCs w:val="21"/>
          <w:highlight w:val="none"/>
        </w:rPr>
        <w:t>)</w:t>
      </w:r>
    </w:p>
    <w:p>
      <w:pPr>
        <w:pStyle w:val="12"/>
        <w:rPr>
          <w:rFonts w:ascii="Times New Roman" w:hAnsi="Times New Roman" w:eastAsia="仿宋_GB2312"/>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致____________(采购人或采购代理机构)：</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本授权书声明：注册于___________（投标人住址）的___________（投标人名称）法定代表人_______（姓名、职务）代表本公司授权_______（被授权投标代表姓名、职务）为本公司的合法投标代表，就贵方组织的《</w:t>
      </w:r>
      <w:r>
        <w:rPr>
          <w:rFonts w:hint="eastAsia" w:ascii="宋体" w:hAnsi="宋体" w:cs="宋体"/>
          <w:color w:val="auto"/>
          <w:sz w:val="21"/>
          <w:szCs w:val="21"/>
          <w:highlight w:val="none"/>
          <w:u w:val="single"/>
        </w:rPr>
        <w:t xml:space="preserve">          项目</w:t>
      </w:r>
      <w:r>
        <w:rPr>
          <w:rFonts w:hint="eastAsia" w:ascii="宋体" w:hAnsi="宋体" w:cs="宋体"/>
          <w:color w:val="auto"/>
          <w:sz w:val="21"/>
          <w:szCs w:val="21"/>
          <w:highlight w:val="none"/>
        </w:rPr>
        <w:t>》（项目编号：_______）投标、合同的执行，以本公司名义处理一切与之有关的事务。</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本授权书于______年______月_____日生效，特此声明。</w:t>
      </w:r>
    </w:p>
    <w:p>
      <w:pPr>
        <w:pStyle w:val="12"/>
        <w:keepNext w:val="0"/>
        <w:keepLines w:val="0"/>
        <w:pageBreakBefore w:val="0"/>
        <w:widowControl w:val="0"/>
        <w:kinsoku/>
        <w:wordWrap/>
        <w:overflowPunct/>
        <w:bidi w:val="0"/>
        <w:adjustRightInd w:val="0"/>
        <w:snapToGrid w:val="0"/>
        <w:spacing w:line="360" w:lineRule="auto"/>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被授权投标代表无转委托权。</w:t>
      </w:r>
    </w:p>
    <w:p>
      <w:pPr>
        <w:pStyle w:val="12"/>
        <w:adjustRightInd w:val="0"/>
        <w:snapToGrid w:val="0"/>
        <w:spacing w:line="360" w:lineRule="auto"/>
        <w:rPr>
          <w:rFonts w:hAnsi="宋体" w:cs="宋体"/>
          <w:color w:val="auto"/>
          <w:highlight w:val="none"/>
        </w:rPr>
      </w:pPr>
    </w:p>
    <w:tbl>
      <w:tblPr>
        <w:tblStyle w:val="16"/>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noWrap/>
            <w:vAlign w:val="center"/>
          </w:tcPr>
          <w:p>
            <w:pPr>
              <w:pStyle w:val="12"/>
              <w:adjustRightInd w:val="0"/>
              <w:snapToGrid w:val="0"/>
              <w:spacing w:line="360" w:lineRule="auto"/>
              <w:jc w:val="center"/>
              <w:rPr>
                <w:rFonts w:hAnsi="宋体" w:cs="宋体"/>
                <w:color w:val="auto"/>
                <w:highlight w:val="none"/>
              </w:rPr>
            </w:pPr>
          </w:p>
          <w:p>
            <w:pPr>
              <w:pStyle w:val="12"/>
              <w:adjustRightInd w:val="0"/>
              <w:snapToGrid w:val="0"/>
              <w:spacing w:line="360" w:lineRule="auto"/>
              <w:jc w:val="center"/>
              <w:rPr>
                <w:rFonts w:hAnsi="宋体" w:cs="宋体"/>
                <w:color w:val="auto"/>
                <w:highlight w:val="none"/>
              </w:rPr>
            </w:pPr>
          </w:p>
          <w:p>
            <w:pPr>
              <w:pStyle w:val="12"/>
              <w:adjustRightInd w:val="0"/>
              <w:snapToGrid w:val="0"/>
              <w:spacing w:line="360" w:lineRule="auto"/>
              <w:jc w:val="center"/>
              <w:rPr>
                <w:rFonts w:hAnsi="宋体" w:cs="宋体"/>
                <w:color w:val="auto"/>
                <w:highlight w:val="none"/>
              </w:rPr>
            </w:pPr>
          </w:p>
          <w:p>
            <w:pPr>
              <w:pStyle w:val="12"/>
              <w:adjustRightInd w:val="0"/>
              <w:snapToGrid w:val="0"/>
              <w:spacing w:line="360" w:lineRule="auto"/>
              <w:jc w:val="center"/>
              <w:rPr>
                <w:rFonts w:hAnsi="宋体" w:cs="宋体"/>
                <w:color w:val="auto"/>
                <w:highlight w:val="none"/>
              </w:rPr>
            </w:pPr>
            <w:r>
              <w:rPr>
                <w:rFonts w:hint="eastAsia" w:ascii="宋体" w:hAnsi="宋体" w:eastAsia="宋体" w:cs="宋体"/>
                <w:b/>
                <w:color w:val="auto"/>
                <w:highlight w:val="none"/>
              </w:rPr>
              <w:t>法定代表人与被</w:t>
            </w:r>
            <w:r>
              <w:rPr>
                <w:rFonts w:hint="eastAsia" w:hAnsi="宋体" w:cs="宋体"/>
                <w:b/>
                <w:color w:val="auto"/>
                <w:highlight w:val="none"/>
              </w:rPr>
              <w:t>授权投标代表</w:t>
            </w:r>
            <w:r>
              <w:rPr>
                <w:rFonts w:hint="eastAsia" w:hAnsi="宋体" w:cs="宋体"/>
                <w:color w:val="auto"/>
                <w:highlight w:val="none"/>
              </w:rPr>
              <w:t>身份证复印件</w:t>
            </w:r>
          </w:p>
          <w:p>
            <w:pPr>
              <w:pStyle w:val="12"/>
              <w:adjustRightInd w:val="0"/>
              <w:snapToGrid w:val="0"/>
              <w:spacing w:line="360" w:lineRule="auto"/>
              <w:jc w:val="center"/>
              <w:rPr>
                <w:rFonts w:hAnsi="宋体" w:cs="宋体"/>
                <w:color w:val="auto"/>
                <w:highlight w:val="none"/>
              </w:rPr>
            </w:pPr>
          </w:p>
          <w:p>
            <w:pPr>
              <w:pStyle w:val="12"/>
              <w:adjustRightInd w:val="0"/>
              <w:snapToGrid w:val="0"/>
              <w:spacing w:line="360" w:lineRule="auto"/>
              <w:jc w:val="center"/>
              <w:rPr>
                <w:rFonts w:hAnsi="宋体" w:cs="宋体"/>
                <w:color w:val="auto"/>
                <w:highlight w:val="none"/>
              </w:rPr>
            </w:pPr>
          </w:p>
          <w:p>
            <w:pPr>
              <w:pStyle w:val="12"/>
              <w:adjustRightInd w:val="0"/>
              <w:snapToGrid w:val="0"/>
              <w:spacing w:line="360" w:lineRule="auto"/>
              <w:jc w:val="center"/>
              <w:rPr>
                <w:rFonts w:hAnsi="宋体" w:cs="宋体"/>
                <w:color w:val="auto"/>
                <w:highlight w:val="none"/>
              </w:rPr>
            </w:pPr>
          </w:p>
        </w:tc>
      </w:tr>
    </w:tbl>
    <w:p>
      <w:pPr>
        <w:pStyle w:val="12"/>
        <w:adjustRightInd w:val="0"/>
        <w:snapToGrid w:val="0"/>
        <w:spacing w:line="360" w:lineRule="auto"/>
        <w:jc w:val="left"/>
        <w:rPr>
          <w:rFonts w:hAnsi="宋体" w:cs="宋体"/>
          <w:color w:val="auto"/>
          <w:highlight w:val="none"/>
        </w:rPr>
      </w:pPr>
    </w:p>
    <w:p>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投标人名称（公章）：________________</w:t>
      </w:r>
    </w:p>
    <w:p>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法定代表人（签字或签章）：________________</w:t>
      </w:r>
    </w:p>
    <w:p>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被授权投标代表（签字）：________________</w:t>
      </w:r>
    </w:p>
    <w:p>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被授权投标代表联系电话：____________</w:t>
      </w:r>
    </w:p>
    <w:p>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日期：____________</w:t>
      </w:r>
    </w:p>
    <w:p>
      <w:pPr>
        <w:topLinePunct/>
        <w:autoSpaceDE w:val="0"/>
        <w:autoSpaceDN w:val="0"/>
        <w:adjustRightInd w:val="0"/>
        <w:snapToGrid w:val="0"/>
        <w:spacing w:after="0" w:line="360" w:lineRule="auto"/>
        <w:jc w:val="left"/>
        <w:rPr>
          <w:rFonts w:hint="default" w:ascii="Times New Roman" w:hAnsi="Times New Roman" w:cs="Times New Roman"/>
          <w:color w:val="auto"/>
          <w:highlight w:val="none"/>
        </w:rPr>
      </w:pPr>
    </w:p>
    <w:p>
      <w:pPr>
        <w:topLinePunct/>
        <w:autoSpaceDE w:val="0"/>
        <w:autoSpaceDN w:val="0"/>
        <w:adjustRightInd w:val="0"/>
        <w:snapToGrid w:val="0"/>
        <w:spacing w:after="0" w:line="360" w:lineRule="auto"/>
        <w:jc w:val="left"/>
        <w:rPr>
          <w:rFonts w:hint="default" w:ascii="Times New Roman" w:hAnsi="Times New Roman" w:cs="Times New Roman"/>
          <w:i/>
          <w:iCs/>
          <w:color w:val="auto"/>
          <w:highlight w:val="none"/>
        </w:rPr>
      </w:pPr>
      <w:r>
        <w:rPr>
          <w:rFonts w:hint="default" w:ascii="Times New Roman" w:hAnsi="Times New Roman" w:cs="Times New Roman"/>
          <w:color w:val="auto"/>
          <w:highlight w:val="none"/>
        </w:rPr>
        <w:t>特别说明：</w:t>
      </w:r>
    </w:p>
    <w:p>
      <w:pPr>
        <w:tabs>
          <w:tab w:val="left" w:pos="312"/>
        </w:tabs>
        <w:topLinePunct/>
        <w:autoSpaceDE w:val="0"/>
        <w:autoSpaceDN w:val="0"/>
        <w:adjustRightInd w:val="0"/>
        <w:snapToGrid w:val="0"/>
        <w:spacing w:after="0" w:line="360" w:lineRule="auto"/>
        <w:ind w:firstLine="420" w:firstLineChars="200"/>
        <w:rPr>
          <w:rFonts w:ascii="宋体" w:hAnsi="宋体" w:cs="宋体"/>
          <w:color w:val="auto"/>
          <w:highlight w:val="none"/>
        </w:rPr>
      </w:pPr>
      <w:r>
        <w:rPr>
          <w:rFonts w:hint="default" w:ascii="Times New Roman" w:hAnsi="Times New Roman" w:cs="Times New Roman"/>
          <w:color w:val="auto"/>
          <w:highlight w:val="none"/>
        </w:rPr>
        <w:t>1.投标人如由被授权投标代表参与投标活动的，须同时提供《法定代表人授权委托书》和被授权投标代表身份证复印件。《法定代表人授权委托书》应当按本格式要求加盖与投标人名称全称一致的标准公章，并签署法定代表人或被授权投标代表的全名或加盖名章</w:t>
      </w:r>
      <w:r>
        <w:rPr>
          <w:rFonts w:hint="default" w:ascii="Times New Roman" w:hAnsi="Times New Roman" w:cs="Times New Roman"/>
          <w:color w:val="auto"/>
          <w:szCs w:val="21"/>
          <w:highlight w:val="none"/>
        </w:rPr>
        <w:t>。</w:t>
      </w:r>
    </w:p>
    <w:p>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ascii="宋体" w:hAnsi="宋体" w:cs="宋体"/>
          <w:b/>
          <w:bCs/>
          <w:color w:val="auto"/>
          <w:sz w:val="36"/>
          <w:szCs w:val="36"/>
          <w:highlight w:val="none"/>
        </w:rPr>
        <w:br w:type="page"/>
      </w:r>
      <w:r>
        <w:rPr>
          <w:rFonts w:hint="default" w:ascii="Times New Roman" w:hAnsi="Times New Roman" w:cs="Times New Roman"/>
          <w:b/>
          <w:bCs/>
          <w:color w:val="auto"/>
          <w:sz w:val="28"/>
          <w:szCs w:val="28"/>
          <w:highlight w:val="none"/>
        </w:rPr>
        <w:t>1-2法定代表人身份证明复印件</w:t>
      </w:r>
    </w:p>
    <w:p>
      <w:pPr>
        <w:adjustRightInd w:val="0"/>
        <w:snapToGrid w:val="0"/>
        <w:spacing w:after="0" w:line="360" w:lineRule="auto"/>
        <w:jc w:val="center"/>
        <w:rPr>
          <w:rFonts w:ascii="宋体" w:hAnsi="宋体" w:cs="宋体"/>
          <w:b w:val="0"/>
          <w:bCs w:val="0"/>
          <w:color w:val="auto"/>
          <w:sz w:val="21"/>
          <w:szCs w:val="21"/>
          <w:highlight w:val="none"/>
        </w:rPr>
      </w:pPr>
      <w:r>
        <w:rPr>
          <w:rFonts w:ascii="宋体" w:hAnsi="宋体" w:cs="宋体"/>
          <w:b w:val="0"/>
          <w:bCs w:val="0"/>
          <w:color w:val="auto"/>
          <w:sz w:val="21"/>
          <w:szCs w:val="21"/>
          <w:highlight w:val="none"/>
        </w:rPr>
        <w:t>(适用于法定代表人参加投标)</w:t>
      </w:r>
    </w:p>
    <w:p>
      <w:pPr>
        <w:topLinePunct/>
        <w:autoSpaceDE w:val="0"/>
        <w:autoSpaceDN w:val="0"/>
        <w:adjustRightInd w:val="0"/>
        <w:snapToGrid w:val="0"/>
        <w:spacing w:after="0" w:line="360" w:lineRule="auto"/>
        <w:ind w:firstLine="420" w:firstLineChars="200"/>
        <w:rPr>
          <w:color w:val="auto"/>
          <w:highlight w:val="none"/>
        </w:rPr>
      </w:pPr>
    </w:p>
    <w:tbl>
      <w:tblPr>
        <w:tblStyle w:val="16"/>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noWrap/>
            <w:vAlign w:val="center"/>
          </w:tcPr>
          <w:p>
            <w:pPr>
              <w:pStyle w:val="12"/>
              <w:adjustRightInd w:val="0"/>
              <w:snapToGrid w:val="0"/>
              <w:spacing w:line="360" w:lineRule="auto"/>
              <w:jc w:val="center"/>
              <w:rPr>
                <w:rFonts w:hAnsi="宋体" w:cs="宋体"/>
                <w:color w:val="auto"/>
                <w:highlight w:val="none"/>
              </w:rPr>
            </w:pPr>
          </w:p>
          <w:p>
            <w:pPr>
              <w:pStyle w:val="12"/>
              <w:adjustRightInd w:val="0"/>
              <w:snapToGrid w:val="0"/>
              <w:spacing w:line="360" w:lineRule="auto"/>
              <w:jc w:val="center"/>
              <w:rPr>
                <w:rFonts w:hAnsi="宋体" w:cs="宋体"/>
                <w:color w:val="auto"/>
                <w:highlight w:val="none"/>
              </w:rPr>
            </w:pPr>
          </w:p>
          <w:p>
            <w:pPr>
              <w:pStyle w:val="12"/>
              <w:adjustRightInd w:val="0"/>
              <w:snapToGrid w:val="0"/>
              <w:spacing w:line="360" w:lineRule="auto"/>
              <w:jc w:val="center"/>
              <w:rPr>
                <w:rFonts w:hAnsi="宋体" w:cs="宋体"/>
                <w:color w:val="auto"/>
                <w:highlight w:val="none"/>
              </w:rPr>
            </w:pPr>
          </w:p>
          <w:p>
            <w:pPr>
              <w:pStyle w:val="12"/>
              <w:adjustRightInd w:val="0"/>
              <w:snapToGrid w:val="0"/>
              <w:spacing w:line="360" w:lineRule="auto"/>
              <w:jc w:val="center"/>
              <w:rPr>
                <w:rFonts w:hAnsi="宋体" w:cs="宋体"/>
                <w:color w:val="auto"/>
                <w:highlight w:val="none"/>
              </w:rPr>
            </w:pPr>
          </w:p>
          <w:p>
            <w:pPr>
              <w:pStyle w:val="12"/>
              <w:adjustRightInd w:val="0"/>
              <w:snapToGrid w:val="0"/>
              <w:spacing w:line="360" w:lineRule="auto"/>
              <w:jc w:val="center"/>
              <w:rPr>
                <w:rFonts w:hAnsi="宋体" w:cs="宋体"/>
                <w:color w:val="auto"/>
                <w:highlight w:val="none"/>
              </w:rPr>
            </w:pPr>
            <w:r>
              <w:rPr>
                <w:rFonts w:hAnsi="宋体" w:cs="宋体"/>
                <w:color w:val="auto"/>
                <w:highlight w:val="none"/>
              </w:rPr>
              <w:t>法定代表人身份证明复印件</w:t>
            </w:r>
          </w:p>
          <w:p>
            <w:pPr>
              <w:pStyle w:val="12"/>
              <w:adjustRightInd w:val="0"/>
              <w:snapToGrid w:val="0"/>
              <w:spacing w:line="360" w:lineRule="auto"/>
              <w:jc w:val="center"/>
              <w:rPr>
                <w:rFonts w:hAnsi="宋体" w:cs="宋体"/>
                <w:color w:val="auto"/>
                <w:highlight w:val="none"/>
              </w:rPr>
            </w:pPr>
          </w:p>
          <w:p>
            <w:pPr>
              <w:pStyle w:val="12"/>
              <w:adjustRightInd w:val="0"/>
              <w:snapToGrid w:val="0"/>
              <w:spacing w:line="360" w:lineRule="auto"/>
              <w:jc w:val="center"/>
              <w:rPr>
                <w:rFonts w:hAnsi="宋体" w:cs="宋体"/>
                <w:color w:val="auto"/>
                <w:highlight w:val="none"/>
              </w:rPr>
            </w:pPr>
          </w:p>
          <w:p>
            <w:pPr>
              <w:pStyle w:val="12"/>
              <w:adjustRightInd w:val="0"/>
              <w:snapToGrid w:val="0"/>
              <w:spacing w:line="360" w:lineRule="auto"/>
              <w:jc w:val="center"/>
              <w:rPr>
                <w:rFonts w:hAnsi="宋体" w:cs="宋体"/>
                <w:color w:val="auto"/>
                <w:highlight w:val="none"/>
              </w:rPr>
            </w:pPr>
          </w:p>
          <w:p>
            <w:pPr>
              <w:pStyle w:val="12"/>
              <w:adjustRightInd w:val="0"/>
              <w:snapToGrid w:val="0"/>
              <w:spacing w:line="360" w:lineRule="auto"/>
              <w:jc w:val="center"/>
              <w:rPr>
                <w:rFonts w:hAnsi="宋体" w:cs="宋体"/>
                <w:color w:val="auto"/>
                <w:highlight w:val="none"/>
              </w:rPr>
            </w:pPr>
          </w:p>
        </w:tc>
      </w:tr>
    </w:tbl>
    <w:p>
      <w:pPr>
        <w:topLinePunct/>
        <w:autoSpaceDE w:val="0"/>
        <w:autoSpaceDN w:val="0"/>
        <w:adjustRightInd w:val="0"/>
        <w:snapToGrid w:val="0"/>
        <w:spacing w:after="0" w:line="360" w:lineRule="auto"/>
        <w:jc w:val="left"/>
        <w:rPr>
          <w:rFonts w:eastAsia="仿宋_GB2312"/>
          <w:color w:val="auto"/>
          <w:highlight w:val="none"/>
        </w:rPr>
      </w:pPr>
    </w:p>
    <w:p>
      <w:pPr>
        <w:topLinePunct/>
        <w:autoSpaceDE w:val="0"/>
        <w:autoSpaceDN w:val="0"/>
        <w:adjustRightInd w:val="0"/>
        <w:snapToGrid w:val="0"/>
        <w:spacing w:after="0" w:line="360" w:lineRule="auto"/>
        <w:jc w:val="left"/>
        <w:rPr>
          <w:rFonts w:ascii="宋体" w:hAnsi="宋体" w:cs="宋体"/>
          <w:i/>
          <w:iCs/>
          <w:color w:val="auto"/>
          <w:highlight w:val="none"/>
        </w:rPr>
      </w:pPr>
      <w:r>
        <w:rPr>
          <w:rFonts w:hint="eastAsia" w:ascii="宋体" w:hAnsi="宋体" w:cs="宋体"/>
          <w:color w:val="auto"/>
          <w:highlight w:val="none"/>
        </w:rPr>
        <w:t>特别说明：</w:t>
      </w:r>
    </w:p>
    <w:p>
      <w:pPr>
        <w:tabs>
          <w:tab w:val="left" w:pos="312"/>
        </w:tabs>
        <w:topLinePunct/>
        <w:autoSpaceDE w:val="0"/>
        <w:autoSpaceDN w:val="0"/>
        <w:adjustRightInd w:val="0"/>
        <w:snapToGrid w:val="0"/>
        <w:spacing w:after="0" w:line="360" w:lineRule="auto"/>
        <w:ind w:firstLine="420" w:firstLineChars="200"/>
        <w:rPr>
          <w:rFonts w:ascii="宋体" w:hAnsi="宋体" w:cs="宋体"/>
          <w:color w:val="auto"/>
          <w:highlight w:val="none"/>
        </w:rPr>
      </w:pPr>
      <w:r>
        <w:rPr>
          <w:rFonts w:hint="eastAsia" w:ascii="宋体" w:hAnsi="宋体" w:cs="宋体"/>
          <w:color w:val="auto"/>
          <w:highlight w:val="none"/>
        </w:rPr>
        <w:t>投标人如由</w:t>
      </w:r>
      <w:r>
        <w:rPr>
          <w:rFonts w:hint="eastAsia" w:ascii="宋体" w:hAnsi="宋体" w:cs="宋体"/>
          <w:b/>
          <w:bCs/>
          <w:color w:val="auto"/>
          <w:highlight w:val="none"/>
        </w:rPr>
        <w:t>法定代表人作为投标代表参与投标活动的，仅须提供法定代表人身份证复印件</w:t>
      </w:r>
    </w:p>
    <w:p>
      <w:pPr>
        <w:pStyle w:val="12"/>
        <w:ind w:firstLine="420" w:firstLineChars="200"/>
        <w:rPr>
          <w:rFonts w:ascii="Times New Roman" w:hAnsi="Times New Roman" w:eastAsia="仿宋_GB2312"/>
          <w:color w:val="auto"/>
          <w:highlight w:val="none"/>
        </w:rPr>
      </w:pPr>
    </w:p>
    <w:p>
      <w:pPr>
        <w:widowControl/>
        <w:spacing w:after="0" w:line="240" w:lineRule="auto"/>
        <w:jc w:val="left"/>
        <w:rPr>
          <w:rFonts w:ascii="宋体" w:hAnsi="宋体" w:cs="宋体"/>
          <w:b/>
          <w:bCs/>
          <w:color w:val="auto"/>
          <w:sz w:val="36"/>
          <w:szCs w:val="36"/>
          <w:highlight w:val="none"/>
        </w:rPr>
      </w:pPr>
      <w:r>
        <w:rPr>
          <w:rFonts w:ascii="宋体" w:hAnsi="宋体" w:cs="宋体"/>
          <w:b/>
          <w:bCs/>
          <w:color w:val="auto"/>
          <w:sz w:val="36"/>
          <w:szCs w:val="36"/>
          <w:highlight w:val="none"/>
        </w:rPr>
        <w:br w:type="page"/>
      </w:r>
    </w:p>
    <w:p>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1-3自然人授权委托书</w:t>
      </w:r>
    </w:p>
    <w:p>
      <w:pPr>
        <w:adjustRightInd w:val="0"/>
        <w:snapToGrid w:val="0"/>
        <w:spacing w:after="0" w:line="360" w:lineRule="auto"/>
        <w:jc w:val="center"/>
        <w:rPr>
          <w:rFonts w:ascii="宋体" w:hAnsi="宋体" w:cs="宋体"/>
          <w:b w:val="0"/>
          <w:bCs w:val="0"/>
          <w:color w:val="auto"/>
          <w:sz w:val="21"/>
          <w:szCs w:val="21"/>
          <w:highlight w:val="none"/>
        </w:rPr>
      </w:pPr>
      <w:r>
        <w:rPr>
          <w:rFonts w:ascii="宋体" w:hAnsi="宋体" w:cs="宋体"/>
          <w:b w:val="0"/>
          <w:bCs w:val="0"/>
          <w:color w:val="auto"/>
          <w:sz w:val="21"/>
          <w:szCs w:val="21"/>
          <w:highlight w:val="none"/>
        </w:rPr>
        <w:t>(</w:t>
      </w:r>
      <w:r>
        <w:rPr>
          <w:rFonts w:hint="eastAsia" w:ascii="宋体" w:hAnsi="宋体" w:cs="宋体"/>
          <w:b w:val="0"/>
          <w:bCs w:val="0"/>
          <w:color w:val="auto"/>
          <w:sz w:val="21"/>
          <w:szCs w:val="21"/>
          <w:highlight w:val="none"/>
        </w:rPr>
        <w:t>适用于自然人投标</w:t>
      </w:r>
      <w:r>
        <w:rPr>
          <w:rFonts w:ascii="宋体" w:hAnsi="宋体" w:cs="宋体"/>
          <w:b w:val="0"/>
          <w:bCs w:val="0"/>
          <w:color w:val="auto"/>
          <w:sz w:val="21"/>
          <w:szCs w:val="21"/>
          <w:highlight w:val="none"/>
        </w:rPr>
        <w:t>)</w:t>
      </w:r>
    </w:p>
    <w:p>
      <w:pPr>
        <w:pStyle w:val="12"/>
        <w:rPr>
          <w:rFonts w:ascii="Times New Roman" w:hAnsi="Times New Roman" w:eastAsia="仿宋_GB2312"/>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color w:val="auto"/>
          <w:highlight w:val="none"/>
        </w:rPr>
      </w:pPr>
      <w:r>
        <w:rPr>
          <w:color w:val="auto"/>
          <w:highlight w:val="none"/>
        </w:rPr>
        <w:t>致____________(采购人或采购代理机构)：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本授权书声明：</w:t>
      </w:r>
      <w:r>
        <w:rPr>
          <w:color w:val="auto"/>
          <w:highlight w:val="none"/>
        </w:rPr>
        <w:t>我________(姓名</w:t>
      </w:r>
      <w:r>
        <w:rPr>
          <w:rFonts w:hint="eastAsia"/>
          <w:color w:val="auto"/>
          <w:highlight w:val="none"/>
        </w:rPr>
        <w:t>、</w:t>
      </w:r>
      <w:r>
        <w:rPr>
          <w:color w:val="auto"/>
          <w:highlight w:val="none"/>
        </w:rPr>
        <w:t>身份证号码)系自然人，现授权委托____________(姓名</w:t>
      </w:r>
      <w:r>
        <w:rPr>
          <w:rFonts w:hint="eastAsia"/>
          <w:color w:val="auto"/>
          <w:highlight w:val="none"/>
        </w:rPr>
        <w:t>、</w:t>
      </w:r>
      <w:r>
        <w:rPr>
          <w:color w:val="auto"/>
          <w:highlight w:val="none"/>
        </w:rPr>
        <w:t>身份证号码)以本人名义参加</w:t>
      </w:r>
      <w:r>
        <w:rPr>
          <w:rFonts w:hint="eastAsia"/>
          <w:color w:val="auto"/>
          <w:highlight w:val="none"/>
        </w:rPr>
        <w:t>《          项目》（项目编号：    ）</w:t>
      </w:r>
      <w:r>
        <w:rPr>
          <w:color w:val="auto"/>
          <w:highlight w:val="none"/>
        </w:rPr>
        <w:t>的投标活动，并代表本人全权办理针对上述项目的投</w:t>
      </w:r>
      <w:r>
        <w:rPr>
          <w:rFonts w:hint="eastAsia"/>
          <w:color w:val="auto"/>
          <w:highlight w:val="none"/>
        </w:rPr>
        <w:t>标、签约等具体事务和签署相关文件。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本人对被授权人的签字事项负全部责任。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授权委托代理期限：从　　年　　月　　日起至　　年　　月　　日止。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我已在下面签字，以资证明。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自然人签字并在签名处加盖食指指印：　　　　年　　月　　日</w:t>
      </w:r>
    </w:p>
    <w:p>
      <w:pPr>
        <w:pStyle w:val="12"/>
        <w:spacing w:line="360" w:lineRule="auto"/>
        <w:ind w:firstLine="480" w:firstLineChars="200"/>
        <w:rPr>
          <w:rFonts w:ascii="宋体" w:hAnsi="宋体" w:eastAsia="宋体"/>
          <w:color w:val="auto"/>
          <w:sz w:val="24"/>
          <w:szCs w:val="24"/>
          <w:highlight w:val="none"/>
        </w:rPr>
      </w:pPr>
    </w:p>
    <w:p>
      <w:pPr>
        <w:topLinePunct/>
        <w:autoSpaceDE w:val="0"/>
        <w:autoSpaceDN w:val="0"/>
        <w:adjustRightInd w:val="0"/>
        <w:snapToGrid w:val="0"/>
        <w:spacing w:after="0" w:line="360" w:lineRule="auto"/>
        <w:jc w:val="left"/>
        <w:rPr>
          <w:rFonts w:ascii="宋体" w:hAnsi="宋体" w:cs="宋体"/>
          <w:color w:val="auto"/>
          <w:highlight w:val="none"/>
        </w:rPr>
      </w:pPr>
    </w:p>
    <w:p>
      <w:pPr>
        <w:topLinePunct/>
        <w:autoSpaceDE w:val="0"/>
        <w:autoSpaceDN w:val="0"/>
        <w:adjustRightInd w:val="0"/>
        <w:snapToGrid w:val="0"/>
        <w:spacing w:after="0" w:line="360" w:lineRule="auto"/>
        <w:jc w:val="left"/>
        <w:rPr>
          <w:rFonts w:ascii="宋体" w:hAnsi="宋体" w:cs="宋体"/>
          <w:i/>
          <w:iCs/>
          <w:color w:val="auto"/>
          <w:highlight w:val="none"/>
        </w:rPr>
      </w:pPr>
      <w:r>
        <w:rPr>
          <w:rFonts w:hint="eastAsia" w:ascii="宋体" w:hAnsi="宋体" w:cs="宋体"/>
          <w:color w:val="auto"/>
          <w:highlight w:val="none"/>
        </w:rPr>
        <w:t>特别说明：</w:t>
      </w:r>
    </w:p>
    <w:p>
      <w:pPr>
        <w:tabs>
          <w:tab w:val="left" w:pos="312"/>
        </w:tabs>
        <w:topLinePunct/>
        <w:autoSpaceDE w:val="0"/>
        <w:autoSpaceDN w:val="0"/>
        <w:adjustRightInd w:val="0"/>
        <w:snapToGrid w:val="0"/>
        <w:spacing w:after="0" w:line="360" w:lineRule="auto"/>
        <w:ind w:firstLine="420" w:firstLineChars="200"/>
        <w:rPr>
          <w:rFonts w:ascii="宋体" w:hAnsi="宋体" w:cs="宋体"/>
          <w:color w:val="auto"/>
          <w:highlight w:val="none"/>
        </w:rPr>
      </w:pPr>
      <w:r>
        <w:rPr>
          <w:rFonts w:hint="eastAsia" w:ascii="宋体" w:hAnsi="宋体" w:cs="宋体"/>
          <w:color w:val="auto"/>
          <w:highlight w:val="none"/>
        </w:rPr>
        <w:t>投标人如由</w:t>
      </w:r>
      <w:r>
        <w:rPr>
          <w:rFonts w:hint="eastAsia" w:ascii="宋体" w:hAnsi="宋体" w:cs="宋体"/>
          <w:b/>
          <w:bCs/>
          <w:color w:val="auto"/>
          <w:highlight w:val="none"/>
        </w:rPr>
        <w:t>被授权人参与投标活动的，</w:t>
      </w:r>
      <w:r>
        <w:rPr>
          <w:rFonts w:hint="eastAsia" w:ascii="宋体" w:hAnsi="宋体" w:cs="宋体"/>
          <w:color w:val="auto"/>
          <w:highlight w:val="none"/>
        </w:rPr>
        <w:t>须提供《自然人授权委托书》，《自然人授权委托书》应当按本格式要求签字并由自然人在签名处加盖食指指印</w:t>
      </w:r>
      <w:r>
        <w:rPr>
          <w:rFonts w:hint="eastAsia" w:ascii="宋体" w:hAnsi="宋体" w:cs="宋体"/>
          <w:color w:val="auto"/>
          <w:szCs w:val="21"/>
          <w:highlight w:val="none"/>
        </w:rPr>
        <w:t>。</w:t>
      </w:r>
    </w:p>
    <w:p>
      <w:pPr>
        <w:pStyle w:val="12"/>
        <w:spacing w:line="360" w:lineRule="auto"/>
        <w:ind w:firstLine="480" w:firstLineChars="200"/>
        <w:rPr>
          <w:rFonts w:ascii="宋体" w:hAnsi="宋体" w:eastAsia="宋体"/>
          <w:color w:val="auto"/>
          <w:sz w:val="24"/>
          <w:szCs w:val="24"/>
          <w:highlight w:val="none"/>
        </w:rPr>
      </w:pPr>
    </w:p>
    <w:p>
      <w:pPr>
        <w:pStyle w:val="12"/>
        <w:ind w:firstLine="420" w:firstLineChars="200"/>
        <w:rPr>
          <w:rFonts w:ascii="Times New Roman" w:hAnsi="Times New Roman" w:eastAsia="仿宋_GB2312"/>
          <w:color w:val="auto"/>
          <w:highlight w:val="none"/>
        </w:rPr>
      </w:pPr>
    </w:p>
    <w:p>
      <w:pPr>
        <w:pStyle w:val="12"/>
        <w:ind w:firstLine="420" w:firstLineChars="200"/>
        <w:jc w:val="center"/>
        <w:rPr>
          <w:rFonts w:ascii="宋体" w:hAnsi="宋体" w:cs="宋体"/>
          <w:b/>
          <w:bCs/>
          <w:color w:val="auto"/>
          <w:sz w:val="28"/>
          <w:szCs w:val="28"/>
          <w:highlight w:val="none"/>
        </w:rPr>
      </w:pPr>
      <w:r>
        <w:rPr>
          <w:rFonts w:ascii="Times New Roman" w:hAnsi="Times New Roman" w:eastAsia="仿宋_GB2312"/>
          <w:color w:val="auto"/>
          <w:highlight w:val="none"/>
        </w:rPr>
        <w:br w:type="page"/>
      </w:r>
      <w:r>
        <w:rPr>
          <w:rFonts w:hint="eastAsia" w:ascii="宋体" w:hAnsi="宋体" w:cs="宋体"/>
          <w:b/>
          <w:bCs/>
          <w:color w:val="auto"/>
          <w:sz w:val="28"/>
          <w:szCs w:val="28"/>
          <w:highlight w:val="none"/>
        </w:rPr>
        <w:t>格式2  投标函</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color w:val="auto"/>
          <w:highlight w:val="none"/>
        </w:rPr>
      </w:pPr>
      <w:r>
        <w:rPr>
          <w:rFonts w:hint="eastAsia"/>
          <w:color w:val="auto"/>
          <w:highlight w:val="none"/>
        </w:rPr>
        <w:t>致________（采购人或采购代理机构）：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根据______（项目名称）（项目编号：______）的招标公告，______（姓名、职务）代表投标人______（投标人名称、地址）参加项目招标的有关活动。据此函，作如下承诺：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1.同意在本项目招标文件中规定的开标日起</w:t>
      </w:r>
      <w:r>
        <w:rPr>
          <w:rFonts w:hint="eastAsia"/>
          <w:color w:val="auto"/>
          <w:highlight w:val="none"/>
          <w:u w:val="single"/>
        </w:rPr>
        <w:t xml:space="preserve"> </w:t>
      </w:r>
      <w:r>
        <w:rPr>
          <w:rFonts w:hint="eastAsia"/>
          <w:color w:val="auto"/>
          <w:highlight w:val="none"/>
          <w:u w:val="single"/>
          <w:lang w:val="en-US" w:eastAsia="zh-CN"/>
        </w:rPr>
        <w:t>90</w:t>
      </w:r>
      <w:r>
        <w:rPr>
          <w:rFonts w:hint="eastAsia"/>
          <w:color w:val="auto"/>
          <w:highlight w:val="none"/>
          <w:u w:val="single"/>
        </w:rPr>
        <w:t xml:space="preserve"> </w:t>
      </w:r>
      <w:r>
        <w:rPr>
          <w:rFonts w:hint="eastAsia"/>
          <w:color w:val="auto"/>
          <w:highlight w:val="none"/>
        </w:rPr>
        <w:t>天遵守本投标文件中的承诺，且在期满之前均具有约束力。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2.具备政府采购相关法律法规规定的参加政府采购活动的供应商应当具备的条件：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（5）参加此项采购活动前三年内，在经营活动中没有重大违法记录。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 xml:space="preserve">（6）法律、行政法规规定的其他条件。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3.具备本项目招标文件中规定的其他要求和资质条件。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4.提供投标人须知规定的全部投标文件。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5.已详细审阅全部招标文件（包括招标文件澄清函），理解投标人须知的所有条款。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6.完全理解贵方“最低报价不能作为中标的保证”的规定。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7.接受招标文件中全部合同条款，且无任何异议；保证忠实地执行双方所签订的合同，并承担合同规定的责任和义务。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8.完全满足和响应招标文件中的各项商务和技术要求，若有偏差，已在投标文件中明确说明。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9.愿意提供任何与投标有关的数据、情况和技术资料等。若贵方需要，愿意提供一切证明材料。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10.我方已详细审核全部投标文件、参考资料及有关附件，确认无误。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11.对本次招标内容及与本项目有关的知识产权、技术资料、商业秘密及相关信息保密。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12.已知悉并承诺遵守《税务系统信息化服务商失信行为记录名单制度(试行) 》关于失信行为进行记录和结果应用的相关规定，及对于违反网络安全规定行为造成不良后果、“围猎”税务人员、违法违规聘用离职税务人员、国家税务总局发票电子化改革领导小组办公室认定的失信行为，3年内限制参加税务系统政府采购活动的相关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投标人名称（公章）：____________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法定代表人（签字或签章）/被授权投标代表（签字）：____________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投标人地址：____________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邮编：____________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电话：____________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传真：____________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 xml:space="preserve">日  期：____________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pPr>
        <w:ind w:firstLine="480" w:firstLineChars="200"/>
        <w:rPr>
          <w:rFonts w:hAnsi="宋体" w:eastAsia="Times New Roman" w:cs="宋体"/>
          <w:color w:val="auto"/>
          <w:sz w:val="24"/>
          <w:highlight w:val="none"/>
        </w:rPr>
      </w:pPr>
    </w:p>
    <w:p>
      <w:pPr>
        <w:adjustRightInd w:val="0"/>
        <w:snapToGrid w:val="0"/>
        <w:spacing w:after="0" w:line="360" w:lineRule="auto"/>
        <w:rPr>
          <w:rFonts w:ascii="宋体" w:hAnsi="宋体" w:cs="宋体"/>
          <w:color w:val="auto"/>
          <w:highlight w:val="none"/>
        </w:rPr>
      </w:pPr>
      <w:r>
        <w:rPr>
          <w:rFonts w:hint="eastAsia" w:ascii="宋体" w:hAnsi="宋体" w:cs="宋体"/>
          <w:color w:val="auto"/>
          <w:highlight w:val="none"/>
        </w:rPr>
        <w:t>特别说明：</w:t>
      </w:r>
    </w:p>
    <w:p>
      <w:pPr>
        <w:adjustRightInd w:val="0"/>
        <w:snapToGrid w:val="0"/>
        <w:spacing w:after="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投标人应当按上述格式要求加盖与投标人名称全称一致的标准公章，并签署法定代表人或</w:t>
      </w:r>
      <w:r>
        <w:rPr>
          <w:rFonts w:hint="eastAsia" w:ascii="宋体" w:hAnsi="宋体" w:cs="宋体"/>
          <w:bCs/>
          <w:color w:val="auto"/>
          <w:szCs w:val="21"/>
          <w:highlight w:val="none"/>
        </w:rPr>
        <w:t>被授权投标代表</w:t>
      </w:r>
      <w:r>
        <w:rPr>
          <w:rFonts w:hint="eastAsia" w:ascii="宋体" w:hAnsi="宋体" w:cs="宋体"/>
          <w:color w:val="auto"/>
          <w:szCs w:val="21"/>
          <w:highlight w:val="none"/>
        </w:rPr>
        <w:t>的全名或加盖名章。</w:t>
      </w:r>
    </w:p>
    <w:p>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hint="eastAsia" w:hAnsi="宋体" w:cs="宋体"/>
          <w:b/>
          <w:bCs/>
          <w:color w:val="auto"/>
          <w:sz w:val="28"/>
          <w:szCs w:val="28"/>
          <w:highlight w:val="none"/>
        </w:rPr>
        <w:br w:type="page"/>
      </w:r>
      <w:bookmarkStart w:id="101" w:name="_Toc18153"/>
      <w:bookmarkStart w:id="102" w:name="_Toc8860"/>
      <w:r>
        <w:rPr>
          <w:rFonts w:hint="default" w:ascii="Times New Roman" w:hAnsi="Times New Roman" w:cs="Times New Roman"/>
          <w:b/>
          <w:bCs/>
          <w:color w:val="auto"/>
          <w:sz w:val="28"/>
          <w:szCs w:val="28"/>
          <w:highlight w:val="none"/>
        </w:rPr>
        <w:t>格式3  投标报价表</w:t>
      </w:r>
    </w:p>
    <w:p>
      <w:pPr>
        <w:pStyle w:val="12"/>
        <w:topLinePunct/>
        <w:autoSpaceDE w:val="0"/>
        <w:autoSpaceDN w:val="0"/>
        <w:adjustRightInd w:val="0"/>
        <w:snapToGrid w:val="0"/>
        <w:spacing w:line="360" w:lineRule="auto"/>
        <w:ind w:left="2"/>
        <w:jc w:val="center"/>
        <w:rPr>
          <w:rFonts w:hint="default" w:ascii="Times New Roman" w:hAnsi="Times New Roman" w:cs="Times New Roman"/>
          <w:b/>
          <w:bCs/>
          <w:color w:val="auto"/>
          <w:kern w:val="2"/>
          <w:sz w:val="28"/>
          <w:szCs w:val="28"/>
          <w:highlight w:val="none"/>
        </w:rPr>
      </w:pPr>
      <w:r>
        <w:rPr>
          <w:rFonts w:hint="default" w:ascii="Times New Roman" w:hAnsi="Times New Roman" w:cs="Times New Roman"/>
          <w:b/>
          <w:bCs/>
          <w:color w:val="auto"/>
          <w:kern w:val="2"/>
          <w:sz w:val="28"/>
          <w:szCs w:val="28"/>
          <w:highlight w:val="none"/>
        </w:rPr>
        <w:t>1.开标一览表（总报价表）</w:t>
      </w:r>
      <w:bookmarkEnd w:id="101"/>
      <w:bookmarkEnd w:id="102"/>
    </w:p>
    <w:p>
      <w:pPr>
        <w:pStyle w:val="12"/>
        <w:topLinePunct/>
        <w:autoSpaceDE w:val="0"/>
        <w:autoSpaceDN w:val="0"/>
        <w:adjustRightInd w:val="0"/>
        <w:snapToGrid w:val="0"/>
        <w:spacing w:line="360" w:lineRule="auto"/>
        <w:ind w:left="2"/>
        <w:jc w:val="center"/>
        <w:rPr>
          <w:rFonts w:hAnsi="宋体" w:cs="宋体"/>
          <w:b w:val="0"/>
          <w:bCs w:val="0"/>
          <w:color w:val="auto"/>
          <w:kern w:val="2"/>
          <w:sz w:val="21"/>
          <w:highlight w:val="none"/>
        </w:rPr>
      </w:pPr>
      <w:r>
        <w:rPr>
          <w:rFonts w:hAnsi="宋体" w:cs="宋体"/>
          <w:b w:val="0"/>
          <w:bCs w:val="0"/>
          <w:color w:val="auto"/>
          <w:kern w:val="2"/>
          <w:sz w:val="21"/>
          <w:highlight w:val="none"/>
        </w:rPr>
        <w:t>(货物类项目适用)</w:t>
      </w:r>
    </w:p>
    <w:p>
      <w:pPr>
        <w:topLinePunct/>
        <w:autoSpaceDE w:val="0"/>
        <w:autoSpaceDN w:val="0"/>
        <w:adjustRightInd w:val="0"/>
        <w:snapToGrid w:val="0"/>
        <w:spacing w:after="0" w:line="360" w:lineRule="auto"/>
        <w:jc w:val="left"/>
        <w:rPr>
          <w:rFonts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adjustRightInd w:val="0"/>
        <w:snapToGrid w:val="0"/>
        <w:spacing w:after="0" w:line="360" w:lineRule="auto"/>
        <w:ind w:right="840"/>
        <w:rPr>
          <w:rFonts w:ascii="宋体" w:hAnsi="宋体" w:cs="宋体"/>
          <w:color w:val="auto"/>
          <w:highlight w:val="none"/>
        </w:rPr>
      </w:pPr>
      <w:r>
        <w:rPr>
          <w:rFonts w:hint="eastAsia" w:ascii="宋体" w:hAnsi="宋体" w:cs="宋体"/>
          <w:color w:val="auto"/>
          <w:highlight w:val="none"/>
        </w:rPr>
        <w:t>采购包号：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价格单位：人民币   元</w:t>
      </w:r>
    </w:p>
    <w:tbl>
      <w:tblPr>
        <w:tblStyle w:val="16"/>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4918"/>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61" w:type="dxa"/>
            <w:noWrap/>
            <w:vAlign w:val="center"/>
          </w:tcPr>
          <w:p>
            <w:pPr>
              <w:adjustRightInd w:val="0"/>
              <w:snapToGrid w:val="0"/>
              <w:spacing w:beforeLines="20" w:afterLines="2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4918" w:type="dxa"/>
            <w:noWrap/>
            <w:vAlign w:val="center"/>
          </w:tcPr>
          <w:p>
            <w:pPr>
              <w:adjustRightInd w:val="0"/>
              <w:snapToGrid w:val="0"/>
              <w:spacing w:beforeLines="20" w:afterLines="2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内容</w:t>
            </w: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价格小计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61" w:type="dxa"/>
            <w:noWrap/>
            <w:vAlign w:val="center"/>
          </w:tcPr>
          <w:p>
            <w:pPr>
              <w:adjustRightInd w:val="0"/>
              <w:snapToGrid w:val="0"/>
              <w:spacing w:beforeLines="20" w:afterLines="20" w:line="240" w:lineRule="auto"/>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1</w:t>
            </w:r>
          </w:p>
        </w:tc>
        <w:tc>
          <w:tcPr>
            <w:tcW w:w="4918" w:type="dxa"/>
            <w:noWrap/>
            <w:vAlign w:val="center"/>
          </w:tcPr>
          <w:p>
            <w:pPr>
              <w:spacing w:line="460" w:lineRule="exact"/>
              <w:jc w:val="left"/>
              <w:rPr>
                <w:rFonts w:hint="default" w:ascii="Times New Roman" w:hAnsi="Times New Roman" w:cs="Times New Roman"/>
                <w:color w:val="auto"/>
                <w:sz w:val="21"/>
                <w:szCs w:val="21"/>
                <w:highlight w:val="none"/>
              </w:rPr>
            </w:pP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61" w:type="dxa"/>
            <w:noWrap/>
            <w:vAlign w:val="center"/>
          </w:tcPr>
          <w:p>
            <w:pPr>
              <w:adjustRightInd w:val="0"/>
              <w:snapToGrid w:val="0"/>
              <w:spacing w:beforeLines="20" w:afterLines="20"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2</w:t>
            </w:r>
          </w:p>
        </w:tc>
        <w:tc>
          <w:tcPr>
            <w:tcW w:w="4918" w:type="dxa"/>
            <w:noWrap/>
            <w:vAlign w:val="center"/>
          </w:tcPr>
          <w:p>
            <w:pPr>
              <w:spacing w:line="460" w:lineRule="exact"/>
              <w:jc w:val="left"/>
              <w:rPr>
                <w:rFonts w:hint="default" w:ascii="Times New Roman" w:hAnsi="Times New Roman" w:cs="Times New Roman"/>
                <w:color w:val="auto"/>
                <w:sz w:val="21"/>
                <w:szCs w:val="21"/>
                <w:highlight w:val="none"/>
              </w:rPr>
            </w:pP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61" w:type="dxa"/>
            <w:noWrap/>
            <w:vAlign w:val="center"/>
          </w:tcPr>
          <w:p>
            <w:pPr>
              <w:adjustRightInd w:val="0"/>
              <w:snapToGrid w:val="0"/>
              <w:spacing w:beforeLines="20" w:afterLines="20"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3</w:t>
            </w:r>
          </w:p>
        </w:tc>
        <w:tc>
          <w:tcPr>
            <w:tcW w:w="4918" w:type="dxa"/>
            <w:noWrap/>
            <w:vAlign w:val="center"/>
          </w:tcPr>
          <w:p>
            <w:pPr>
              <w:rPr>
                <w:rFonts w:hint="default" w:ascii="Times New Roman" w:hAnsi="Times New Roman" w:cs="Times New Roman"/>
                <w:color w:val="auto"/>
                <w:sz w:val="21"/>
                <w:szCs w:val="21"/>
                <w:highlight w:val="none"/>
              </w:rPr>
            </w:pPr>
          </w:p>
        </w:tc>
        <w:tc>
          <w:tcPr>
            <w:tcW w:w="2553" w:type="dxa"/>
            <w:noWrap/>
            <w:vAlign w:val="center"/>
          </w:tcPr>
          <w:p>
            <w:pP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61" w:type="dxa"/>
            <w:noWrap/>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4918" w:type="dxa"/>
            <w:noWrap/>
            <w:vAlign w:val="center"/>
          </w:tcPr>
          <w:p>
            <w:pPr>
              <w:rPr>
                <w:rFonts w:hint="default" w:ascii="Times New Roman" w:hAnsi="Times New Roman" w:cs="Times New Roman"/>
                <w:color w:val="auto"/>
                <w:sz w:val="21"/>
                <w:szCs w:val="21"/>
                <w:highlight w:val="none"/>
              </w:rPr>
            </w:pPr>
          </w:p>
        </w:tc>
        <w:tc>
          <w:tcPr>
            <w:tcW w:w="2553" w:type="dxa"/>
            <w:noWrap/>
            <w:vAlign w:val="center"/>
          </w:tcPr>
          <w:p>
            <w:pP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61" w:type="dxa"/>
            <w:noWrap/>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4918" w:type="dxa"/>
            <w:noWrap/>
            <w:vAlign w:val="center"/>
          </w:tcPr>
          <w:p>
            <w:pPr>
              <w:rPr>
                <w:rFonts w:hint="default" w:ascii="Times New Roman" w:hAnsi="Times New Roman" w:cs="Times New Roman"/>
                <w:color w:val="auto"/>
                <w:sz w:val="21"/>
                <w:szCs w:val="21"/>
                <w:highlight w:val="none"/>
              </w:rPr>
            </w:pPr>
          </w:p>
        </w:tc>
        <w:tc>
          <w:tcPr>
            <w:tcW w:w="2553" w:type="dxa"/>
            <w:noWrap/>
            <w:vAlign w:val="center"/>
          </w:tcPr>
          <w:p>
            <w:pP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79" w:type="dxa"/>
            <w:gridSpan w:val="2"/>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报价合计（小写）</w:t>
            </w: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79" w:type="dxa"/>
            <w:gridSpan w:val="2"/>
            <w:noWrap/>
            <w:vAlign w:val="center"/>
          </w:tcPr>
          <w:p>
            <w:pPr>
              <w:adjustRightInd w:val="0"/>
              <w:snapToGrid w:val="0"/>
              <w:spacing w:beforeLines="20" w:afterLines="20" w:line="240" w:lineRule="auto"/>
              <w:jc w:val="center"/>
              <w:rPr>
                <w:rFonts w:hint="default" w:ascii="Times New Roman" w:hAnsi="Times New Roman" w:cs="Times New Roman"/>
                <w:b/>
                <w:bCs/>
                <w:color w:val="auto"/>
                <w:sz w:val="21"/>
                <w:szCs w:val="21"/>
                <w:highlight w:val="none"/>
              </w:rPr>
            </w:pPr>
            <w:r>
              <w:rPr>
                <w:rFonts w:hint="default" w:ascii="Times New Roman" w:hAnsi="Times New Roman" w:cs="Times New Roman"/>
                <w:color w:val="auto"/>
                <w:sz w:val="21"/>
                <w:szCs w:val="21"/>
                <w:highlight w:val="none"/>
              </w:rPr>
              <w:t>报价合计（大写）</w:t>
            </w: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79" w:type="dxa"/>
            <w:gridSpan w:val="2"/>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供货期限</w:t>
            </w: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79" w:type="dxa"/>
            <w:gridSpan w:val="2"/>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质保期</w:t>
            </w: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79" w:type="dxa"/>
            <w:gridSpan w:val="2"/>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2553" w:type="dxa"/>
            <w:noWrap/>
            <w:vAlign w:val="center"/>
          </w:tcPr>
          <w:p>
            <w:pPr>
              <w:adjustRightInd w:val="0"/>
              <w:snapToGrid w:val="0"/>
              <w:spacing w:beforeLines="20" w:afterLines="20" w:line="240" w:lineRule="auto"/>
              <w:jc w:val="center"/>
              <w:rPr>
                <w:rFonts w:hint="default" w:ascii="Times New Roman" w:hAnsi="Times New Roman" w:cs="Times New Roman"/>
                <w:color w:val="auto"/>
                <w:sz w:val="21"/>
                <w:szCs w:val="21"/>
                <w:highlight w:val="none"/>
              </w:rPr>
            </w:pPr>
          </w:p>
        </w:tc>
      </w:tr>
    </w:tbl>
    <w:p>
      <w:pPr>
        <w:topLinePunct/>
        <w:autoSpaceDE w:val="0"/>
        <w:autoSpaceDN w:val="0"/>
        <w:spacing w:after="0"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特别说明：</w:t>
      </w:r>
    </w:p>
    <w:p>
      <w:pPr>
        <w:topLinePunct/>
        <w:autoSpaceDE w:val="0"/>
        <w:autoSpaceDN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1.本项目总价及分项报价均不接受任何形式的赠送、“零”报价和折扣报价。</w:t>
      </w:r>
    </w:p>
    <w:p>
      <w:pPr>
        <w:topLinePunct/>
        <w:autoSpaceDE w:val="0"/>
        <w:autoSpaceDN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2.本项目执行中所发生的所有费用均计入投标报价中，采购人不再另行支付其他任何费用。</w:t>
      </w:r>
    </w:p>
    <w:p>
      <w:pPr>
        <w:topLinePunct/>
        <w:autoSpaceDE w:val="0"/>
        <w:autoSpaceDN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3.投标人应根据《招标文件-技术部分》相关要求填报。</w:t>
      </w:r>
    </w:p>
    <w:p>
      <w:pPr>
        <w:topLinePunct/>
        <w:autoSpaceDE w:val="0"/>
        <w:autoSpaceDN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4.如报价不一致，按照投标人须知“19.核价原则”进行修正。</w:t>
      </w:r>
    </w:p>
    <w:p>
      <w:pPr>
        <w:topLinePunct/>
        <w:autoSpaceDE w:val="0"/>
        <w:autoSpaceDN w:val="0"/>
        <w:adjustRightInd w:val="0"/>
        <w:snapToGrid w:val="0"/>
        <w:spacing w:after="0" w:line="360" w:lineRule="auto"/>
        <w:ind w:firstLine="525" w:firstLineChars="250"/>
        <w:jc w:val="left"/>
        <w:rPr>
          <w:rFonts w:hint="default" w:ascii="Times New Roman" w:hAnsi="Times New Roman" w:cs="Times New Roman"/>
          <w:color w:val="auto"/>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w:t>
      </w:r>
      <w:r>
        <w:rPr>
          <w:rFonts w:hint="default" w:ascii="Times New Roman" w:hAnsi="Times New Roman" w:cs="Times New Roman"/>
          <w:color w:val="auto"/>
          <w:kern w:val="0"/>
          <w:sz w:val="21"/>
          <w:szCs w:val="21"/>
          <w:highlight w:val="none"/>
        </w:rPr>
        <w:t>（全称并加盖公章</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投标人代表（签字或盖章）</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p>
    <w:p>
      <w:pPr>
        <w:widowControl/>
        <w:spacing w:after="0" w:line="240" w:lineRule="auto"/>
        <w:jc w:val="both"/>
        <w:rPr>
          <w:rFonts w:hint="default" w:ascii="Times New Roman" w:hAnsi="Times New Roman" w:cs="Times New Roman"/>
          <w:b/>
          <w:color w:val="auto"/>
          <w:sz w:val="28"/>
          <w:highlight w:val="none"/>
        </w:rPr>
      </w:pPr>
      <w:r>
        <w:rPr>
          <w:rFonts w:hint="default" w:ascii="Times New Roman" w:hAnsi="Times New Roman" w:cs="Times New Roman"/>
          <w:color w:val="auto"/>
          <w:sz w:val="21"/>
          <w:szCs w:val="21"/>
          <w:highlight w:val="none"/>
        </w:rPr>
        <w:t>日期：</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br w:type="page"/>
      </w:r>
      <w:r>
        <w:rPr>
          <w:rFonts w:hint="default" w:ascii="Times New Roman" w:hAnsi="Times New Roman" w:cs="Times New Roman"/>
          <w:b/>
          <w:color w:val="auto"/>
          <w:sz w:val="28"/>
          <w:highlight w:val="none"/>
        </w:rPr>
        <w:t>2.分项报价表</w:t>
      </w:r>
    </w:p>
    <w:p>
      <w:pPr>
        <w:spacing w:line="360" w:lineRule="auto"/>
        <w:jc w:val="center"/>
        <w:rPr>
          <w:rFonts w:hint="default" w:ascii="Times New Roman" w:hAnsi="Times New Roman" w:cs="Times New Roman"/>
          <w:b/>
          <w:color w:val="auto"/>
          <w:sz w:val="28"/>
          <w:highlight w:val="none"/>
        </w:rPr>
      </w:pPr>
      <w:r>
        <w:rPr>
          <w:rFonts w:hint="default" w:ascii="Times New Roman" w:hAnsi="Times New Roman" w:cs="Times New Roman"/>
          <w:b/>
          <w:color w:val="auto"/>
          <w:sz w:val="28"/>
          <w:highlight w:val="none"/>
        </w:rPr>
        <w:t>2.1 分项报价表</w:t>
      </w:r>
    </w:p>
    <w:p>
      <w:pPr>
        <w:pStyle w:val="12"/>
        <w:topLinePunct/>
        <w:autoSpaceDE w:val="0"/>
        <w:autoSpaceDN w:val="0"/>
        <w:adjustRightInd w:val="0"/>
        <w:snapToGrid w:val="0"/>
        <w:spacing w:line="360" w:lineRule="auto"/>
        <w:ind w:left="2"/>
        <w:jc w:val="center"/>
        <w:rPr>
          <w:rFonts w:hAnsi="宋体" w:cs="宋体"/>
          <w:b w:val="0"/>
          <w:bCs w:val="0"/>
          <w:color w:val="auto"/>
          <w:kern w:val="2"/>
          <w:sz w:val="21"/>
          <w:highlight w:val="none"/>
        </w:rPr>
      </w:pPr>
      <w:r>
        <w:rPr>
          <w:rFonts w:hint="eastAsia" w:hAnsi="宋体" w:cs="宋体"/>
          <w:b w:val="0"/>
          <w:bCs w:val="0"/>
          <w:color w:val="auto"/>
          <w:kern w:val="2"/>
          <w:sz w:val="21"/>
          <w:highlight w:val="none"/>
        </w:rPr>
        <w:t>(货物类项目适用)</w:t>
      </w:r>
    </w:p>
    <w:p>
      <w:pPr>
        <w:topLinePunct/>
        <w:autoSpaceDE w:val="0"/>
        <w:autoSpaceDN w:val="0"/>
        <w:adjustRightInd w:val="0"/>
        <w:snapToGrid w:val="0"/>
        <w:spacing w:after="0" w:line="360" w:lineRule="auto"/>
        <w:jc w:val="left"/>
        <w:rPr>
          <w:rFonts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adjustRightInd w:val="0"/>
        <w:snapToGrid w:val="0"/>
        <w:spacing w:after="0" w:line="360" w:lineRule="auto"/>
        <w:ind w:right="840"/>
        <w:rPr>
          <w:rFonts w:ascii="宋体" w:hAnsi="宋体" w:cs="宋体"/>
          <w:bCs/>
          <w:color w:val="auto"/>
          <w:w w:val="150"/>
          <w:szCs w:val="21"/>
          <w:highlight w:val="none"/>
        </w:rPr>
      </w:pPr>
      <w:r>
        <w:rPr>
          <w:rFonts w:hint="eastAsia" w:ascii="宋体" w:hAnsi="宋体" w:cs="宋体"/>
          <w:color w:val="auto"/>
          <w:highlight w:val="none"/>
        </w:rPr>
        <w:t>采购包号：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价格单位：人民币   元</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1277"/>
        <w:gridCol w:w="851"/>
        <w:gridCol w:w="851"/>
        <w:gridCol w:w="850"/>
        <w:gridCol w:w="565"/>
        <w:gridCol w:w="1058"/>
        <w:gridCol w:w="1186"/>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noWrap w:val="0"/>
            <w:vAlign w:val="center"/>
          </w:tcPr>
          <w:p>
            <w:pPr>
              <w:pStyle w:val="12"/>
              <w:jc w:val="center"/>
              <w:rPr>
                <w:rFonts w:ascii="Times New Roman" w:hAnsi="Times New Roman"/>
                <w:color w:val="auto"/>
                <w:highlight w:val="none"/>
              </w:rPr>
            </w:pPr>
            <w:r>
              <w:rPr>
                <w:rFonts w:ascii="Times New Roman" w:hAnsi="Times New Roman"/>
                <w:color w:val="auto"/>
                <w:highlight w:val="none"/>
              </w:rPr>
              <w:t>序号</w:t>
            </w:r>
          </w:p>
        </w:tc>
        <w:tc>
          <w:tcPr>
            <w:tcW w:w="741" w:type="pct"/>
            <w:noWrap w:val="0"/>
            <w:vAlign w:val="center"/>
          </w:tcPr>
          <w:p>
            <w:pPr>
              <w:pStyle w:val="12"/>
              <w:jc w:val="center"/>
              <w:rPr>
                <w:rFonts w:ascii="Times New Roman" w:hAnsi="Times New Roman"/>
                <w:color w:val="auto"/>
                <w:highlight w:val="none"/>
              </w:rPr>
            </w:pPr>
            <w:r>
              <w:rPr>
                <w:rFonts w:ascii="Times New Roman" w:hAnsi="Times New Roman"/>
                <w:color w:val="auto"/>
                <w:highlight w:val="none"/>
              </w:rPr>
              <w:t>货物</w:t>
            </w:r>
          </w:p>
          <w:p>
            <w:pPr>
              <w:pStyle w:val="12"/>
              <w:jc w:val="center"/>
              <w:rPr>
                <w:rFonts w:ascii="Times New Roman" w:hAnsi="Times New Roman"/>
                <w:color w:val="auto"/>
                <w:highlight w:val="none"/>
              </w:rPr>
            </w:pPr>
            <w:r>
              <w:rPr>
                <w:rFonts w:ascii="Times New Roman" w:hAnsi="Times New Roman"/>
                <w:color w:val="auto"/>
                <w:highlight w:val="none"/>
              </w:rPr>
              <w:t>名称</w:t>
            </w:r>
          </w:p>
        </w:tc>
        <w:tc>
          <w:tcPr>
            <w:tcW w:w="494" w:type="pct"/>
            <w:noWrap w:val="0"/>
            <w:vAlign w:val="center"/>
          </w:tcPr>
          <w:p>
            <w:pPr>
              <w:pStyle w:val="12"/>
              <w:jc w:val="center"/>
              <w:rPr>
                <w:rFonts w:ascii="Times New Roman" w:hAnsi="Times New Roman"/>
                <w:color w:val="auto"/>
                <w:highlight w:val="none"/>
              </w:rPr>
            </w:pPr>
            <w:r>
              <w:rPr>
                <w:rFonts w:ascii="Times New Roman" w:hAnsi="Times New Roman"/>
                <w:color w:val="auto"/>
                <w:highlight w:val="none"/>
              </w:rPr>
              <w:t>品牌</w:t>
            </w:r>
          </w:p>
        </w:tc>
        <w:tc>
          <w:tcPr>
            <w:tcW w:w="494" w:type="pct"/>
            <w:noWrap w:val="0"/>
            <w:vAlign w:val="center"/>
          </w:tcPr>
          <w:p>
            <w:pPr>
              <w:pStyle w:val="12"/>
              <w:jc w:val="center"/>
              <w:rPr>
                <w:rFonts w:ascii="Times New Roman" w:hAnsi="Times New Roman"/>
                <w:color w:val="auto"/>
                <w:highlight w:val="none"/>
              </w:rPr>
            </w:pPr>
            <w:r>
              <w:rPr>
                <w:rFonts w:ascii="Times New Roman" w:hAnsi="Times New Roman"/>
                <w:color w:val="auto"/>
                <w:highlight w:val="none"/>
              </w:rPr>
              <w:t>生产</w:t>
            </w:r>
          </w:p>
          <w:p>
            <w:pPr>
              <w:pStyle w:val="12"/>
              <w:jc w:val="center"/>
              <w:rPr>
                <w:rFonts w:ascii="Times New Roman" w:hAnsi="Times New Roman"/>
                <w:color w:val="auto"/>
                <w:highlight w:val="none"/>
              </w:rPr>
            </w:pPr>
            <w:r>
              <w:rPr>
                <w:rFonts w:ascii="Times New Roman" w:hAnsi="Times New Roman"/>
                <w:color w:val="auto"/>
                <w:highlight w:val="none"/>
              </w:rPr>
              <w:t>厂家</w:t>
            </w:r>
          </w:p>
        </w:tc>
        <w:tc>
          <w:tcPr>
            <w:tcW w:w="493" w:type="pct"/>
            <w:noWrap w:val="0"/>
            <w:vAlign w:val="center"/>
          </w:tcPr>
          <w:p>
            <w:pPr>
              <w:pStyle w:val="12"/>
              <w:jc w:val="center"/>
              <w:rPr>
                <w:rFonts w:ascii="Times New Roman" w:hAnsi="Times New Roman"/>
                <w:color w:val="auto"/>
                <w:highlight w:val="none"/>
              </w:rPr>
            </w:pPr>
            <w:r>
              <w:rPr>
                <w:rFonts w:ascii="Times New Roman" w:hAnsi="Times New Roman"/>
                <w:color w:val="auto"/>
                <w:highlight w:val="none"/>
              </w:rPr>
              <w:t>规格</w:t>
            </w:r>
          </w:p>
          <w:p>
            <w:pPr>
              <w:pStyle w:val="12"/>
              <w:jc w:val="center"/>
              <w:rPr>
                <w:rFonts w:ascii="Times New Roman" w:hAnsi="Times New Roman"/>
                <w:color w:val="auto"/>
                <w:highlight w:val="none"/>
              </w:rPr>
            </w:pPr>
            <w:r>
              <w:rPr>
                <w:rFonts w:ascii="Times New Roman" w:hAnsi="Times New Roman"/>
                <w:color w:val="auto"/>
                <w:highlight w:val="none"/>
              </w:rPr>
              <w:t>型号</w:t>
            </w:r>
          </w:p>
        </w:tc>
        <w:tc>
          <w:tcPr>
            <w:tcW w:w="328" w:type="pct"/>
            <w:noWrap w:val="0"/>
            <w:vAlign w:val="center"/>
          </w:tcPr>
          <w:p>
            <w:pPr>
              <w:pStyle w:val="12"/>
              <w:jc w:val="center"/>
              <w:rPr>
                <w:rFonts w:ascii="Times New Roman" w:hAnsi="Times New Roman"/>
                <w:color w:val="auto"/>
                <w:highlight w:val="none"/>
              </w:rPr>
            </w:pPr>
            <w:r>
              <w:rPr>
                <w:rFonts w:ascii="Times New Roman" w:hAnsi="Times New Roman"/>
                <w:color w:val="auto"/>
                <w:highlight w:val="none"/>
              </w:rPr>
              <w:t>单价</w:t>
            </w:r>
          </w:p>
        </w:tc>
        <w:tc>
          <w:tcPr>
            <w:tcW w:w="614" w:type="pct"/>
            <w:noWrap w:val="0"/>
            <w:vAlign w:val="center"/>
          </w:tcPr>
          <w:p>
            <w:pPr>
              <w:pStyle w:val="12"/>
              <w:jc w:val="center"/>
              <w:rPr>
                <w:rFonts w:ascii="Times New Roman" w:hAnsi="Times New Roman"/>
                <w:color w:val="auto"/>
                <w:highlight w:val="none"/>
              </w:rPr>
            </w:pPr>
            <w:r>
              <w:rPr>
                <w:rFonts w:ascii="Times New Roman" w:hAnsi="Times New Roman"/>
                <w:color w:val="auto"/>
                <w:highlight w:val="none"/>
              </w:rPr>
              <w:t>数量</w:t>
            </w:r>
          </w:p>
        </w:tc>
        <w:tc>
          <w:tcPr>
            <w:tcW w:w="688" w:type="pct"/>
            <w:noWrap w:val="0"/>
            <w:vAlign w:val="center"/>
          </w:tcPr>
          <w:p>
            <w:pPr>
              <w:pStyle w:val="12"/>
              <w:jc w:val="center"/>
              <w:rPr>
                <w:rFonts w:ascii="Times New Roman" w:hAnsi="Times New Roman"/>
                <w:color w:val="auto"/>
                <w:highlight w:val="none"/>
              </w:rPr>
            </w:pPr>
            <w:r>
              <w:rPr>
                <w:rFonts w:ascii="Times New Roman" w:hAnsi="Times New Roman"/>
                <w:color w:val="auto"/>
                <w:highlight w:val="none"/>
              </w:rPr>
              <w:t>合计</w:t>
            </w:r>
          </w:p>
        </w:tc>
        <w:tc>
          <w:tcPr>
            <w:tcW w:w="590" w:type="pct"/>
            <w:noWrap w:val="0"/>
            <w:vAlign w:val="center"/>
          </w:tcPr>
          <w:p>
            <w:pPr>
              <w:pStyle w:val="12"/>
              <w:jc w:val="center"/>
              <w:rPr>
                <w:rFonts w:ascii="Times New Roman" w:hAnsi="Times New Roman"/>
                <w:color w:val="auto"/>
                <w:highlight w:val="none"/>
              </w:rPr>
            </w:pPr>
            <w:r>
              <w:rPr>
                <w:rFonts w:ascii="Times New Roman" w:hAnsi="Times New Roman"/>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noWrap w:val="0"/>
            <w:vAlign w:val="center"/>
          </w:tcPr>
          <w:p>
            <w:pPr>
              <w:pStyle w:val="12"/>
              <w:jc w:val="center"/>
              <w:rPr>
                <w:rFonts w:ascii="Times New Roman" w:hAnsi="Times New Roman"/>
                <w:color w:val="auto"/>
                <w:highlight w:val="none"/>
              </w:rPr>
            </w:pPr>
            <w:r>
              <w:rPr>
                <w:rFonts w:ascii="Times New Roman" w:hAnsi="Times New Roman"/>
                <w:color w:val="auto"/>
                <w:highlight w:val="none"/>
              </w:rPr>
              <w:t>1</w:t>
            </w:r>
          </w:p>
        </w:tc>
        <w:tc>
          <w:tcPr>
            <w:tcW w:w="741" w:type="pct"/>
            <w:noWrap w:val="0"/>
            <w:vAlign w:val="center"/>
          </w:tcPr>
          <w:p>
            <w:pPr>
              <w:pStyle w:val="12"/>
              <w:jc w:val="center"/>
              <w:rPr>
                <w:rFonts w:ascii="Times New Roman" w:hAnsi="Times New Roman"/>
                <w:color w:val="auto"/>
                <w:highlight w:val="none"/>
              </w:rPr>
            </w:pPr>
          </w:p>
        </w:tc>
        <w:tc>
          <w:tcPr>
            <w:tcW w:w="494" w:type="pct"/>
            <w:noWrap w:val="0"/>
            <w:vAlign w:val="center"/>
          </w:tcPr>
          <w:p>
            <w:pPr>
              <w:pStyle w:val="12"/>
              <w:jc w:val="center"/>
              <w:rPr>
                <w:rFonts w:ascii="Times New Roman" w:hAnsi="Times New Roman"/>
                <w:color w:val="auto"/>
                <w:highlight w:val="none"/>
              </w:rPr>
            </w:pPr>
          </w:p>
        </w:tc>
        <w:tc>
          <w:tcPr>
            <w:tcW w:w="494" w:type="pct"/>
            <w:noWrap w:val="0"/>
            <w:vAlign w:val="center"/>
          </w:tcPr>
          <w:p>
            <w:pPr>
              <w:pStyle w:val="12"/>
              <w:jc w:val="center"/>
              <w:rPr>
                <w:rFonts w:ascii="Times New Roman" w:hAnsi="Times New Roman"/>
                <w:color w:val="auto"/>
                <w:highlight w:val="none"/>
              </w:rPr>
            </w:pPr>
          </w:p>
        </w:tc>
        <w:tc>
          <w:tcPr>
            <w:tcW w:w="493" w:type="pct"/>
            <w:noWrap w:val="0"/>
            <w:vAlign w:val="center"/>
          </w:tcPr>
          <w:p>
            <w:pPr>
              <w:pStyle w:val="12"/>
              <w:jc w:val="center"/>
              <w:rPr>
                <w:rFonts w:ascii="Times New Roman" w:hAnsi="Times New Roman"/>
                <w:color w:val="auto"/>
                <w:highlight w:val="none"/>
              </w:rPr>
            </w:pPr>
          </w:p>
        </w:tc>
        <w:tc>
          <w:tcPr>
            <w:tcW w:w="328" w:type="pct"/>
            <w:noWrap w:val="0"/>
            <w:vAlign w:val="center"/>
          </w:tcPr>
          <w:p>
            <w:pPr>
              <w:pStyle w:val="12"/>
              <w:jc w:val="center"/>
              <w:rPr>
                <w:rFonts w:ascii="Times New Roman" w:hAnsi="Times New Roman"/>
                <w:color w:val="auto"/>
                <w:highlight w:val="none"/>
              </w:rPr>
            </w:pPr>
          </w:p>
        </w:tc>
        <w:tc>
          <w:tcPr>
            <w:tcW w:w="614" w:type="pct"/>
            <w:noWrap w:val="0"/>
            <w:vAlign w:val="center"/>
          </w:tcPr>
          <w:p>
            <w:pPr>
              <w:pStyle w:val="12"/>
              <w:jc w:val="center"/>
              <w:rPr>
                <w:rFonts w:ascii="Times New Roman" w:hAnsi="Times New Roman"/>
                <w:color w:val="auto"/>
                <w:highlight w:val="none"/>
              </w:rPr>
            </w:pPr>
          </w:p>
        </w:tc>
        <w:tc>
          <w:tcPr>
            <w:tcW w:w="688" w:type="pct"/>
            <w:noWrap w:val="0"/>
            <w:vAlign w:val="center"/>
          </w:tcPr>
          <w:p>
            <w:pPr>
              <w:pStyle w:val="12"/>
              <w:jc w:val="center"/>
              <w:rPr>
                <w:rFonts w:ascii="Times New Roman" w:hAnsi="Times New Roman"/>
                <w:color w:val="auto"/>
                <w:highlight w:val="none"/>
              </w:rPr>
            </w:pPr>
          </w:p>
        </w:tc>
        <w:tc>
          <w:tcPr>
            <w:tcW w:w="590" w:type="pct"/>
            <w:noWrap w:val="0"/>
            <w:vAlign w:val="center"/>
          </w:tcPr>
          <w:p>
            <w:pPr>
              <w:pStyle w:val="12"/>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noWrap w:val="0"/>
            <w:vAlign w:val="center"/>
          </w:tcPr>
          <w:p>
            <w:pPr>
              <w:pStyle w:val="12"/>
              <w:jc w:val="center"/>
              <w:rPr>
                <w:rFonts w:ascii="Times New Roman" w:hAnsi="Times New Roman"/>
                <w:color w:val="auto"/>
                <w:highlight w:val="none"/>
              </w:rPr>
            </w:pPr>
            <w:r>
              <w:rPr>
                <w:rFonts w:ascii="Times New Roman" w:hAnsi="Times New Roman"/>
                <w:color w:val="auto"/>
                <w:highlight w:val="none"/>
              </w:rPr>
              <w:t>2</w:t>
            </w:r>
          </w:p>
        </w:tc>
        <w:tc>
          <w:tcPr>
            <w:tcW w:w="741" w:type="pct"/>
            <w:noWrap w:val="0"/>
            <w:vAlign w:val="center"/>
          </w:tcPr>
          <w:p>
            <w:pPr>
              <w:pStyle w:val="12"/>
              <w:jc w:val="center"/>
              <w:rPr>
                <w:rFonts w:ascii="Times New Roman" w:hAnsi="Times New Roman"/>
                <w:color w:val="auto"/>
                <w:highlight w:val="none"/>
              </w:rPr>
            </w:pPr>
          </w:p>
        </w:tc>
        <w:tc>
          <w:tcPr>
            <w:tcW w:w="494" w:type="pct"/>
            <w:noWrap w:val="0"/>
            <w:vAlign w:val="center"/>
          </w:tcPr>
          <w:p>
            <w:pPr>
              <w:pStyle w:val="12"/>
              <w:jc w:val="center"/>
              <w:rPr>
                <w:rFonts w:ascii="Times New Roman" w:hAnsi="Times New Roman"/>
                <w:color w:val="auto"/>
                <w:highlight w:val="none"/>
              </w:rPr>
            </w:pPr>
          </w:p>
        </w:tc>
        <w:tc>
          <w:tcPr>
            <w:tcW w:w="494" w:type="pct"/>
            <w:noWrap w:val="0"/>
            <w:vAlign w:val="center"/>
          </w:tcPr>
          <w:p>
            <w:pPr>
              <w:pStyle w:val="12"/>
              <w:jc w:val="center"/>
              <w:rPr>
                <w:rFonts w:ascii="Times New Roman" w:hAnsi="Times New Roman"/>
                <w:color w:val="auto"/>
                <w:highlight w:val="none"/>
              </w:rPr>
            </w:pPr>
          </w:p>
        </w:tc>
        <w:tc>
          <w:tcPr>
            <w:tcW w:w="493" w:type="pct"/>
            <w:noWrap w:val="0"/>
            <w:vAlign w:val="center"/>
          </w:tcPr>
          <w:p>
            <w:pPr>
              <w:pStyle w:val="12"/>
              <w:jc w:val="center"/>
              <w:rPr>
                <w:rFonts w:ascii="Times New Roman" w:hAnsi="Times New Roman"/>
                <w:color w:val="auto"/>
                <w:highlight w:val="none"/>
              </w:rPr>
            </w:pPr>
          </w:p>
        </w:tc>
        <w:tc>
          <w:tcPr>
            <w:tcW w:w="328" w:type="pct"/>
            <w:noWrap w:val="0"/>
            <w:vAlign w:val="center"/>
          </w:tcPr>
          <w:p>
            <w:pPr>
              <w:pStyle w:val="12"/>
              <w:jc w:val="center"/>
              <w:rPr>
                <w:rFonts w:ascii="Times New Roman" w:hAnsi="Times New Roman"/>
                <w:color w:val="auto"/>
                <w:highlight w:val="none"/>
              </w:rPr>
            </w:pPr>
          </w:p>
        </w:tc>
        <w:tc>
          <w:tcPr>
            <w:tcW w:w="614" w:type="pct"/>
            <w:noWrap w:val="0"/>
            <w:vAlign w:val="center"/>
          </w:tcPr>
          <w:p>
            <w:pPr>
              <w:pStyle w:val="12"/>
              <w:jc w:val="center"/>
              <w:rPr>
                <w:rFonts w:ascii="Times New Roman" w:hAnsi="Times New Roman"/>
                <w:color w:val="auto"/>
                <w:highlight w:val="none"/>
              </w:rPr>
            </w:pPr>
          </w:p>
        </w:tc>
        <w:tc>
          <w:tcPr>
            <w:tcW w:w="688" w:type="pct"/>
            <w:noWrap w:val="0"/>
            <w:vAlign w:val="center"/>
          </w:tcPr>
          <w:p>
            <w:pPr>
              <w:pStyle w:val="12"/>
              <w:jc w:val="center"/>
              <w:rPr>
                <w:rFonts w:ascii="Times New Roman" w:hAnsi="Times New Roman"/>
                <w:color w:val="auto"/>
                <w:highlight w:val="none"/>
              </w:rPr>
            </w:pPr>
          </w:p>
        </w:tc>
        <w:tc>
          <w:tcPr>
            <w:tcW w:w="590" w:type="pct"/>
            <w:noWrap w:val="0"/>
            <w:vAlign w:val="center"/>
          </w:tcPr>
          <w:p>
            <w:pPr>
              <w:pStyle w:val="12"/>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noWrap w:val="0"/>
            <w:vAlign w:val="center"/>
          </w:tcPr>
          <w:p>
            <w:pPr>
              <w:pStyle w:val="12"/>
              <w:jc w:val="center"/>
              <w:rPr>
                <w:rFonts w:ascii="Times New Roman" w:hAnsi="Times New Roman"/>
                <w:color w:val="auto"/>
                <w:highlight w:val="none"/>
              </w:rPr>
            </w:pPr>
            <w:r>
              <w:rPr>
                <w:rFonts w:ascii="Times New Roman" w:hAnsi="Times New Roman"/>
                <w:color w:val="auto"/>
                <w:highlight w:val="none"/>
              </w:rPr>
              <w:t>3</w:t>
            </w:r>
          </w:p>
        </w:tc>
        <w:tc>
          <w:tcPr>
            <w:tcW w:w="741" w:type="pct"/>
            <w:noWrap w:val="0"/>
            <w:vAlign w:val="center"/>
          </w:tcPr>
          <w:p>
            <w:pPr>
              <w:pStyle w:val="12"/>
              <w:jc w:val="center"/>
              <w:rPr>
                <w:rFonts w:ascii="Times New Roman" w:hAnsi="Times New Roman"/>
                <w:color w:val="auto"/>
                <w:highlight w:val="none"/>
              </w:rPr>
            </w:pPr>
          </w:p>
        </w:tc>
        <w:tc>
          <w:tcPr>
            <w:tcW w:w="494" w:type="pct"/>
            <w:noWrap w:val="0"/>
            <w:vAlign w:val="center"/>
          </w:tcPr>
          <w:p>
            <w:pPr>
              <w:pStyle w:val="12"/>
              <w:jc w:val="center"/>
              <w:rPr>
                <w:rFonts w:ascii="Times New Roman" w:hAnsi="Times New Roman"/>
                <w:color w:val="auto"/>
                <w:highlight w:val="none"/>
              </w:rPr>
            </w:pPr>
          </w:p>
        </w:tc>
        <w:tc>
          <w:tcPr>
            <w:tcW w:w="494" w:type="pct"/>
            <w:noWrap w:val="0"/>
            <w:vAlign w:val="center"/>
          </w:tcPr>
          <w:p>
            <w:pPr>
              <w:pStyle w:val="12"/>
              <w:jc w:val="center"/>
              <w:rPr>
                <w:rFonts w:ascii="Times New Roman" w:hAnsi="Times New Roman"/>
                <w:color w:val="auto"/>
                <w:highlight w:val="none"/>
              </w:rPr>
            </w:pPr>
          </w:p>
        </w:tc>
        <w:tc>
          <w:tcPr>
            <w:tcW w:w="493" w:type="pct"/>
            <w:noWrap w:val="0"/>
            <w:vAlign w:val="center"/>
          </w:tcPr>
          <w:p>
            <w:pPr>
              <w:pStyle w:val="12"/>
              <w:jc w:val="center"/>
              <w:rPr>
                <w:rFonts w:ascii="Times New Roman" w:hAnsi="Times New Roman"/>
                <w:color w:val="auto"/>
                <w:highlight w:val="none"/>
              </w:rPr>
            </w:pPr>
          </w:p>
        </w:tc>
        <w:tc>
          <w:tcPr>
            <w:tcW w:w="328" w:type="pct"/>
            <w:noWrap w:val="0"/>
            <w:vAlign w:val="center"/>
          </w:tcPr>
          <w:p>
            <w:pPr>
              <w:pStyle w:val="12"/>
              <w:jc w:val="center"/>
              <w:rPr>
                <w:rFonts w:ascii="Times New Roman" w:hAnsi="Times New Roman"/>
                <w:color w:val="auto"/>
                <w:highlight w:val="none"/>
              </w:rPr>
            </w:pPr>
          </w:p>
        </w:tc>
        <w:tc>
          <w:tcPr>
            <w:tcW w:w="614" w:type="pct"/>
            <w:noWrap w:val="0"/>
            <w:vAlign w:val="center"/>
          </w:tcPr>
          <w:p>
            <w:pPr>
              <w:pStyle w:val="12"/>
              <w:jc w:val="center"/>
              <w:rPr>
                <w:rFonts w:ascii="Times New Roman" w:hAnsi="Times New Roman"/>
                <w:color w:val="auto"/>
                <w:highlight w:val="none"/>
              </w:rPr>
            </w:pPr>
          </w:p>
        </w:tc>
        <w:tc>
          <w:tcPr>
            <w:tcW w:w="688" w:type="pct"/>
            <w:noWrap w:val="0"/>
            <w:vAlign w:val="center"/>
          </w:tcPr>
          <w:p>
            <w:pPr>
              <w:pStyle w:val="12"/>
              <w:jc w:val="center"/>
              <w:rPr>
                <w:rFonts w:ascii="Times New Roman" w:hAnsi="Times New Roman"/>
                <w:color w:val="auto"/>
                <w:highlight w:val="none"/>
              </w:rPr>
            </w:pPr>
          </w:p>
        </w:tc>
        <w:tc>
          <w:tcPr>
            <w:tcW w:w="590" w:type="pct"/>
            <w:noWrap w:val="0"/>
            <w:vAlign w:val="center"/>
          </w:tcPr>
          <w:p>
            <w:pPr>
              <w:pStyle w:val="12"/>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noWrap w:val="0"/>
            <w:vAlign w:val="center"/>
          </w:tcPr>
          <w:p>
            <w:pPr>
              <w:pStyle w:val="12"/>
              <w:jc w:val="center"/>
              <w:rPr>
                <w:rFonts w:ascii="Times New Roman" w:hAnsi="Times New Roman"/>
                <w:color w:val="auto"/>
                <w:highlight w:val="none"/>
              </w:rPr>
            </w:pPr>
            <w:r>
              <w:rPr>
                <w:rFonts w:hint="eastAsia" w:ascii="MS Mincho" w:hAnsi="MS Mincho" w:eastAsia="MS Mincho" w:cs="MS Mincho"/>
                <w:color w:val="auto"/>
                <w:highlight w:val="none"/>
              </w:rPr>
              <w:t>⋮</w:t>
            </w:r>
          </w:p>
        </w:tc>
        <w:tc>
          <w:tcPr>
            <w:tcW w:w="741" w:type="pct"/>
            <w:noWrap w:val="0"/>
            <w:vAlign w:val="center"/>
          </w:tcPr>
          <w:p>
            <w:pPr>
              <w:pStyle w:val="12"/>
              <w:jc w:val="center"/>
              <w:rPr>
                <w:rFonts w:ascii="Times New Roman" w:hAnsi="Times New Roman"/>
                <w:color w:val="auto"/>
                <w:highlight w:val="none"/>
              </w:rPr>
            </w:pPr>
          </w:p>
        </w:tc>
        <w:tc>
          <w:tcPr>
            <w:tcW w:w="494" w:type="pct"/>
            <w:noWrap w:val="0"/>
            <w:vAlign w:val="center"/>
          </w:tcPr>
          <w:p>
            <w:pPr>
              <w:pStyle w:val="12"/>
              <w:jc w:val="center"/>
              <w:rPr>
                <w:rFonts w:ascii="Times New Roman" w:hAnsi="Times New Roman"/>
                <w:color w:val="auto"/>
                <w:highlight w:val="none"/>
              </w:rPr>
            </w:pPr>
          </w:p>
        </w:tc>
        <w:tc>
          <w:tcPr>
            <w:tcW w:w="494" w:type="pct"/>
            <w:noWrap w:val="0"/>
            <w:vAlign w:val="center"/>
          </w:tcPr>
          <w:p>
            <w:pPr>
              <w:pStyle w:val="12"/>
              <w:jc w:val="center"/>
              <w:rPr>
                <w:rFonts w:ascii="Times New Roman" w:hAnsi="Times New Roman"/>
                <w:color w:val="auto"/>
                <w:highlight w:val="none"/>
              </w:rPr>
            </w:pPr>
          </w:p>
        </w:tc>
        <w:tc>
          <w:tcPr>
            <w:tcW w:w="493" w:type="pct"/>
            <w:noWrap w:val="0"/>
            <w:vAlign w:val="center"/>
          </w:tcPr>
          <w:p>
            <w:pPr>
              <w:pStyle w:val="12"/>
              <w:jc w:val="center"/>
              <w:rPr>
                <w:rFonts w:ascii="Times New Roman" w:hAnsi="Times New Roman"/>
                <w:color w:val="auto"/>
                <w:highlight w:val="none"/>
              </w:rPr>
            </w:pPr>
          </w:p>
        </w:tc>
        <w:tc>
          <w:tcPr>
            <w:tcW w:w="328" w:type="pct"/>
            <w:noWrap w:val="0"/>
            <w:vAlign w:val="center"/>
          </w:tcPr>
          <w:p>
            <w:pPr>
              <w:pStyle w:val="12"/>
              <w:jc w:val="center"/>
              <w:rPr>
                <w:rFonts w:ascii="Times New Roman" w:hAnsi="Times New Roman"/>
                <w:color w:val="auto"/>
                <w:highlight w:val="none"/>
              </w:rPr>
            </w:pPr>
          </w:p>
        </w:tc>
        <w:tc>
          <w:tcPr>
            <w:tcW w:w="614" w:type="pct"/>
            <w:noWrap w:val="0"/>
            <w:vAlign w:val="center"/>
          </w:tcPr>
          <w:p>
            <w:pPr>
              <w:pStyle w:val="12"/>
              <w:jc w:val="center"/>
              <w:rPr>
                <w:rFonts w:ascii="Times New Roman" w:hAnsi="Times New Roman"/>
                <w:color w:val="auto"/>
                <w:highlight w:val="none"/>
              </w:rPr>
            </w:pPr>
          </w:p>
        </w:tc>
        <w:tc>
          <w:tcPr>
            <w:tcW w:w="688" w:type="pct"/>
            <w:noWrap w:val="0"/>
            <w:vAlign w:val="center"/>
          </w:tcPr>
          <w:p>
            <w:pPr>
              <w:pStyle w:val="12"/>
              <w:jc w:val="center"/>
              <w:rPr>
                <w:rFonts w:ascii="Times New Roman" w:hAnsi="Times New Roman"/>
                <w:color w:val="auto"/>
                <w:highlight w:val="none"/>
              </w:rPr>
            </w:pPr>
          </w:p>
        </w:tc>
        <w:tc>
          <w:tcPr>
            <w:tcW w:w="590" w:type="pct"/>
            <w:noWrap w:val="0"/>
            <w:vAlign w:val="center"/>
          </w:tcPr>
          <w:p>
            <w:pPr>
              <w:pStyle w:val="12"/>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9" w:type="pct"/>
            <w:gridSpan w:val="2"/>
            <w:noWrap w:val="0"/>
            <w:vAlign w:val="center"/>
          </w:tcPr>
          <w:p>
            <w:pPr>
              <w:pStyle w:val="12"/>
              <w:jc w:val="left"/>
              <w:rPr>
                <w:rFonts w:ascii="Times New Roman" w:hAnsi="Times New Roman"/>
                <w:color w:val="auto"/>
                <w:highlight w:val="none"/>
              </w:rPr>
            </w:pPr>
            <w:r>
              <w:rPr>
                <w:rFonts w:ascii="Times New Roman" w:hAnsi="Times New Roman"/>
                <w:color w:val="auto"/>
                <w:highlight w:val="none"/>
              </w:rPr>
              <w:t>备品备件(包括专用工具等)</w:t>
            </w:r>
          </w:p>
        </w:tc>
        <w:tc>
          <w:tcPr>
            <w:tcW w:w="494" w:type="pct"/>
            <w:noWrap w:val="0"/>
            <w:vAlign w:val="center"/>
          </w:tcPr>
          <w:p>
            <w:pPr>
              <w:pStyle w:val="12"/>
              <w:jc w:val="center"/>
              <w:rPr>
                <w:rFonts w:ascii="Times New Roman" w:hAnsi="Times New Roman"/>
                <w:color w:val="auto"/>
                <w:highlight w:val="none"/>
              </w:rPr>
            </w:pPr>
          </w:p>
        </w:tc>
        <w:tc>
          <w:tcPr>
            <w:tcW w:w="494" w:type="pct"/>
            <w:noWrap w:val="0"/>
            <w:vAlign w:val="center"/>
          </w:tcPr>
          <w:p>
            <w:pPr>
              <w:pStyle w:val="12"/>
              <w:jc w:val="center"/>
              <w:rPr>
                <w:rFonts w:ascii="Times New Roman" w:hAnsi="Times New Roman"/>
                <w:color w:val="auto"/>
                <w:highlight w:val="none"/>
              </w:rPr>
            </w:pPr>
          </w:p>
        </w:tc>
        <w:tc>
          <w:tcPr>
            <w:tcW w:w="493" w:type="pct"/>
            <w:noWrap w:val="0"/>
            <w:vAlign w:val="center"/>
          </w:tcPr>
          <w:p>
            <w:pPr>
              <w:pStyle w:val="12"/>
              <w:jc w:val="center"/>
              <w:rPr>
                <w:rFonts w:ascii="Times New Roman" w:hAnsi="Times New Roman"/>
                <w:color w:val="auto"/>
                <w:highlight w:val="none"/>
              </w:rPr>
            </w:pPr>
          </w:p>
        </w:tc>
        <w:tc>
          <w:tcPr>
            <w:tcW w:w="328" w:type="pct"/>
            <w:noWrap w:val="0"/>
            <w:vAlign w:val="center"/>
          </w:tcPr>
          <w:p>
            <w:pPr>
              <w:pStyle w:val="12"/>
              <w:jc w:val="center"/>
              <w:rPr>
                <w:rFonts w:ascii="Times New Roman" w:hAnsi="Times New Roman"/>
                <w:color w:val="auto"/>
                <w:highlight w:val="none"/>
              </w:rPr>
            </w:pPr>
          </w:p>
        </w:tc>
        <w:tc>
          <w:tcPr>
            <w:tcW w:w="614" w:type="pct"/>
            <w:noWrap w:val="0"/>
            <w:vAlign w:val="center"/>
          </w:tcPr>
          <w:p>
            <w:pPr>
              <w:pStyle w:val="12"/>
              <w:jc w:val="center"/>
              <w:rPr>
                <w:rFonts w:ascii="Times New Roman" w:hAnsi="Times New Roman"/>
                <w:color w:val="auto"/>
                <w:highlight w:val="none"/>
              </w:rPr>
            </w:pPr>
          </w:p>
        </w:tc>
        <w:tc>
          <w:tcPr>
            <w:tcW w:w="688" w:type="pct"/>
            <w:noWrap w:val="0"/>
            <w:vAlign w:val="center"/>
          </w:tcPr>
          <w:p>
            <w:pPr>
              <w:pStyle w:val="12"/>
              <w:jc w:val="center"/>
              <w:rPr>
                <w:rFonts w:ascii="Times New Roman" w:hAnsi="Times New Roman"/>
                <w:color w:val="auto"/>
                <w:highlight w:val="none"/>
              </w:rPr>
            </w:pPr>
          </w:p>
        </w:tc>
        <w:tc>
          <w:tcPr>
            <w:tcW w:w="590" w:type="pct"/>
            <w:noWrap w:val="0"/>
            <w:vAlign w:val="center"/>
          </w:tcPr>
          <w:p>
            <w:pPr>
              <w:pStyle w:val="12"/>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9" w:type="pct"/>
            <w:gridSpan w:val="2"/>
            <w:noWrap w:val="0"/>
            <w:vAlign w:val="center"/>
          </w:tcPr>
          <w:p>
            <w:pPr>
              <w:pStyle w:val="12"/>
              <w:jc w:val="left"/>
              <w:rPr>
                <w:rFonts w:ascii="Times New Roman" w:hAnsi="Times New Roman"/>
                <w:color w:val="auto"/>
                <w:highlight w:val="none"/>
              </w:rPr>
            </w:pPr>
            <w:r>
              <w:rPr>
                <w:rFonts w:ascii="Times New Roman" w:hAnsi="Times New Roman"/>
                <w:color w:val="auto"/>
                <w:highlight w:val="none"/>
              </w:rPr>
              <w:t>耗材</w:t>
            </w:r>
          </w:p>
        </w:tc>
        <w:tc>
          <w:tcPr>
            <w:tcW w:w="494" w:type="pct"/>
            <w:noWrap w:val="0"/>
            <w:vAlign w:val="center"/>
          </w:tcPr>
          <w:p>
            <w:pPr>
              <w:pStyle w:val="12"/>
              <w:jc w:val="center"/>
              <w:rPr>
                <w:rFonts w:ascii="Times New Roman" w:hAnsi="Times New Roman"/>
                <w:color w:val="auto"/>
                <w:highlight w:val="none"/>
              </w:rPr>
            </w:pPr>
          </w:p>
        </w:tc>
        <w:tc>
          <w:tcPr>
            <w:tcW w:w="494" w:type="pct"/>
            <w:noWrap w:val="0"/>
            <w:vAlign w:val="center"/>
          </w:tcPr>
          <w:p>
            <w:pPr>
              <w:pStyle w:val="12"/>
              <w:jc w:val="center"/>
              <w:rPr>
                <w:rFonts w:ascii="Times New Roman" w:hAnsi="Times New Roman"/>
                <w:color w:val="auto"/>
                <w:highlight w:val="none"/>
              </w:rPr>
            </w:pPr>
          </w:p>
        </w:tc>
        <w:tc>
          <w:tcPr>
            <w:tcW w:w="493" w:type="pct"/>
            <w:noWrap w:val="0"/>
            <w:vAlign w:val="center"/>
          </w:tcPr>
          <w:p>
            <w:pPr>
              <w:pStyle w:val="12"/>
              <w:jc w:val="center"/>
              <w:rPr>
                <w:rFonts w:ascii="Times New Roman" w:hAnsi="Times New Roman"/>
                <w:color w:val="auto"/>
                <w:highlight w:val="none"/>
              </w:rPr>
            </w:pPr>
          </w:p>
        </w:tc>
        <w:tc>
          <w:tcPr>
            <w:tcW w:w="328" w:type="pct"/>
            <w:noWrap w:val="0"/>
            <w:vAlign w:val="center"/>
          </w:tcPr>
          <w:p>
            <w:pPr>
              <w:pStyle w:val="12"/>
              <w:jc w:val="center"/>
              <w:rPr>
                <w:rFonts w:ascii="Times New Roman" w:hAnsi="Times New Roman"/>
                <w:color w:val="auto"/>
                <w:highlight w:val="none"/>
              </w:rPr>
            </w:pPr>
          </w:p>
        </w:tc>
        <w:tc>
          <w:tcPr>
            <w:tcW w:w="614" w:type="pct"/>
            <w:noWrap w:val="0"/>
            <w:vAlign w:val="center"/>
          </w:tcPr>
          <w:p>
            <w:pPr>
              <w:pStyle w:val="12"/>
              <w:jc w:val="center"/>
              <w:rPr>
                <w:rFonts w:ascii="Times New Roman" w:hAnsi="Times New Roman"/>
                <w:color w:val="auto"/>
                <w:highlight w:val="none"/>
              </w:rPr>
            </w:pPr>
          </w:p>
        </w:tc>
        <w:tc>
          <w:tcPr>
            <w:tcW w:w="688" w:type="pct"/>
            <w:noWrap w:val="0"/>
            <w:vAlign w:val="center"/>
          </w:tcPr>
          <w:p>
            <w:pPr>
              <w:pStyle w:val="12"/>
              <w:jc w:val="center"/>
              <w:rPr>
                <w:rFonts w:ascii="Times New Roman" w:hAnsi="Times New Roman"/>
                <w:color w:val="auto"/>
                <w:highlight w:val="none"/>
              </w:rPr>
            </w:pPr>
          </w:p>
        </w:tc>
        <w:tc>
          <w:tcPr>
            <w:tcW w:w="590" w:type="pct"/>
            <w:noWrap w:val="0"/>
            <w:vAlign w:val="center"/>
          </w:tcPr>
          <w:p>
            <w:pPr>
              <w:pStyle w:val="12"/>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9" w:type="pct"/>
            <w:gridSpan w:val="2"/>
            <w:noWrap w:val="0"/>
            <w:vAlign w:val="center"/>
          </w:tcPr>
          <w:p>
            <w:pPr>
              <w:pStyle w:val="12"/>
              <w:jc w:val="left"/>
              <w:rPr>
                <w:rFonts w:ascii="Times New Roman" w:hAnsi="Times New Roman"/>
                <w:color w:val="auto"/>
                <w:highlight w:val="none"/>
              </w:rPr>
            </w:pPr>
            <w:r>
              <w:rPr>
                <w:rFonts w:ascii="Times New Roman" w:hAnsi="Times New Roman"/>
                <w:color w:val="auto"/>
                <w:highlight w:val="none"/>
              </w:rPr>
              <w:t>货物费合计</w:t>
            </w:r>
          </w:p>
        </w:tc>
        <w:tc>
          <w:tcPr>
            <w:tcW w:w="3701" w:type="pct"/>
            <w:gridSpan w:val="7"/>
            <w:noWrap w:val="0"/>
            <w:vAlign w:val="center"/>
          </w:tcPr>
          <w:p>
            <w:pPr>
              <w:pStyle w:val="12"/>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Merge w:val="restart"/>
            <w:noWrap w:val="0"/>
            <w:vAlign w:val="center"/>
          </w:tcPr>
          <w:p>
            <w:pPr>
              <w:pStyle w:val="12"/>
              <w:jc w:val="center"/>
              <w:rPr>
                <w:rFonts w:ascii="Times New Roman" w:hAnsi="Times New Roman"/>
                <w:color w:val="auto"/>
                <w:highlight w:val="none"/>
              </w:rPr>
            </w:pPr>
            <w:r>
              <w:rPr>
                <w:rFonts w:ascii="Times New Roman" w:hAnsi="Times New Roman"/>
                <w:color w:val="auto"/>
                <w:highlight w:val="none"/>
              </w:rPr>
              <w:t>包装</w:t>
            </w:r>
          </w:p>
          <w:p>
            <w:pPr>
              <w:pStyle w:val="12"/>
              <w:jc w:val="center"/>
              <w:rPr>
                <w:rFonts w:ascii="Times New Roman" w:hAnsi="Times New Roman"/>
                <w:color w:val="auto"/>
                <w:highlight w:val="none"/>
              </w:rPr>
            </w:pPr>
            <w:r>
              <w:rPr>
                <w:rFonts w:ascii="Times New Roman" w:hAnsi="Times New Roman"/>
                <w:color w:val="auto"/>
                <w:highlight w:val="none"/>
              </w:rPr>
              <w:t>运输</w:t>
            </w:r>
          </w:p>
          <w:p>
            <w:pPr>
              <w:pStyle w:val="12"/>
              <w:jc w:val="center"/>
              <w:rPr>
                <w:rFonts w:ascii="Times New Roman" w:hAnsi="Times New Roman"/>
                <w:color w:val="auto"/>
                <w:highlight w:val="none"/>
              </w:rPr>
            </w:pPr>
            <w:r>
              <w:rPr>
                <w:rFonts w:ascii="Times New Roman" w:hAnsi="Times New Roman"/>
                <w:color w:val="auto"/>
                <w:highlight w:val="none"/>
              </w:rPr>
              <w:t>费</w:t>
            </w:r>
          </w:p>
        </w:tc>
        <w:tc>
          <w:tcPr>
            <w:tcW w:w="1235" w:type="pct"/>
            <w:gridSpan w:val="2"/>
            <w:noWrap w:val="0"/>
            <w:vAlign w:val="center"/>
          </w:tcPr>
          <w:p>
            <w:pPr>
              <w:pStyle w:val="12"/>
              <w:jc w:val="center"/>
              <w:rPr>
                <w:rFonts w:ascii="Times New Roman" w:hAnsi="Times New Roman"/>
                <w:color w:val="auto"/>
                <w:highlight w:val="none"/>
              </w:rPr>
            </w:pPr>
            <w:r>
              <w:rPr>
                <w:rFonts w:ascii="Times New Roman" w:hAnsi="Times New Roman"/>
                <w:color w:val="auto"/>
                <w:highlight w:val="none"/>
              </w:rPr>
              <w:t>包装费</w:t>
            </w:r>
          </w:p>
        </w:tc>
        <w:tc>
          <w:tcPr>
            <w:tcW w:w="987" w:type="pct"/>
            <w:gridSpan w:val="2"/>
            <w:noWrap w:val="0"/>
            <w:vAlign w:val="center"/>
          </w:tcPr>
          <w:p>
            <w:pPr>
              <w:pStyle w:val="12"/>
              <w:jc w:val="center"/>
              <w:rPr>
                <w:rFonts w:ascii="Times New Roman" w:hAnsi="Times New Roman"/>
                <w:color w:val="auto"/>
                <w:highlight w:val="none"/>
              </w:rPr>
            </w:pPr>
          </w:p>
        </w:tc>
        <w:tc>
          <w:tcPr>
            <w:tcW w:w="328" w:type="pct"/>
            <w:vMerge w:val="restart"/>
            <w:noWrap w:val="0"/>
            <w:vAlign w:val="center"/>
          </w:tcPr>
          <w:p>
            <w:pPr>
              <w:pStyle w:val="12"/>
              <w:jc w:val="center"/>
              <w:rPr>
                <w:rFonts w:ascii="Times New Roman" w:hAnsi="Times New Roman"/>
                <w:color w:val="auto"/>
                <w:highlight w:val="none"/>
              </w:rPr>
            </w:pPr>
            <w:r>
              <w:rPr>
                <w:rFonts w:ascii="Times New Roman" w:hAnsi="Times New Roman"/>
                <w:color w:val="auto"/>
                <w:highlight w:val="none"/>
              </w:rPr>
              <w:t>安装调试费</w:t>
            </w:r>
          </w:p>
        </w:tc>
        <w:tc>
          <w:tcPr>
            <w:tcW w:w="1302" w:type="pct"/>
            <w:gridSpan w:val="2"/>
            <w:noWrap w:val="0"/>
            <w:vAlign w:val="center"/>
          </w:tcPr>
          <w:p>
            <w:pPr>
              <w:pStyle w:val="12"/>
              <w:jc w:val="center"/>
              <w:rPr>
                <w:rFonts w:ascii="Times New Roman" w:hAnsi="Times New Roman"/>
                <w:color w:val="auto"/>
                <w:highlight w:val="none"/>
              </w:rPr>
            </w:pPr>
            <w:r>
              <w:rPr>
                <w:rFonts w:ascii="Times New Roman" w:hAnsi="Times New Roman"/>
                <w:color w:val="auto"/>
                <w:highlight w:val="none"/>
              </w:rPr>
              <w:t>安装费</w:t>
            </w:r>
          </w:p>
        </w:tc>
        <w:tc>
          <w:tcPr>
            <w:tcW w:w="590" w:type="pct"/>
            <w:noWrap w:val="0"/>
            <w:vAlign w:val="center"/>
          </w:tcPr>
          <w:p>
            <w:pPr>
              <w:pStyle w:val="12"/>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Merge w:val="continue"/>
            <w:noWrap w:val="0"/>
            <w:vAlign w:val="center"/>
          </w:tcPr>
          <w:p>
            <w:pPr>
              <w:pStyle w:val="12"/>
              <w:jc w:val="center"/>
              <w:rPr>
                <w:rFonts w:ascii="Times New Roman" w:hAnsi="Times New Roman"/>
                <w:color w:val="auto"/>
                <w:highlight w:val="none"/>
              </w:rPr>
            </w:pPr>
          </w:p>
        </w:tc>
        <w:tc>
          <w:tcPr>
            <w:tcW w:w="1235" w:type="pct"/>
            <w:gridSpan w:val="2"/>
            <w:noWrap w:val="0"/>
            <w:vAlign w:val="center"/>
          </w:tcPr>
          <w:p>
            <w:pPr>
              <w:pStyle w:val="12"/>
              <w:jc w:val="center"/>
              <w:rPr>
                <w:rFonts w:ascii="Times New Roman" w:hAnsi="Times New Roman"/>
                <w:color w:val="auto"/>
                <w:highlight w:val="none"/>
              </w:rPr>
            </w:pPr>
            <w:r>
              <w:rPr>
                <w:rFonts w:ascii="Times New Roman" w:hAnsi="Times New Roman"/>
                <w:color w:val="auto"/>
                <w:highlight w:val="none"/>
              </w:rPr>
              <w:t>运输费</w:t>
            </w:r>
          </w:p>
        </w:tc>
        <w:tc>
          <w:tcPr>
            <w:tcW w:w="987" w:type="pct"/>
            <w:gridSpan w:val="2"/>
            <w:noWrap w:val="0"/>
            <w:vAlign w:val="center"/>
          </w:tcPr>
          <w:p>
            <w:pPr>
              <w:pStyle w:val="12"/>
              <w:jc w:val="center"/>
              <w:rPr>
                <w:rFonts w:ascii="Times New Roman" w:hAnsi="Times New Roman"/>
                <w:color w:val="auto"/>
                <w:highlight w:val="none"/>
              </w:rPr>
            </w:pPr>
          </w:p>
        </w:tc>
        <w:tc>
          <w:tcPr>
            <w:tcW w:w="328" w:type="pct"/>
            <w:vMerge w:val="continue"/>
            <w:noWrap w:val="0"/>
            <w:vAlign w:val="center"/>
          </w:tcPr>
          <w:p>
            <w:pPr>
              <w:pStyle w:val="12"/>
              <w:jc w:val="center"/>
              <w:rPr>
                <w:rFonts w:ascii="Times New Roman" w:hAnsi="Times New Roman"/>
                <w:color w:val="auto"/>
                <w:highlight w:val="none"/>
              </w:rPr>
            </w:pPr>
          </w:p>
        </w:tc>
        <w:tc>
          <w:tcPr>
            <w:tcW w:w="1302" w:type="pct"/>
            <w:gridSpan w:val="2"/>
            <w:noWrap w:val="0"/>
            <w:vAlign w:val="center"/>
          </w:tcPr>
          <w:p>
            <w:pPr>
              <w:pStyle w:val="12"/>
              <w:jc w:val="center"/>
              <w:rPr>
                <w:rFonts w:ascii="Times New Roman" w:hAnsi="Times New Roman"/>
                <w:color w:val="auto"/>
                <w:highlight w:val="none"/>
              </w:rPr>
            </w:pPr>
            <w:r>
              <w:rPr>
                <w:rFonts w:ascii="Times New Roman" w:hAnsi="Times New Roman"/>
                <w:color w:val="auto"/>
                <w:highlight w:val="none"/>
              </w:rPr>
              <w:t>调试费</w:t>
            </w:r>
          </w:p>
        </w:tc>
        <w:tc>
          <w:tcPr>
            <w:tcW w:w="590" w:type="pct"/>
            <w:noWrap w:val="0"/>
            <w:vAlign w:val="center"/>
          </w:tcPr>
          <w:p>
            <w:pPr>
              <w:pStyle w:val="12"/>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Merge w:val="continue"/>
            <w:noWrap w:val="0"/>
            <w:vAlign w:val="center"/>
          </w:tcPr>
          <w:p>
            <w:pPr>
              <w:pStyle w:val="12"/>
              <w:jc w:val="center"/>
              <w:rPr>
                <w:rFonts w:ascii="Times New Roman" w:hAnsi="Times New Roman"/>
                <w:color w:val="auto"/>
                <w:highlight w:val="none"/>
              </w:rPr>
            </w:pPr>
          </w:p>
        </w:tc>
        <w:tc>
          <w:tcPr>
            <w:tcW w:w="1235" w:type="pct"/>
            <w:gridSpan w:val="2"/>
            <w:noWrap w:val="0"/>
            <w:vAlign w:val="center"/>
          </w:tcPr>
          <w:p>
            <w:pPr>
              <w:pStyle w:val="12"/>
              <w:jc w:val="center"/>
              <w:rPr>
                <w:rFonts w:ascii="Times New Roman" w:hAnsi="Times New Roman"/>
                <w:color w:val="auto"/>
                <w:highlight w:val="none"/>
              </w:rPr>
            </w:pPr>
            <w:r>
              <w:rPr>
                <w:rFonts w:ascii="Times New Roman" w:hAnsi="Times New Roman"/>
                <w:color w:val="auto"/>
                <w:highlight w:val="none"/>
              </w:rPr>
              <w:t>装卸费</w:t>
            </w:r>
          </w:p>
        </w:tc>
        <w:tc>
          <w:tcPr>
            <w:tcW w:w="987" w:type="pct"/>
            <w:gridSpan w:val="2"/>
            <w:noWrap w:val="0"/>
            <w:vAlign w:val="center"/>
          </w:tcPr>
          <w:p>
            <w:pPr>
              <w:pStyle w:val="12"/>
              <w:jc w:val="center"/>
              <w:rPr>
                <w:rFonts w:ascii="Times New Roman" w:hAnsi="Times New Roman"/>
                <w:color w:val="auto"/>
                <w:highlight w:val="none"/>
              </w:rPr>
            </w:pPr>
          </w:p>
        </w:tc>
        <w:tc>
          <w:tcPr>
            <w:tcW w:w="328" w:type="pct"/>
            <w:vMerge w:val="continue"/>
            <w:noWrap w:val="0"/>
            <w:vAlign w:val="center"/>
          </w:tcPr>
          <w:p>
            <w:pPr>
              <w:pStyle w:val="12"/>
              <w:jc w:val="center"/>
              <w:rPr>
                <w:rFonts w:ascii="Times New Roman" w:hAnsi="Times New Roman"/>
                <w:color w:val="auto"/>
                <w:highlight w:val="none"/>
              </w:rPr>
            </w:pPr>
          </w:p>
        </w:tc>
        <w:tc>
          <w:tcPr>
            <w:tcW w:w="1302" w:type="pct"/>
            <w:gridSpan w:val="2"/>
            <w:noWrap w:val="0"/>
            <w:vAlign w:val="center"/>
          </w:tcPr>
          <w:p>
            <w:pPr>
              <w:pStyle w:val="12"/>
              <w:jc w:val="center"/>
              <w:rPr>
                <w:rFonts w:ascii="Times New Roman" w:hAnsi="Times New Roman"/>
                <w:color w:val="auto"/>
                <w:highlight w:val="none"/>
              </w:rPr>
            </w:pPr>
            <w:r>
              <w:rPr>
                <w:rFonts w:hAnsi="宋体"/>
                <w:color w:val="auto"/>
                <w:highlight w:val="none"/>
              </w:rPr>
              <w:t>…</w:t>
            </w:r>
          </w:p>
        </w:tc>
        <w:tc>
          <w:tcPr>
            <w:tcW w:w="590" w:type="pct"/>
            <w:noWrap w:val="0"/>
            <w:vAlign w:val="center"/>
          </w:tcPr>
          <w:p>
            <w:pPr>
              <w:pStyle w:val="12"/>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Merge w:val="continue"/>
            <w:noWrap w:val="0"/>
            <w:vAlign w:val="center"/>
          </w:tcPr>
          <w:p>
            <w:pPr>
              <w:pStyle w:val="12"/>
              <w:jc w:val="center"/>
              <w:rPr>
                <w:rFonts w:ascii="Times New Roman" w:hAnsi="Times New Roman"/>
                <w:color w:val="auto"/>
                <w:highlight w:val="none"/>
              </w:rPr>
            </w:pPr>
          </w:p>
        </w:tc>
        <w:tc>
          <w:tcPr>
            <w:tcW w:w="1235" w:type="pct"/>
            <w:gridSpan w:val="2"/>
            <w:noWrap w:val="0"/>
            <w:vAlign w:val="center"/>
          </w:tcPr>
          <w:p>
            <w:pPr>
              <w:pStyle w:val="12"/>
              <w:jc w:val="center"/>
              <w:rPr>
                <w:rFonts w:ascii="Times New Roman" w:hAnsi="Times New Roman"/>
                <w:color w:val="auto"/>
                <w:highlight w:val="none"/>
              </w:rPr>
            </w:pPr>
            <w:r>
              <w:rPr>
                <w:rFonts w:ascii="Times New Roman" w:hAnsi="Times New Roman"/>
                <w:color w:val="auto"/>
                <w:highlight w:val="none"/>
              </w:rPr>
              <w:t>保险费</w:t>
            </w:r>
          </w:p>
        </w:tc>
        <w:tc>
          <w:tcPr>
            <w:tcW w:w="987" w:type="pct"/>
            <w:gridSpan w:val="2"/>
            <w:noWrap w:val="0"/>
            <w:vAlign w:val="center"/>
          </w:tcPr>
          <w:p>
            <w:pPr>
              <w:pStyle w:val="12"/>
              <w:jc w:val="center"/>
              <w:rPr>
                <w:rFonts w:ascii="Times New Roman" w:hAnsi="Times New Roman"/>
                <w:color w:val="auto"/>
                <w:highlight w:val="none"/>
              </w:rPr>
            </w:pPr>
          </w:p>
        </w:tc>
        <w:tc>
          <w:tcPr>
            <w:tcW w:w="328" w:type="pct"/>
            <w:vMerge w:val="continue"/>
            <w:noWrap w:val="0"/>
            <w:vAlign w:val="center"/>
          </w:tcPr>
          <w:p>
            <w:pPr>
              <w:pStyle w:val="12"/>
              <w:jc w:val="center"/>
              <w:rPr>
                <w:rFonts w:ascii="Times New Roman" w:hAnsi="Times New Roman"/>
                <w:color w:val="auto"/>
                <w:highlight w:val="none"/>
              </w:rPr>
            </w:pPr>
          </w:p>
        </w:tc>
        <w:tc>
          <w:tcPr>
            <w:tcW w:w="1302" w:type="pct"/>
            <w:gridSpan w:val="2"/>
            <w:noWrap w:val="0"/>
            <w:vAlign w:val="center"/>
          </w:tcPr>
          <w:p>
            <w:pPr>
              <w:pStyle w:val="12"/>
              <w:jc w:val="center"/>
              <w:rPr>
                <w:rFonts w:ascii="Times New Roman" w:hAnsi="Times New Roman"/>
                <w:color w:val="auto"/>
                <w:highlight w:val="none"/>
              </w:rPr>
            </w:pPr>
            <w:r>
              <w:rPr>
                <w:rFonts w:ascii="Times New Roman" w:hAnsi="Times New Roman"/>
                <w:color w:val="auto"/>
                <w:highlight w:val="none"/>
              </w:rPr>
              <w:t>小计</w:t>
            </w:r>
          </w:p>
        </w:tc>
        <w:tc>
          <w:tcPr>
            <w:tcW w:w="590" w:type="pct"/>
            <w:noWrap w:val="0"/>
            <w:vAlign w:val="center"/>
          </w:tcPr>
          <w:p>
            <w:pPr>
              <w:pStyle w:val="12"/>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Merge w:val="continue"/>
            <w:noWrap w:val="0"/>
            <w:vAlign w:val="center"/>
          </w:tcPr>
          <w:p>
            <w:pPr>
              <w:pStyle w:val="12"/>
              <w:jc w:val="center"/>
              <w:rPr>
                <w:rFonts w:ascii="Times New Roman" w:hAnsi="Times New Roman"/>
                <w:color w:val="auto"/>
                <w:highlight w:val="none"/>
              </w:rPr>
            </w:pPr>
          </w:p>
        </w:tc>
        <w:tc>
          <w:tcPr>
            <w:tcW w:w="1235" w:type="pct"/>
            <w:gridSpan w:val="2"/>
            <w:noWrap w:val="0"/>
            <w:vAlign w:val="center"/>
          </w:tcPr>
          <w:p>
            <w:pPr>
              <w:pStyle w:val="12"/>
              <w:jc w:val="center"/>
              <w:rPr>
                <w:rFonts w:ascii="Times New Roman" w:hAnsi="Times New Roman"/>
                <w:color w:val="auto"/>
                <w:highlight w:val="none"/>
              </w:rPr>
            </w:pPr>
            <w:r>
              <w:rPr>
                <w:rFonts w:hAnsi="宋体"/>
                <w:color w:val="auto"/>
                <w:highlight w:val="none"/>
              </w:rPr>
              <w:t>…</w:t>
            </w:r>
          </w:p>
        </w:tc>
        <w:tc>
          <w:tcPr>
            <w:tcW w:w="987" w:type="pct"/>
            <w:gridSpan w:val="2"/>
            <w:noWrap w:val="0"/>
            <w:vAlign w:val="center"/>
          </w:tcPr>
          <w:p>
            <w:pPr>
              <w:pStyle w:val="12"/>
              <w:jc w:val="center"/>
              <w:rPr>
                <w:rFonts w:ascii="Times New Roman" w:hAnsi="Times New Roman"/>
                <w:color w:val="auto"/>
                <w:highlight w:val="none"/>
              </w:rPr>
            </w:pPr>
          </w:p>
        </w:tc>
        <w:tc>
          <w:tcPr>
            <w:tcW w:w="328" w:type="pct"/>
            <w:vMerge w:val="restart"/>
            <w:noWrap w:val="0"/>
            <w:vAlign w:val="center"/>
          </w:tcPr>
          <w:p>
            <w:pPr>
              <w:pStyle w:val="12"/>
              <w:jc w:val="center"/>
              <w:rPr>
                <w:rFonts w:ascii="Times New Roman" w:hAnsi="Times New Roman"/>
                <w:color w:val="auto"/>
                <w:highlight w:val="none"/>
              </w:rPr>
            </w:pPr>
            <w:r>
              <w:rPr>
                <w:rFonts w:ascii="Times New Roman" w:hAnsi="Times New Roman"/>
                <w:color w:val="auto"/>
                <w:highlight w:val="none"/>
              </w:rPr>
              <w:t>售后服务费</w:t>
            </w:r>
          </w:p>
        </w:tc>
        <w:tc>
          <w:tcPr>
            <w:tcW w:w="1302" w:type="pct"/>
            <w:gridSpan w:val="2"/>
            <w:noWrap w:val="0"/>
            <w:vAlign w:val="center"/>
          </w:tcPr>
          <w:p>
            <w:pPr>
              <w:pStyle w:val="12"/>
              <w:jc w:val="center"/>
              <w:rPr>
                <w:rFonts w:ascii="Times New Roman" w:hAnsi="Times New Roman"/>
                <w:color w:val="auto"/>
                <w:highlight w:val="none"/>
              </w:rPr>
            </w:pPr>
            <w:r>
              <w:rPr>
                <w:rFonts w:ascii="Times New Roman" w:hAnsi="Times New Roman"/>
                <w:color w:val="auto"/>
                <w:highlight w:val="none"/>
              </w:rPr>
              <w:t>培训费</w:t>
            </w:r>
          </w:p>
        </w:tc>
        <w:tc>
          <w:tcPr>
            <w:tcW w:w="590" w:type="pct"/>
            <w:noWrap w:val="0"/>
            <w:vAlign w:val="center"/>
          </w:tcPr>
          <w:p>
            <w:pPr>
              <w:pStyle w:val="12"/>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Merge w:val="continue"/>
            <w:noWrap w:val="0"/>
            <w:vAlign w:val="center"/>
          </w:tcPr>
          <w:p>
            <w:pPr>
              <w:pStyle w:val="12"/>
              <w:jc w:val="center"/>
              <w:rPr>
                <w:rFonts w:ascii="Times New Roman" w:hAnsi="Times New Roman"/>
                <w:color w:val="auto"/>
                <w:highlight w:val="none"/>
              </w:rPr>
            </w:pPr>
          </w:p>
        </w:tc>
        <w:tc>
          <w:tcPr>
            <w:tcW w:w="1235" w:type="pct"/>
            <w:gridSpan w:val="2"/>
            <w:noWrap w:val="0"/>
            <w:vAlign w:val="center"/>
          </w:tcPr>
          <w:p>
            <w:pPr>
              <w:pStyle w:val="12"/>
              <w:jc w:val="center"/>
              <w:rPr>
                <w:rFonts w:ascii="Times New Roman" w:hAnsi="Times New Roman"/>
                <w:color w:val="auto"/>
                <w:highlight w:val="none"/>
              </w:rPr>
            </w:pPr>
            <w:r>
              <w:rPr>
                <w:rFonts w:ascii="Times New Roman" w:hAnsi="Times New Roman"/>
                <w:color w:val="auto"/>
                <w:highlight w:val="none"/>
              </w:rPr>
              <w:t>小计</w:t>
            </w:r>
          </w:p>
        </w:tc>
        <w:tc>
          <w:tcPr>
            <w:tcW w:w="987" w:type="pct"/>
            <w:gridSpan w:val="2"/>
            <w:noWrap w:val="0"/>
            <w:vAlign w:val="center"/>
          </w:tcPr>
          <w:p>
            <w:pPr>
              <w:pStyle w:val="12"/>
              <w:jc w:val="center"/>
              <w:rPr>
                <w:rFonts w:ascii="Times New Roman" w:hAnsi="Times New Roman"/>
                <w:color w:val="auto"/>
                <w:highlight w:val="none"/>
              </w:rPr>
            </w:pPr>
          </w:p>
        </w:tc>
        <w:tc>
          <w:tcPr>
            <w:tcW w:w="328" w:type="pct"/>
            <w:vMerge w:val="continue"/>
            <w:noWrap w:val="0"/>
            <w:vAlign w:val="center"/>
          </w:tcPr>
          <w:p>
            <w:pPr>
              <w:pStyle w:val="12"/>
              <w:jc w:val="center"/>
              <w:rPr>
                <w:rFonts w:ascii="Times New Roman" w:hAnsi="Times New Roman"/>
                <w:color w:val="auto"/>
                <w:highlight w:val="none"/>
              </w:rPr>
            </w:pPr>
          </w:p>
        </w:tc>
        <w:tc>
          <w:tcPr>
            <w:tcW w:w="1302" w:type="pct"/>
            <w:gridSpan w:val="2"/>
            <w:noWrap w:val="0"/>
            <w:vAlign w:val="center"/>
          </w:tcPr>
          <w:p>
            <w:pPr>
              <w:pStyle w:val="12"/>
              <w:jc w:val="center"/>
              <w:rPr>
                <w:rFonts w:ascii="Times New Roman" w:hAnsi="Times New Roman"/>
                <w:color w:val="auto"/>
                <w:highlight w:val="none"/>
              </w:rPr>
            </w:pPr>
            <w:r>
              <w:rPr>
                <w:rFonts w:ascii="Times New Roman" w:hAnsi="Times New Roman"/>
                <w:color w:val="auto"/>
                <w:highlight w:val="none"/>
              </w:rPr>
              <w:t>技术服务费</w:t>
            </w:r>
          </w:p>
        </w:tc>
        <w:tc>
          <w:tcPr>
            <w:tcW w:w="590" w:type="pct"/>
            <w:noWrap w:val="0"/>
            <w:vAlign w:val="center"/>
          </w:tcPr>
          <w:p>
            <w:pPr>
              <w:pStyle w:val="12"/>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Merge w:val="restart"/>
            <w:noWrap w:val="0"/>
            <w:vAlign w:val="center"/>
          </w:tcPr>
          <w:p>
            <w:pPr>
              <w:pStyle w:val="12"/>
              <w:jc w:val="center"/>
              <w:rPr>
                <w:rFonts w:ascii="Times New Roman" w:hAnsi="Times New Roman"/>
                <w:color w:val="auto"/>
                <w:highlight w:val="none"/>
              </w:rPr>
            </w:pPr>
            <w:r>
              <w:rPr>
                <w:rFonts w:ascii="Times New Roman" w:hAnsi="Times New Roman"/>
                <w:color w:val="auto"/>
                <w:highlight w:val="none"/>
              </w:rPr>
              <w:t>其他</w:t>
            </w:r>
          </w:p>
          <w:p>
            <w:pPr>
              <w:pStyle w:val="12"/>
              <w:jc w:val="center"/>
              <w:rPr>
                <w:rFonts w:ascii="Times New Roman" w:hAnsi="Times New Roman"/>
                <w:color w:val="auto"/>
                <w:highlight w:val="none"/>
              </w:rPr>
            </w:pPr>
            <w:r>
              <w:rPr>
                <w:rFonts w:ascii="Times New Roman" w:hAnsi="Times New Roman"/>
                <w:color w:val="auto"/>
                <w:highlight w:val="none"/>
              </w:rPr>
              <w:t>费用</w:t>
            </w:r>
          </w:p>
        </w:tc>
        <w:tc>
          <w:tcPr>
            <w:tcW w:w="1235" w:type="pct"/>
            <w:gridSpan w:val="2"/>
            <w:noWrap w:val="0"/>
            <w:vAlign w:val="center"/>
          </w:tcPr>
          <w:p>
            <w:pPr>
              <w:pStyle w:val="12"/>
              <w:jc w:val="center"/>
              <w:rPr>
                <w:rFonts w:ascii="Times New Roman" w:hAnsi="Times New Roman"/>
                <w:color w:val="auto"/>
                <w:highlight w:val="none"/>
              </w:rPr>
            </w:pPr>
            <w:r>
              <w:rPr>
                <w:rFonts w:ascii="Times New Roman" w:hAnsi="Times New Roman"/>
                <w:color w:val="auto"/>
                <w:highlight w:val="none"/>
              </w:rPr>
              <w:t>代理费</w:t>
            </w:r>
          </w:p>
        </w:tc>
        <w:tc>
          <w:tcPr>
            <w:tcW w:w="987" w:type="pct"/>
            <w:gridSpan w:val="2"/>
            <w:noWrap w:val="0"/>
            <w:vAlign w:val="center"/>
          </w:tcPr>
          <w:p>
            <w:pPr>
              <w:pStyle w:val="12"/>
              <w:jc w:val="center"/>
              <w:rPr>
                <w:rFonts w:ascii="Times New Roman" w:hAnsi="Times New Roman"/>
                <w:color w:val="auto"/>
                <w:highlight w:val="none"/>
              </w:rPr>
            </w:pPr>
          </w:p>
        </w:tc>
        <w:tc>
          <w:tcPr>
            <w:tcW w:w="328" w:type="pct"/>
            <w:vMerge w:val="continue"/>
            <w:noWrap w:val="0"/>
            <w:vAlign w:val="center"/>
          </w:tcPr>
          <w:p>
            <w:pPr>
              <w:pStyle w:val="12"/>
              <w:jc w:val="center"/>
              <w:rPr>
                <w:rFonts w:ascii="Times New Roman" w:hAnsi="Times New Roman"/>
                <w:color w:val="auto"/>
                <w:highlight w:val="none"/>
              </w:rPr>
            </w:pPr>
          </w:p>
        </w:tc>
        <w:tc>
          <w:tcPr>
            <w:tcW w:w="1302" w:type="pct"/>
            <w:gridSpan w:val="2"/>
            <w:noWrap w:val="0"/>
            <w:vAlign w:val="center"/>
          </w:tcPr>
          <w:p>
            <w:pPr>
              <w:pStyle w:val="12"/>
              <w:jc w:val="center"/>
              <w:rPr>
                <w:rFonts w:ascii="Times New Roman" w:hAnsi="Times New Roman"/>
                <w:color w:val="auto"/>
                <w:highlight w:val="none"/>
              </w:rPr>
            </w:pPr>
            <w:r>
              <w:rPr>
                <w:rFonts w:hAnsi="宋体"/>
                <w:color w:val="auto"/>
                <w:highlight w:val="none"/>
              </w:rPr>
              <w:t>…</w:t>
            </w:r>
          </w:p>
        </w:tc>
        <w:tc>
          <w:tcPr>
            <w:tcW w:w="590" w:type="pct"/>
            <w:noWrap w:val="0"/>
            <w:vAlign w:val="center"/>
          </w:tcPr>
          <w:p>
            <w:pPr>
              <w:pStyle w:val="12"/>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Merge w:val="continue"/>
            <w:noWrap w:val="0"/>
            <w:vAlign w:val="center"/>
          </w:tcPr>
          <w:p>
            <w:pPr>
              <w:pStyle w:val="12"/>
              <w:jc w:val="center"/>
              <w:rPr>
                <w:rFonts w:ascii="Times New Roman" w:hAnsi="Times New Roman"/>
                <w:color w:val="auto"/>
                <w:highlight w:val="none"/>
              </w:rPr>
            </w:pPr>
          </w:p>
        </w:tc>
        <w:tc>
          <w:tcPr>
            <w:tcW w:w="1235" w:type="pct"/>
            <w:gridSpan w:val="2"/>
            <w:noWrap w:val="0"/>
            <w:vAlign w:val="center"/>
          </w:tcPr>
          <w:p>
            <w:pPr>
              <w:pStyle w:val="12"/>
              <w:jc w:val="center"/>
              <w:rPr>
                <w:rFonts w:ascii="Times New Roman" w:hAnsi="Times New Roman"/>
                <w:color w:val="auto"/>
                <w:highlight w:val="none"/>
              </w:rPr>
            </w:pPr>
            <w:r>
              <w:rPr>
                <w:rFonts w:hAnsi="宋体"/>
                <w:color w:val="auto"/>
                <w:highlight w:val="none"/>
              </w:rPr>
              <w:t>…</w:t>
            </w:r>
          </w:p>
        </w:tc>
        <w:tc>
          <w:tcPr>
            <w:tcW w:w="987" w:type="pct"/>
            <w:gridSpan w:val="2"/>
            <w:noWrap w:val="0"/>
            <w:vAlign w:val="center"/>
          </w:tcPr>
          <w:p>
            <w:pPr>
              <w:pStyle w:val="12"/>
              <w:jc w:val="center"/>
              <w:rPr>
                <w:rFonts w:ascii="Times New Roman" w:hAnsi="Times New Roman"/>
                <w:color w:val="auto"/>
                <w:highlight w:val="none"/>
              </w:rPr>
            </w:pPr>
          </w:p>
        </w:tc>
        <w:tc>
          <w:tcPr>
            <w:tcW w:w="328" w:type="pct"/>
            <w:vMerge w:val="continue"/>
            <w:noWrap w:val="0"/>
            <w:vAlign w:val="center"/>
          </w:tcPr>
          <w:p>
            <w:pPr>
              <w:pStyle w:val="12"/>
              <w:jc w:val="center"/>
              <w:rPr>
                <w:rFonts w:ascii="Times New Roman" w:hAnsi="Times New Roman"/>
                <w:color w:val="auto"/>
                <w:highlight w:val="none"/>
              </w:rPr>
            </w:pPr>
          </w:p>
        </w:tc>
        <w:tc>
          <w:tcPr>
            <w:tcW w:w="1302" w:type="pct"/>
            <w:gridSpan w:val="2"/>
            <w:noWrap w:val="0"/>
            <w:vAlign w:val="center"/>
          </w:tcPr>
          <w:p>
            <w:pPr>
              <w:pStyle w:val="12"/>
              <w:jc w:val="center"/>
              <w:rPr>
                <w:rFonts w:ascii="Times New Roman" w:hAnsi="Times New Roman"/>
                <w:color w:val="auto"/>
                <w:highlight w:val="none"/>
              </w:rPr>
            </w:pPr>
          </w:p>
        </w:tc>
        <w:tc>
          <w:tcPr>
            <w:tcW w:w="590" w:type="pct"/>
            <w:noWrap w:val="0"/>
            <w:vAlign w:val="center"/>
          </w:tcPr>
          <w:p>
            <w:pPr>
              <w:pStyle w:val="12"/>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pct"/>
            <w:vMerge w:val="continue"/>
            <w:noWrap w:val="0"/>
            <w:vAlign w:val="center"/>
          </w:tcPr>
          <w:p>
            <w:pPr>
              <w:pStyle w:val="12"/>
              <w:jc w:val="center"/>
              <w:rPr>
                <w:rFonts w:ascii="Times New Roman" w:hAnsi="Times New Roman"/>
                <w:color w:val="auto"/>
                <w:highlight w:val="none"/>
              </w:rPr>
            </w:pPr>
          </w:p>
        </w:tc>
        <w:tc>
          <w:tcPr>
            <w:tcW w:w="1235" w:type="pct"/>
            <w:gridSpan w:val="2"/>
            <w:noWrap w:val="0"/>
            <w:vAlign w:val="center"/>
          </w:tcPr>
          <w:p>
            <w:pPr>
              <w:pStyle w:val="12"/>
              <w:jc w:val="center"/>
              <w:rPr>
                <w:rFonts w:ascii="Times New Roman" w:hAnsi="Times New Roman"/>
                <w:color w:val="auto"/>
                <w:highlight w:val="none"/>
              </w:rPr>
            </w:pPr>
            <w:r>
              <w:rPr>
                <w:rFonts w:ascii="Times New Roman" w:hAnsi="Times New Roman"/>
                <w:color w:val="auto"/>
                <w:highlight w:val="none"/>
              </w:rPr>
              <w:t>小计</w:t>
            </w:r>
          </w:p>
        </w:tc>
        <w:tc>
          <w:tcPr>
            <w:tcW w:w="987" w:type="pct"/>
            <w:gridSpan w:val="2"/>
            <w:noWrap w:val="0"/>
            <w:vAlign w:val="center"/>
          </w:tcPr>
          <w:p>
            <w:pPr>
              <w:pStyle w:val="12"/>
              <w:jc w:val="center"/>
              <w:rPr>
                <w:rFonts w:ascii="Times New Roman" w:hAnsi="Times New Roman"/>
                <w:color w:val="auto"/>
                <w:highlight w:val="none"/>
              </w:rPr>
            </w:pPr>
          </w:p>
        </w:tc>
        <w:tc>
          <w:tcPr>
            <w:tcW w:w="328" w:type="pct"/>
            <w:vMerge w:val="continue"/>
            <w:noWrap w:val="0"/>
            <w:vAlign w:val="center"/>
          </w:tcPr>
          <w:p>
            <w:pPr>
              <w:pStyle w:val="12"/>
              <w:jc w:val="center"/>
              <w:rPr>
                <w:rFonts w:ascii="Times New Roman" w:hAnsi="Times New Roman"/>
                <w:color w:val="auto"/>
                <w:highlight w:val="none"/>
              </w:rPr>
            </w:pPr>
          </w:p>
        </w:tc>
        <w:tc>
          <w:tcPr>
            <w:tcW w:w="1302" w:type="pct"/>
            <w:gridSpan w:val="2"/>
            <w:noWrap w:val="0"/>
            <w:vAlign w:val="center"/>
          </w:tcPr>
          <w:p>
            <w:pPr>
              <w:pStyle w:val="12"/>
              <w:jc w:val="center"/>
              <w:rPr>
                <w:rFonts w:ascii="Times New Roman" w:hAnsi="Times New Roman"/>
                <w:color w:val="auto"/>
                <w:highlight w:val="none"/>
              </w:rPr>
            </w:pPr>
            <w:r>
              <w:rPr>
                <w:rFonts w:ascii="Times New Roman" w:hAnsi="Times New Roman"/>
                <w:color w:val="auto"/>
                <w:highlight w:val="none"/>
              </w:rPr>
              <w:t>小计</w:t>
            </w:r>
          </w:p>
        </w:tc>
        <w:tc>
          <w:tcPr>
            <w:tcW w:w="590" w:type="pct"/>
            <w:noWrap w:val="0"/>
            <w:vAlign w:val="center"/>
          </w:tcPr>
          <w:p>
            <w:pPr>
              <w:pStyle w:val="12"/>
              <w:jc w:val="center"/>
              <w:rPr>
                <w:rFonts w:ascii="Times New Roman" w:hAnsi="Times New Roman"/>
                <w:color w:val="auto"/>
                <w:highlight w:val="none"/>
              </w:rPr>
            </w:pPr>
          </w:p>
        </w:tc>
      </w:tr>
    </w:tbl>
    <w:p>
      <w:pPr>
        <w:topLinePunct/>
        <w:autoSpaceDE w:val="0"/>
        <w:autoSpaceDN w:val="0"/>
        <w:spacing w:after="0" w:line="360" w:lineRule="auto"/>
        <w:rPr>
          <w:rFonts w:ascii="宋体" w:hAnsi="宋体" w:cs="宋体"/>
          <w:color w:val="auto"/>
          <w:szCs w:val="21"/>
          <w:highlight w:val="none"/>
        </w:rPr>
      </w:pPr>
      <w:r>
        <w:rPr>
          <w:rFonts w:hint="eastAsia" w:ascii="宋体" w:hAnsi="宋体" w:cs="宋体"/>
          <w:color w:val="auto"/>
          <w:szCs w:val="21"/>
          <w:highlight w:val="none"/>
        </w:rPr>
        <w:t>特别说明：</w:t>
      </w:r>
    </w:p>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1.本项目总价及分项报价均不接受任何形式的赠送、“零”报价和折扣报价。</w:t>
      </w:r>
    </w:p>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2.如报价不一致，按照投标人须知“19.核价原则”进行修正。</w:t>
      </w:r>
    </w:p>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 本表仅供参考，可扩展。</w:t>
      </w:r>
    </w:p>
    <w:p>
      <w:pPr>
        <w:pStyle w:val="12"/>
        <w:ind w:firstLine="420" w:firstLineChars="200"/>
        <w:rPr>
          <w:rFonts w:ascii="Times New Roman" w:hAnsi="Times New Roman"/>
          <w:color w:val="auto"/>
          <w:highlight w:val="none"/>
        </w:rPr>
      </w:pP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ascii="宋体" w:hAnsi="宋体"/>
          <w:color w:val="auto"/>
          <w:kern w:val="0"/>
          <w:sz w:val="21"/>
          <w:szCs w:val="21"/>
          <w:highlight w:val="none"/>
        </w:rPr>
        <w:t>（全称并加盖公章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olor w:val="auto"/>
          <w:kern w:val="0"/>
          <w:sz w:val="21"/>
          <w:szCs w:val="21"/>
          <w:highlight w:val="none"/>
        </w:rPr>
        <w:t>投标人代表（签字或盖章）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p>
    <w:p>
      <w:pPr>
        <w:pStyle w:val="8"/>
        <w:jc w:val="both"/>
        <w:rPr>
          <w:rFonts w:hint="default" w:ascii="Times New Roman" w:hAnsi="Times New Roman" w:eastAsia="宋体" w:cs="Times New Roman"/>
          <w:b/>
          <w:color w:val="auto"/>
          <w:kern w:val="2"/>
          <w:sz w:val="28"/>
          <w:szCs w:val="22"/>
          <w:highlight w:val="none"/>
        </w:rPr>
      </w:pPr>
      <w:r>
        <w:rPr>
          <w:rFonts w:ascii="宋体" w:hAnsi="宋体" w:cs="宋体"/>
          <w:b/>
          <w:color w:val="auto"/>
          <w:sz w:val="21"/>
          <w:szCs w:val="21"/>
          <w:highlight w:val="none"/>
        </w:rPr>
        <w:br w:type="page"/>
      </w:r>
      <w:r>
        <w:rPr>
          <w:rFonts w:hint="default" w:ascii="Times New Roman" w:hAnsi="Times New Roman" w:cs="Times New Roman"/>
          <w:b/>
          <w:color w:val="auto"/>
          <w:kern w:val="2"/>
          <w:sz w:val="28"/>
          <w:szCs w:val="22"/>
          <w:highlight w:val="none"/>
          <w:lang w:val="en-US" w:eastAsia="zh-CN"/>
        </w:rPr>
        <w:t>3.</w:t>
      </w:r>
      <w:r>
        <w:rPr>
          <w:rFonts w:hint="default" w:ascii="Times New Roman" w:hAnsi="Times New Roman" w:eastAsia="宋体" w:cs="Times New Roman"/>
          <w:color w:val="auto"/>
          <w:kern w:val="2"/>
          <w:sz w:val="28"/>
          <w:szCs w:val="22"/>
          <w:highlight w:val="none"/>
        </w:rPr>
        <w:t>招标文件规定的价格扣除证明材料（若有）</w:t>
      </w:r>
    </w:p>
    <w:p>
      <w:pPr>
        <w:pStyle w:val="8"/>
        <w:spacing w:line="240" w:lineRule="exact"/>
        <w:jc w:val="center"/>
        <w:rPr>
          <w:rFonts w:hint="eastAsia" w:ascii="宋体" w:hAnsi="宋体" w:eastAsia="宋体" w:cs="宋体"/>
          <w:color w:val="auto"/>
          <w:sz w:val="21"/>
          <w:szCs w:val="21"/>
        </w:rPr>
      </w:pPr>
      <w:r>
        <w:rPr>
          <w:rStyle w:val="19"/>
          <w:rFonts w:hint="eastAsia" w:ascii="宋体" w:hAnsi="宋体" w:eastAsia="宋体" w:cs="宋体"/>
          <w:color w:val="auto"/>
          <w:sz w:val="21"/>
          <w:szCs w:val="21"/>
        </w:rPr>
        <w:t> </w:t>
      </w:r>
      <w:r>
        <w:rPr>
          <w:rStyle w:val="19"/>
          <w:rFonts w:hint="eastAsia" w:ascii="宋体" w:hAnsi="宋体" w:eastAsia="宋体" w:cs="宋体"/>
          <w:color w:val="auto"/>
          <w:sz w:val="21"/>
          <w:szCs w:val="21"/>
          <w:lang w:val="en-US" w:eastAsia="zh-CN"/>
        </w:rPr>
        <w:t>3</w:t>
      </w:r>
      <w:r>
        <w:rPr>
          <w:rStyle w:val="19"/>
          <w:rFonts w:hint="eastAsia" w:ascii="宋体" w:hAnsi="宋体" w:eastAsia="宋体" w:cs="宋体"/>
          <w:color w:val="auto"/>
          <w:sz w:val="21"/>
          <w:szCs w:val="21"/>
        </w:rPr>
        <w:t>-1优先类节能产品、环境标志产品价格扣除证明材料（若有）</w:t>
      </w:r>
    </w:p>
    <w:p>
      <w:pPr>
        <w:pStyle w:val="8"/>
        <w:spacing w:line="240" w:lineRule="exact"/>
        <w:jc w:val="center"/>
        <w:rPr>
          <w:rFonts w:hint="eastAsia" w:ascii="宋体" w:hAnsi="宋体" w:eastAsia="宋体" w:cs="宋体"/>
          <w:color w:val="auto"/>
          <w:sz w:val="21"/>
          <w:szCs w:val="21"/>
        </w:rPr>
      </w:pPr>
      <w:r>
        <w:rPr>
          <w:rStyle w:val="19"/>
          <w:rFonts w:hint="eastAsia" w:ascii="宋体" w:hAnsi="宋体" w:eastAsia="宋体" w:cs="宋体"/>
          <w:color w:val="auto"/>
          <w:sz w:val="21"/>
          <w:szCs w:val="21"/>
        </w:rPr>
        <w:t> </w:t>
      </w:r>
      <w:r>
        <w:rPr>
          <w:rStyle w:val="19"/>
          <w:rFonts w:hint="eastAsia" w:ascii="宋体" w:hAnsi="宋体" w:eastAsia="宋体" w:cs="宋体"/>
          <w:color w:val="auto"/>
          <w:sz w:val="21"/>
          <w:szCs w:val="21"/>
          <w:lang w:val="en-US" w:eastAsia="zh-CN"/>
        </w:rPr>
        <w:t>3</w:t>
      </w:r>
      <w:r>
        <w:rPr>
          <w:rStyle w:val="19"/>
          <w:rFonts w:hint="eastAsia" w:ascii="宋体" w:hAnsi="宋体" w:eastAsia="宋体" w:cs="宋体"/>
          <w:color w:val="auto"/>
          <w:sz w:val="21"/>
          <w:szCs w:val="21"/>
        </w:rPr>
        <w:t>-1-①优先类节能产品、环境标志产品统计表（价格扣除适用，若有）</w:t>
      </w:r>
    </w:p>
    <w:p>
      <w:pPr>
        <w:pStyle w:val="8"/>
        <w:rPr>
          <w:rFonts w:hint="eastAsia" w:ascii="宋体" w:hAnsi="宋体" w:eastAsia="宋体" w:cs="宋体"/>
          <w:color w:val="auto"/>
          <w:sz w:val="21"/>
          <w:szCs w:val="21"/>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      货币及单位：人民币元</w:t>
      </w:r>
    </w:p>
    <w:tbl>
      <w:tblPr>
        <w:tblStyle w:val="16"/>
        <w:tblW w:w="8947"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74"/>
        <w:gridCol w:w="945"/>
        <w:gridCol w:w="1982"/>
        <w:gridCol w:w="1639"/>
        <w:gridCol w:w="964"/>
        <w:gridCol w:w="1575"/>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29" w:type="dxa"/>
            <w:noWrap w:val="0"/>
            <w:tcMar>
              <w:top w:w="0" w:type="dxa"/>
              <w:left w:w="83" w:type="dxa"/>
              <w:bottom w:w="0" w:type="dxa"/>
              <w:right w:w="83" w:type="dxa"/>
            </w:tcMar>
            <w:vAlign w:val="center"/>
          </w:tcPr>
          <w:p>
            <w:pPr>
              <w:rPr>
                <w:rFonts w:hint="eastAsia" w:ascii="宋体" w:hAnsi="宋体" w:eastAsia="宋体" w:cs="宋体"/>
                <w:color w:val="auto"/>
                <w:sz w:val="21"/>
                <w:szCs w:val="21"/>
              </w:rPr>
            </w:pPr>
          </w:p>
        </w:tc>
        <w:tc>
          <w:tcPr>
            <w:tcW w:w="7928" w:type="dxa"/>
            <w:gridSpan w:val="6"/>
            <w:noWrap w:val="0"/>
            <w:tcMar>
              <w:top w:w="0" w:type="dxa"/>
              <w:left w:w="83" w:type="dxa"/>
              <w:bottom w:w="0" w:type="dxa"/>
              <w:right w:w="83" w:type="dxa"/>
            </w:tcMar>
            <w:vAlign w:val="center"/>
          </w:tcPr>
          <w:p>
            <w:pPr>
              <w:pStyle w:val="8"/>
              <w:jc w:val="center"/>
              <w:rPr>
                <w:rFonts w:hint="eastAsia" w:ascii="宋体" w:hAnsi="宋体" w:eastAsia="宋体" w:cs="宋体"/>
                <w:color w:val="auto"/>
                <w:sz w:val="21"/>
                <w:szCs w:val="21"/>
              </w:rPr>
            </w:pPr>
            <w:r>
              <w:rPr>
                <w:rFonts w:hint="eastAsia" w:ascii="宋体" w:hAnsi="宋体" w:eastAsia="宋体" w:cs="宋体"/>
                <w:color w:val="auto"/>
                <w:sz w:val="21"/>
                <w:szCs w:val="21"/>
              </w:rPr>
              <w:t>本采购包内属于节能、环境标志产品的情况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29" w:type="dxa"/>
            <w:noWrap w:val="0"/>
            <w:tcMar>
              <w:top w:w="0" w:type="dxa"/>
              <w:left w:w="83" w:type="dxa"/>
              <w:bottom w:w="0" w:type="dxa"/>
              <w:right w:w="83" w:type="dxa"/>
            </w:tcMar>
            <w:vAlign w:val="center"/>
          </w:tcPr>
          <w:p>
            <w:pPr>
              <w:pStyle w:val="8"/>
              <w:jc w:val="center"/>
              <w:rPr>
                <w:rFonts w:hint="eastAsia" w:ascii="宋体" w:hAnsi="宋体" w:eastAsia="宋体" w:cs="宋体"/>
                <w:color w:val="auto"/>
                <w:sz w:val="21"/>
                <w:szCs w:val="21"/>
              </w:rPr>
            </w:pPr>
            <w:r>
              <w:rPr>
                <w:rFonts w:hint="eastAsia" w:ascii="宋体" w:hAnsi="宋体" w:eastAsia="宋体" w:cs="宋体"/>
                <w:color w:val="auto"/>
                <w:sz w:val="21"/>
                <w:szCs w:val="21"/>
              </w:rPr>
              <w:t>采购包</w:t>
            </w:r>
          </w:p>
        </w:tc>
        <w:tc>
          <w:tcPr>
            <w:tcW w:w="915" w:type="dxa"/>
            <w:noWrap w:val="0"/>
            <w:tcMar>
              <w:top w:w="0" w:type="dxa"/>
              <w:left w:w="83" w:type="dxa"/>
              <w:bottom w:w="0" w:type="dxa"/>
              <w:right w:w="83" w:type="dxa"/>
            </w:tcMar>
            <w:vAlign w:val="center"/>
          </w:tcPr>
          <w:p>
            <w:pPr>
              <w:pStyle w:val="8"/>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序号</w:t>
            </w:r>
          </w:p>
        </w:tc>
        <w:tc>
          <w:tcPr>
            <w:tcW w:w="1952" w:type="dxa"/>
            <w:noWrap w:val="0"/>
            <w:tcMar>
              <w:top w:w="0" w:type="dxa"/>
              <w:left w:w="83" w:type="dxa"/>
              <w:bottom w:w="0" w:type="dxa"/>
              <w:right w:w="83" w:type="dxa"/>
            </w:tcMar>
            <w:vAlign w:val="center"/>
          </w:tcPr>
          <w:p>
            <w:pPr>
              <w:pStyle w:val="8"/>
              <w:jc w:val="center"/>
              <w:rPr>
                <w:rFonts w:hint="eastAsia" w:ascii="宋体" w:hAnsi="宋体" w:eastAsia="宋体" w:cs="宋体"/>
                <w:color w:val="auto"/>
                <w:sz w:val="21"/>
                <w:szCs w:val="21"/>
              </w:rPr>
            </w:pPr>
            <w:r>
              <w:rPr>
                <w:rFonts w:hint="eastAsia" w:ascii="宋体" w:hAnsi="宋体" w:eastAsia="宋体" w:cs="宋体"/>
                <w:color w:val="auto"/>
                <w:sz w:val="21"/>
                <w:szCs w:val="21"/>
              </w:rPr>
              <w:t>货物名称</w:t>
            </w:r>
          </w:p>
        </w:tc>
        <w:tc>
          <w:tcPr>
            <w:tcW w:w="1609" w:type="dxa"/>
            <w:noWrap w:val="0"/>
            <w:tcMar>
              <w:top w:w="0" w:type="dxa"/>
              <w:left w:w="83" w:type="dxa"/>
              <w:bottom w:w="0" w:type="dxa"/>
              <w:right w:w="83" w:type="dxa"/>
            </w:tcMar>
            <w:vAlign w:val="center"/>
          </w:tcPr>
          <w:p>
            <w:pPr>
              <w:pStyle w:val="8"/>
              <w:jc w:val="center"/>
              <w:rPr>
                <w:rFonts w:hint="eastAsia" w:ascii="宋体" w:hAnsi="宋体" w:eastAsia="宋体" w:cs="宋体"/>
                <w:color w:val="auto"/>
                <w:sz w:val="21"/>
                <w:szCs w:val="21"/>
              </w:rPr>
            </w:pPr>
            <w:r>
              <w:rPr>
                <w:rFonts w:hint="eastAsia" w:ascii="宋体" w:hAnsi="宋体" w:eastAsia="宋体" w:cs="宋体"/>
                <w:color w:val="auto"/>
                <w:sz w:val="21"/>
                <w:szCs w:val="21"/>
              </w:rPr>
              <w:t>单价（现场）</w:t>
            </w:r>
          </w:p>
        </w:tc>
        <w:tc>
          <w:tcPr>
            <w:tcW w:w="934" w:type="dxa"/>
            <w:noWrap w:val="0"/>
            <w:tcMar>
              <w:top w:w="0" w:type="dxa"/>
              <w:left w:w="83" w:type="dxa"/>
              <w:bottom w:w="0" w:type="dxa"/>
              <w:right w:w="83" w:type="dxa"/>
            </w:tcMar>
            <w:vAlign w:val="center"/>
          </w:tcPr>
          <w:p>
            <w:pPr>
              <w:pStyle w:val="8"/>
              <w:jc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1545" w:type="dxa"/>
            <w:noWrap w:val="0"/>
            <w:tcMar>
              <w:top w:w="0" w:type="dxa"/>
              <w:left w:w="83" w:type="dxa"/>
              <w:bottom w:w="0" w:type="dxa"/>
              <w:right w:w="83" w:type="dxa"/>
            </w:tcMar>
            <w:vAlign w:val="center"/>
          </w:tcPr>
          <w:p>
            <w:pPr>
              <w:pStyle w:val="8"/>
              <w:jc w:val="center"/>
              <w:rPr>
                <w:rFonts w:hint="eastAsia" w:ascii="宋体" w:hAnsi="宋体" w:eastAsia="宋体" w:cs="宋体"/>
                <w:color w:val="auto"/>
                <w:sz w:val="21"/>
                <w:szCs w:val="21"/>
              </w:rPr>
            </w:pPr>
            <w:r>
              <w:rPr>
                <w:rFonts w:hint="eastAsia" w:ascii="宋体" w:hAnsi="宋体" w:eastAsia="宋体" w:cs="宋体"/>
                <w:color w:val="auto"/>
                <w:sz w:val="21"/>
                <w:szCs w:val="21"/>
              </w:rPr>
              <w:t>总价（现场）</w:t>
            </w:r>
          </w:p>
        </w:tc>
        <w:tc>
          <w:tcPr>
            <w:tcW w:w="823" w:type="dxa"/>
            <w:noWrap w:val="0"/>
            <w:tcMar>
              <w:top w:w="0" w:type="dxa"/>
              <w:left w:w="83" w:type="dxa"/>
              <w:bottom w:w="0" w:type="dxa"/>
              <w:right w:w="83" w:type="dxa"/>
            </w:tcMar>
            <w:vAlign w:val="center"/>
          </w:tcPr>
          <w:p>
            <w:pPr>
              <w:pStyle w:val="8"/>
              <w:jc w:val="center"/>
              <w:rPr>
                <w:rFonts w:hint="eastAsia" w:ascii="宋体" w:hAnsi="宋体" w:eastAsia="宋体" w:cs="宋体"/>
                <w:color w:val="auto"/>
                <w:sz w:val="21"/>
                <w:szCs w:val="21"/>
              </w:rPr>
            </w:pPr>
            <w:r>
              <w:rPr>
                <w:rFonts w:hint="eastAsia" w:ascii="宋体" w:hAnsi="宋体" w:eastAsia="宋体" w:cs="宋体"/>
                <w:color w:val="auto"/>
                <w:sz w:val="21"/>
                <w:szCs w:val="21"/>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29" w:type="dxa"/>
            <w:vMerge w:val="restart"/>
            <w:noWrap w:val="0"/>
            <w:tcMar>
              <w:top w:w="0" w:type="dxa"/>
              <w:left w:w="83" w:type="dxa"/>
              <w:bottom w:w="0" w:type="dxa"/>
              <w:right w:w="83" w:type="dxa"/>
            </w:tcMar>
            <w:vAlign w:val="center"/>
          </w:tcPr>
          <w:p>
            <w:pPr>
              <w:pStyle w:val="8"/>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915" w:type="dxa"/>
            <w:noWrap w:val="0"/>
            <w:tcMar>
              <w:top w:w="0" w:type="dxa"/>
              <w:left w:w="83" w:type="dxa"/>
              <w:bottom w:w="0" w:type="dxa"/>
              <w:right w:w="83" w:type="dxa"/>
            </w:tcMar>
            <w:vAlign w:val="center"/>
          </w:tcPr>
          <w:p>
            <w:pPr>
              <w:pStyle w:val="8"/>
              <w:jc w:val="center"/>
              <w:rPr>
                <w:rFonts w:hint="eastAsia" w:ascii="宋体" w:hAnsi="宋体" w:eastAsia="宋体" w:cs="宋体"/>
                <w:color w:val="auto"/>
                <w:sz w:val="21"/>
                <w:szCs w:val="21"/>
              </w:rPr>
            </w:pPr>
          </w:p>
        </w:tc>
        <w:tc>
          <w:tcPr>
            <w:tcW w:w="1952" w:type="dxa"/>
            <w:noWrap w:val="0"/>
            <w:tcMar>
              <w:top w:w="0" w:type="dxa"/>
              <w:left w:w="83" w:type="dxa"/>
              <w:bottom w:w="0" w:type="dxa"/>
              <w:right w:w="83" w:type="dxa"/>
            </w:tcMar>
            <w:vAlign w:val="center"/>
          </w:tcPr>
          <w:p>
            <w:pPr>
              <w:rPr>
                <w:rFonts w:hint="eastAsia" w:ascii="宋体" w:hAnsi="宋体" w:eastAsia="宋体" w:cs="宋体"/>
                <w:color w:val="auto"/>
                <w:sz w:val="21"/>
                <w:szCs w:val="21"/>
              </w:rPr>
            </w:pPr>
          </w:p>
        </w:tc>
        <w:tc>
          <w:tcPr>
            <w:tcW w:w="1609" w:type="dxa"/>
            <w:noWrap w:val="0"/>
            <w:tcMar>
              <w:top w:w="0" w:type="dxa"/>
              <w:left w:w="83" w:type="dxa"/>
              <w:bottom w:w="0" w:type="dxa"/>
              <w:right w:w="83" w:type="dxa"/>
            </w:tcMar>
            <w:vAlign w:val="center"/>
          </w:tcPr>
          <w:p>
            <w:pPr>
              <w:rPr>
                <w:rFonts w:hint="eastAsia" w:ascii="宋体" w:hAnsi="宋体" w:eastAsia="宋体" w:cs="宋体"/>
                <w:color w:val="auto"/>
                <w:sz w:val="21"/>
                <w:szCs w:val="21"/>
              </w:rPr>
            </w:pPr>
          </w:p>
        </w:tc>
        <w:tc>
          <w:tcPr>
            <w:tcW w:w="934" w:type="dxa"/>
            <w:noWrap w:val="0"/>
            <w:tcMar>
              <w:top w:w="0" w:type="dxa"/>
              <w:left w:w="83" w:type="dxa"/>
              <w:bottom w:w="0" w:type="dxa"/>
              <w:right w:w="83" w:type="dxa"/>
            </w:tcMar>
            <w:vAlign w:val="center"/>
          </w:tcPr>
          <w:p>
            <w:pPr>
              <w:rPr>
                <w:rFonts w:hint="eastAsia" w:ascii="宋体" w:hAnsi="宋体" w:eastAsia="宋体" w:cs="宋体"/>
                <w:color w:val="auto"/>
                <w:sz w:val="21"/>
                <w:szCs w:val="21"/>
              </w:rPr>
            </w:pPr>
          </w:p>
        </w:tc>
        <w:tc>
          <w:tcPr>
            <w:tcW w:w="1545" w:type="dxa"/>
            <w:noWrap w:val="0"/>
            <w:tcMar>
              <w:top w:w="0" w:type="dxa"/>
              <w:left w:w="83" w:type="dxa"/>
              <w:bottom w:w="0" w:type="dxa"/>
              <w:right w:w="83" w:type="dxa"/>
            </w:tcMar>
            <w:vAlign w:val="center"/>
          </w:tcPr>
          <w:p>
            <w:pPr>
              <w:rPr>
                <w:rFonts w:hint="eastAsia" w:ascii="宋体" w:hAnsi="宋体" w:eastAsia="宋体" w:cs="宋体"/>
                <w:color w:val="auto"/>
                <w:sz w:val="21"/>
                <w:szCs w:val="21"/>
              </w:rPr>
            </w:pPr>
          </w:p>
        </w:tc>
        <w:tc>
          <w:tcPr>
            <w:tcW w:w="823" w:type="dxa"/>
            <w:noWrap w:val="0"/>
            <w:tcMar>
              <w:top w:w="0" w:type="dxa"/>
              <w:left w:w="83" w:type="dxa"/>
              <w:bottom w:w="0" w:type="dxa"/>
              <w:right w:w="83" w:type="dxa"/>
            </w:tcMar>
            <w:vAlign w:val="center"/>
          </w:tcPr>
          <w:p>
            <w:pP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29" w:type="dxa"/>
            <w:vMerge w:val="continue"/>
            <w:noWrap w:val="0"/>
            <w:vAlign w:val="center"/>
          </w:tcPr>
          <w:p>
            <w:pPr>
              <w:rPr>
                <w:rFonts w:hint="eastAsia" w:ascii="宋体" w:hAnsi="宋体" w:eastAsia="宋体" w:cs="宋体"/>
                <w:color w:val="auto"/>
                <w:sz w:val="21"/>
                <w:szCs w:val="21"/>
              </w:rPr>
            </w:pPr>
          </w:p>
        </w:tc>
        <w:tc>
          <w:tcPr>
            <w:tcW w:w="915" w:type="dxa"/>
            <w:noWrap w:val="0"/>
            <w:tcMar>
              <w:top w:w="0" w:type="dxa"/>
              <w:left w:w="83" w:type="dxa"/>
              <w:bottom w:w="0" w:type="dxa"/>
              <w:right w:w="83" w:type="dxa"/>
            </w:tcMar>
            <w:vAlign w:val="center"/>
          </w:tcPr>
          <w:p>
            <w:pPr>
              <w:pStyle w:val="8"/>
              <w:jc w:val="center"/>
              <w:rPr>
                <w:rFonts w:hint="eastAsia" w:ascii="宋体" w:hAnsi="宋体" w:eastAsia="宋体" w:cs="宋体"/>
                <w:color w:val="auto"/>
                <w:sz w:val="21"/>
                <w:szCs w:val="21"/>
              </w:rPr>
            </w:pPr>
          </w:p>
        </w:tc>
        <w:tc>
          <w:tcPr>
            <w:tcW w:w="1952" w:type="dxa"/>
            <w:noWrap w:val="0"/>
            <w:tcMar>
              <w:top w:w="0" w:type="dxa"/>
              <w:left w:w="83" w:type="dxa"/>
              <w:bottom w:w="0" w:type="dxa"/>
              <w:right w:w="83" w:type="dxa"/>
            </w:tcMar>
            <w:vAlign w:val="center"/>
          </w:tcPr>
          <w:p>
            <w:pPr>
              <w:rPr>
                <w:rFonts w:hint="eastAsia" w:ascii="宋体" w:hAnsi="宋体" w:eastAsia="宋体" w:cs="宋体"/>
                <w:color w:val="auto"/>
                <w:sz w:val="21"/>
                <w:szCs w:val="21"/>
              </w:rPr>
            </w:pPr>
          </w:p>
        </w:tc>
        <w:tc>
          <w:tcPr>
            <w:tcW w:w="1609" w:type="dxa"/>
            <w:noWrap w:val="0"/>
            <w:tcMar>
              <w:top w:w="0" w:type="dxa"/>
              <w:left w:w="83" w:type="dxa"/>
              <w:bottom w:w="0" w:type="dxa"/>
              <w:right w:w="83" w:type="dxa"/>
            </w:tcMar>
            <w:vAlign w:val="center"/>
          </w:tcPr>
          <w:p>
            <w:pPr>
              <w:rPr>
                <w:rFonts w:hint="eastAsia" w:ascii="宋体" w:hAnsi="宋体" w:eastAsia="宋体" w:cs="宋体"/>
                <w:color w:val="auto"/>
                <w:sz w:val="21"/>
                <w:szCs w:val="21"/>
              </w:rPr>
            </w:pPr>
          </w:p>
        </w:tc>
        <w:tc>
          <w:tcPr>
            <w:tcW w:w="934" w:type="dxa"/>
            <w:noWrap w:val="0"/>
            <w:tcMar>
              <w:top w:w="0" w:type="dxa"/>
              <w:left w:w="83" w:type="dxa"/>
              <w:bottom w:w="0" w:type="dxa"/>
              <w:right w:w="83" w:type="dxa"/>
            </w:tcMar>
            <w:vAlign w:val="center"/>
          </w:tcPr>
          <w:p>
            <w:pPr>
              <w:rPr>
                <w:rFonts w:hint="eastAsia" w:ascii="宋体" w:hAnsi="宋体" w:eastAsia="宋体" w:cs="宋体"/>
                <w:color w:val="auto"/>
                <w:sz w:val="21"/>
                <w:szCs w:val="21"/>
              </w:rPr>
            </w:pPr>
          </w:p>
        </w:tc>
        <w:tc>
          <w:tcPr>
            <w:tcW w:w="1545" w:type="dxa"/>
            <w:noWrap w:val="0"/>
            <w:tcMar>
              <w:top w:w="0" w:type="dxa"/>
              <w:left w:w="83" w:type="dxa"/>
              <w:bottom w:w="0" w:type="dxa"/>
              <w:right w:w="83" w:type="dxa"/>
            </w:tcMar>
            <w:vAlign w:val="center"/>
          </w:tcPr>
          <w:p>
            <w:pPr>
              <w:rPr>
                <w:rFonts w:hint="eastAsia" w:ascii="宋体" w:hAnsi="宋体" w:eastAsia="宋体" w:cs="宋体"/>
                <w:color w:val="auto"/>
                <w:sz w:val="21"/>
                <w:szCs w:val="21"/>
              </w:rPr>
            </w:pPr>
          </w:p>
        </w:tc>
        <w:tc>
          <w:tcPr>
            <w:tcW w:w="823" w:type="dxa"/>
            <w:noWrap w:val="0"/>
            <w:tcMar>
              <w:top w:w="0" w:type="dxa"/>
              <w:left w:w="83" w:type="dxa"/>
              <w:bottom w:w="0" w:type="dxa"/>
              <w:right w:w="83" w:type="dxa"/>
            </w:tcMar>
            <w:vAlign w:val="center"/>
          </w:tcPr>
          <w:p>
            <w:pPr>
              <w:rPr>
                <w:rFonts w:hint="eastAsia" w:ascii="宋体" w:hAnsi="宋体" w:eastAsia="宋体" w:cs="宋体"/>
                <w:color w:val="auto"/>
                <w:sz w:val="21"/>
                <w:szCs w:val="21"/>
              </w:rPr>
            </w:pPr>
          </w:p>
        </w:tc>
      </w:tr>
    </w:tbl>
    <w:p>
      <w:pPr>
        <w:spacing w:line="360" w:lineRule="exact"/>
        <w:jc w:val="left"/>
        <w:rPr>
          <w:rFonts w:hint="eastAsia" w:ascii="宋体" w:hAnsi="宋体" w:eastAsia="宋体" w:cs="宋体"/>
          <w:color w:val="auto"/>
          <w:szCs w:val="21"/>
        </w:rPr>
      </w:pPr>
      <w:r>
        <w:rPr>
          <w:rFonts w:hint="eastAsia" w:ascii="宋体" w:hAnsi="宋体" w:eastAsia="宋体" w:cs="宋体"/>
          <w:color w:val="auto"/>
          <w:szCs w:val="21"/>
        </w:rPr>
        <w:t>注意：1、对节能、环境标志产品计算价格扣除时，只依据投标文件</w:t>
      </w:r>
      <w:r>
        <w:rPr>
          <w:rFonts w:hint="eastAsia" w:ascii="宋体" w:hAnsi="宋体" w:eastAsia="宋体" w:cs="宋体"/>
          <w:b/>
          <w:color w:val="auto"/>
          <w:szCs w:val="21"/>
        </w:rPr>
        <w:t>“</w:t>
      </w:r>
      <w:r>
        <w:rPr>
          <w:rFonts w:hint="eastAsia" w:ascii="宋体" w:hAnsi="宋体" w:eastAsia="宋体" w:cs="宋体"/>
          <w:b/>
          <w:color w:val="auto"/>
          <w:szCs w:val="21"/>
          <w:lang w:val="en-US" w:eastAsia="zh-CN"/>
        </w:rPr>
        <w:t>3</w:t>
      </w:r>
      <w:r>
        <w:rPr>
          <w:rFonts w:hint="eastAsia" w:ascii="宋体" w:hAnsi="宋体" w:eastAsia="宋体" w:cs="宋体"/>
          <w:b/>
          <w:color w:val="auto"/>
          <w:szCs w:val="21"/>
        </w:rPr>
        <w:t>-1-②优先类节能产品、环境标志产品证明材料（价格扣除适用，若有）”。</w:t>
      </w:r>
    </w:p>
    <w:p>
      <w:pPr>
        <w:spacing w:line="360" w:lineRule="exact"/>
        <w:jc w:val="left"/>
        <w:rPr>
          <w:rFonts w:hint="eastAsia" w:ascii="宋体" w:hAnsi="宋体" w:eastAsia="宋体" w:cs="宋体"/>
          <w:color w:val="auto"/>
          <w:szCs w:val="21"/>
        </w:rPr>
      </w:pPr>
      <w:r>
        <w:rPr>
          <w:rFonts w:hint="eastAsia" w:ascii="宋体" w:hAnsi="宋体" w:eastAsia="宋体" w:cs="宋体"/>
          <w:color w:val="auto"/>
          <w:szCs w:val="21"/>
        </w:rPr>
        <w:t>2、本表以采购包为单位</w:t>
      </w:r>
      <w:r>
        <w:rPr>
          <w:rFonts w:hint="eastAsia" w:ascii="宋体" w:hAnsi="宋体" w:eastAsia="宋体" w:cs="宋体"/>
          <w:color w:val="auto"/>
          <w:szCs w:val="21"/>
          <w:lang w:eastAsia="zh-CN"/>
        </w:rPr>
        <w:t>，</w:t>
      </w:r>
      <w:r>
        <w:rPr>
          <w:rFonts w:hint="eastAsia" w:ascii="宋体" w:hAnsi="宋体" w:eastAsia="宋体" w:cs="宋体"/>
          <w:color w:val="auto"/>
          <w:szCs w:val="21"/>
        </w:rPr>
        <w:t>同一采购包请按照其</w:t>
      </w:r>
      <w:r>
        <w:rPr>
          <w:rFonts w:hint="eastAsia" w:ascii="宋体" w:hAnsi="宋体" w:eastAsia="宋体" w:cs="宋体"/>
          <w:color w:val="auto"/>
          <w:szCs w:val="21"/>
          <w:lang w:val="en-US" w:eastAsia="zh-CN"/>
        </w:rPr>
        <w:t>序号</w:t>
      </w:r>
      <w:r>
        <w:rPr>
          <w:rFonts w:hint="eastAsia" w:ascii="宋体" w:hAnsi="宋体" w:eastAsia="宋体" w:cs="宋体"/>
          <w:color w:val="auto"/>
          <w:szCs w:val="21"/>
        </w:rPr>
        <w:t>顺序分别填写。</w:t>
      </w:r>
    </w:p>
    <w:p>
      <w:pPr>
        <w:spacing w:line="360" w:lineRule="exact"/>
        <w:jc w:val="left"/>
        <w:rPr>
          <w:rFonts w:hint="eastAsia" w:ascii="宋体" w:hAnsi="宋体" w:eastAsia="宋体" w:cs="宋体"/>
          <w:color w:val="auto"/>
          <w:szCs w:val="21"/>
        </w:rPr>
      </w:pPr>
      <w:r>
        <w:rPr>
          <w:rFonts w:hint="eastAsia" w:ascii="宋体" w:hAnsi="宋体" w:eastAsia="宋体" w:cs="宋体"/>
          <w:color w:val="auto"/>
          <w:szCs w:val="21"/>
        </w:rPr>
        <w:t>3、具体统计、计算：</w:t>
      </w:r>
    </w:p>
    <w:p>
      <w:pPr>
        <w:spacing w:line="360" w:lineRule="exact"/>
        <w:jc w:val="left"/>
        <w:rPr>
          <w:rFonts w:hint="eastAsia" w:ascii="宋体" w:hAnsi="宋体" w:eastAsia="宋体" w:cs="宋体"/>
          <w:color w:val="auto"/>
          <w:szCs w:val="21"/>
        </w:rPr>
      </w:pPr>
      <w:r>
        <w:rPr>
          <w:rFonts w:hint="eastAsia" w:ascii="宋体" w:hAnsi="宋体" w:eastAsia="宋体" w:cs="宋体"/>
          <w:color w:val="auto"/>
          <w:szCs w:val="21"/>
        </w:rPr>
        <w:t>3.1若节能、环境标志产品仅是构成投标产品的部件、组件或零件，则该投标产品不享受鼓励优惠政策。同一品目中各认证证书不重复计算价格扣除。强制类节能产品不享受价格扣除。</w:t>
      </w:r>
    </w:p>
    <w:p>
      <w:pPr>
        <w:spacing w:line="360" w:lineRule="exact"/>
        <w:jc w:val="left"/>
        <w:rPr>
          <w:rFonts w:hint="eastAsia" w:ascii="宋体" w:hAnsi="宋体" w:eastAsia="宋体" w:cs="宋体"/>
          <w:color w:val="auto"/>
          <w:szCs w:val="21"/>
        </w:rPr>
      </w:pPr>
      <w:r>
        <w:rPr>
          <w:rFonts w:hint="eastAsia" w:ascii="宋体" w:hAnsi="宋体" w:eastAsia="宋体" w:cs="宋体"/>
          <w:color w:val="auto"/>
          <w:szCs w:val="21"/>
        </w:rPr>
        <w:t>3.2计算结果若除不尽，可四舍五入保留到小数点后两位。</w:t>
      </w:r>
    </w:p>
    <w:p>
      <w:pPr>
        <w:spacing w:line="360" w:lineRule="exact"/>
        <w:jc w:val="left"/>
        <w:rPr>
          <w:rFonts w:hint="eastAsia" w:ascii="宋体" w:hAnsi="宋体" w:eastAsia="宋体" w:cs="宋体"/>
          <w:color w:val="auto"/>
          <w:szCs w:val="21"/>
        </w:rPr>
      </w:pPr>
      <w:r>
        <w:rPr>
          <w:rFonts w:hint="eastAsia" w:ascii="宋体" w:hAnsi="宋体" w:eastAsia="宋体" w:cs="宋体"/>
          <w:color w:val="auto"/>
          <w:szCs w:val="21"/>
        </w:rPr>
        <w:t>3.3投标人应按照招标文件要求认真统计、计算，否则评标委员会不予认定。</w:t>
      </w:r>
    </w:p>
    <w:p>
      <w:pPr>
        <w:spacing w:line="360" w:lineRule="exact"/>
        <w:jc w:val="left"/>
        <w:rPr>
          <w:rFonts w:hint="eastAsia" w:ascii="宋体" w:hAnsi="宋体" w:eastAsia="宋体" w:cs="宋体"/>
          <w:color w:val="auto"/>
          <w:szCs w:val="21"/>
        </w:rPr>
      </w:pPr>
      <w:r>
        <w:rPr>
          <w:rFonts w:hint="eastAsia" w:ascii="宋体" w:hAnsi="宋体" w:eastAsia="宋体" w:cs="宋体"/>
          <w:color w:val="auto"/>
          <w:szCs w:val="21"/>
        </w:rPr>
        <w:t>3.4若无节能、环境标志产品，不填写本表</w:t>
      </w:r>
      <w:r>
        <w:rPr>
          <w:rFonts w:hint="eastAsia" w:ascii="宋体" w:hAnsi="宋体" w:eastAsia="宋体" w:cs="宋体"/>
          <w:b/>
          <w:color w:val="auto"/>
          <w:szCs w:val="21"/>
        </w:rPr>
        <w:t>。</w:t>
      </w:r>
    </w:p>
    <w:p>
      <w:pPr>
        <w:pStyle w:val="8"/>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8"/>
        <w:rPr>
          <w:rFonts w:hint="eastAsia" w:ascii="宋体" w:hAnsi="宋体" w:eastAsia="宋体" w:cs="宋体"/>
          <w:color w:val="auto"/>
          <w:sz w:val="21"/>
          <w:szCs w:val="21"/>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8"/>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rPr>
          <w:rFonts w:hint="eastAsia" w:ascii="宋体" w:hAnsi="宋体" w:eastAsia="宋体" w:cs="宋体"/>
          <w:color w:val="auto"/>
          <w:sz w:val="21"/>
          <w:szCs w:val="21"/>
        </w:rPr>
      </w:pPr>
    </w:p>
    <w:p>
      <w:pPr>
        <w:pStyle w:val="9"/>
        <w:rPr>
          <w:rFonts w:hint="eastAsia" w:ascii="宋体" w:hAnsi="宋体" w:eastAsia="宋体" w:cs="宋体"/>
          <w:color w:val="auto"/>
          <w:sz w:val="21"/>
          <w:szCs w:val="21"/>
        </w:rPr>
      </w:pPr>
    </w:p>
    <w:p>
      <w:pPr>
        <w:pStyle w:val="8"/>
        <w:spacing w:line="240" w:lineRule="exact"/>
        <w:jc w:val="center"/>
        <w:rPr>
          <w:rStyle w:val="19"/>
          <w:rFonts w:hint="eastAsia" w:ascii="宋体" w:hAnsi="宋体" w:eastAsia="宋体" w:cs="宋体"/>
          <w:color w:val="auto"/>
          <w:sz w:val="21"/>
          <w:szCs w:val="21"/>
        </w:rPr>
      </w:pPr>
    </w:p>
    <w:p>
      <w:pPr>
        <w:pStyle w:val="8"/>
        <w:spacing w:line="240" w:lineRule="exact"/>
        <w:jc w:val="center"/>
        <w:rPr>
          <w:rFonts w:hint="eastAsia" w:ascii="宋体" w:hAnsi="宋体" w:eastAsia="宋体" w:cs="宋体"/>
          <w:color w:val="auto"/>
          <w:sz w:val="21"/>
          <w:szCs w:val="21"/>
        </w:rPr>
      </w:pPr>
      <w:r>
        <w:rPr>
          <w:rStyle w:val="19"/>
          <w:rFonts w:hint="eastAsia" w:ascii="宋体" w:hAnsi="宋体" w:eastAsia="宋体" w:cs="宋体"/>
          <w:color w:val="auto"/>
          <w:sz w:val="21"/>
          <w:szCs w:val="21"/>
          <w:lang w:val="en-US" w:eastAsia="zh-CN"/>
        </w:rPr>
        <w:t>3</w:t>
      </w:r>
      <w:r>
        <w:rPr>
          <w:rStyle w:val="19"/>
          <w:rFonts w:hint="eastAsia" w:ascii="宋体" w:hAnsi="宋体" w:eastAsia="宋体" w:cs="宋体"/>
          <w:color w:val="auto"/>
          <w:sz w:val="21"/>
          <w:szCs w:val="21"/>
        </w:rPr>
        <w:t>-1-②优先类节能产品、环境标志产品证明材料（价格扣除适用，若有）</w:t>
      </w:r>
    </w:p>
    <w:p>
      <w:pPr>
        <w:pStyle w:val="8"/>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编制说明</w:t>
      </w:r>
    </w:p>
    <w:p>
      <w:pPr>
        <w:pStyle w:val="8"/>
        <w:spacing w:line="240" w:lineRule="exact"/>
        <w:ind w:firstLine="330"/>
        <w:rPr>
          <w:rFonts w:hint="eastAsia" w:ascii="宋体" w:hAnsi="宋体" w:eastAsia="宋体" w:cs="宋体"/>
          <w:color w:val="auto"/>
          <w:sz w:val="21"/>
          <w:szCs w:val="21"/>
        </w:rPr>
      </w:pPr>
      <w:r>
        <w:rPr>
          <w:rFonts w:hint="eastAsia" w:ascii="宋体" w:hAnsi="宋体" w:eastAsia="宋体" w:cs="宋体"/>
          <w:color w:val="auto"/>
          <w:sz w:val="21"/>
          <w:szCs w:val="21"/>
        </w:rPr>
        <w:t>除招标文件另有规定外，投标人应按照招标文件规定提供相应证明材料。</w:t>
      </w:r>
    </w:p>
    <w:p>
      <w:pPr>
        <w:widowControl/>
        <w:spacing w:after="0" w:line="240" w:lineRule="auto"/>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widowControl/>
        <w:spacing w:after="0" w:line="24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格式4  商务条款偏离表</w:t>
      </w:r>
    </w:p>
    <w:tbl>
      <w:tblPr>
        <w:tblStyle w:val="16"/>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798"/>
        <w:gridCol w:w="1545"/>
        <w:gridCol w:w="1530"/>
        <w:gridCol w:w="151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1798"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招标文件条目号</w:t>
            </w:r>
          </w:p>
        </w:tc>
        <w:tc>
          <w:tcPr>
            <w:tcW w:w="154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招标文件</w:t>
            </w:r>
          </w:p>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商务条款</w:t>
            </w:r>
          </w:p>
        </w:tc>
        <w:tc>
          <w:tcPr>
            <w:tcW w:w="153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投标文件</w:t>
            </w:r>
          </w:p>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商务条款</w:t>
            </w:r>
          </w:p>
        </w:tc>
        <w:tc>
          <w:tcPr>
            <w:tcW w:w="151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偏离</w:t>
            </w:r>
          </w:p>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（无/正/负）</w:t>
            </w:r>
          </w:p>
        </w:tc>
        <w:tc>
          <w:tcPr>
            <w:tcW w:w="128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798"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798"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798"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1798"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798"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bl>
    <w:p>
      <w:pPr>
        <w:topLinePunct/>
        <w:autoSpaceDE w:val="0"/>
        <w:autoSpaceDN w:val="0"/>
        <w:spacing w:after="0"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特别说明：</w:t>
      </w:r>
    </w:p>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1.商务条款无需条对条应答，如无偏离，请在此表中填写“无偏离”；如有偏离，请在此表中应答为“正/负偏离”并说明偏离情况。</w:t>
      </w:r>
    </w:p>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2.如《招标文件-商务部分》中有标注★号的，则为实质性要求，必须满足，</w:t>
      </w:r>
      <w:r>
        <w:rPr>
          <w:rFonts w:hint="eastAsia" w:ascii="Times New Roman" w:hAnsi="Times New Roman" w:cs="Times New Roman"/>
          <w:color w:val="auto"/>
          <w:szCs w:val="21"/>
          <w:highlight w:val="none"/>
          <w:lang w:val="en-US" w:eastAsia="zh-CN"/>
        </w:rPr>
        <w:t>否则</w:t>
      </w:r>
      <w:r>
        <w:rPr>
          <w:rFonts w:hint="default" w:ascii="Times New Roman" w:hAnsi="Times New Roman" w:cs="Times New Roman"/>
          <w:color w:val="auto"/>
          <w:szCs w:val="21"/>
          <w:highlight w:val="none"/>
        </w:rPr>
        <w:t>，将导致投标无效。</w:t>
      </w:r>
    </w:p>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3.本表可扩展。</w:t>
      </w:r>
    </w:p>
    <w:p>
      <w:pPr>
        <w:topLinePunct/>
        <w:autoSpaceDE w:val="0"/>
        <w:autoSpaceDN w:val="0"/>
        <w:spacing w:line="500" w:lineRule="exact"/>
        <w:rPr>
          <w:rFonts w:hAnsi="宋体"/>
          <w:color w:val="auto"/>
          <w:sz w:val="24"/>
          <w:highlight w:val="none"/>
        </w:rPr>
      </w:pP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ascii="宋体" w:hAnsi="宋体"/>
          <w:color w:val="auto"/>
          <w:kern w:val="0"/>
          <w:sz w:val="21"/>
          <w:szCs w:val="21"/>
          <w:highlight w:val="none"/>
        </w:rPr>
        <w:t>（全称并加盖公章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olor w:val="auto"/>
          <w:kern w:val="0"/>
          <w:sz w:val="21"/>
          <w:szCs w:val="21"/>
          <w:highlight w:val="none"/>
        </w:rPr>
        <w:t>投标人代表（签字或盖章）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p>
    <w:p>
      <w:pPr>
        <w:rPr>
          <w:rFonts w:hAnsi="宋体" w:cs="宋体"/>
          <w:b/>
          <w:bCs/>
          <w:color w:val="auto"/>
          <w:sz w:val="28"/>
          <w:szCs w:val="28"/>
          <w:highlight w:val="none"/>
        </w:rPr>
      </w:pPr>
    </w:p>
    <w:p>
      <w:pPr>
        <w:snapToGrid w:val="0"/>
        <w:spacing w:after="0" w:line="360" w:lineRule="auto"/>
        <w:jc w:val="center"/>
        <w:rPr>
          <w:rFonts w:hint="default" w:ascii="Times New Roman" w:hAnsi="Times New Roman" w:cs="Times New Roman"/>
          <w:b/>
          <w:bCs/>
          <w:color w:val="auto"/>
          <w:sz w:val="28"/>
          <w:szCs w:val="28"/>
          <w:highlight w:val="none"/>
        </w:rPr>
      </w:pPr>
      <w:r>
        <w:rPr>
          <w:rFonts w:hAnsi="宋体" w:cs="宋体"/>
          <w:b/>
          <w:bCs/>
          <w:color w:val="auto"/>
          <w:sz w:val="28"/>
          <w:szCs w:val="28"/>
          <w:highlight w:val="none"/>
        </w:rPr>
        <w:br w:type="page"/>
      </w:r>
      <w:r>
        <w:rPr>
          <w:rFonts w:hint="default" w:ascii="Times New Roman" w:hAnsi="Times New Roman" w:cs="Times New Roman"/>
          <w:b/>
          <w:bCs/>
          <w:color w:val="auto"/>
          <w:sz w:val="28"/>
          <w:szCs w:val="28"/>
          <w:highlight w:val="none"/>
        </w:rPr>
        <w:t>格式5  投标人具备投标资格证明文件</w:t>
      </w:r>
    </w:p>
    <w:p>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5-1投标人基本情况</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567"/>
        <w:gridCol w:w="1560"/>
        <w:gridCol w:w="1701"/>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5" w:type="pct"/>
            <w:noWrap w:val="0"/>
            <w:vAlign w:val="center"/>
          </w:tcPr>
          <w:p>
            <w:pPr>
              <w:pStyle w:val="12"/>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供应商名称</w:t>
            </w:r>
          </w:p>
        </w:tc>
        <w:tc>
          <w:tcPr>
            <w:tcW w:w="1234" w:type="pct"/>
            <w:gridSpan w:val="2"/>
            <w:noWrap w:val="0"/>
            <w:vAlign w:val="center"/>
          </w:tcPr>
          <w:p>
            <w:pPr>
              <w:pStyle w:val="12"/>
              <w:spacing w:line="360" w:lineRule="auto"/>
              <w:jc w:val="center"/>
              <w:rPr>
                <w:rFonts w:ascii="Times New Roman" w:hAnsi="Times New Roman"/>
                <w:color w:val="auto"/>
                <w:sz w:val="21"/>
                <w:szCs w:val="21"/>
                <w:highlight w:val="none"/>
              </w:rPr>
            </w:pPr>
          </w:p>
        </w:tc>
        <w:tc>
          <w:tcPr>
            <w:tcW w:w="987" w:type="pct"/>
            <w:noWrap w:val="0"/>
            <w:vAlign w:val="center"/>
          </w:tcPr>
          <w:p>
            <w:pPr>
              <w:pStyle w:val="12"/>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法定代表人</w:t>
            </w:r>
          </w:p>
        </w:tc>
        <w:tc>
          <w:tcPr>
            <w:tcW w:w="1564" w:type="pct"/>
            <w:noWrap w:val="0"/>
            <w:vAlign w:val="center"/>
          </w:tcPr>
          <w:p>
            <w:pPr>
              <w:pStyle w:val="12"/>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pPr>
              <w:pStyle w:val="12"/>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统一社会信用代码</w:t>
            </w:r>
          </w:p>
        </w:tc>
        <w:tc>
          <w:tcPr>
            <w:tcW w:w="1234" w:type="pct"/>
            <w:gridSpan w:val="2"/>
            <w:noWrap w:val="0"/>
            <w:vAlign w:val="center"/>
          </w:tcPr>
          <w:p>
            <w:pPr>
              <w:pStyle w:val="12"/>
              <w:spacing w:line="360" w:lineRule="auto"/>
              <w:jc w:val="center"/>
              <w:rPr>
                <w:rFonts w:ascii="Times New Roman" w:hAnsi="Times New Roman"/>
                <w:color w:val="auto"/>
                <w:sz w:val="21"/>
                <w:szCs w:val="21"/>
                <w:highlight w:val="none"/>
              </w:rPr>
            </w:pPr>
          </w:p>
        </w:tc>
        <w:tc>
          <w:tcPr>
            <w:tcW w:w="987" w:type="pct"/>
            <w:noWrap w:val="0"/>
            <w:vAlign w:val="center"/>
          </w:tcPr>
          <w:p>
            <w:pPr>
              <w:pStyle w:val="12"/>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邮政编码</w:t>
            </w:r>
          </w:p>
        </w:tc>
        <w:tc>
          <w:tcPr>
            <w:tcW w:w="1564" w:type="pct"/>
            <w:noWrap w:val="0"/>
            <w:vAlign w:val="center"/>
          </w:tcPr>
          <w:p>
            <w:pPr>
              <w:pStyle w:val="12"/>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pPr>
              <w:pStyle w:val="12"/>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授权代表</w:t>
            </w:r>
          </w:p>
        </w:tc>
        <w:tc>
          <w:tcPr>
            <w:tcW w:w="1234" w:type="pct"/>
            <w:gridSpan w:val="2"/>
            <w:noWrap w:val="0"/>
            <w:vAlign w:val="center"/>
          </w:tcPr>
          <w:p>
            <w:pPr>
              <w:pStyle w:val="12"/>
              <w:spacing w:line="360" w:lineRule="auto"/>
              <w:jc w:val="center"/>
              <w:rPr>
                <w:rFonts w:ascii="Times New Roman" w:hAnsi="Times New Roman"/>
                <w:color w:val="auto"/>
                <w:sz w:val="21"/>
                <w:szCs w:val="21"/>
                <w:highlight w:val="none"/>
              </w:rPr>
            </w:pPr>
          </w:p>
        </w:tc>
        <w:tc>
          <w:tcPr>
            <w:tcW w:w="987" w:type="pct"/>
            <w:noWrap w:val="0"/>
            <w:vAlign w:val="center"/>
          </w:tcPr>
          <w:p>
            <w:pPr>
              <w:pStyle w:val="12"/>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联系电话</w:t>
            </w:r>
          </w:p>
        </w:tc>
        <w:tc>
          <w:tcPr>
            <w:tcW w:w="1564" w:type="pct"/>
            <w:noWrap w:val="0"/>
            <w:vAlign w:val="center"/>
          </w:tcPr>
          <w:p>
            <w:pPr>
              <w:pStyle w:val="12"/>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pPr>
              <w:pStyle w:val="12"/>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电子邮箱</w:t>
            </w:r>
          </w:p>
        </w:tc>
        <w:tc>
          <w:tcPr>
            <w:tcW w:w="1234" w:type="pct"/>
            <w:gridSpan w:val="2"/>
            <w:noWrap w:val="0"/>
            <w:vAlign w:val="center"/>
          </w:tcPr>
          <w:p>
            <w:pPr>
              <w:pStyle w:val="12"/>
              <w:spacing w:line="360" w:lineRule="auto"/>
              <w:jc w:val="center"/>
              <w:rPr>
                <w:rFonts w:ascii="Times New Roman" w:hAnsi="Times New Roman"/>
                <w:color w:val="auto"/>
                <w:sz w:val="21"/>
                <w:szCs w:val="21"/>
                <w:highlight w:val="none"/>
              </w:rPr>
            </w:pPr>
          </w:p>
        </w:tc>
        <w:tc>
          <w:tcPr>
            <w:tcW w:w="987" w:type="pct"/>
            <w:noWrap w:val="0"/>
            <w:vAlign w:val="center"/>
          </w:tcPr>
          <w:p>
            <w:pPr>
              <w:pStyle w:val="12"/>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传真</w:t>
            </w:r>
          </w:p>
        </w:tc>
        <w:tc>
          <w:tcPr>
            <w:tcW w:w="1564" w:type="pct"/>
            <w:noWrap w:val="0"/>
            <w:vAlign w:val="center"/>
          </w:tcPr>
          <w:p>
            <w:pPr>
              <w:pStyle w:val="12"/>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pPr>
              <w:pStyle w:val="12"/>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上年营业收入</w:t>
            </w:r>
          </w:p>
        </w:tc>
        <w:tc>
          <w:tcPr>
            <w:tcW w:w="1234" w:type="pct"/>
            <w:gridSpan w:val="2"/>
            <w:noWrap w:val="0"/>
            <w:vAlign w:val="center"/>
          </w:tcPr>
          <w:p>
            <w:pPr>
              <w:pStyle w:val="12"/>
              <w:spacing w:line="360" w:lineRule="auto"/>
              <w:jc w:val="center"/>
              <w:rPr>
                <w:rFonts w:ascii="Times New Roman" w:hAnsi="Times New Roman"/>
                <w:color w:val="auto"/>
                <w:sz w:val="21"/>
                <w:szCs w:val="21"/>
                <w:highlight w:val="none"/>
              </w:rPr>
            </w:pPr>
          </w:p>
        </w:tc>
        <w:tc>
          <w:tcPr>
            <w:tcW w:w="987" w:type="pct"/>
            <w:noWrap w:val="0"/>
            <w:vAlign w:val="center"/>
          </w:tcPr>
          <w:p>
            <w:pPr>
              <w:pStyle w:val="12"/>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员工总人数</w:t>
            </w:r>
          </w:p>
        </w:tc>
        <w:tc>
          <w:tcPr>
            <w:tcW w:w="1564" w:type="pct"/>
            <w:noWrap w:val="0"/>
            <w:vAlign w:val="center"/>
          </w:tcPr>
          <w:p>
            <w:pPr>
              <w:pStyle w:val="12"/>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pPr>
              <w:pStyle w:val="12"/>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基本账户开户行及账号</w:t>
            </w:r>
          </w:p>
        </w:tc>
        <w:tc>
          <w:tcPr>
            <w:tcW w:w="3456" w:type="pct"/>
            <w:gridSpan w:val="3"/>
            <w:noWrap w:val="0"/>
            <w:vAlign w:val="center"/>
          </w:tcPr>
          <w:p>
            <w:pPr>
              <w:pStyle w:val="12"/>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pPr>
              <w:pStyle w:val="12"/>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税务登记机关</w:t>
            </w:r>
          </w:p>
        </w:tc>
        <w:tc>
          <w:tcPr>
            <w:tcW w:w="3456" w:type="pct"/>
            <w:gridSpan w:val="3"/>
            <w:noWrap w:val="0"/>
            <w:vAlign w:val="center"/>
          </w:tcPr>
          <w:p>
            <w:pPr>
              <w:pStyle w:val="12"/>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pPr>
              <w:pStyle w:val="12"/>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资质名称</w:t>
            </w:r>
          </w:p>
        </w:tc>
        <w:tc>
          <w:tcPr>
            <w:tcW w:w="905" w:type="pct"/>
            <w:noWrap w:val="0"/>
            <w:vAlign w:val="center"/>
          </w:tcPr>
          <w:p>
            <w:pPr>
              <w:pStyle w:val="12"/>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等级</w:t>
            </w:r>
          </w:p>
        </w:tc>
        <w:tc>
          <w:tcPr>
            <w:tcW w:w="987" w:type="pct"/>
            <w:noWrap w:val="0"/>
            <w:vAlign w:val="center"/>
          </w:tcPr>
          <w:p>
            <w:pPr>
              <w:pStyle w:val="12"/>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发证机关</w:t>
            </w:r>
          </w:p>
        </w:tc>
        <w:tc>
          <w:tcPr>
            <w:tcW w:w="1564" w:type="pct"/>
            <w:noWrap w:val="0"/>
            <w:vAlign w:val="center"/>
          </w:tcPr>
          <w:p>
            <w:pPr>
              <w:pStyle w:val="12"/>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pPr>
              <w:pStyle w:val="12"/>
              <w:spacing w:line="360" w:lineRule="auto"/>
              <w:jc w:val="center"/>
              <w:rPr>
                <w:rFonts w:ascii="Times New Roman" w:hAnsi="Times New Roman"/>
                <w:color w:val="auto"/>
                <w:sz w:val="21"/>
                <w:szCs w:val="21"/>
                <w:highlight w:val="none"/>
              </w:rPr>
            </w:pPr>
          </w:p>
        </w:tc>
        <w:tc>
          <w:tcPr>
            <w:tcW w:w="905" w:type="pct"/>
            <w:noWrap w:val="0"/>
            <w:vAlign w:val="center"/>
          </w:tcPr>
          <w:p>
            <w:pPr>
              <w:pStyle w:val="12"/>
              <w:spacing w:line="360" w:lineRule="auto"/>
              <w:jc w:val="center"/>
              <w:rPr>
                <w:rFonts w:ascii="Times New Roman" w:hAnsi="Times New Roman"/>
                <w:color w:val="auto"/>
                <w:sz w:val="21"/>
                <w:szCs w:val="21"/>
                <w:highlight w:val="none"/>
              </w:rPr>
            </w:pPr>
          </w:p>
        </w:tc>
        <w:tc>
          <w:tcPr>
            <w:tcW w:w="987" w:type="pct"/>
            <w:noWrap w:val="0"/>
            <w:vAlign w:val="center"/>
          </w:tcPr>
          <w:p>
            <w:pPr>
              <w:pStyle w:val="12"/>
              <w:spacing w:line="360" w:lineRule="auto"/>
              <w:jc w:val="center"/>
              <w:rPr>
                <w:rFonts w:ascii="Times New Roman" w:hAnsi="Times New Roman"/>
                <w:color w:val="auto"/>
                <w:sz w:val="21"/>
                <w:szCs w:val="21"/>
                <w:highlight w:val="none"/>
              </w:rPr>
            </w:pPr>
          </w:p>
        </w:tc>
        <w:tc>
          <w:tcPr>
            <w:tcW w:w="1564" w:type="pct"/>
            <w:noWrap w:val="0"/>
            <w:vAlign w:val="center"/>
          </w:tcPr>
          <w:p>
            <w:pPr>
              <w:pStyle w:val="12"/>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pPr>
              <w:pStyle w:val="12"/>
              <w:spacing w:line="360" w:lineRule="auto"/>
              <w:jc w:val="center"/>
              <w:rPr>
                <w:rFonts w:ascii="Times New Roman" w:hAnsi="Times New Roman"/>
                <w:color w:val="auto"/>
                <w:sz w:val="21"/>
                <w:szCs w:val="21"/>
                <w:highlight w:val="none"/>
              </w:rPr>
            </w:pPr>
          </w:p>
        </w:tc>
        <w:tc>
          <w:tcPr>
            <w:tcW w:w="905" w:type="pct"/>
            <w:noWrap w:val="0"/>
            <w:vAlign w:val="center"/>
          </w:tcPr>
          <w:p>
            <w:pPr>
              <w:pStyle w:val="12"/>
              <w:spacing w:line="360" w:lineRule="auto"/>
              <w:jc w:val="center"/>
              <w:rPr>
                <w:rFonts w:ascii="Times New Roman" w:hAnsi="Times New Roman"/>
                <w:color w:val="auto"/>
                <w:sz w:val="21"/>
                <w:szCs w:val="21"/>
                <w:highlight w:val="none"/>
              </w:rPr>
            </w:pPr>
          </w:p>
        </w:tc>
        <w:tc>
          <w:tcPr>
            <w:tcW w:w="987" w:type="pct"/>
            <w:noWrap w:val="0"/>
            <w:vAlign w:val="center"/>
          </w:tcPr>
          <w:p>
            <w:pPr>
              <w:pStyle w:val="12"/>
              <w:spacing w:line="360" w:lineRule="auto"/>
              <w:jc w:val="center"/>
              <w:rPr>
                <w:rFonts w:ascii="Times New Roman" w:hAnsi="Times New Roman"/>
                <w:color w:val="auto"/>
                <w:sz w:val="21"/>
                <w:szCs w:val="21"/>
                <w:highlight w:val="none"/>
              </w:rPr>
            </w:pPr>
          </w:p>
        </w:tc>
        <w:tc>
          <w:tcPr>
            <w:tcW w:w="1564" w:type="pct"/>
            <w:noWrap w:val="0"/>
            <w:vAlign w:val="center"/>
          </w:tcPr>
          <w:p>
            <w:pPr>
              <w:pStyle w:val="12"/>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pPr>
              <w:pStyle w:val="12"/>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备注</w:t>
            </w:r>
          </w:p>
        </w:tc>
        <w:tc>
          <w:tcPr>
            <w:tcW w:w="3785" w:type="pct"/>
            <w:gridSpan w:val="4"/>
            <w:noWrap w:val="0"/>
            <w:vAlign w:val="center"/>
          </w:tcPr>
          <w:p>
            <w:pPr>
              <w:pStyle w:val="12"/>
              <w:spacing w:line="360" w:lineRule="auto"/>
              <w:jc w:val="center"/>
              <w:rPr>
                <w:rFonts w:ascii="Times New Roman" w:hAnsi="Times New Roman"/>
                <w:color w:val="auto"/>
                <w:sz w:val="21"/>
                <w:szCs w:val="21"/>
                <w:highlight w:val="none"/>
              </w:rPr>
            </w:pPr>
          </w:p>
        </w:tc>
      </w:tr>
    </w:tbl>
    <w:p>
      <w:pPr>
        <w:topLinePunct/>
        <w:autoSpaceDE w:val="0"/>
        <w:autoSpaceDN w:val="0"/>
        <w:spacing w:line="500" w:lineRule="exact"/>
        <w:rPr>
          <w:rFonts w:hAnsi="宋体"/>
          <w:color w:val="auto"/>
          <w:sz w:val="24"/>
          <w:highlight w:val="none"/>
        </w:rPr>
      </w:pP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ascii="宋体" w:hAnsi="宋体"/>
          <w:color w:val="auto"/>
          <w:kern w:val="0"/>
          <w:sz w:val="21"/>
          <w:szCs w:val="21"/>
          <w:highlight w:val="none"/>
        </w:rPr>
        <w:t>（全称并加盖公章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olor w:val="auto"/>
          <w:kern w:val="0"/>
          <w:sz w:val="21"/>
          <w:szCs w:val="21"/>
          <w:highlight w:val="none"/>
        </w:rPr>
        <w:t>投标人代表（签字或盖章）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p>
    <w:p>
      <w:pPr>
        <w:pStyle w:val="12"/>
        <w:ind w:firstLine="420" w:firstLineChars="200"/>
        <w:rPr>
          <w:rFonts w:ascii="Times New Roman" w:hAnsi="Times New Roman"/>
          <w:color w:val="auto"/>
          <w:sz w:val="21"/>
          <w:szCs w:val="21"/>
          <w:highlight w:val="none"/>
        </w:rPr>
      </w:pPr>
    </w:p>
    <w:p>
      <w:pPr>
        <w:widowControl/>
        <w:spacing w:after="0" w:line="240" w:lineRule="auto"/>
        <w:jc w:val="center"/>
        <w:rPr>
          <w:rFonts w:hint="default" w:ascii="Times New Roman" w:hAnsi="Times New Roman" w:cs="Times New Roman"/>
          <w:b/>
          <w:bCs/>
          <w:color w:val="auto"/>
          <w:sz w:val="28"/>
          <w:szCs w:val="28"/>
          <w:highlight w:val="none"/>
        </w:rPr>
      </w:pPr>
      <w:r>
        <w:rPr>
          <w:rFonts w:ascii="宋体" w:hAnsi="宋体" w:cs="宋体"/>
          <w:b/>
          <w:bCs/>
          <w:color w:val="auto"/>
          <w:sz w:val="36"/>
          <w:szCs w:val="36"/>
          <w:highlight w:val="none"/>
        </w:rPr>
        <w:br w:type="page"/>
      </w: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2</w:t>
      </w:r>
      <w:r>
        <w:rPr>
          <w:rFonts w:hint="default" w:ascii="Times New Roman" w:hAnsi="Times New Roman" w:cs="Times New Roman"/>
          <w:b/>
          <w:bCs/>
          <w:color w:val="auto"/>
          <w:sz w:val="28"/>
          <w:szCs w:val="28"/>
          <w:highlight w:val="none"/>
        </w:rPr>
        <w:t xml:space="preserve"> 财务状况报告</w:t>
      </w:r>
    </w:p>
    <w:p>
      <w:pPr>
        <w:spacing w:line="360" w:lineRule="auto"/>
        <w:ind w:firstLine="420" w:firstLineChars="200"/>
        <w:jc w:val="lef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根据资格条件要求提供相应材料。</w:t>
      </w:r>
    </w:p>
    <w:p>
      <w:pPr>
        <w:spacing w:line="360" w:lineRule="auto"/>
        <w:ind w:firstLine="480" w:firstLineChars="200"/>
        <w:jc w:val="left"/>
        <w:rPr>
          <w:rFonts w:hint="default" w:ascii="Times New Roman" w:hAnsi="Times New Roman" w:cs="Times New Roman"/>
          <w:color w:val="auto"/>
          <w:kern w:val="0"/>
          <w:sz w:val="24"/>
          <w:highlight w:val="none"/>
        </w:rPr>
      </w:pPr>
    </w:p>
    <w:p>
      <w:pPr>
        <w:spacing w:line="360" w:lineRule="auto"/>
        <w:ind w:firstLine="480" w:firstLineChars="200"/>
        <w:jc w:val="left"/>
        <w:rPr>
          <w:rFonts w:hint="default" w:ascii="Times New Roman" w:hAnsi="Times New Roman" w:cs="Times New Roman"/>
          <w:color w:val="auto"/>
          <w:kern w:val="0"/>
          <w:sz w:val="24"/>
          <w:highlight w:val="none"/>
        </w:rPr>
      </w:pPr>
    </w:p>
    <w:p>
      <w:pPr>
        <w:spacing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3</w:t>
      </w:r>
      <w:r>
        <w:rPr>
          <w:rFonts w:hint="default" w:ascii="Times New Roman" w:hAnsi="Times New Roman" w:cs="Times New Roman"/>
          <w:b/>
          <w:bCs/>
          <w:color w:val="auto"/>
          <w:sz w:val="28"/>
          <w:szCs w:val="28"/>
          <w:highlight w:val="none"/>
        </w:rPr>
        <w:t>依法缴纳税收的相关材料</w:t>
      </w:r>
    </w:p>
    <w:p>
      <w:pPr>
        <w:spacing w:line="360" w:lineRule="auto"/>
        <w:ind w:firstLine="420" w:firstLineChars="200"/>
        <w:jc w:val="lef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根据资格条件要求提供相应材料。</w:t>
      </w:r>
    </w:p>
    <w:p>
      <w:pPr>
        <w:spacing w:line="360" w:lineRule="auto"/>
        <w:ind w:firstLine="480" w:firstLineChars="200"/>
        <w:jc w:val="left"/>
        <w:rPr>
          <w:rFonts w:hint="default" w:ascii="Times New Roman" w:hAnsi="Times New Roman" w:cs="Times New Roman"/>
          <w:color w:val="auto"/>
          <w:kern w:val="0"/>
          <w:sz w:val="24"/>
          <w:highlight w:val="none"/>
        </w:rPr>
      </w:pPr>
    </w:p>
    <w:p>
      <w:pPr>
        <w:spacing w:line="360" w:lineRule="auto"/>
        <w:ind w:firstLine="480" w:firstLineChars="200"/>
        <w:jc w:val="left"/>
        <w:rPr>
          <w:rFonts w:hint="default" w:ascii="Times New Roman" w:hAnsi="Times New Roman" w:cs="Times New Roman"/>
          <w:color w:val="auto"/>
          <w:kern w:val="0"/>
          <w:sz w:val="24"/>
          <w:highlight w:val="none"/>
        </w:rPr>
      </w:pPr>
    </w:p>
    <w:p>
      <w:pPr>
        <w:spacing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4</w:t>
      </w:r>
      <w:r>
        <w:rPr>
          <w:rFonts w:hint="default" w:ascii="Times New Roman" w:hAnsi="Times New Roman" w:cs="Times New Roman"/>
          <w:b/>
          <w:bCs/>
          <w:color w:val="auto"/>
          <w:sz w:val="28"/>
          <w:szCs w:val="28"/>
          <w:highlight w:val="none"/>
        </w:rPr>
        <w:t>依法缴纳社会保障资金的相关材料</w:t>
      </w:r>
    </w:p>
    <w:p>
      <w:pPr>
        <w:spacing w:line="360" w:lineRule="auto"/>
        <w:ind w:firstLine="420" w:firstLineChars="200"/>
        <w:jc w:val="lef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根据资格条件要求提供相应材料。</w:t>
      </w:r>
    </w:p>
    <w:p>
      <w:pPr>
        <w:spacing w:line="360" w:lineRule="auto"/>
        <w:ind w:firstLine="480" w:firstLineChars="200"/>
        <w:jc w:val="left"/>
        <w:rPr>
          <w:rFonts w:hint="default" w:ascii="Times New Roman" w:hAnsi="Times New Roman" w:cs="Times New Roman"/>
          <w:color w:val="auto"/>
          <w:kern w:val="0"/>
          <w:sz w:val="24"/>
          <w:highlight w:val="none"/>
        </w:rPr>
      </w:pPr>
    </w:p>
    <w:p>
      <w:pPr>
        <w:spacing w:line="360" w:lineRule="auto"/>
        <w:ind w:firstLine="480" w:firstLineChars="200"/>
        <w:jc w:val="left"/>
        <w:rPr>
          <w:rFonts w:hint="default" w:ascii="Times New Roman" w:hAnsi="Times New Roman" w:cs="Times New Roman"/>
          <w:color w:val="auto"/>
          <w:kern w:val="0"/>
          <w:sz w:val="24"/>
          <w:highlight w:val="none"/>
        </w:rPr>
      </w:pPr>
    </w:p>
    <w:p>
      <w:pPr>
        <w:spacing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5</w:t>
      </w:r>
      <w:r>
        <w:rPr>
          <w:rFonts w:hint="default" w:ascii="Times New Roman" w:hAnsi="Times New Roman" w:cs="Times New Roman"/>
          <w:b/>
          <w:bCs/>
          <w:color w:val="auto"/>
          <w:sz w:val="28"/>
          <w:szCs w:val="28"/>
          <w:highlight w:val="none"/>
        </w:rPr>
        <w:t>具备履行合同所必需的设备和专业技术能力的证明材料</w:t>
      </w:r>
    </w:p>
    <w:p>
      <w:pPr>
        <w:spacing w:line="360" w:lineRule="auto"/>
        <w:ind w:firstLine="420" w:firstLineChars="200"/>
        <w:jc w:val="lef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根据资格条件要求提供相应材料。</w:t>
      </w: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eastAsia="宋体" w:cs="Times New Roman"/>
          <w:b/>
          <w:bCs/>
          <w:color w:val="auto"/>
          <w:sz w:val="28"/>
          <w:szCs w:val="28"/>
          <w:highlight w:val="none"/>
          <w:lang w:val="en-US" w:eastAsia="zh-CN"/>
        </w:rPr>
      </w:pP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6营业执照</w:t>
      </w:r>
    </w:p>
    <w:p>
      <w:pPr>
        <w:spacing w:line="360" w:lineRule="auto"/>
        <w:ind w:firstLine="420" w:firstLineChars="200"/>
        <w:jc w:val="lef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根据资格条件要求提供相应材料。</w:t>
      </w:r>
    </w:p>
    <w:p>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ascii="宋体" w:hAnsi="宋体" w:cs="宋体"/>
          <w:b/>
          <w:bCs/>
          <w:color w:val="auto"/>
          <w:sz w:val="36"/>
          <w:szCs w:val="36"/>
          <w:highlight w:val="none"/>
        </w:rPr>
        <w:br w:type="page"/>
      </w: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7</w:t>
      </w:r>
      <w:r>
        <w:rPr>
          <w:rFonts w:hint="default" w:ascii="Times New Roman" w:hAnsi="Times New Roman" w:cs="Times New Roman"/>
          <w:b/>
          <w:bCs/>
          <w:color w:val="auto"/>
          <w:sz w:val="28"/>
          <w:szCs w:val="28"/>
          <w:highlight w:val="none"/>
        </w:rPr>
        <w:t>参加本次政府采购活动前三年内在经营活动中</w:t>
      </w:r>
    </w:p>
    <w:p>
      <w:pPr>
        <w:snapToGrid w:val="0"/>
        <w:spacing w:after="0"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color w:val="auto"/>
          <w:highlight w:val="none"/>
        </w:rPr>
      </w:pPr>
      <w:r>
        <w:rPr>
          <w:rFonts w:hint="eastAsia"/>
          <w:color w:val="auto"/>
          <w:highlight w:val="none"/>
        </w:rPr>
        <w:t>致________（采购人或采购代理机构）：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我单位在参加本次采购活动前三年内在经营活动中没有《政府采购法》第二十二条第一款第（五）项所称重大违法记录，包括：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我单位未因经营活动中的违法行为受到刑事处罚或者责令停产停业、吊销许可证或者执照、较大数额罚款等行政处罚。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特此声明！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（请投标人根据实际情况如实声明，否则视为提供虚假材料。）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投标人</w:t>
      </w:r>
      <w:r>
        <w:rPr>
          <w:color w:val="auto"/>
          <w:highlight w:val="none"/>
        </w:rPr>
        <w:t>（全称并加盖公章</w:t>
      </w:r>
      <w:r>
        <w:rPr>
          <w:rFonts w:hint="eastAsia"/>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 xml:space="preserve">投标人代表（签字或盖章）：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 xml:space="preserve">日期：                                 </w:t>
      </w:r>
    </w:p>
    <w:p>
      <w:pPr>
        <w:widowControl/>
        <w:spacing w:after="0" w:line="240" w:lineRule="auto"/>
        <w:jc w:val="center"/>
        <w:rPr>
          <w:rFonts w:ascii="宋体" w:hAnsi="宋体" w:cs="宋体"/>
          <w:b/>
          <w:bCs/>
          <w:color w:val="auto"/>
          <w:sz w:val="28"/>
          <w:szCs w:val="28"/>
          <w:highlight w:val="none"/>
        </w:rPr>
      </w:pPr>
      <w:r>
        <w:rPr>
          <w:rFonts w:hAnsi="宋体" w:cs="宋体"/>
          <w:color w:val="auto"/>
          <w:sz w:val="21"/>
          <w:szCs w:val="21"/>
          <w:highlight w:val="none"/>
        </w:rPr>
        <w:br w:type="page"/>
      </w: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8</w:t>
      </w:r>
      <w:r>
        <w:rPr>
          <w:rFonts w:hint="default" w:ascii="Times New Roman" w:hAnsi="Times New Roman" w:cs="Times New Roman"/>
          <w:b/>
          <w:bCs/>
          <w:color w:val="auto"/>
          <w:sz w:val="28"/>
          <w:szCs w:val="28"/>
          <w:highlight w:val="none"/>
        </w:rPr>
        <w:t>具备法律、行政法规规定的其他条件的证明材料</w:t>
      </w:r>
    </w:p>
    <w:p>
      <w:pPr>
        <w:spacing w:line="360" w:lineRule="auto"/>
        <w:jc w:val="left"/>
        <w:rPr>
          <w:rFonts w:hint="default" w:ascii="宋体" w:hAnsi="宋体" w:eastAsia="宋体"/>
          <w:color w:val="auto"/>
          <w:kern w:val="0"/>
          <w:sz w:val="21"/>
          <w:szCs w:val="21"/>
          <w:highlight w:val="none"/>
          <w:lang w:val="en-US" w:eastAsia="zh-CN"/>
        </w:rPr>
      </w:pPr>
      <w:r>
        <w:rPr>
          <w:rFonts w:hint="eastAsia" w:ascii="宋体" w:hAnsi="宋体"/>
          <w:color w:val="auto"/>
          <w:kern w:val="0"/>
          <w:sz w:val="21"/>
          <w:szCs w:val="21"/>
          <w:highlight w:val="none"/>
        </w:rPr>
        <w:t>根据资格条件要求提供相应材料</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lang w:val="en-US" w:eastAsia="zh-CN"/>
        </w:rPr>
        <w:t>如营业执照等。</w:t>
      </w:r>
    </w:p>
    <w:p>
      <w:pPr>
        <w:widowControl/>
        <w:spacing w:after="0" w:line="240" w:lineRule="auto"/>
        <w:jc w:val="center"/>
        <w:rPr>
          <w:rFonts w:hint="default" w:ascii="Times New Roman" w:hAnsi="Times New Roman" w:cs="Times New Roman"/>
          <w:b/>
          <w:bCs/>
          <w:color w:val="auto"/>
          <w:sz w:val="28"/>
          <w:szCs w:val="28"/>
          <w:highlight w:val="none"/>
        </w:rPr>
      </w:pPr>
      <w:r>
        <w:rPr>
          <w:rFonts w:ascii="宋体" w:hAnsi="宋体" w:cs="宋体"/>
          <w:b/>
          <w:bCs/>
          <w:color w:val="auto"/>
          <w:sz w:val="36"/>
          <w:szCs w:val="36"/>
          <w:highlight w:val="none"/>
        </w:rPr>
        <w:br w:type="page"/>
      </w: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9</w:t>
      </w:r>
      <w:r>
        <w:rPr>
          <w:rFonts w:hint="default" w:ascii="Times New Roman" w:hAnsi="Times New Roman" w:cs="Times New Roman"/>
          <w:b/>
          <w:bCs/>
          <w:color w:val="auto"/>
          <w:sz w:val="28"/>
          <w:szCs w:val="28"/>
          <w:highlight w:val="none"/>
        </w:rPr>
        <w:t>联合体协议（若有）</w:t>
      </w:r>
    </w:p>
    <w:p>
      <w:pPr>
        <w:pStyle w:val="12"/>
        <w:topLinePunct/>
        <w:autoSpaceDE w:val="0"/>
        <w:autoSpaceDN w:val="0"/>
        <w:snapToGrid w:val="0"/>
        <w:spacing w:line="360" w:lineRule="auto"/>
        <w:jc w:val="center"/>
        <w:rPr>
          <w:rFonts w:hAnsi="宋体" w:cs="宋体"/>
          <w:b/>
          <w:color w:val="auto"/>
          <w:w w:val="150"/>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致________（采购人或采购代理机构）：</w:t>
      </w:r>
    </w:p>
    <w:p>
      <w:pPr>
        <w:spacing w:after="0"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经研究，我方决定自愿组成联合体共同参加____________(项目名称、项目编号)项目的投标。现就联合体投标事宜订立如下协议：</w:t>
      </w:r>
    </w:p>
    <w:p>
      <w:pPr>
        <w:spacing w:after="0"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一、联合体成员：</w:t>
      </w:r>
    </w:p>
    <w:p>
      <w:pPr>
        <w:spacing w:after="0"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1.____________________</w:t>
      </w:r>
    </w:p>
    <w:p>
      <w:pPr>
        <w:spacing w:after="0"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2.____________________</w:t>
      </w:r>
    </w:p>
    <w:p>
      <w:pPr>
        <w:spacing w:after="0"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3.____________________</w:t>
      </w:r>
    </w:p>
    <w:p>
      <w:pPr>
        <w:spacing w:after="0" w:line="360" w:lineRule="auto"/>
        <w:ind w:firstLine="420" w:firstLineChars="200"/>
        <w:rPr>
          <w:rFonts w:ascii="宋体" w:hAnsi="宋体" w:eastAsia="宋体"/>
          <w:color w:val="auto"/>
          <w:sz w:val="21"/>
          <w:szCs w:val="21"/>
          <w:highlight w:val="none"/>
        </w:rPr>
      </w:pPr>
      <w:r>
        <w:rPr>
          <w:rFonts w:hint="default" w:ascii="Times New Roman" w:hAnsi="Times New Roman" w:eastAsia="宋体" w:cs="Times New Roman"/>
          <w:color w:val="auto"/>
          <w:sz w:val="21"/>
          <w:szCs w:val="21"/>
          <w:highlight w:val="none"/>
        </w:rPr>
        <w:t>二、____________(某成员单位名称)为____________(联合</w:t>
      </w:r>
      <w:r>
        <w:rPr>
          <w:rFonts w:hint="eastAsia" w:ascii="宋体" w:hAnsi="宋体" w:eastAsia="宋体"/>
          <w:color w:val="auto"/>
          <w:sz w:val="21"/>
          <w:szCs w:val="21"/>
          <w:highlight w:val="none"/>
        </w:rPr>
        <w:t>体名称)牵头人。</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三、联合体牵头人合法代表联合体各成员负责本项目投标文件编制活动，代表联合体提交和接收相关的资料、信息及指示，并处理与投标有关的一切事务；联合体中标后，联合体牵头人负责合同订立和实施阶段的主办、组织和协调工作。</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四、联合体将严格按照招标文件的各项要求，递交投标文件，参加投标，履行中标义务和中标后的合同，并向采购人承担连带责任。</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五、联合体各成员单位内部的职责分工如下：____________。按照本条上述分工，联合体成员单位各自所承担的合同工作量比例如下：____________。</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六、本协议书自签署之日起生效，合同履行完毕后自动失效。</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七、本协议书一式______份，联合体成员和采购人各执一份。</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牵头人名称(公章)：____________</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法定代表人或其授权代表(签字或盖章)：____________</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成员名称(公章)：____________</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法定代表人或其授权代表(签字或盖章)：____________</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jc w:val="right"/>
        <w:rPr>
          <w:rFonts w:ascii="宋体" w:hAnsi="宋体" w:eastAsia="宋体"/>
          <w:color w:val="auto"/>
          <w:sz w:val="21"/>
          <w:szCs w:val="21"/>
          <w:highlight w:val="none"/>
        </w:rPr>
      </w:pPr>
      <w:r>
        <w:rPr>
          <w:rFonts w:hint="eastAsia" w:ascii="宋体" w:hAnsi="宋体" w:eastAsia="宋体"/>
          <w:color w:val="auto"/>
          <w:sz w:val="21"/>
          <w:szCs w:val="21"/>
          <w:highlight w:val="none"/>
        </w:rPr>
        <w:t>______年____月____日</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备注：本协议书由授权代表签字的，应附法定代表人签字的授权委托书。</w:t>
      </w:r>
    </w:p>
    <w:p>
      <w:pPr>
        <w:widowControl/>
        <w:spacing w:after="0" w:line="240" w:lineRule="auto"/>
        <w:jc w:val="center"/>
        <w:rPr>
          <w:rFonts w:hint="default" w:ascii="Times New Roman" w:hAnsi="Times New Roman" w:cs="Times New Roman"/>
          <w:b/>
          <w:bCs/>
          <w:color w:val="auto"/>
          <w:sz w:val="28"/>
          <w:szCs w:val="28"/>
          <w:highlight w:val="none"/>
        </w:rPr>
      </w:pPr>
      <w:r>
        <w:rPr>
          <w:rFonts w:hAnsi="宋体" w:cs="宋体"/>
          <w:color w:val="auto"/>
          <w:sz w:val="21"/>
          <w:szCs w:val="21"/>
          <w:highlight w:val="none"/>
        </w:rPr>
        <w:br w:type="page"/>
      </w: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10</w:t>
      </w:r>
      <w:r>
        <w:rPr>
          <w:rFonts w:hint="default" w:ascii="Times New Roman" w:hAnsi="Times New Roman" w:cs="Times New Roman"/>
          <w:b/>
          <w:bCs/>
          <w:color w:val="auto"/>
          <w:sz w:val="28"/>
          <w:szCs w:val="28"/>
          <w:highlight w:val="none"/>
        </w:rPr>
        <w:t>其他资格证明文件（若有）</w:t>
      </w:r>
    </w:p>
    <w:p>
      <w:pPr>
        <w:rPr>
          <w:color w:val="auto"/>
          <w:highlight w:val="none"/>
        </w:rPr>
      </w:pPr>
    </w:p>
    <w:p>
      <w:pPr>
        <w:spacing w:line="360" w:lineRule="auto"/>
        <w:ind w:firstLine="420" w:firstLineChars="200"/>
        <w:jc w:val="left"/>
        <w:rPr>
          <w:rFonts w:ascii="宋体" w:hAnsi="宋体"/>
          <w:color w:val="auto"/>
          <w:kern w:val="0"/>
          <w:sz w:val="21"/>
          <w:szCs w:val="21"/>
          <w:highlight w:val="none"/>
        </w:rPr>
      </w:pPr>
      <w:r>
        <w:rPr>
          <w:rFonts w:hint="eastAsia" w:ascii="宋体" w:hAnsi="宋体"/>
          <w:color w:val="auto"/>
          <w:kern w:val="0"/>
          <w:sz w:val="21"/>
          <w:szCs w:val="21"/>
          <w:highlight w:val="none"/>
        </w:rPr>
        <w:t>根据资格条件要求提供相应材料。</w:t>
      </w:r>
    </w:p>
    <w:p>
      <w:pPr>
        <w:rPr>
          <w:rFonts w:ascii="宋体" w:hAnsi="宋体" w:cs="宋体"/>
          <w:color w:val="auto"/>
          <w:sz w:val="24"/>
          <w:highlight w:val="none"/>
        </w:rPr>
      </w:pPr>
    </w:p>
    <w:p>
      <w:pPr>
        <w:snapToGrid w:val="0"/>
        <w:spacing w:after="0" w:line="360" w:lineRule="auto"/>
        <w:jc w:val="center"/>
        <w:rPr>
          <w:rFonts w:ascii="宋体" w:hAnsi="宋体" w:cs="宋体"/>
          <w:b/>
          <w:bCs/>
          <w:color w:val="auto"/>
          <w:sz w:val="28"/>
          <w:szCs w:val="28"/>
          <w:highlight w:val="none"/>
        </w:rPr>
      </w:pPr>
      <w:r>
        <w:rPr>
          <w:rFonts w:hint="eastAsia" w:ascii="宋体" w:hAnsi="宋体" w:cs="宋体"/>
          <w:b/>
          <w:bCs/>
          <w:color w:val="auto"/>
          <w:sz w:val="36"/>
          <w:szCs w:val="36"/>
          <w:highlight w:val="none"/>
        </w:rPr>
        <w:br w:type="page"/>
      </w:r>
      <w:r>
        <w:rPr>
          <w:rFonts w:hint="eastAsia" w:ascii="宋体" w:hAnsi="宋体" w:cs="宋体"/>
          <w:b/>
          <w:bCs/>
          <w:color w:val="auto"/>
          <w:sz w:val="28"/>
          <w:szCs w:val="28"/>
          <w:highlight w:val="none"/>
        </w:rPr>
        <w:t>格式6  中小企业声明函</w:t>
      </w:r>
    </w:p>
    <w:p>
      <w:pPr>
        <w:topLinePunct/>
        <w:autoSpaceDE w:val="0"/>
        <w:autoSpaceDN w:val="0"/>
        <w:spacing w:line="46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中小企业声明函（货物）</w:t>
      </w:r>
    </w:p>
    <w:p>
      <w:pPr>
        <w:rPr>
          <w:color w:val="auto"/>
          <w:highlight w:val="none"/>
        </w:rPr>
      </w:pPr>
    </w:p>
    <w:p>
      <w:pPr>
        <w:pStyle w:val="12"/>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本公司（联合体）郑重声明，根据《政府采购促进中小企业发展管理办法》（财库﹝2020﹞46 号）的规定，本公司（联合体）参加</w:t>
      </w:r>
      <w:r>
        <w:rPr>
          <w:rFonts w:hint="default" w:ascii="Times New Roman" w:hAnsi="Times New Roman" w:cs="Times New Roman"/>
          <w:i/>
          <w:iCs/>
          <w:color w:val="auto"/>
          <w:sz w:val="21"/>
          <w:szCs w:val="21"/>
          <w:highlight w:val="none"/>
          <w:u w:val="single"/>
        </w:rPr>
        <w:t>（单位名称）</w:t>
      </w:r>
      <w:r>
        <w:rPr>
          <w:rFonts w:hint="default" w:ascii="Times New Roman" w:hAnsi="Times New Roman" w:cs="Times New Roman"/>
          <w:color w:val="auto"/>
          <w:sz w:val="21"/>
          <w:szCs w:val="21"/>
          <w:highlight w:val="none"/>
        </w:rPr>
        <w:t>的</w:t>
      </w:r>
      <w:r>
        <w:rPr>
          <w:rFonts w:hint="default" w:ascii="Times New Roman" w:hAnsi="Times New Roman" w:cs="Times New Roman"/>
          <w:i/>
          <w:iCs/>
          <w:color w:val="auto"/>
          <w:sz w:val="21"/>
          <w:szCs w:val="21"/>
          <w:highlight w:val="none"/>
          <w:u w:val="single"/>
        </w:rPr>
        <w:t>（项目名称）</w:t>
      </w:r>
      <w:r>
        <w:rPr>
          <w:rFonts w:hint="default" w:ascii="Times New Roman" w:hAnsi="Times New Roman" w:cs="Times New Roman"/>
          <w:color w:val="auto"/>
          <w:sz w:val="21"/>
          <w:szCs w:val="21"/>
          <w:highlight w:val="none"/>
        </w:rPr>
        <w:t>采购活动，提供的货物全部由符合政策要求的中小企业制造。相关企业（含联合体中的中小企业、签订分包意向协议的中小企业）的具体情况如下：</w:t>
      </w:r>
    </w:p>
    <w:p>
      <w:pPr>
        <w:pStyle w:val="12"/>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1. </w:t>
      </w:r>
      <w:r>
        <w:rPr>
          <w:rFonts w:hint="default" w:ascii="Times New Roman" w:hAnsi="Times New Roman" w:cs="Times New Roman"/>
          <w:i/>
          <w:iCs/>
          <w:color w:val="auto"/>
          <w:sz w:val="21"/>
          <w:szCs w:val="21"/>
          <w:highlight w:val="none"/>
          <w:u w:val="single"/>
        </w:rPr>
        <w:t xml:space="preserve">（标的名称） </w:t>
      </w:r>
      <w:r>
        <w:rPr>
          <w:rFonts w:hint="default" w:ascii="Times New Roman" w:hAnsi="Times New Roman" w:cs="Times New Roman"/>
          <w:color w:val="auto"/>
          <w:sz w:val="21"/>
          <w:szCs w:val="21"/>
          <w:highlight w:val="none"/>
        </w:rPr>
        <w:t>，属于</w:t>
      </w:r>
      <w:r>
        <w:rPr>
          <w:rFonts w:hint="default" w:ascii="Times New Roman" w:hAnsi="Times New Roman" w:cs="Times New Roman"/>
          <w:i/>
          <w:iCs/>
          <w:color w:val="auto"/>
          <w:sz w:val="21"/>
          <w:szCs w:val="21"/>
          <w:highlight w:val="none"/>
          <w:u w:val="single"/>
        </w:rPr>
        <w:t>（采购文件中明确的所属行业）</w:t>
      </w:r>
      <w:r>
        <w:rPr>
          <w:rFonts w:hint="default" w:ascii="Times New Roman" w:hAnsi="Times New Roman" w:cs="Times New Roman"/>
          <w:color w:val="auto"/>
          <w:sz w:val="21"/>
          <w:szCs w:val="21"/>
          <w:highlight w:val="none"/>
        </w:rPr>
        <w:t>行业；制造商为</w:t>
      </w:r>
      <w:r>
        <w:rPr>
          <w:rFonts w:hint="default" w:ascii="Times New Roman" w:hAnsi="Times New Roman" w:cs="Times New Roman"/>
          <w:i/>
          <w:iCs/>
          <w:color w:val="auto"/>
          <w:sz w:val="21"/>
          <w:szCs w:val="21"/>
          <w:highlight w:val="none"/>
          <w:u w:val="single"/>
        </w:rPr>
        <w:t>（企业名称）</w:t>
      </w:r>
      <w:r>
        <w:rPr>
          <w:rFonts w:hint="default" w:ascii="Times New Roman" w:hAnsi="Times New Roman" w:cs="Times New Roman"/>
          <w:color w:val="auto"/>
          <w:sz w:val="21"/>
          <w:szCs w:val="21"/>
          <w:highlight w:val="none"/>
        </w:rPr>
        <w:t>，从业人员</w:t>
      </w:r>
      <w:r>
        <w:rPr>
          <w:rFonts w:hint="default" w:ascii="Times New Roman" w:hAnsi="Times New Roman" w:cs="Times New Roman"/>
          <w:color w:val="auto"/>
          <w:sz w:val="21"/>
          <w:szCs w:val="21"/>
          <w:highlight w:val="none"/>
          <w:u w:val="single"/>
        </w:rPr>
        <w:tab/>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人，营业收入为</w:t>
      </w:r>
      <w:r>
        <w:rPr>
          <w:rFonts w:hint="default" w:ascii="Times New Roman" w:hAnsi="Times New Roman" w:cs="Times New Roman"/>
          <w:color w:val="auto"/>
          <w:sz w:val="21"/>
          <w:szCs w:val="21"/>
          <w:highlight w:val="none"/>
          <w:u w:val="single"/>
        </w:rPr>
        <w:tab/>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万元，资产总额为</w:t>
      </w:r>
      <w:r>
        <w:rPr>
          <w:rFonts w:hint="default" w:ascii="Times New Roman" w:hAnsi="Times New Roman" w:cs="Times New Roman"/>
          <w:color w:val="auto"/>
          <w:sz w:val="21"/>
          <w:szCs w:val="21"/>
          <w:highlight w:val="none"/>
          <w:u w:val="single"/>
        </w:rPr>
        <w:tab/>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万元</w:t>
      </w:r>
      <w:r>
        <w:rPr>
          <w:rFonts w:hint="default" w:ascii="Times New Roman" w:hAnsi="Times New Roman" w:cs="Times New Roman"/>
          <w:color w:val="auto"/>
          <w:sz w:val="21"/>
          <w:szCs w:val="21"/>
          <w:highlight w:val="none"/>
          <w:vertAlign w:val="superscript"/>
        </w:rPr>
        <w:t>1</w:t>
      </w:r>
      <w:r>
        <w:rPr>
          <w:rFonts w:hint="default" w:ascii="Times New Roman" w:hAnsi="Times New Roman" w:cs="Times New Roman"/>
          <w:color w:val="auto"/>
          <w:sz w:val="21"/>
          <w:szCs w:val="21"/>
          <w:highlight w:val="none"/>
        </w:rPr>
        <w:t>，属于</w:t>
      </w:r>
      <w:r>
        <w:rPr>
          <w:rFonts w:hint="default" w:ascii="Times New Roman" w:hAnsi="Times New Roman" w:cs="Times New Roman"/>
          <w:i/>
          <w:iCs/>
          <w:color w:val="auto"/>
          <w:sz w:val="21"/>
          <w:szCs w:val="21"/>
          <w:highlight w:val="none"/>
          <w:u w:val="single"/>
        </w:rPr>
        <w:t>（中型企业、小型企业、微型企业）</w:t>
      </w:r>
      <w:r>
        <w:rPr>
          <w:rFonts w:hint="default" w:ascii="Times New Roman" w:hAnsi="Times New Roman" w:cs="Times New Roman"/>
          <w:color w:val="auto"/>
          <w:sz w:val="21"/>
          <w:szCs w:val="21"/>
          <w:highlight w:val="none"/>
        </w:rPr>
        <w:t xml:space="preserve">； </w:t>
      </w:r>
    </w:p>
    <w:p>
      <w:pPr>
        <w:pStyle w:val="12"/>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2. </w:t>
      </w:r>
      <w:r>
        <w:rPr>
          <w:rFonts w:hint="default" w:ascii="Times New Roman" w:hAnsi="Times New Roman" w:cs="Times New Roman"/>
          <w:i/>
          <w:iCs/>
          <w:color w:val="auto"/>
          <w:sz w:val="21"/>
          <w:szCs w:val="21"/>
          <w:highlight w:val="none"/>
          <w:u w:val="single"/>
        </w:rPr>
        <w:t>（标的名称）</w:t>
      </w:r>
      <w:r>
        <w:rPr>
          <w:rFonts w:hint="default" w:ascii="Times New Roman" w:hAnsi="Times New Roman" w:cs="Times New Roman"/>
          <w:color w:val="auto"/>
          <w:sz w:val="21"/>
          <w:szCs w:val="21"/>
          <w:highlight w:val="none"/>
        </w:rPr>
        <w:t>，属于</w:t>
      </w:r>
      <w:r>
        <w:rPr>
          <w:rFonts w:hint="default" w:ascii="Times New Roman" w:hAnsi="Times New Roman" w:cs="Times New Roman"/>
          <w:i/>
          <w:iCs/>
          <w:color w:val="auto"/>
          <w:sz w:val="21"/>
          <w:szCs w:val="21"/>
          <w:highlight w:val="none"/>
          <w:u w:val="single"/>
        </w:rPr>
        <w:t>（采购文件中明确的所属行业）</w:t>
      </w:r>
      <w:r>
        <w:rPr>
          <w:rFonts w:hint="default" w:ascii="Times New Roman" w:hAnsi="Times New Roman" w:cs="Times New Roman"/>
          <w:color w:val="auto"/>
          <w:sz w:val="21"/>
          <w:szCs w:val="21"/>
          <w:highlight w:val="none"/>
        </w:rPr>
        <w:t>行业；制造商为</w:t>
      </w:r>
      <w:r>
        <w:rPr>
          <w:rFonts w:hint="default" w:ascii="Times New Roman" w:hAnsi="Times New Roman" w:cs="Times New Roman"/>
          <w:i/>
          <w:iCs/>
          <w:color w:val="auto"/>
          <w:sz w:val="21"/>
          <w:szCs w:val="21"/>
          <w:highlight w:val="none"/>
          <w:u w:val="single"/>
        </w:rPr>
        <w:t>（企业名称）</w:t>
      </w:r>
      <w:r>
        <w:rPr>
          <w:rFonts w:hint="default" w:ascii="Times New Roman" w:hAnsi="Times New Roman" w:cs="Times New Roman"/>
          <w:color w:val="auto"/>
          <w:sz w:val="21"/>
          <w:szCs w:val="21"/>
          <w:highlight w:val="none"/>
        </w:rPr>
        <w:t>，从业人员</w:t>
      </w:r>
      <w:r>
        <w:rPr>
          <w:rFonts w:hint="default" w:ascii="Times New Roman" w:hAnsi="Times New Roman" w:cs="Times New Roman"/>
          <w:color w:val="auto"/>
          <w:sz w:val="21"/>
          <w:szCs w:val="21"/>
          <w:highlight w:val="none"/>
          <w:u w:val="single"/>
        </w:rPr>
        <w:tab/>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人，营业收入为</w:t>
      </w:r>
      <w:r>
        <w:rPr>
          <w:rFonts w:hint="default" w:ascii="Times New Roman" w:hAnsi="Times New Roman" w:cs="Times New Roman"/>
          <w:color w:val="auto"/>
          <w:sz w:val="21"/>
          <w:szCs w:val="21"/>
          <w:highlight w:val="none"/>
          <w:u w:val="single"/>
        </w:rPr>
        <w:tab/>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万元，资产总额为</w:t>
      </w:r>
      <w:r>
        <w:rPr>
          <w:rFonts w:hint="default" w:ascii="Times New Roman" w:hAnsi="Times New Roman" w:cs="Times New Roman"/>
          <w:color w:val="auto"/>
          <w:sz w:val="21"/>
          <w:szCs w:val="21"/>
          <w:highlight w:val="none"/>
          <w:u w:val="single"/>
        </w:rPr>
        <w:tab/>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万元</w:t>
      </w:r>
      <w:r>
        <w:rPr>
          <w:rFonts w:hint="default" w:ascii="Times New Roman" w:hAnsi="Times New Roman" w:cs="Times New Roman"/>
          <w:color w:val="auto"/>
          <w:sz w:val="21"/>
          <w:szCs w:val="21"/>
          <w:highlight w:val="none"/>
          <w:vertAlign w:val="superscript"/>
        </w:rPr>
        <w:t>1</w:t>
      </w:r>
      <w:r>
        <w:rPr>
          <w:rFonts w:hint="default" w:ascii="Times New Roman" w:hAnsi="Times New Roman" w:cs="Times New Roman"/>
          <w:color w:val="auto"/>
          <w:sz w:val="21"/>
          <w:szCs w:val="21"/>
          <w:highlight w:val="none"/>
        </w:rPr>
        <w:t>，属于</w:t>
      </w:r>
      <w:r>
        <w:rPr>
          <w:rFonts w:hint="default" w:ascii="Times New Roman" w:hAnsi="Times New Roman" w:cs="Times New Roman"/>
          <w:i/>
          <w:iCs/>
          <w:color w:val="auto"/>
          <w:sz w:val="21"/>
          <w:szCs w:val="21"/>
          <w:highlight w:val="none"/>
          <w:u w:val="single"/>
        </w:rPr>
        <w:t>（中型企业、小型企业、微型企业）</w:t>
      </w:r>
      <w:r>
        <w:rPr>
          <w:rFonts w:hint="default" w:ascii="Times New Roman" w:hAnsi="Times New Roman" w:cs="Times New Roman"/>
          <w:color w:val="auto"/>
          <w:sz w:val="21"/>
          <w:szCs w:val="21"/>
          <w:highlight w:val="none"/>
        </w:rPr>
        <w:t xml:space="preserve">； </w:t>
      </w:r>
    </w:p>
    <w:p>
      <w:pPr>
        <w:pStyle w:val="12"/>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p>
      <w:pPr>
        <w:widowControl/>
        <w:spacing w:after="0" w:line="360" w:lineRule="auto"/>
        <w:ind w:firstLine="420" w:firstLineChars="20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以上企业，不属于大企业的分支机构，不存在控股股东为大企业的情形，也不存在与大企业的负责人为同一人的情形。</w:t>
      </w:r>
    </w:p>
    <w:p>
      <w:pPr>
        <w:widowControl/>
        <w:spacing w:after="0" w:line="360" w:lineRule="auto"/>
        <w:ind w:firstLine="420" w:firstLineChars="20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 xml:space="preserve">本企业对上述声明内容的真实性负责。如有虚假，将依法承担相应责任。 </w:t>
      </w:r>
    </w:p>
    <w:p>
      <w:pPr>
        <w:widowControl/>
        <w:spacing w:after="0" w:line="360" w:lineRule="auto"/>
        <w:ind w:firstLine="1680" w:firstLineChars="800"/>
        <w:jc w:val="left"/>
        <w:rPr>
          <w:rFonts w:hint="default" w:ascii="Times New Roman" w:hAnsi="Times New Roman" w:cs="Times New Roman"/>
          <w:color w:val="auto"/>
          <w:kern w:val="0"/>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w:t>
      </w:r>
      <w:r>
        <w:rPr>
          <w:rFonts w:hint="default" w:ascii="Times New Roman" w:hAnsi="Times New Roman" w:cs="Times New Roman"/>
          <w:color w:val="auto"/>
          <w:kern w:val="0"/>
          <w:sz w:val="21"/>
          <w:szCs w:val="21"/>
          <w:highlight w:val="none"/>
        </w:rPr>
        <w:t>（全称并加盖公章</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日期：</w:t>
      </w:r>
      <w:r>
        <w:rPr>
          <w:rFonts w:hint="default" w:ascii="Times New Roman" w:hAnsi="Times New Roman" w:cs="Times New Roman"/>
          <w:color w:val="auto"/>
          <w:sz w:val="21"/>
          <w:szCs w:val="21"/>
          <w:highlight w:val="none"/>
          <w:u w:val="single"/>
        </w:rPr>
        <w:t xml:space="preserve">                                 </w:t>
      </w:r>
    </w:p>
    <w:p>
      <w:pPr>
        <w:widowControl/>
        <w:ind w:firstLine="3120" w:firstLineChars="1300"/>
        <w:rPr>
          <w:rFonts w:ascii="宋体" w:hAnsi="宋体" w:cs="宋体"/>
          <w:color w:val="auto"/>
          <w:sz w:val="24"/>
          <w:highlight w:val="none"/>
        </w:rPr>
      </w:pPr>
    </w:p>
    <w:p>
      <w:pPr>
        <w:widowControl/>
        <w:rPr>
          <w:color w:val="auto"/>
          <w:highlight w:val="none"/>
        </w:rPr>
      </w:pPr>
    </w:p>
    <w:p>
      <w:pPr>
        <w:widowControl/>
        <w:jc w:val="left"/>
        <w:rPr>
          <w:color w:val="auto"/>
          <w:highlight w:val="none"/>
        </w:rPr>
      </w:pPr>
      <w:r>
        <w:rPr>
          <w:rFonts w:ascii="宋体" w:hAnsi="宋体" w:cs="宋体"/>
          <w:color w:val="auto"/>
          <w:kern w:val="0"/>
          <w:sz w:val="18"/>
          <w:szCs w:val="18"/>
          <w:highlight w:val="none"/>
        </w:rPr>
        <w:t xml:space="preserve">1 </w:t>
      </w:r>
      <w:r>
        <w:rPr>
          <w:rFonts w:hint="eastAsia" w:ascii="宋体" w:hAnsi="宋体" w:cs="宋体"/>
          <w:color w:val="auto"/>
          <w:kern w:val="0"/>
          <w:sz w:val="18"/>
          <w:szCs w:val="18"/>
          <w:highlight w:val="none"/>
        </w:rPr>
        <w:t>从业人员、营业收入、资产总额填报上一年度数据，无上一年度数据的新成立企业可不填报。</w:t>
      </w:r>
    </w:p>
    <w:p>
      <w:pPr>
        <w:widowControl/>
        <w:ind w:firstLine="540" w:firstLineChars="300"/>
        <w:jc w:val="left"/>
        <w:rPr>
          <w:rFonts w:ascii="宋体" w:hAnsi="宋体" w:cs="宋体"/>
          <w:color w:val="auto"/>
          <w:kern w:val="0"/>
          <w:sz w:val="18"/>
          <w:szCs w:val="18"/>
          <w:highlight w:val="none"/>
        </w:rPr>
      </w:pPr>
    </w:p>
    <w:p>
      <w:pPr>
        <w:pStyle w:val="12"/>
        <w:topLinePunct/>
        <w:autoSpaceDE w:val="0"/>
        <w:autoSpaceDN w:val="0"/>
        <w:spacing w:line="460" w:lineRule="exact"/>
        <w:jc w:val="center"/>
        <w:rPr>
          <w:rFonts w:hint="default" w:ascii="Times New Roman" w:hAnsi="Times New Roman" w:cs="Times New Roman"/>
          <w:b/>
          <w:bCs/>
          <w:color w:val="auto"/>
          <w:sz w:val="28"/>
          <w:szCs w:val="28"/>
          <w:highlight w:val="none"/>
        </w:rPr>
      </w:pPr>
      <w:r>
        <w:rPr>
          <w:rFonts w:hint="eastAsia"/>
          <w:color w:val="auto"/>
          <w:sz w:val="24"/>
          <w:highlight w:val="none"/>
        </w:rPr>
        <w:br w:type="page"/>
      </w:r>
      <w:r>
        <w:rPr>
          <w:rFonts w:hint="default" w:ascii="Times New Roman" w:hAnsi="Times New Roman" w:cs="Times New Roman"/>
          <w:b/>
          <w:bCs/>
          <w:color w:val="auto"/>
          <w:sz w:val="28"/>
          <w:szCs w:val="28"/>
          <w:highlight w:val="none"/>
        </w:rPr>
        <w:t>格式7  残疾人福利性单位声明函</w:t>
      </w:r>
    </w:p>
    <w:p>
      <w:pPr>
        <w:spacing w:line="588" w:lineRule="exact"/>
        <w:ind w:firstLine="444" w:firstLineChars="200"/>
        <w:rPr>
          <w:rFonts w:hint="default" w:ascii="Times New Roman" w:hAnsi="Times New Roman" w:cs="Times New Roman"/>
          <w:color w:val="auto"/>
          <w:spacing w:val="6"/>
          <w:sz w:val="21"/>
          <w:szCs w:val="21"/>
          <w:highlight w:val="none"/>
        </w:rPr>
      </w:pPr>
      <w:r>
        <w:rPr>
          <w:rFonts w:hint="default" w:ascii="Times New Roman" w:hAnsi="Times New Roman" w:cs="Times New Roman"/>
          <w:color w:val="auto"/>
          <w:spacing w:val="6"/>
          <w:sz w:val="21"/>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default" w:ascii="Times New Roman" w:hAnsi="Times New Roman" w:cs="Times New Roman"/>
          <w:color w:val="auto"/>
          <w:spacing w:val="6"/>
          <w:sz w:val="21"/>
          <w:szCs w:val="21"/>
          <w:highlight w:val="none"/>
        </w:rPr>
      </w:pPr>
      <w:r>
        <w:rPr>
          <w:rFonts w:hint="default" w:ascii="Times New Roman" w:hAnsi="Times New Roman" w:cs="Times New Roman"/>
          <w:color w:val="auto"/>
          <w:spacing w:val="6"/>
          <w:sz w:val="21"/>
          <w:szCs w:val="21"/>
          <w:highlight w:val="none"/>
        </w:rPr>
        <w:t>本单位对上述声明的真实性负责。如有虚假，将依法承担相应责任。</w:t>
      </w:r>
    </w:p>
    <w:p>
      <w:pPr>
        <w:spacing w:line="588" w:lineRule="exact"/>
        <w:ind w:firstLine="444" w:firstLineChars="200"/>
        <w:rPr>
          <w:rFonts w:hint="default" w:ascii="Times New Roman" w:hAnsi="Times New Roman" w:cs="Times New Roman"/>
          <w:color w:val="auto"/>
          <w:spacing w:val="6"/>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w:t>
      </w:r>
      <w:r>
        <w:rPr>
          <w:rFonts w:hint="default" w:ascii="Times New Roman" w:hAnsi="Times New Roman" w:cs="Times New Roman"/>
          <w:color w:val="auto"/>
          <w:kern w:val="0"/>
          <w:sz w:val="21"/>
          <w:szCs w:val="21"/>
          <w:highlight w:val="none"/>
        </w:rPr>
        <w:t>（全称并加盖公章</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日期：</w:t>
      </w:r>
      <w:r>
        <w:rPr>
          <w:rFonts w:hint="default" w:ascii="Times New Roman" w:hAnsi="Times New Roman" w:cs="Times New Roman"/>
          <w:color w:val="auto"/>
          <w:sz w:val="21"/>
          <w:szCs w:val="21"/>
          <w:highlight w:val="none"/>
          <w:u w:val="single"/>
        </w:rPr>
        <w:t xml:space="preserve">                                 </w:t>
      </w:r>
    </w:p>
    <w:p>
      <w:pPr>
        <w:topLinePunct/>
        <w:autoSpaceDE w:val="0"/>
        <w:autoSpaceDN w:val="0"/>
        <w:spacing w:line="460" w:lineRule="exact"/>
        <w:jc w:val="center"/>
        <w:rPr>
          <w:rFonts w:hint="default" w:ascii="Times New Roman" w:hAnsi="Times New Roman" w:cs="Times New Roman"/>
          <w:color w:val="auto"/>
          <w:spacing w:val="6"/>
          <w:sz w:val="21"/>
          <w:szCs w:val="21"/>
          <w:highlight w:val="none"/>
        </w:rPr>
      </w:pPr>
    </w:p>
    <w:p>
      <w:pPr>
        <w:rPr>
          <w:rFonts w:hAnsi="宋体" w:cs="宋体"/>
          <w:b/>
          <w:bCs/>
          <w:color w:val="auto"/>
          <w:sz w:val="28"/>
          <w:szCs w:val="28"/>
          <w:highlight w:val="none"/>
        </w:rPr>
      </w:pPr>
    </w:p>
    <w:p>
      <w:pPr>
        <w:pStyle w:val="24"/>
        <w:numPr>
          <w:ilvl w:val="0"/>
          <w:numId w:val="0"/>
        </w:numPr>
        <w:tabs>
          <w:tab w:val="left" w:pos="420"/>
        </w:tabs>
        <w:snapToGrid w:val="0"/>
        <w:spacing w:line="460" w:lineRule="atLeast"/>
        <w:jc w:val="center"/>
        <w:rPr>
          <w:rFonts w:hint="default" w:ascii="Times New Roman" w:hAnsi="Times New Roman" w:cs="Times New Roman"/>
          <w:b/>
          <w:bCs/>
          <w:color w:val="auto"/>
          <w:sz w:val="28"/>
          <w:szCs w:val="28"/>
          <w:highlight w:val="none"/>
        </w:rPr>
      </w:pPr>
      <w:bookmarkStart w:id="103" w:name="_Toc38030071"/>
      <w:bookmarkStart w:id="104" w:name="_Toc113393336"/>
      <w:bookmarkStart w:id="105" w:name="_Toc38030154"/>
      <w:bookmarkStart w:id="106" w:name="_Toc1652355655"/>
      <w:bookmarkStart w:id="107" w:name="_Toc386861148"/>
      <w:bookmarkStart w:id="108" w:name="_Toc1403531177"/>
      <w:r>
        <w:rPr>
          <w:rFonts w:hint="eastAsia" w:cs="宋体"/>
          <w:color w:val="auto"/>
          <w:kern w:val="2"/>
          <w:sz w:val="28"/>
          <w:szCs w:val="28"/>
          <w:highlight w:val="none"/>
        </w:rPr>
        <w:br w:type="page"/>
      </w:r>
      <w:bookmarkStart w:id="109" w:name="_Toc1615545750"/>
      <w:bookmarkStart w:id="110" w:name="_Toc681730266"/>
      <w:bookmarkStart w:id="111" w:name="_Toc1381122819"/>
      <w:bookmarkStart w:id="112" w:name="_Toc1749127877"/>
      <w:bookmarkStart w:id="113" w:name="_Toc598152851"/>
      <w:bookmarkStart w:id="114" w:name="_Toc220361175"/>
      <w:bookmarkStart w:id="115" w:name="_Toc680706022"/>
      <w:bookmarkStart w:id="116" w:name="_Toc1097421187"/>
      <w:bookmarkStart w:id="117" w:name="_Toc78504842"/>
      <w:r>
        <w:rPr>
          <w:rFonts w:hint="default" w:ascii="Times New Roman" w:hAnsi="Times New Roman" w:cs="Times New Roman"/>
          <w:b/>
          <w:bCs/>
          <w:color w:val="auto"/>
          <w:sz w:val="28"/>
          <w:szCs w:val="28"/>
          <w:highlight w:val="none"/>
        </w:rPr>
        <w:t>格式8 成功案例一览表</w:t>
      </w:r>
      <w:bookmarkEnd w:id="109"/>
      <w:bookmarkEnd w:id="110"/>
      <w:bookmarkEnd w:id="111"/>
      <w:bookmarkEnd w:id="112"/>
      <w:bookmarkEnd w:id="113"/>
      <w:bookmarkEnd w:id="114"/>
      <w:bookmarkEnd w:id="115"/>
      <w:bookmarkEnd w:id="116"/>
      <w:bookmarkEnd w:id="117"/>
    </w:p>
    <w:p>
      <w:pPr>
        <w:bidi w:val="0"/>
        <w:jc w:val="center"/>
        <w:rPr>
          <w:color w:val="auto"/>
          <w:highlight w:val="none"/>
        </w:rPr>
      </w:pPr>
    </w:p>
    <w:tbl>
      <w:tblPr>
        <w:tblStyle w:val="16"/>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19"/>
        <w:gridCol w:w="864"/>
        <w:gridCol w:w="707"/>
        <w:gridCol w:w="1221"/>
        <w:gridCol w:w="1161"/>
        <w:gridCol w:w="1065"/>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合同</w:t>
            </w:r>
          </w:p>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名称</w:t>
            </w: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合同</w:t>
            </w:r>
          </w:p>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甲方</w:t>
            </w:r>
          </w:p>
        </w:tc>
        <w:tc>
          <w:tcPr>
            <w:tcW w:w="70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合同时间</w:t>
            </w: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合同主要</w:t>
            </w:r>
          </w:p>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内容</w:t>
            </w: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用  户</w:t>
            </w:r>
          </w:p>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联系人</w:t>
            </w: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用户联</w:t>
            </w:r>
          </w:p>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系电话</w:t>
            </w: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r>
      <w:bookmarkEnd w:id="103"/>
      <w:bookmarkEnd w:id="104"/>
      <w:bookmarkEnd w:id="105"/>
      <w:bookmarkEnd w:id="106"/>
      <w:bookmarkEnd w:id="107"/>
      <w:bookmarkEnd w:id="108"/>
    </w:tbl>
    <w:p>
      <w:pPr>
        <w:pStyle w:val="12"/>
        <w:topLinePunct/>
        <w:autoSpaceDE w:val="0"/>
        <w:autoSpaceDN w:val="0"/>
        <w:spacing w:line="460" w:lineRule="exact"/>
        <w:jc w:val="center"/>
        <w:rPr>
          <w:rFonts w:hAnsi="宋体" w:cs="宋体"/>
          <w:b/>
          <w:bCs/>
          <w:color w:val="auto"/>
          <w:sz w:val="36"/>
          <w:szCs w:val="36"/>
          <w:highlight w:val="none"/>
        </w:rPr>
      </w:pPr>
    </w:p>
    <w:p>
      <w:pPr>
        <w:rPr>
          <w:rFonts w:hAnsi="宋体" w:cs="宋体"/>
          <w:b/>
          <w:bCs/>
          <w:color w:val="auto"/>
          <w:sz w:val="36"/>
          <w:szCs w:val="36"/>
          <w:highlight w:val="none"/>
        </w:rPr>
      </w:pPr>
      <w:r>
        <w:rPr>
          <w:rFonts w:hint="eastAsia" w:hAnsi="宋体" w:cs="宋体"/>
          <w:b/>
          <w:bCs/>
          <w:color w:val="auto"/>
          <w:sz w:val="36"/>
          <w:szCs w:val="36"/>
          <w:highlight w:val="none"/>
        </w:rPr>
        <w:br w:type="page"/>
      </w:r>
    </w:p>
    <w:p>
      <w:pPr>
        <w:spacing w:line="600" w:lineRule="auto"/>
        <w:jc w:val="center"/>
        <w:rPr>
          <w:rFonts w:ascii="宋体" w:hAnsi="宋体"/>
          <w:b/>
          <w:color w:val="auto"/>
          <w:kern w:val="0"/>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华文中宋" w:hAnsi="华文中宋" w:eastAsia="华文中宋" w:cs="华文中宋"/>
          <w:b w:val="0"/>
          <w:bCs/>
          <w:color w:val="auto"/>
          <w:kern w:val="0"/>
          <w:sz w:val="32"/>
          <w:szCs w:val="32"/>
          <w:highlight w:val="none"/>
        </w:rPr>
      </w:pPr>
      <w:r>
        <w:rPr>
          <w:rFonts w:hint="eastAsia" w:ascii="华文中宋" w:hAnsi="华文中宋" w:eastAsia="华文中宋" w:cs="华文中宋"/>
          <w:b w:val="0"/>
          <w:bCs/>
          <w:color w:val="auto"/>
          <w:kern w:val="0"/>
          <w:sz w:val="32"/>
          <w:szCs w:val="32"/>
          <w:highlight w:val="none"/>
        </w:rPr>
        <w:t>投  标  文  件</w:t>
      </w:r>
    </w:p>
    <w:p>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华文中宋" w:hAnsi="华文中宋" w:eastAsia="华文中宋" w:cs="华文中宋"/>
          <w:b w:val="0"/>
          <w:bCs/>
          <w:color w:val="auto"/>
          <w:kern w:val="0"/>
          <w:sz w:val="32"/>
          <w:szCs w:val="32"/>
          <w:highlight w:val="none"/>
        </w:rPr>
      </w:pPr>
      <w:r>
        <w:rPr>
          <w:rFonts w:hint="eastAsia" w:ascii="华文中宋" w:hAnsi="华文中宋" w:eastAsia="华文中宋" w:cs="华文中宋"/>
          <w:b w:val="0"/>
          <w:bCs/>
          <w:color w:val="auto"/>
          <w:kern w:val="0"/>
          <w:sz w:val="32"/>
          <w:szCs w:val="32"/>
          <w:highlight w:val="none"/>
        </w:rPr>
        <w:t>技术部分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（填写正本或副本）</w:t>
      </w:r>
    </w:p>
    <w:p>
      <w:pPr>
        <w:spacing w:line="360" w:lineRule="auto"/>
        <w:ind w:firstLine="480" w:firstLineChars="200"/>
        <w:jc w:val="center"/>
        <w:rPr>
          <w:rFonts w:hint="eastAsia" w:ascii="方正小标宋简体" w:hAnsi="方正小标宋简体" w:eastAsia="方正小标宋简体" w:cs="方正小标宋简体"/>
          <w:b w:val="0"/>
          <w:bCs/>
          <w:color w:val="auto"/>
          <w:kern w:val="0"/>
          <w:sz w:val="24"/>
          <w:szCs w:val="24"/>
          <w:highlight w:val="none"/>
        </w:rPr>
      </w:pPr>
    </w:p>
    <w:p>
      <w:pPr>
        <w:pStyle w:val="2"/>
        <w:rPr>
          <w:rFonts w:hint="eastAsia" w:ascii="方正小标宋简体" w:hAnsi="方正小标宋简体" w:eastAsia="方正小标宋简体" w:cs="方正小标宋简体"/>
          <w:b w:val="0"/>
          <w:bCs/>
          <w:color w:val="auto"/>
          <w:kern w:val="0"/>
          <w:sz w:val="24"/>
          <w:szCs w:val="24"/>
          <w:highlight w:val="none"/>
        </w:rPr>
      </w:pP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项目名称：</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项目编号：</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所投采购包：</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方正小标宋简体" w:hAnsi="方正小标宋简体" w:eastAsia="方正小标宋简体" w:cs="方正小标宋简体"/>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投标人：</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日  期：</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widowControl/>
        <w:spacing w:after="0" w:line="240" w:lineRule="auto"/>
        <w:jc w:val="center"/>
        <w:rPr>
          <w:rFonts w:ascii="宋体" w:hAnsi="宋体" w:cs="宋体"/>
          <w:b/>
          <w:bCs/>
          <w:color w:val="auto"/>
          <w:sz w:val="28"/>
          <w:szCs w:val="28"/>
          <w:highlight w:val="none"/>
        </w:rPr>
      </w:pPr>
      <w:r>
        <w:rPr>
          <w:rFonts w:ascii="宋体" w:hAnsi="宋体" w:cs="宋体"/>
          <w:b/>
          <w:bCs/>
          <w:color w:val="auto"/>
          <w:sz w:val="36"/>
          <w:szCs w:val="36"/>
          <w:highlight w:val="none"/>
        </w:rPr>
        <w:br w:type="page"/>
      </w:r>
      <w:r>
        <w:rPr>
          <w:rFonts w:hint="default" w:ascii="Times New Roman" w:hAnsi="Times New Roman" w:cs="Times New Roman"/>
          <w:b/>
          <w:bCs/>
          <w:color w:val="auto"/>
          <w:sz w:val="28"/>
          <w:szCs w:val="28"/>
          <w:highlight w:val="none"/>
        </w:rPr>
        <w:t>格式9 技术</w:t>
      </w:r>
      <w:r>
        <w:rPr>
          <w:rFonts w:hint="eastAsia" w:ascii="宋体" w:hAnsi="宋体" w:cs="宋体"/>
          <w:b/>
          <w:bCs/>
          <w:color w:val="auto"/>
          <w:sz w:val="28"/>
          <w:szCs w:val="28"/>
          <w:highlight w:val="none"/>
        </w:rPr>
        <w:t>条款偏离表</w:t>
      </w:r>
    </w:p>
    <w:tbl>
      <w:tblPr>
        <w:tblStyle w:val="16"/>
        <w:tblW w:w="89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8"/>
        <w:gridCol w:w="1516"/>
        <w:gridCol w:w="2116"/>
        <w:gridCol w:w="1684"/>
        <w:gridCol w:w="2090"/>
        <w:gridCol w:w="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1516" w:type="dxa"/>
            <w:noWrap/>
            <w:vAlign w:val="top"/>
          </w:tcPr>
          <w:p>
            <w:pPr>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招标文件</w:t>
            </w:r>
          </w:p>
          <w:p>
            <w:pPr>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技术部分序号</w:t>
            </w:r>
          </w:p>
        </w:tc>
        <w:tc>
          <w:tcPr>
            <w:tcW w:w="2116" w:type="dxa"/>
            <w:noWrap/>
            <w:vAlign w:val="center"/>
          </w:tcPr>
          <w:p>
            <w:pPr>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招标文件</w:t>
            </w:r>
          </w:p>
          <w:p>
            <w:pPr>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技术部分内容要求</w:t>
            </w:r>
          </w:p>
        </w:tc>
        <w:tc>
          <w:tcPr>
            <w:tcW w:w="1684" w:type="dxa"/>
            <w:noWrap/>
            <w:vAlign w:val="center"/>
          </w:tcPr>
          <w:p>
            <w:pPr>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投标文件</w:t>
            </w:r>
          </w:p>
          <w:p>
            <w:pPr>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应答情况</w:t>
            </w:r>
          </w:p>
        </w:tc>
        <w:tc>
          <w:tcPr>
            <w:tcW w:w="2090" w:type="dxa"/>
            <w:noWrap/>
            <w:vAlign w:val="center"/>
          </w:tcPr>
          <w:p>
            <w:pPr>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偏离（无/正/负）</w:t>
            </w:r>
          </w:p>
        </w:tc>
        <w:tc>
          <w:tcPr>
            <w:tcW w:w="639" w:type="dxa"/>
            <w:noWrap/>
            <w:vAlign w:val="center"/>
          </w:tcPr>
          <w:p>
            <w:pPr>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516" w:type="dxa"/>
            <w:noWrap/>
            <w:vAlign w:val="center"/>
          </w:tcPr>
          <w:p>
            <w:pPr>
              <w:adjustRightInd w:val="0"/>
              <w:snapToGrid w:val="0"/>
              <w:spacing w:after="0" w:line="240" w:lineRule="auto"/>
              <w:ind w:left="50" w:leftChars="24" w:right="55" w:rightChars="26"/>
              <w:jc w:val="center"/>
              <w:rPr>
                <w:rFonts w:hint="default" w:ascii="Times New Roman" w:hAnsi="Times New Roman" w:cs="Times New Roman"/>
                <w:color w:val="auto"/>
                <w:sz w:val="21"/>
                <w:szCs w:val="21"/>
                <w:highlight w:val="none"/>
              </w:rPr>
            </w:pPr>
          </w:p>
        </w:tc>
        <w:tc>
          <w:tcPr>
            <w:tcW w:w="2116" w:type="dxa"/>
            <w:noWrap/>
            <w:vAlign w:val="center"/>
          </w:tcPr>
          <w:p>
            <w:pPr>
              <w:adjustRightInd w:val="0"/>
              <w:snapToGrid w:val="0"/>
              <w:spacing w:after="0" w:line="240" w:lineRule="auto"/>
              <w:ind w:left="50" w:leftChars="24" w:right="55" w:rightChars="26"/>
              <w:jc w:val="center"/>
              <w:rPr>
                <w:rFonts w:hint="default" w:ascii="Times New Roman" w:hAnsi="Times New Roman" w:cs="Times New Roman"/>
                <w:color w:val="auto"/>
                <w:sz w:val="21"/>
                <w:szCs w:val="21"/>
                <w:highlight w:val="none"/>
              </w:rPr>
            </w:pPr>
          </w:p>
        </w:tc>
        <w:tc>
          <w:tcPr>
            <w:tcW w:w="1684"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2090"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639"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516" w:type="dxa"/>
            <w:noWrap/>
            <w:vAlign w:val="center"/>
          </w:tcPr>
          <w:p>
            <w:pPr>
              <w:adjustRightInd w:val="0"/>
              <w:snapToGrid w:val="0"/>
              <w:spacing w:after="0" w:line="240" w:lineRule="auto"/>
              <w:ind w:left="50" w:leftChars="24" w:right="55" w:rightChars="26"/>
              <w:jc w:val="center"/>
              <w:rPr>
                <w:rFonts w:hint="default" w:ascii="Times New Roman" w:hAnsi="Times New Roman" w:cs="Times New Roman"/>
                <w:color w:val="auto"/>
                <w:sz w:val="21"/>
                <w:szCs w:val="21"/>
                <w:highlight w:val="none"/>
              </w:rPr>
            </w:pPr>
          </w:p>
        </w:tc>
        <w:tc>
          <w:tcPr>
            <w:tcW w:w="2116" w:type="dxa"/>
            <w:noWrap/>
            <w:vAlign w:val="center"/>
          </w:tcPr>
          <w:p>
            <w:pPr>
              <w:adjustRightInd w:val="0"/>
              <w:snapToGrid w:val="0"/>
              <w:spacing w:after="0" w:line="240" w:lineRule="auto"/>
              <w:ind w:left="50" w:leftChars="24" w:right="55" w:rightChars="26"/>
              <w:jc w:val="center"/>
              <w:rPr>
                <w:rFonts w:hint="default" w:ascii="Times New Roman" w:hAnsi="Times New Roman" w:cs="Times New Roman"/>
                <w:color w:val="auto"/>
                <w:sz w:val="21"/>
                <w:szCs w:val="21"/>
                <w:highlight w:val="none"/>
              </w:rPr>
            </w:pPr>
          </w:p>
        </w:tc>
        <w:tc>
          <w:tcPr>
            <w:tcW w:w="1684"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2090"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639"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516" w:type="dxa"/>
            <w:noWrap/>
            <w:vAlign w:val="center"/>
          </w:tcPr>
          <w:p>
            <w:pPr>
              <w:adjustRightInd w:val="0"/>
              <w:snapToGrid w:val="0"/>
              <w:spacing w:after="0" w:line="240" w:lineRule="auto"/>
              <w:ind w:left="50" w:leftChars="24" w:right="55" w:rightChars="26"/>
              <w:jc w:val="center"/>
              <w:rPr>
                <w:rFonts w:hint="default" w:ascii="Times New Roman" w:hAnsi="Times New Roman" w:cs="Times New Roman"/>
                <w:color w:val="auto"/>
                <w:sz w:val="21"/>
                <w:szCs w:val="21"/>
                <w:highlight w:val="none"/>
              </w:rPr>
            </w:pPr>
          </w:p>
        </w:tc>
        <w:tc>
          <w:tcPr>
            <w:tcW w:w="2116" w:type="dxa"/>
            <w:noWrap/>
            <w:vAlign w:val="center"/>
          </w:tcPr>
          <w:p>
            <w:pPr>
              <w:adjustRightInd w:val="0"/>
              <w:snapToGrid w:val="0"/>
              <w:spacing w:after="0" w:line="240" w:lineRule="auto"/>
              <w:ind w:left="50" w:leftChars="24" w:right="55" w:rightChars="26"/>
              <w:jc w:val="center"/>
              <w:rPr>
                <w:rFonts w:hint="default" w:ascii="Times New Roman" w:hAnsi="Times New Roman" w:cs="Times New Roman"/>
                <w:color w:val="auto"/>
                <w:sz w:val="21"/>
                <w:szCs w:val="21"/>
                <w:highlight w:val="none"/>
              </w:rPr>
            </w:pPr>
          </w:p>
        </w:tc>
        <w:tc>
          <w:tcPr>
            <w:tcW w:w="1684"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2090"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639"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1516" w:type="dxa"/>
            <w:noWrap/>
            <w:vAlign w:val="center"/>
          </w:tcPr>
          <w:p>
            <w:pPr>
              <w:adjustRightInd w:val="0"/>
              <w:snapToGrid w:val="0"/>
              <w:spacing w:after="0" w:line="240" w:lineRule="auto"/>
              <w:ind w:left="50" w:leftChars="24" w:right="55" w:rightChars="26"/>
              <w:jc w:val="center"/>
              <w:rPr>
                <w:rFonts w:hint="default" w:ascii="Times New Roman" w:hAnsi="Times New Roman" w:cs="Times New Roman"/>
                <w:color w:val="auto"/>
                <w:sz w:val="21"/>
                <w:szCs w:val="21"/>
                <w:highlight w:val="none"/>
              </w:rPr>
            </w:pPr>
          </w:p>
        </w:tc>
        <w:tc>
          <w:tcPr>
            <w:tcW w:w="2116" w:type="dxa"/>
            <w:noWrap/>
            <w:vAlign w:val="center"/>
          </w:tcPr>
          <w:p>
            <w:pPr>
              <w:adjustRightInd w:val="0"/>
              <w:snapToGrid w:val="0"/>
              <w:spacing w:after="0" w:line="240" w:lineRule="auto"/>
              <w:ind w:left="50" w:leftChars="24" w:right="55" w:rightChars="26"/>
              <w:jc w:val="center"/>
              <w:rPr>
                <w:rFonts w:hint="default" w:ascii="Times New Roman" w:hAnsi="Times New Roman" w:cs="Times New Roman"/>
                <w:color w:val="auto"/>
                <w:sz w:val="21"/>
                <w:szCs w:val="21"/>
                <w:highlight w:val="none"/>
              </w:rPr>
            </w:pPr>
          </w:p>
        </w:tc>
        <w:tc>
          <w:tcPr>
            <w:tcW w:w="1684"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2090"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639"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c>
          <w:tcPr>
            <w:tcW w:w="1516"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2116"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684"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2090"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639"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516"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2116"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684"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2090"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639"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r>
    </w:tbl>
    <w:p>
      <w:pPr>
        <w:topLinePunct/>
        <w:autoSpaceDE w:val="0"/>
        <w:autoSpaceDN w:val="0"/>
        <w:spacing w:after="0" w:line="360" w:lineRule="auto"/>
        <w:rPr>
          <w:rFonts w:ascii="宋体" w:hAnsi="宋体" w:cs="宋体"/>
          <w:color w:val="auto"/>
          <w:szCs w:val="21"/>
          <w:highlight w:val="none"/>
        </w:rPr>
      </w:pPr>
      <w:r>
        <w:rPr>
          <w:rFonts w:hint="eastAsia" w:ascii="宋体" w:hAnsi="宋体" w:cs="宋体"/>
          <w:color w:val="auto"/>
          <w:szCs w:val="21"/>
          <w:highlight w:val="none"/>
        </w:rPr>
        <w:t>特别说明：</w:t>
      </w:r>
    </w:p>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1.按照《招标文件-技术部分》内容要求，一一对应填写。</w:t>
      </w:r>
    </w:p>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2.《招标文件-技术部分》内容须条对条应答，不得遗漏；如有遗漏，则视为无效应答。如无偏离，请在此表中填写“无偏离”。如有偏离，请在此表中应答为“正/负偏离”并说明偏离情况；</w:t>
      </w:r>
    </w:p>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3.如《招标文件-技术部分》中有标注★号的，则为实质性要求，必须满足，如应答为“负偏离”，将导致投标无效。</w:t>
      </w:r>
    </w:p>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p>
    <w:p>
      <w:pPr>
        <w:pStyle w:val="25"/>
        <w:spacing w:after="156"/>
        <w:ind w:firstLine="400"/>
        <w:rPr>
          <w:color w:val="auto"/>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ascii="宋体" w:hAnsi="宋体"/>
          <w:color w:val="auto"/>
          <w:kern w:val="0"/>
          <w:sz w:val="21"/>
          <w:szCs w:val="21"/>
          <w:highlight w:val="none"/>
        </w:rPr>
        <w:t>（全称并加盖公章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olor w:val="auto"/>
          <w:kern w:val="0"/>
          <w:sz w:val="21"/>
          <w:szCs w:val="21"/>
          <w:highlight w:val="none"/>
        </w:rPr>
        <w:t>投标人代表（签字或盖章）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p>
    <w:p>
      <w:pPr>
        <w:jc w:val="center"/>
        <w:rPr>
          <w:b/>
          <w:bCs/>
          <w:color w:val="auto"/>
          <w:sz w:val="36"/>
          <w:szCs w:val="36"/>
          <w:highlight w:val="none"/>
        </w:rPr>
      </w:pPr>
      <w:r>
        <w:rPr>
          <w:rFonts w:hint="eastAsia" w:hAnsi="宋体" w:cs="宋体"/>
          <w:color w:val="auto"/>
          <w:sz w:val="24"/>
          <w:highlight w:val="none"/>
        </w:rPr>
        <w:br w:type="page"/>
      </w:r>
      <w:r>
        <w:rPr>
          <w:rFonts w:hint="eastAsia" w:ascii="宋体" w:hAnsi="宋体" w:eastAsia="宋体"/>
          <w:b/>
          <w:bCs/>
          <w:color w:val="auto"/>
          <w:sz w:val="28"/>
          <w:szCs w:val="28"/>
          <w:highlight w:val="none"/>
        </w:rPr>
        <w:t>格式</w:t>
      </w:r>
      <w:r>
        <w:rPr>
          <w:rFonts w:hint="default" w:ascii="Times New Roman" w:hAnsi="Times New Roman" w:eastAsia="宋体" w:cs="Times New Roman"/>
          <w:b/>
          <w:bCs/>
          <w:color w:val="auto"/>
          <w:sz w:val="28"/>
          <w:szCs w:val="28"/>
          <w:highlight w:val="none"/>
        </w:rPr>
        <w:t>10</w:t>
      </w:r>
      <w:r>
        <w:rPr>
          <w:rFonts w:hint="eastAsia" w:ascii="宋体" w:hAnsi="宋体" w:eastAsia="宋体"/>
          <w:b/>
          <w:bCs/>
          <w:color w:val="auto"/>
          <w:sz w:val="28"/>
          <w:szCs w:val="28"/>
          <w:highlight w:val="none"/>
        </w:rPr>
        <w:t>货</w:t>
      </w:r>
      <w:r>
        <w:rPr>
          <w:rFonts w:hint="eastAsia"/>
          <w:b/>
          <w:bCs/>
          <w:color w:val="auto"/>
          <w:sz w:val="28"/>
          <w:szCs w:val="28"/>
          <w:highlight w:val="none"/>
        </w:rPr>
        <w:t>物说明一览表、实施方案</w:t>
      </w:r>
    </w:p>
    <w:p>
      <w:pPr>
        <w:spacing w:after="0" w:line="240" w:lineRule="auto"/>
        <w:ind w:firstLine="420" w:firstLineChars="200"/>
        <w:rPr>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0"/>
        <w:jc w:val="center"/>
        <w:textAlignment w:val="auto"/>
        <w:rPr>
          <w:rFonts w:ascii="宋体" w:hAnsi="宋体" w:cs="宋体"/>
          <w:b/>
          <w:bCs/>
          <w:color w:val="auto"/>
          <w:sz w:val="28"/>
          <w:szCs w:val="28"/>
          <w:highlight w:val="none"/>
        </w:rPr>
      </w:pPr>
      <w:r>
        <w:rPr>
          <w:rFonts w:hint="eastAsia" w:ascii="宋体" w:hAnsi="宋体" w:cs="宋体"/>
          <w:b/>
          <w:bCs/>
          <w:color w:val="auto"/>
          <w:sz w:val="28"/>
          <w:szCs w:val="28"/>
          <w:highlight w:val="none"/>
        </w:rPr>
        <w:t>货物说明一览表</w:t>
      </w:r>
    </w:p>
    <w:p>
      <w:pPr>
        <w:topLinePunct/>
        <w:autoSpaceDE w:val="0"/>
        <w:autoSpaceDN w:val="0"/>
        <w:adjustRightInd w:val="0"/>
        <w:snapToGrid w:val="0"/>
        <w:spacing w:after="0" w:line="360" w:lineRule="auto"/>
        <w:jc w:val="left"/>
        <w:rPr>
          <w:rFonts w:hint="eastAsia"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adjustRightInd w:val="0"/>
        <w:snapToGrid w:val="0"/>
        <w:spacing w:after="0" w:line="360" w:lineRule="auto"/>
        <w:ind w:right="840"/>
        <w:rPr>
          <w:rFonts w:ascii="宋体" w:hAnsi="宋体" w:cs="宋体"/>
          <w:bCs/>
          <w:color w:val="auto"/>
          <w:w w:val="150"/>
          <w:sz w:val="21"/>
          <w:szCs w:val="21"/>
          <w:highlight w:val="none"/>
        </w:rPr>
      </w:pPr>
      <w:r>
        <w:rPr>
          <w:rFonts w:hint="eastAsia" w:ascii="宋体" w:hAnsi="宋体" w:cs="宋体"/>
          <w:color w:val="auto"/>
          <w:sz w:val="21"/>
          <w:szCs w:val="21"/>
          <w:highlight w:val="none"/>
        </w:rPr>
        <w:t>采购包号：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价格单位：人民币   元</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290"/>
        <w:gridCol w:w="1510"/>
        <w:gridCol w:w="1290"/>
        <w:gridCol w:w="282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noWrap w:val="0"/>
            <w:vAlign w:val="center"/>
          </w:tcPr>
          <w:p>
            <w:pPr>
              <w:spacing w:after="0" w:line="360" w:lineRule="auto"/>
              <w:jc w:val="center"/>
              <w:rPr>
                <w:color w:val="auto"/>
                <w:sz w:val="21"/>
                <w:szCs w:val="21"/>
                <w:highlight w:val="none"/>
              </w:rPr>
            </w:pPr>
            <w:r>
              <w:rPr>
                <w:rFonts w:hint="eastAsia"/>
                <w:color w:val="auto"/>
                <w:sz w:val="21"/>
                <w:szCs w:val="21"/>
                <w:highlight w:val="none"/>
              </w:rPr>
              <w:t>序号</w:t>
            </w:r>
          </w:p>
        </w:tc>
        <w:tc>
          <w:tcPr>
            <w:tcW w:w="748" w:type="pct"/>
            <w:noWrap w:val="0"/>
            <w:vAlign w:val="center"/>
          </w:tcPr>
          <w:p>
            <w:pPr>
              <w:spacing w:after="0" w:line="360" w:lineRule="auto"/>
              <w:jc w:val="center"/>
              <w:rPr>
                <w:color w:val="auto"/>
                <w:sz w:val="21"/>
                <w:szCs w:val="21"/>
                <w:highlight w:val="none"/>
              </w:rPr>
            </w:pPr>
            <w:r>
              <w:rPr>
                <w:rFonts w:hint="eastAsia"/>
                <w:color w:val="auto"/>
                <w:sz w:val="21"/>
                <w:szCs w:val="21"/>
                <w:highlight w:val="none"/>
              </w:rPr>
              <w:t>货物名称</w:t>
            </w:r>
          </w:p>
        </w:tc>
        <w:tc>
          <w:tcPr>
            <w:tcW w:w="876" w:type="pct"/>
            <w:noWrap w:val="0"/>
            <w:vAlign w:val="center"/>
          </w:tcPr>
          <w:p>
            <w:pPr>
              <w:spacing w:after="0" w:line="360" w:lineRule="auto"/>
              <w:jc w:val="center"/>
              <w:rPr>
                <w:color w:val="auto"/>
                <w:sz w:val="21"/>
                <w:szCs w:val="21"/>
                <w:highlight w:val="none"/>
              </w:rPr>
            </w:pPr>
            <w:r>
              <w:rPr>
                <w:rFonts w:hint="eastAsia"/>
                <w:color w:val="auto"/>
                <w:sz w:val="21"/>
                <w:szCs w:val="21"/>
                <w:highlight w:val="none"/>
              </w:rPr>
              <w:t>制造商名称</w:t>
            </w:r>
          </w:p>
        </w:tc>
        <w:tc>
          <w:tcPr>
            <w:tcW w:w="748" w:type="pct"/>
            <w:noWrap w:val="0"/>
            <w:vAlign w:val="center"/>
          </w:tcPr>
          <w:p>
            <w:pPr>
              <w:spacing w:after="0" w:line="360" w:lineRule="auto"/>
              <w:jc w:val="center"/>
              <w:rPr>
                <w:color w:val="auto"/>
                <w:sz w:val="21"/>
                <w:szCs w:val="21"/>
                <w:highlight w:val="none"/>
              </w:rPr>
            </w:pPr>
            <w:r>
              <w:rPr>
                <w:rFonts w:hint="eastAsia"/>
                <w:color w:val="auto"/>
                <w:sz w:val="21"/>
                <w:szCs w:val="21"/>
                <w:highlight w:val="none"/>
              </w:rPr>
              <w:t>型号规格</w:t>
            </w:r>
          </w:p>
        </w:tc>
        <w:tc>
          <w:tcPr>
            <w:tcW w:w="1640" w:type="pct"/>
            <w:noWrap w:val="0"/>
            <w:vAlign w:val="center"/>
          </w:tcPr>
          <w:p>
            <w:pPr>
              <w:spacing w:after="0" w:line="360" w:lineRule="auto"/>
              <w:jc w:val="center"/>
              <w:rPr>
                <w:color w:val="auto"/>
                <w:sz w:val="21"/>
                <w:szCs w:val="21"/>
                <w:highlight w:val="none"/>
              </w:rPr>
            </w:pPr>
            <w:r>
              <w:rPr>
                <w:rFonts w:hint="eastAsia"/>
                <w:color w:val="auto"/>
                <w:sz w:val="21"/>
                <w:szCs w:val="21"/>
                <w:highlight w:val="none"/>
              </w:rPr>
              <w:t>主要技术参数和技术指标</w:t>
            </w:r>
          </w:p>
        </w:tc>
        <w:tc>
          <w:tcPr>
            <w:tcW w:w="493" w:type="pct"/>
            <w:noWrap w:val="0"/>
            <w:vAlign w:val="center"/>
          </w:tcPr>
          <w:p>
            <w:pPr>
              <w:spacing w:after="0" w:line="360" w:lineRule="auto"/>
              <w:jc w:val="center"/>
              <w:rPr>
                <w:color w:val="auto"/>
                <w:sz w:val="21"/>
                <w:szCs w:val="21"/>
                <w:highlight w:val="none"/>
              </w:rPr>
            </w:pPr>
            <w:r>
              <w:rPr>
                <w:rFonts w:hint="eastAsia"/>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noWrap w:val="0"/>
            <w:vAlign w:val="center"/>
          </w:tcPr>
          <w:p>
            <w:pPr>
              <w:spacing w:after="0" w:line="360" w:lineRule="auto"/>
              <w:jc w:val="center"/>
              <w:rPr>
                <w:color w:val="auto"/>
                <w:sz w:val="21"/>
                <w:szCs w:val="21"/>
                <w:highlight w:val="none"/>
              </w:rPr>
            </w:pPr>
          </w:p>
        </w:tc>
        <w:tc>
          <w:tcPr>
            <w:tcW w:w="748" w:type="pct"/>
            <w:noWrap w:val="0"/>
            <w:vAlign w:val="center"/>
          </w:tcPr>
          <w:p>
            <w:pPr>
              <w:spacing w:after="0" w:line="360" w:lineRule="auto"/>
              <w:jc w:val="center"/>
              <w:rPr>
                <w:color w:val="auto"/>
                <w:sz w:val="21"/>
                <w:szCs w:val="21"/>
                <w:highlight w:val="none"/>
              </w:rPr>
            </w:pPr>
          </w:p>
        </w:tc>
        <w:tc>
          <w:tcPr>
            <w:tcW w:w="876" w:type="pct"/>
            <w:noWrap w:val="0"/>
            <w:vAlign w:val="center"/>
          </w:tcPr>
          <w:p>
            <w:pPr>
              <w:spacing w:after="0" w:line="360" w:lineRule="auto"/>
              <w:jc w:val="center"/>
              <w:rPr>
                <w:color w:val="auto"/>
                <w:sz w:val="21"/>
                <w:szCs w:val="21"/>
                <w:highlight w:val="none"/>
              </w:rPr>
            </w:pPr>
          </w:p>
        </w:tc>
        <w:tc>
          <w:tcPr>
            <w:tcW w:w="748" w:type="pct"/>
            <w:noWrap w:val="0"/>
            <w:vAlign w:val="center"/>
          </w:tcPr>
          <w:p>
            <w:pPr>
              <w:spacing w:after="0" w:line="360" w:lineRule="auto"/>
              <w:jc w:val="center"/>
              <w:rPr>
                <w:color w:val="auto"/>
                <w:sz w:val="21"/>
                <w:szCs w:val="21"/>
                <w:highlight w:val="none"/>
              </w:rPr>
            </w:pPr>
          </w:p>
        </w:tc>
        <w:tc>
          <w:tcPr>
            <w:tcW w:w="1640" w:type="pct"/>
            <w:noWrap w:val="0"/>
            <w:vAlign w:val="center"/>
          </w:tcPr>
          <w:p>
            <w:pPr>
              <w:spacing w:after="0" w:line="360" w:lineRule="auto"/>
              <w:jc w:val="center"/>
              <w:rPr>
                <w:color w:val="auto"/>
                <w:sz w:val="21"/>
                <w:szCs w:val="21"/>
                <w:highlight w:val="none"/>
              </w:rPr>
            </w:pPr>
          </w:p>
        </w:tc>
        <w:tc>
          <w:tcPr>
            <w:tcW w:w="493" w:type="pct"/>
            <w:noWrap w:val="0"/>
            <w:vAlign w:val="center"/>
          </w:tcPr>
          <w:p>
            <w:pPr>
              <w:spacing w:after="0" w:line="360"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3" w:type="pct"/>
            <w:noWrap w:val="0"/>
            <w:vAlign w:val="center"/>
          </w:tcPr>
          <w:p>
            <w:pPr>
              <w:spacing w:after="0" w:line="360" w:lineRule="auto"/>
              <w:jc w:val="center"/>
              <w:rPr>
                <w:color w:val="auto"/>
                <w:sz w:val="21"/>
                <w:szCs w:val="21"/>
                <w:highlight w:val="none"/>
              </w:rPr>
            </w:pPr>
          </w:p>
        </w:tc>
        <w:tc>
          <w:tcPr>
            <w:tcW w:w="748" w:type="pct"/>
            <w:noWrap w:val="0"/>
            <w:vAlign w:val="center"/>
          </w:tcPr>
          <w:p>
            <w:pPr>
              <w:spacing w:after="0" w:line="360" w:lineRule="auto"/>
              <w:jc w:val="center"/>
              <w:rPr>
                <w:color w:val="auto"/>
                <w:sz w:val="21"/>
                <w:szCs w:val="21"/>
                <w:highlight w:val="none"/>
              </w:rPr>
            </w:pPr>
          </w:p>
        </w:tc>
        <w:tc>
          <w:tcPr>
            <w:tcW w:w="876" w:type="pct"/>
            <w:noWrap w:val="0"/>
            <w:vAlign w:val="center"/>
          </w:tcPr>
          <w:p>
            <w:pPr>
              <w:spacing w:after="0" w:line="360" w:lineRule="auto"/>
              <w:jc w:val="center"/>
              <w:rPr>
                <w:color w:val="auto"/>
                <w:sz w:val="21"/>
                <w:szCs w:val="21"/>
                <w:highlight w:val="none"/>
              </w:rPr>
            </w:pPr>
          </w:p>
        </w:tc>
        <w:tc>
          <w:tcPr>
            <w:tcW w:w="748" w:type="pct"/>
            <w:noWrap w:val="0"/>
            <w:vAlign w:val="center"/>
          </w:tcPr>
          <w:p>
            <w:pPr>
              <w:spacing w:after="0" w:line="360" w:lineRule="auto"/>
              <w:jc w:val="center"/>
              <w:rPr>
                <w:color w:val="auto"/>
                <w:sz w:val="21"/>
                <w:szCs w:val="21"/>
                <w:highlight w:val="none"/>
              </w:rPr>
            </w:pPr>
          </w:p>
        </w:tc>
        <w:tc>
          <w:tcPr>
            <w:tcW w:w="1640" w:type="pct"/>
            <w:noWrap w:val="0"/>
            <w:vAlign w:val="center"/>
          </w:tcPr>
          <w:p>
            <w:pPr>
              <w:spacing w:after="0" w:line="360" w:lineRule="auto"/>
              <w:jc w:val="center"/>
              <w:rPr>
                <w:color w:val="auto"/>
                <w:sz w:val="21"/>
                <w:szCs w:val="21"/>
                <w:highlight w:val="none"/>
              </w:rPr>
            </w:pPr>
          </w:p>
        </w:tc>
        <w:tc>
          <w:tcPr>
            <w:tcW w:w="493" w:type="pct"/>
            <w:noWrap w:val="0"/>
            <w:vAlign w:val="center"/>
          </w:tcPr>
          <w:p>
            <w:pPr>
              <w:spacing w:after="0" w:line="360"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noWrap w:val="0"/>
            <w:vAlign w:val="center"/>
          </w:tcPr>
          <w:p>
            <w:pPr>
              <w:spacing w:after="0" w:line="360" w:lineRule="auto"/>
              <w:jc w:val="center"/>
              <w:rPr>
                <w:color w:val="auto"/>
                <w:sz w:val="21"/>
                <w:szCs w:val="21"/>
                <w:highlight w:val="none"/>
              </w:rPr>
            </w:pPr>
          </w:p>
        </w:tc>
        <w:tc>
          <w:tcPr>
            <w:tcW w:w="748" w:type="pct"/>
            <w:noWrap w:val="0"/>
            <w:vAlign w:val="center"/>
          </w:tcPr>
          <w:p>
            <w:pPr>
              <w:spacing w:after="0" w:line="360" w:lineRule="auto"/>
              <w:jc w:val="center"/>
              <w:rPr>
                <w:color w:val="auto"/>
                <w:sz w:val="21"/>
                <w:szCs w:val="21"/>
                <w:highlight w:val="none"/>
              </w:rPr>
            </w:pPr>
          </w:p>
        </w:tc>
        <w:tc>
          <w:tcPr>
            <w:tcW w:w="876" w:type="pct"/>
            <w:noWrap w:val="0"/>
            <w:vAlign w:val="center"/>
          </w:tcPr>
          <w:p>
            <w:pPr>
              <w:spacing w:after="0" w:line="360" w:lineRule="auto"/>
              <w:jc w:val="center"/>
              <w:rPr>
                <w:color w:val="auto"/>
                <w:sz w:val="21"/>
                <w:szCs w:val="21"/>
                <w:highlight w:val="none"/>
              </w:rPr>
            </w:pPr>
          </w:p>
        </w:tc>
        <w:tc>
          <w:tcPr>
            <w:tcW w:w="748" w:type="pct"/>
            <w:noWrap w:val="0"/>
            <w:vAlign w:val="center"/>
          </w:tcPr>
          <w:p>
            <w:pPr>
              <w:spacing w:after="0" w:line="360" w:lineRule="auto"/>
              <w:jc w:val="center"/>
              <w:rPr>
                <w:color w:val="auto"/>
                <w:sz w:val="21"/>
                <w:szCs w:val="21"/>
                <w:highlight w:val="none"/>
              </w:rPr>
            </w:pPr>
          </w:p>
        </w:tc>
        <w:tc>
          <w:tcPr>
            <w:tcW w:w="1640" w:type="pct"/>
            <w:noWrap w:val="0"/>
            <w:vAlign w:val="center"/>
          </w:tcPr>
          <w:p>
            <w:pPr>
              <w:spacing w:after="0" w:line="360" w:lineRule="auto"/>
              <w:jc w:val="center"/>
              <w:rPr>
                <w:color w:val="auto"/>
                <w:sz w:val="21"/>
                <w:szCs w:val="21"/>
                <w:highlight w:val="none"/>
              </w:rPr>
            </w:pPr>
          </w:p>
        </w:tc>
        <w:tc>
          <w:tcPr>
            <w:tcW w:w="493" w:type="pct"/>
            <w:noWrap w:val="0"/>
            <w:vAlign w:val="center"/>
          </w:tcPr>
          <w:p>
            <w:pPr>
              <w:spacing w:after="0" w:line="360"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noWrap w:val="0"/>
            <w:vAlign w:val="center"/>
          </w:tcPr>
          <w:p>
            <w:pPr>
              <w:spacing w:after="0" w:line="360" w:lineRule="auto"/>
              <w:jc w:val="center"/>
              <w:rPr>
                <w:color w:val="auto"/>
                <w:sz w:val="21"/>
                <w:szCs w:val="21"/>
                <w:highlight w:val="none"/>
              </w:rPr>
            </w:pPr>
          </w:p>
        </w:tc>
        <w:tc>
          <w:tcPr>
            <w:tcW w:w="748" w:type="pct"/>
            <w:noWrap w:val="0"/>
            <w:vAlign w:val="center"/>
          </w:tcPr>
          <w:p>
            <w:pPr>
              <w:spacing w:after="0" w:line="360" w:lineRule="auto"/>
              <w:jc w:val="center"/>
              <w:rPr>
                <w:color w:val="auto"/>
                <w:sz w:val="21"/>
                <w:szCs w:val="21"/>
                <w:highlight w:val="none"/>
              </w:rPr>
            </w:pPr>
          </w:p>
        </w:tc>
        <w:tc>
          <w:tcPr>
            <w:tcW w:w="876" w:type="pct"/>
            <w:noWrap w:val="0"/>
            <w:vAlign w:val="center"/>
          </w:tcPr>
          <w:p>
            <w:pPr>
              <w:spacing w:after="0" w:line="360" w:lineRule="auto"/>
              <w:jc w:val="center"/>
              <w:rPr>
                <w:color w:val="auto"/>
                <w:sz w:val="21"/>
                <w:szCs w:val="21"/>
                <w:highlight w:val="none"/>
              </w:rPr>
            </w:pPr>
          </w:p>
        </w:tc>
        <w:tc>
          <w:tcPr>
            <w:tcW w:w="748" w:type="pct"/>
            <w:noWrap w:val="0"/>
            <w:vAlign w:val="center"/>
          </w:tcPr>
          <w:p>
            <w:pPr>
              <w:spacing w:after="0" w:line="360" w:lineRule="auto"/>
              <w:jc w:val="center"/>
              <w:rPr>
                <w:color w:val="auto"/>
                <w:sz w:val="21"/>
                <w:szCs w:val="21"/>
                <w:highlight w:val="none"/>
              </w:rPr>
            </w:pPr>
          </w:p>
        </w:tc>
        <w:tc>
          <w:tcPr>
            <w:tcW w:w="1640" w:type="pct"/>
            <w:noWrap w:val="0"/>
            <w:vAlign w:val="center"/>
          </w:tcPr>
          <w:p>
            <w:pPr>
              <w:spacing w:after="0" w:line="360" w:lineRule="auto"/>
              <w:jc w:val="center"/>
              <w:rPr>
                <w:color w:val="auto"/>
                <w:sz w:val="21"/>
                <w:szCs w:val="21"/>
                <w:highlight w:val="none"/>
              </w:rPr>
            </w:pPr>
          </w:p>
        </w:tc>
        <w:tc>
          <w:tcPr>
            <w:tcW w:w="493" w:type="pct"/>
            <w:noWrap w:val="0"/>
            <w:vAlign w:val="center"/>
          </w:tcPr>
          <w:p>
            <w:pPr>
              <w:spacing w:after="0" w:line="360" w:lineRule="auto"/>
              <w:jc w:val="center"/>
              <w:rPr>
                <w:color w:val="auto"/>
                <w:sz w:val="21"/>
                <w:szCs w:val="21"/>
                <w:highlight w:val="none"/>
              </w:rPr>
            </w:pPr>
          </w:p>
        </w:tc>
      </w:tr>
    </w:tbl>
    <w:p>
      <w:pPr>
        <w:topLinePunct/>
        <w:autoSpaceDE w:val="0"/>
        <w:autoSpaceDN w:val="0"/>
        <w:spacing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备注：货物的主要技术参数和技术指标可另页描述。</w:t>
      </w:r>
    </w:p>
    <w:p>
      <w:pPr>
        <w:spacing w:after="0" w:line="240" w:lineRule="auto"/>
        <w:ind w:firstLine="420" w:firstLineChars="200"/>
        <w:rPr>
          <w:color w:val="auto"/>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ascii="宋体" w:hAnsi="宋体"/>
          <w:color w:val="auto"/>
          <w:kern w:val="0"/>
          <w:sz w:val="21"/>
          <w:szCs w:val="21"/>
          <w:highlight w:val="none"/>
        </w:rPr>
        <w:t>（全称并加盖公章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olor w:val="auto"/>
          <w:kern w:val="0"/>
          <w:sz w:val="21"/>
          <w:szCs w:val="21"/>
          <w:highlight w:val="none"/>
        </w:rPr>
        <w:t>投标人代表（签字或盖章）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0"/>
        <w:jc w:val="center"/>
        <w:textAlignment w:val="auto"/>
        <w:rPr>
          <w:rFonts w:eastAsia="黑体"/>
          <w:color w:val="auto"/>
          <w:sz w:val="28"/>
          <w:szCs w:val="28"/>
          <w:highlight w:val="none"/>
        </w:rPr>
      </w:pPr>
      <w:r>
        <w:rPr>
          <w:rFonts w:eastAsia="仿宋_GB2312"/>
          <w:color w:val="auto"/>
          <w:szCs w:val="21"/>
          <w:highlight w:val="none"/>
        </w:rPr>
        <w:br w:type="page"/>
      </w:r>
      <w:r>
        <w:rPr>
          <w:rFonts w:hint="eastAsia" w:ascii="宋体" w:hAnsi="宋体" w:eastAsia="仿宋_GB2312" w:cs="宋体"/>
          <w:b/>
          <w:bCs/>
          <w:color w:val="auto"/>
          <w:sz w:val="28"/>
          <w:szCs w:val="28"/>
          <w:highlight w:val="none"/>
          <w:lang w:val="en-US" w:eastAsia="zh-CN"/>
        </w:rPr>
        <w:t>实施</w:t>
      </w:r>
      <w:r>
        <w:rPr>
          <w:rFonts w:hint="eastAsia" w:ascii="宋体" w:hAnsi="宋体" w:cs="宋体"/>
          <w:b/>
          <w:bCs/>
          <w:color w:val="auto"/>
          <w:sz w:val="28"/>
          <w:szCs w:val="28"/>
          <w:highlight w:val="none"/>
        </w:rPr>
        <w:t>方案说明</w:t>
      </w:r>
    </w:p>
    <w:p>
      <w:pPr>
        <w:spacing w:line="360" w:lineRule="auto"/>
        <w:ind w:firstLine="420" w:firstLineChars="200"/>
        <w:jc w:val="left"/>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投标人</w:t>
      </w:r>
      <w:r>
        <w:rPr>
          <w:rFonts w:hint="default" w:ascii="Times New Roman" w:hAnsi="Times New Roman" w:cs="Times New Roman"/>
          <w:color w:val="auto"/>
          <w:kern w:val="0"/>
          <w:sz w:val="21"/>
          <w:szCs w:val="21"/>
          <w:highlight w:val="none"/>
        </w:rPr>
        <w:t>应根据第六章规定编写</w:t>
      </w:r>
      <w:r>
        <w:rPr>
          <w:rFonts w:hint="eastAsia" w:ascii="Times New Roman" w:hAnsi="Times New Roman" w:cs="Times New Roman"/>
          <w:color w:val="auto"/>
          <w:kern w:val="0"/>
          <w:sz w:val="21"/>
          <w:szCs w:val="21"/>
          <w:highlight w:val="none"/>
          <w:lang w:val="en-US" w:eastAsia="zh-CN"/>
        </w:rPr>
        <w:t>项目实施方案</w:t>
      </w:r>
      <w:r>
        <w:rPr>
          <w:rFonts w:hint="default" w:ascii="Times New Roman" w:hAnsi="Times New Roman" w:cs="Times New Roman"/>
          <w:color w:val="auto"/>
          <w:kern w:val="0"/>
          <w:sz w:val="21"/>
          <w:szCs w:val="21"/>
          <w:highlight w:val="none"/>
        </w:rPr>
        <w:t>。包括但不限于：</w:t>
      </w:r>
      <w:r>
        <w:rPr>
          <w:rFonts w:hint="eastAsia" w:ascii="Times New Roman" w:hAnsi="Times New Roman" w:cs="Times New Roman"/>
          <w:color w:val="auto"/>
          <w:kern w:val="0"/>
          <w:sz w:val="21"/>
          <w:szCs w:val="21"/>
          <w:highlight w:val="none"/>
          <w:lang w:val="en-US" w:eastAsia="zh-CN"/>
        </w:rPr>
        <w:t>质量保障方案、安装方案等。</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b/>
          <w:bCs/>
          <w:color w:val="auto"/>
          <w:sz w:val="28"/>
          <w:szCs w:val="28"/>
          <w:highlight w:val="none"/>
        </w:rPr>
      </w:pPr>
      <w:r>
        <w:rPr>
          <w:rFonts w:ascii="宋体" w:hAnsi="宋体"/>
          <w:color w:val="auto"/>
          <w:kern w:val="0"/>
          <w:sz w:val="24"/>
          <w:highlight w:val="none"/>
        </w:rPr>
        <w:br w:type="page"/>
      </w:r>
      <w:r>
        <w:rPr>
          <w:rFonts w:hint="eastAsia" w:ascii="宋体" w:hAnsi="宋体" w:cs="宋体"/>
          <w:b/>
          <w:bCs/>
          <w:color w:val="auto"/>
          <w:sz w:val="28"/>
          <w:szCs w:val="28"/>
          <w:highlight w:val="none"/>
        </w:rPr>
        <w:t>格式</w:t>
      </w:r>
      <w:bookmarkStart w:id="118" w:name="_Toc231801039"/>
      <w:r>
        <w:rPr>
          <w:rFonts w:hint="default" w:ascii="Times New Roman" w:hAnsi="Times New Roman" w:eastAsia="方正小标宋简体" w:cs="Times New Roman"/>
          <w:b/>
          <w:bCs/>
          <w:color w:val="auto"/>
          <w:sz w:val="28"/>
          <w:szCs w:val="28"/>
          <w:highlight w:val="none"/>
        </w:rPr>
        <w:t>11</w:t>
      </w:r>
      <w:r>
        <w:rPr>
          <w:rFonts w:hint="eastAsia" w:ascii="宋体" w:hAnsi="宋体" w:cs="宋体"/>
          <w:b/>
          <w:bCs/>
          <w:color w:val="auto"/>
          <w:sz w:val="28"/>
          <w:szCs w:val="28"/>
          <w:highlight w:val="none"/>
        </w:rPr>
        <w:t xml:space="preserve"> 技术力量一览表</w:t>
      </w:r>
    </w:p>
    <w:tbl>
      <w:tblPr>
        <w:tblStyle w:val="16"/>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356"/>
        <w:gridCol w:w="1187"/>
        <w:gridCol w:w="1189"/>
        <w:gridCol w:w="1275"/>
        <w:gridCol w:w="1243"/>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姓 名</w:t>
            </w: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技术职称</w:t>
            </w: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人员级别</w:t>
            </w: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工作年限</w:t>
            </w: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本项目中担任职务</w:t>
            </w: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认证情况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0" w:type="dxa"/>
            <w:gridSpan w:val="7"/>
            <w:tcBorders>
              <w:top w:val="single" w:color="auto" w:sz="4" w:space="0"/>
              <w:left w:val="single" w:color="auto" w:sz="4" w:space="0"/>
              <w:bottom w:val="single" w:color="auto" w:sz="4" w:space="0"/>
              <w:right w:val="single" w:color="auto" w:sz="4" w:space="0"/>
            </w:tcBorders>
            <w:noWrap/>
            <w:vAlign w:val="center"/>
          </w:tcPr>
          <w:p>
            <w:pPr>
              <w:numPr>
                <w:ilvl w:val="0"/>
                <w:numId w:val="0"/>
              </w:numPr>
              <w:adjustRightInd w:val="0"/>
              <w:spacing w:after="0" w:line="240" w:lineRule="auto"/>
              <w:jc w:val="left"/>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项目管理人员</w:t>
            </w:r>
          </w:p>
          <w:p>
            <w:pPr>
              <w:adjustRightInd w:val="0"/>
              <w:spacing w:after="0" w:line="240" w:lineRule="auto"/>
              <w:jc w:val="left"/>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（一）项目负责人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left"/>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（二）技术负责人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left"/>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二、XX人员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left"/>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三、XX人员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356"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7"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9"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75"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43"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916"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356"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7"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9"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75"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43"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916"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356"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7"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9"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75"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43"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916"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r>
      <w:bookmarkEnd w:id="118"/>
    </w:tbl>
    <w:p>
      <w:pPr>
        <w:keepNext w:val="0"/>
        <w:keepLines w:val="0"/>
        <w:pageBreakBefore w:val="0"/>
        <w:widowControl w:val="0"/>
        <w:kinsoku/>
        <w:wordWrap/>
        <w:overflowPunct/>
        <w:topLinePunct/>
        <w:autoSpaceDE w:val="0"/>
        <w:autoSpaceDN w:val="0"/>
        <w:bidi w:val="0"/>
        <w:adjustRightInd/>
        <w:snapToGrid/>
        <w:spacing w:line="360" w:lineRule="auto"/>
        <w:jc w:val="center"/>
        <w:textAlignment w:val="auto"/>
        <w:rPr>
          <w:rFonts w:ascii="宋体" w:hAnsi="宋体" w:cs="宋体"/>
          <w:b/>
          <w:bCs/>
          <w:color w:val="auto"/>
          <w:sz w:val="28"/>
          <w:szCs w:val="28"/>
          <w:highlight w:val="none"/>
        </w:rPr>
      </w:pPr>
      <w:r>
        <w:rPr>
          <w:rFonts w:hint="eastAsia" w:ascii="宋体" w:hAnsi="宋体" w:cs="宋体"/>
          <w:b/>
          <w:color w:val="auto"/>
          <w:sz w:val="30"/>
          <w:szCs w:val="30"/>
          <w:highlight w:val="none"/>
        </w:rPr>
        <w:br w:type="page"/>
      </w:r>
      <w:r>
        <w:rPr>
          <w:rFonts w:hint="eastAsia" w:ascii="宋体" w:hAnsi="宋体" w:cs="宋体"/>
          <w:b/>
          <w:bCs/>
          <w:color w:val="auto"/>
          <w:sz w:val="28"/>
          <w:szCs w:val="28"/>
          <w:highlight w:val="none"/>
        </w:rPr>
        <w:t>格式12 技术人员简历表</w:t>
      </w:r>
    </w:p>
    <w:tbl>
      <w:tblPr>
        <w:tblStyle w:val="1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713"/>
        <w:gridCol w:w="1505"/>
        <w:gridCol w:w="1388"/>
        <w:gridCol w:w="1796"/>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姓   名</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性    别</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出生日期</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学   历</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毕业学校</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技术职称</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公司职务</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任职时间</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本项目任职</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人员级别</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从事XXX工作年限</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从事XXXX年限</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认证证书</w:t>
            </w:r>
          </w:p>
        </w:tc>
        <w:tc>
          <w:tcPr>
            <w:tcW w:w="7665"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trPr>
        <w:tc>
          <w:tcPr>
            <w:tcW w:w="8928" w:type="dxa"/>
            <w:gridSpan w:val="6"/>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宋体" w:hAnsi="宋体" w:cs="宋体"/>
                <w:color w:val="auto"/>
                <w:sz w:val="21"/>
                <w:szCs w:val="21"/>
                <w:highlight w:val="none"/>
              </w:rPr>
            </w:pPr>
            <w:r>
              <w:rPr>
                <w:rFonts w:hint="eastAsia" w:ascii="宋体" w:hAnsi="宋体" w:cs="宋体"/>
                <w:color w:val="auto"/>
                <w:sz w:val="21"/>
                <w:szCs w:val="21"/>
                <w:highlight w:val="none"/>
              </w:rPr>
              <w:t>工作简历及主要业绩</w:t>
            </w:r>
          </w:p>
          <w:p>
            <w:pPr>
              <w:adjustRightInd w:val="0"/>
              <w:spacing w:after="0" w:line="240" w:lineRule="auto"/>
              <w:rPr>
                <w:rFonts w:ascii="宋体" w:hAnsi="宋体" w:cs="宋体"/>
                <w:color w:val="auto"/>
                <w:sz w:val="21"/>
                <w:szCs w:val="21"/>
                <w:highlight w:val="none"/>
              </w:rPr>
            </w:pPr>
          </w:p>
        </w:tc>
      </w:tr>
    </w:tbl>
    <w:p>
      <w:pPr>
        <w:topLinePunct/>
        <w:autoSpaceDE w:val="0"/>
        <w:autoSpaceDN w:val="0"/>
        <w:spacing w:after="0" w:line="360" w:lineRule="auto"/>
        <w:ind w:firstLine="420" w:firstLineChars="200"/>
        <w:rPr>
          <w:rFonts w:hint="default" w:ascii="Times New Roman" w:hAnsi="Times New Roman" w:cs="Times New Roman"/>
          <w:color w:val="auto"/>
          <w:highlight w:val="none"/>
        </w:rPr>
      </w:pPr>
    </w:p>
    <w:p>
      <w:pPr>
        <w:widowControl/>
        <w:spacing w:after="0" w:line="240" w:lineRule="auto"/>
        <w:jc w:val="left"/>
        <w:rPr>
          <w:color w:val="auto"/>
          <w:highlight w:val="none"/>
        </w:rPr>
      </w:pPr>
    </w:p>
    <w:p>
      <w:pPr>
        <w:widowControl/>
        <w:spacing w:after="0" w:line="240" w:lineRule="auto"/>
        <w:jc w:val="center"/>
        <w:rPr>
          <w:b/>
          <w:bCs/>
          <w:color w:val="auto"/>
          <w:sz w:val="36"/>
          <w:szCs w:val="36"/>
          <w:highlight w:val="none"/>
        </w:rPr>
      </w:pPr>
      <w:r>
        <w:rPr>
          <w:rFonts w:ascii="宋体" w:hAnsi="宋体" w:eastAsia="宋体"/>
          <w:b/>
          <w:bCs/>
          <w:color w:val="auto"/>
          <w:sz w:val="36"/>
          <w:szCs w:val="36"/>
          <w:highlight w:val="none"/>
        </w:rPr>
        <w:br w:type="page"/>
      </w:r>
      <w:r>
        <w:rPr>
          <w:rFonts w:hint="eastAsia" w:ascii="宋体" w:hAnsi="宋体" w:eastAsia="宋体"/>
          <w:b/>
          <w:bCs/>
          <w:color w:val="auto"/>
          <w:sz w:val="28"/>
          <w:szCs w:val="28"/>
          <w:highlight w:val="none"/>
        </w:rPr>
        <w:t>格式13 投标人售后服务承诺</w:t>
      </w:r>
    </w:p>
    <w:p>
      <w:pPr>
        <w:spacing w:after="0" w:line="240" w:lineRule="auto"/>
        <w:ind w:firstLine="420" w:firstLineChars="200"/>
        <w:rPr>
          <w:color w:val="auto"/>
          <w:szCs w:val="21"/>
          <w:highlight w:val="none"/>
        </w:rPr>
      </w:pPr>
    </w:p>
    <w:p>
      <w:pPr>
        <w:spacing w:line="360" w:lineRule="auto"/>
        <w:ind w:firstLine="420" w:firstLineChars="200"/>
        <w:jc w:val="left"/>
        <w:rPr>
          <w:rFonts w:ascii="宋体" w:hAnsi="宋体"/>
          <w:color w:val="auto"/>
          <w:kern w:val="0"/>
          <w:sz w:val="21"/>
          <w:szCs w:val="21"/>
          <w:highlight w:val="none"/>
        </w:rPr>
      </w:pPr>
      <w:r>
        <w:rPr>
          <w:rFonts w:ascii="宋体" w:hAnsi="宋体"/>
          <w:color w:val="auto"/>
          <w:kern w:val="0"/>
          <w:sz w:val="21"/>
          <w:szCs w:val="21"/>
          <w:highlight w:val="none"/>
        </w:rPr>
        <w:t>(示例略)</w:t>
      </w:r>
    </w:p>
    <w:p>
      <w:pPr>
        <w:rPr>
          <w:color w:val="auto"/>
          <w:sz w:val="21"/>
          <w:szCs w:val="21"/>
          <w:highlight w:val="none"/>
        </w:rPr>
        <w:sectPr>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topLinePunct/>
        <w:autoSpaceDE w:val="0"/>
        <w:autoSpaceDN w:val="0"/>
        <w:jc w:val="center"/>
        <w:rPr>
          <w:rFonts w:hint="eastAsia" w:ascii="华文中宋" w:hAnsi="华文中宋" w:eastAsia="华文中宋" w:cs="华文中宋"/>
          <w:b w:val="0"/>
          <w:bCs/>
          <w:color w:val="auto"/>
          <w:sz w:val="32"/>
          <w:szCs w:val="32"/>
          <w:highlight w:val="none"/>
        </w:rPr>
      </w:pPr>
    </w:p>
    <w:p>
      <w:pPr>
        <w:topLinePunct/>
        <w:autoSpaceDE w:val="0"/>
        <w:autoSpaceDN w:val="0"/>
        <w:jc w:val="center"/>
        <w:rPr>
          <w:rFonts w:hint="eastAsia" w:ascii="华文中宋" w:hAnsi="华文中宋" w:eastAsia="华文中宋" w:cs="华文中宋"/>
          <w:b w:val="0"/>
          <w:bCs/>
          <w:color w:val="auto"/>
          <w:sz w:val="72"/>
          <w:szCs w:val="72"/>
          <w:highlight w:val="none"/>
        </w:rPr>
      </w:pPr>
      <w:bookmarkStart w:id="119" w:name="_Toc132880285"/>
      <w:r>
        <w:rPr>
          <w:rFonts w:hint="eastAsia" w:ascii="华文中宋" w:hAnsi="华文中宋" w:eastAsia="华文中宋" w:cs="华文中宋"/>
          <w:b w:val="0"/>
          <w:bCs/>
          <w:color w:val="auto"/>
          <w:sz w:val="72"/>
          <w:szCs w:val="72"/>
          <w:highlight w:val="none"/>
        </w:rPr>
        <w:t>招 标 文 件</w:t>
      </w:r>
    </w:p>
    <w:p>
      <w:pPr>
        <w:topLinePunct/>
        <w:autoSpaceDE w:val="0"/>
        <w:autoSpaceDN w:val="0"/>
        <w:spacing w:line="60" w:lineRule="exact"/>
        <w:jc w:val="center"/>
        <w:rPr>
          <w:rFonts w:hint="eastAsia" w:ascii="华文中宋" w:hAnsi="华文中宋" w:eastAsia="华文中宋" w:cs="华文中宋"/>
          <w:b w:val="0"/>
          <w:bCs/>
          <w:color w:val="auto"/>
          <w:sz w:val="72"/>
          <w:szCs w:val="72"/>
          <w:highlight w:val="none"/>
        </w:rPr>
      </w:pPr>
    </w:p>
    <w:p>
      <w:pPr>
        <w:topLinePunct/>
        <w:autoSpaceDE w:val="0"/>
        <w:autoSpaceDN w:val="0"/>
        <w:snapToGrid w:val="0"/>
        <w:jc w:val="center"/>
        <w:rPr>
          <w:rFonts w:hint="eastAsia" w:ascii="华文中宋" w:hAnsi="华文中宋" w:eastAsia="华文中宋" w:cs="华文中宋"/>
          <w:b w:val="0"/>
          <w:bCs/>
          <w:color w:val="auto"/>
          <w:sz w:val="72"/>
          <w:szCs w:val="72"/>
          <w:highlight w:val="none"/>
        </w:rPr>
      </w:pPr>
      <w:r>
        <w:rPr>
          <w:rFonts w:hint="eastAsia" w:ascii="华文中宋" w:hAnsi="华文中宋" w:eastAsia="华文中宋" w:cs="华文中宋"/>
          <w:b w:val="0"/>
          <w:bCs/>
          <w:color w:val="auto"/>
          <w:sz w:val="72"/>
          <w:szCs w:val="72"/>
          <w:highlight w:val="none"/>
        </w:rPr>
        <w:t>（</w:t>
      </w:r>
      <w:r>
        <w:rPr>
          <w:rFonts w:hint="eastAsia" w:ascii="华文中宋" w:hAnsi="华文中宋" w:eastAsia="华文中宋" w:cs="华文中宋"/>
          <w:b w:val="0"/>
          <w:bCs/>
          <w:color w:val="auto"/>
          <w:sz w:val="72"/>
          <w:szCs w:val="72"/>
          <w:highlight w:val="none"/>
          <w:lang w:val="en-US" w:eastAsia="zh-CN"/>
        </w:rPr>
        <w:t>技术</w:t>
      </w:r>
      <w:r>
        <w:rPr>
          <w:rFonts w:hint="eastAsia" w:ascii="华文中宋" w:hAnsi="华文中宋" w:eastAsia="华文中宋" w:cs="华文中宋"/>
          <w:b w:val="0"/>
          <w:bCs/>
          <w:color w:val="auto"/>
          <w:sz w:val="72"/>
          <w:szCs w:val="72"/>
          <w:highlight w:val="none"/>
        </w:rPr>
        <w:t>务部分）</w:t>
      </w:r>
    </w:p>
    <w:p>
      <w:pPr>
        <w:topLinePunct/>
        <w:autoSpaceDE w:val="0"/>
        <w:autoSpaceDN w:val="0"/>
        <w:snapToGrid w:val="0"/>
        <w:rPr>
          <w:rFonts w:hint="eastAsia" w:ascii="华文中宋" w:hAnsi="华文中宋" w:eastAsia="华文中宋" w:cs="华文中宋"/>
          <w:b w:val="0"/>
          <w:bCs/>
          <w:color w:val="auto"/>
          <w:sz w:val="32"/>
          <w:szCs w:val="32"/>
          <w:highlight w:val="none"/>
        </w:rPr>
      </w:pPr>
    </w:p>
    <w:p>
      <w:pPr>
        <w:jc w:val="center"/>
        <w:rPr>
          <w:rFonts w:hint="eastAsia" w:ascii="方正小标宋简体" w:hAnsi="方正小标宋简体" w:eastAsia="方正小标宋简体" w:cs="方正小标宋简体"/>
          <w:b w:val="0"/>
          <w:bCs w:val="0"/>
          <w:color w:val="auto"/>
          <w:sz w:val="24"/>
          <w:szCs w:val="24"/>
          <w:highlight w:val="none"/>
        </w:rPr>
      </w:pPr>
    </w:p>
    <w:p>
      <w:pPr>
        <w:pStyle w:val="22"/>
        <w:rPr>
          <w:rFonts w:hint="eastAsia"/>
          <w:color w:val="auto"/>
        </w:rPr>
      </w:pPr>
    </w:p>
    <w:p>
      <w:pPr>
        <w:jc w:val="center"/>
        <w:rPr>
          <w:rFonts w:hint="eastAsia" w:ascii="方正小标宋简体" w:hAnsi="方正小标宋简体" w:eastAsia="方正小标宋简体" w:cs="方正小标宋简体"/>
          <w:b w:val="0"/>
          <w:bCs w:val="0"/>
          <w:color w:val="auto"/>
          <w:sz w:val="24"/>
          <w:szCs w:val="24"/>
          <w:highlight w:val="none"/>
        </w:rPr>
      </w:pPr>
    </w:p>
    <w:p>
      <w:pPr>
        <w:pStyle w:val="12"/>
        <w:ind w:firstLine="1400" w:firstLineChars="500"/>
        <w:rPr>
          <w:rFonts w:hint="eastAsia" w:hAnsi="宋体" w:cs="宋体"/>
          <w:color w:val="auto"/>
          <w:kern w:val="0"/>
          <w:sz w:val="28"/>
          <w:szCs w:val="28"/>
          <w:u w:val="single"/>
          <w:lang w:eastAsia="zh-CN"/>
        </w:rPr>
      </w:pPr>
      <w:r>
        <w:rPr>
          <w:rFonts w:hint="eastAsia" w:ascii="宋体" w:hAnsi="宋体" w:eastAsia="宋体" w:cs="宋体"/>
          <w:color w:val="auto"/>
          <w:kern w:val="0"/>
          <w:sz w:val="28"/>
          <w:szCs w:val="28"/>
        </w:rPr>
        <w:t>项目名称：</w:t>
      </w:r>
      <w:r>
        <w:rPr>
          <w:rFonts w:hint="eastAsia" w:ascii="宋体" w:hAnsi="宋体" w:eastAsia="宋体" w:cs="宋体"/>
          <w:color w:val="auto"/>
          <w:kern w:val="0"/>
          <w:sz w:val="28"/>
          <w:szCs w:val="28"/>
          <w:u w:val="single"/>
          <w:lang w:eastAsia="zh-CN"/>
        </w:rPr>
        <w:t>南平市税务局办公场所窗帘采购项目</w:t>
      </w:r>
    </w:p>
    <w:p>
      <w:pPr>
        <w:pStyle w:val="12"/>
        <w:ind w:firstLine="1400" w:firstLineChars="500"/>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项目编号：</w:t>
      </w:r>
      <w:r>
        <w:rPr>
          <w:rFonts w:hint="eastAsia" w:hAnsi="宋体" w:cs="宋体"/>
          <w:color w:val="auto"/>
          <w:kern w:val="0"/>
          <w:sz w:val="28"/>
          <w:szCs w:val="28"/>
          <w:u w:val="single"/>
          <w:lang w:eastAsia="zh-CN"/>
        </w:rPr>
        <w:t>ZXWT-2024-386</w:t>
      </w:r>
    </w:p>
    <w:p>
      <w:pPr>
        <w:pStyle w:val="12"/>
        <w:ind w:firstLine="1400" w:firstLineChars="500"/>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采 购 人：</w:t>
      </w:r>
      <w:r>
        <w:rPr>
          <w:rFonts w:hint="eastAsia" w:hAnsi="宋体" w:cs="宋体"/>
          <w:color w:val="auto"/>
          <w:kern w:val="0"/>
          <w:sz w:val="28"/>
          <w:szCs w:val="28"/>
          <w:u w:val="single"/>
          <w:lang w:eastAsia="zh-CN"/>
        </w:rPr>
        <w:t>国家税务总局南平市税务局</w:t>
      </w:r>
    </w:p>
    <w:p>
      <w:pPr>
        <w:pStyle w:val="12"/>
        <w:ind w:firstLine="1400" w:firstLineChars="5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采购代理机构：</w:t>
      </w:r>
      <w:r>
        <w:rPr>
          <w:rFonts w:hint="eastAsia" w:ascii="宋体" w:hAnsi="宋体" w:eastAsia="宋体" w:cs="宋体"/>
          <w:color w:val="auto"/>
          <w:kern w:val="0"/>
          <w:sz w:val="28"/>
          <w:szCs w:val="28"/>
          <w:u w:val="single"/>
        </w:rPr>
        <w:t>福建省智信招标有限公司</w:t>
      </w:r>
    </w:p>
    <w:p>
      <w:pPr>
        <w:topLinePunct/>
        <w:autoSpaceDE w:val="0"/>
        <w:autoSpaceDN w:val="0"/>
        <w:spacing w:line="460" w:lineRule="exact"/>
        <w:rPr>
          <w:rFonts w:hint="eastAsia" w:ascii="宋体" w:hAnsi="宋体" w:eastAsia="宋体" w:cs="宋体"/>
          <w:b/>
          <w:color w:val="auto"/>
          <w:sz w:val="24"/>
          <w:szCs w:val="24"/>
          <w:highlight w:val="none"/>
        </w:rPr>
      </w:pPr>
    </w:p>
    <w:p>
      <w:pPr>
        <w:topLinePunct/>
        <w:autoSpaceDE w:val="0"/>
        <w:autoSpaceDN w:val="0"/>
        <w:spacing w:line="460" w:lineRule="exact"/>
        <w:jc w:val="center"/>
        <w:rPr>
          <w:rFonts w:hint="eastAsia" w:ascii="宋体" w:hAnsi="宋体" w:eastAsia="宋体" w:cs="宋体"/>
          <w:color w:val="auto"/>
          <w:sz w:val="24"/>
          <w:szCs w:val="24"/>
          <w:highlight w:val="none"/>
        </w:rPr>
      </w:pPr>
    </w:p>
    <w:p>
      <w:pPr>
        <w:pStyle w:val="6"/>
        <w:numPr>
          <w:ilvl w:val="0"/>
          <w:numId w:val="0"/>
        </w:numPr>
        <w:ind w:leftChars="200"/>
        <w:rPr>
          <w:rFonts w:hint="eastAsia"/>
          <w:color w:val="auto"/>
        </w:rPr>
      </w:pPr>
    </w:p>
    <w:p>
      <w:pPr>
        <w:pStyle w:val="8"/>
        <w:rPr>
          <w:rFonts w:hint="eastAsia"/>
          <w:color w:val="auto"/>
        </w:rPr>
      </w:pPr>
    </w:p>
    <w:p>
      <w:pPr>
        <w:pStyle w:val="9"/>
        <w:rPr>
          <w:rFonts w:hint="eastAsia"/>
          <w:color w:val="auto"/>
        </w:rPr>
      </w:pPr>
    </w:p>
    <w:p>
      <w:pPr>
        <w:pStyle w:val="9"/>
        <w:rPr>
          <w:rFonts w:hint="eastAsia"/>
          <w:color w:val="auto"/>
        </w:rPr>
      </w:pPr>
    </w:p>
    <w:p>
      <w:pPr>
        <w:topLinePunct/>
        <w:autoSpaceDE w:val="0"/>
        <w:autoSpaceDN w:val="0"/>
        <w:spacing w:line="160" w:lineRule="exact"/>
        <w:jc w:val="center"/>
        <w:rPr>
          <w:rFonts w:hint="eastAsia" w:ascii="宋体" w:hAnsi="宋体" w:eastAsia="宋体" w:cs="宋体"/>
          <w:color w:val="auto"/>
          <w:sz w:val="24"/>
          <w:szCs w:val="24"/>
          <w:highlight w:val="none"/>
        </w:rPr>
      </w:pPr>
    </w:p>
    <w:p>
      <w:pPr>
        <w:jc w:val="center"/>
        <w:rPr>
          <w:rFonts w:hint="eastAsia" w:hAnsi="宋体" w:cs="宋体"/>
          <w:color w:val="auto"/>
          <w:kern w:val="0"/>
          <w:sz w:val="28"/>
          <w:szCs w:val="28"/>
          <w:u w:val="none"/>
          <w:lang w:eastAsia="zh-CN"/>
        </w:rPr>
      </w:pPr>
      <w:r>
        <w:rPr>
          <w:rFonts w:hint="eastAsia" w:hAnsi="宋体" w:cs="宋体"/>
          <w:color w:val="auto"/>
          <w:kern w:val="0"/>
          <w:sz w:val="28"/>
          <w:szCs w:val="28"/>
          <w:u w:val="none"/>
          <w:lang w:eastAsia="zh-CN"/>
        </w:rPr>
        <w:t>国家税务总局南平市税务局</w:t>
      </w: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2024</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11</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29</w:t>
      </w:r>
      <w:bookmarkStart w:id="126" w:name="_GoBack"/>
      <w:bookmarkEnd w:id="126"/>
      <w:r>
        <w:rPr>
          <w:rFonts w:hint="eastAsia" w:ascii="宋体" w:hAnsi="宋体" w:eastAsia="宋体" w:cs="宋体"/>
          <w:color w:val="auto"/>
          <w:sz w:val="28"/>
          <w:szCs w:val="28"/>
          <w:highlight w:val="none"/>
        </w:rPr>
        <w:t>日</w:t>
      </w:r>
    </w:p>
    <w:p>
      <w:pPr>
        <w:widowControl/>
        <w:spacing w:after="0" w:line="240" w:lineRule="auto"/>
        <w:jc w:val="center"/>
        <w:rPr>
          <w:rStyle w:val="31"/>
          <w:rFonts w:hint="eastAsia"/>
          <w:color w:val="auto"/>
        </w:rPr>
      </w:pPr>
      <w:r>
        <w:rPr>
          <w:rFonts w:hint="eastAsia" w:ascii="华文中宋" w:hAnsi="华文中宋" w:eastAsia="华文中宋" w:cs="华文中宋"/>
          <w:color w:val="auto"/>
          <w:sz w:val="28"/>
          <w:szCs w:val="28"/>
          <w:highlight w:val="none"/>
        </w:rPr>
        <w:br w:type="page"/>
      </w:r>
      <w:bookmarkStart w:id="120" w:name="_Toc17533"/>
      <w:bookmarkStart w:id="121" w:name="_Toc17610"/>
      <w:r>
        <w:rPr>
          <w:rStyle w:val="31"/>
          <w:rFonts w:hint="eastAsia"/>
          <w:color w:val="auto"/>
          <w:lang w:val="en-US" w:eastAsia="zh-CN"/>
        </w:rPr>
        <w:t>第六章  项目采购需求</w:t>
      </w:r>
      <w:bookmarkEnd w:id="119"/>
    </w:p>
    <w:bookmarkEnd w:id="120"/>
    <w:bookmarkEnd w:id="121"/>
    <w:p>
      <w:pPr>
        <w:keepNext w:val="0"/>
        <w:keepLines w:val="0"/>
        <w:pageBreakBefore w:val="0"/>
        <w:widowControl w:val="0"/>
        <w:kinsoku/>
        <w:wordWrap/>
        <w:overflowPunct/>
        <w:topLinePunct w:val="0"/>
        <w:autoSpaceDE/>
        <w:autoSpaceDN/>
        <w:bidi w:val="0"/>
        <w:adjustRightInd/>
        <w:snapToGrid/>
        <w:spacing w:after="0" w:line="40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i w:val="0"/>
          <w:iCs/>
          <w:color w:val="auto"/>
          <w:sz w:val="21"/>
          <w:szCs w:val="21"/>
          <w:highlight w:val="none"/>
        </w:rPr>
        <w:t>一、</w:t>
      </w:r>
      <w:r>
        <w:rPr>
          <w:rFonts w:hint="eastAsia" w:ascii="宋体" w:hAnsi="宋体" w:eastAsia="宋体" w:cs="宋体"/>
          <w:b/>
          <w:bCs/>
          <w:color w:val="auto"/>
          <w:sz w:val="21"/>
          <w:szCs w:val="21"/>
          <w:highlight w:val="none"/>
        </w:rPr>
        <w:t>项目概况</w:t>
      </w:r>
    </w:p>
    <w:tbl>
      <w:tblPr>
        <w:tblStyle w:val="16"/>
        <w:tblW w:w="485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30"/>
        <w:gridCol w:w="1618"/>
        <w:gridCol w:w="1002"/>
        <w:gridCol w:w="1338"/>
        <w:gridCol w:w="25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947"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bidi="ar"/>
              </w:rPr>
              <w:t>采购标的</w:t>
            </w:r>
          </w:p>
        </w:tc>
        <w:tc>
          <w:tcPr>
            <w:tcW w:w="1002"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安装</w:t>
            </w:r>
            <w:r>
              <w:rPr>
                <w:rFonts w:hint="eastAsia" w:ascii="宋体" w:hAnsi="宋体" w:eastAsia="宋体" w:cs="宋体"/>
                <w:color w:val="auto"/>
                <w:sz w:val="21"/>
                <w:szCs w:val="21"/>
                <w:lang w:eastAsia="zh-CN"/>
              </w:rPr>
              <w:t>地</w:t>
            </w:r>
            <w:r>
              <w:rPr>
                <w:rFonts w:hint="eastAsia" w:ascii="宋体" w:hAnsi="宋体" w:eastAsia="宋体" w:cs="宋体"/>
                <w:color w:val="auto"/>
                <w:sz w:val="21"/>
                <w:szCs w:val="21"/>
                <w:lang w:val="en-US" w:eastAsia="zh-CN"/>
              </w:rPr>
              <w:t>点</w:t>
            </w:r>
          </w:p>
        </w:tc>
        <w:tc>
          <w:tcPr>
            <w:tcW w:w="620"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数量</w:t>
            </w:r>
          </w:p>
        </w:tc>
        <w:tc>
          <w:tcPr>
            <w:tcW w:w="828"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最高限价总价</w:t>
            </w:r>
          </w:p>
        </w:tc>
        <w:tc>
          <w:tcPr>
            <w:tcW w:w="1600"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highlight w:val="none"/>
              </w:rPr>
              <w:t>采购标的对应的中小企业划分标准所属行业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947"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窗帘</w:t>
            </w:r>
          </w:p>
        </w:tc>
        <w:tc>
          <w:tcPr>
            <w:tcW w:w="1002"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eastAsia="zh-CN" w:bidi="ar"/>
              </w:rPr>
              <w:t>南平市武夷新区</w:t>
            </w:r>
          </w:p>
        </w:tc>
        <w:tc>
          <w:tcPr>
            <w:tcW w:w="620"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1批</w:t>
            </w:r>
          </w:p>
        </w:tc>
        <w:tc>
          <w:tcPr>
            <w:tcW w:w="828"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76万元</w:t>
            </w:r>
          </w:p>
        </w:tc>
        <w:tc>
          <w:tcPr>
            <w:tcW w:w="1600" w:type="pct"/>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工业</w:t>
            </w:r>
          </w:p>
        </w:tc>
      </w:tr>
    </w:tbl>
    <w:p>
      <w:pPr>
        <w:keepNext w:val="0"/>
        <w:keepLines w:val="0"/>
        <w:pageBreakBefore w:val="0"/>
        <w:widowControl w:val="0"/>
        <w:kinsoku/>
        <w:wordWrap/>
        <w:overflowPunct/>
        <w:topLinePunct w:val="0"/>
        <w:autoSpaceDE/>
        <w:autoSpaceDN/>
        <w:bidi w:val="0"/>
        <w:adjustRightInd/>
        <w:snapToGrid/>
        <w:spacing w:after="0" w:line="400" w:lineRule="exact"/>
        <w:ind w:firstLine="422" w:firstLineChars="200"/>
        <w:textAlignment w:val="auto"/>
        <w:rPr>
          <w:rFonts w:hint="eastAsia" w:ascii="宋体" w:hAnsi="宋体" w:eastAsia="宋体" w:cs="宋体"/>
          <w:b/>
          <w:bCs/>
          <w:i w:val="0"/>
          <w:iCs/>
          <w:color w:val="auto"/>
          <w:sz w:val="21"/>
          <w:szCs w:val="21"/>
          <w:highlight w:val="none"/>
          <w:lang w:val="en-US" w:eastAsia="zh-CN"/>
        </w:rPr>
      </w:pPr>
      <w:r>
        <w:rPr>
          <w:rFonts w:hint="eastAsia" w:ascii="宋体" w:hAnsi="宋体" w:eastAsia="宋体" w:cs="宋体"/>
          <w:b/>
          <w:bCs/>
          <w:i w:val="0"/>
          <w:iCs/>
          <w:color w:val="auto"/>
          <w:sz w:val="21"/>
          <w:szCs w:val="21"/>
          <w:highlight w:val="none"/>
          <w:lang w:val="en-US" w:eastAsia="zh-CN"/>
        </w:rPr>
        <w:t>二、采购内容</w:t>
      </w:r>
      <w:r>
        <w:rPr>
          <w:rFonts w:hint="eastAsia" w:ascii="宋体" w:hAnsi="宋体" w:cs="宋体"/>
          <w:b/>
          <w:bCs/>
          <w:i w:val="0"/>
          <w:iCs/>
          <w:color w:val="auto"/>
          <w:sz w:val="21"/>
          <w:szCs w:val="21"/>
          <w:highlight w:val="none"/>
          <w:lang w:val="en-US" w:eastAsia="zh-CN"/>
        </w:rPr>
        <w:t>（</w:t>
      </w:r>
      <w:r>
        <w:rPr>
          <w:rFonts w:hint="eastAsia" w:ascii="宋体" w:hAnsi="宋体" w:eastAsia="宋体" w:cs="宋体"/>
          <w:b/>
          <w:color w:val="auto"/>
          <w:kern w:val="0"/>
          <w:sz w:val="21"/>
          <w:szCs w:val="21"/>
        </w:rPr>
        <w:t>★</w:t>
      </w:r>
      <w:r>
        <w:rPr>
          <w:rFonts w:hint="eastAsia" w:ascii="宋体" w:hAnsi="宋体" w:cs="宋体"/>
          <w:b/>
          <w:bCs/>
          <w:i w:val="0"/>
          <w:iCs/>
          <w:color w:val="auto"/>
          <w:sz w:val="21"/>
          <w:szCs w:val="21"/>
          <w:highlight w:val="none"/>
          <w:lang w:val="en-US" w:eastAsia="zh-CN"/>
        </w:rPr>
        <w:t>）</w:t>
      </w:r>
    </w:p>
    <w:tbl>
      <w:tblPr>
        <w:tblStyle w:val="16"/>
        <w:tblW w:w="81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05"/>
        <w:gridCol w:w="1650"/>
        <w:gridCol w:w="1785"/>
        <w:gridCol w:w="2670"/>
        <w:gridCol w:w="1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类别</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预估采购数量（平方米）</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最高限价（元）</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布帘</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4000</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448000</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拉帘</w:t>
            </w:r>
            <w:r>
              <w:rPr>
                <w:rFonts w:hint="eastAsia" w:ascii="宋体" w:hAnsi="宋体" w:eastAsia="宋体" w:cs="宋体"/>
                <w:color w:val="auto"/>
                <w:sz w:val="21"/>
                <w:szCs w:val="21"/>
                <w:lang w:val="en-US" w:eastAsia="zh-CN"/>
              </w:rPr>
              <w:t>（卷帘）</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370</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60400</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卷帘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百叶帘</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4800</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电动帘</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320</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124800</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ascii="宋体" w:hAnsi="宋体" w:eastAsia="宋体" w:cs="宋体"/>
                <w:color w:val="auto"/>
                <w:sz w:val="21"/>
                <w:szCs w:val="21"/>
              </w:rPr>
              <w:t>柔纱帘</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38000</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阻燃帘</w:t>
            </w:r>
            <w:r>
              <w:rPr>
                <w:rFonts w:hint="eastAsia" w:ascii="宋体" w:hAnsi="宋体" w:eastAsia="宋体" w:cs="宋体"/>
                <w:color w:val="auto"/>
                <w:sz w:val="21"/>
                <w:szCs w:val="21"/>
                <w:lang w:val="en-US" w:eastAsia="zh-CN"/>
              </w:rPr>
              <w:t>（卷帘）</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84000</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卷帘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760000</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auto"/>
                <w:sz w:val="21"/>
                <w:szCs w:val="21"/>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注：</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本项目采用固定单价合同。结算</w:t>
      </w:r>
      <w:r>
        <w:rPr>
          <w:rFonts w:hint="eastAsia" w:ascii="宋体" w:hAnsi="宋体" w:eastAsia="宋体" w:cs="宋体"/>
          <w:color w:val="auto"/>
          <w:kern w:val="0"/>
          <w:sz w:val="21"/>
          <w:szCs w:val="21"/>
          <w:lang w:eastAsia="zh-CN"/>
        </w:rPr>
        <w:t>数</w:t>
      </w:r>
      <w:r>
        <w:rPr>
          <w:rFonts w:hint="eastAsia" w:ascii="宋体" w:hAnsi="宋体" w:eastAsia="宋体" w:cs="宋体"/>
          <w:color w:val="auto"/>
          <w:kern w:val="0"/>
          <w:sz w:val="21"/>
          <w:szCs w:val="21"/>
        </w:rPr>
        <w:t>量以现场实际数量为准</w:t>
      </w:r>
      <w:r>
        <w:rPr>
          <w:rFonts w:hint="eastAsia" w:ascii="宋体" w:hAnsi="宋体" w:eastAsia="宋体" w:cs="宋体"/>
          <w:color w:val="auto"/>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本项目为固定单价合同（招标文件有不同表述的，以此为准），投标人在投标报价时应按照“</w:t>
      </w:r>
      <w:r>
        <w:rPr>
          <w:rFonts w:hint="eastAsia" w:ascii="宋体" w:hAnsi="宋体" w:eastAsia="宋体" w:cs="宋体"/>
          <w:color w:val="auto"/>
          <w:kern w:val="0"/>
          <w:sz w:val="21"/>
          <w:szCs w:val="21"/>
          <w:lang w:val="en-US" w:eastAsia="zh-CN"/>
        </w:rPr>
        <w:t>采购</w:t>
      </w:r>
      <w:r>
        <w:rPr>
          <w:rFonts w:hint="eastAsia" w:ascii="宋体" w:hAnsi="宋体" w:eastAsia="宋体" w:cs="宋体"/>
          <w:color w:val="auto"/>
          <w:kern w:val="0"/>
          <w:sz w:val="21"/>
          <w:szCs w:val="21"/>
        </w:rPr>
        <w:t>清单”进行分项报价，并依据预估数量计算出投标总价用于评审。投标总价=所有序号“预估</w:t>
      </w:r>
      <w:r>
        <w:rPr>
          <w:rFonts w:hint="eastAsia" w:ascii="宋体" w:hAnsi="宋体" w:eastAsia="宋体" w:cs="宋体"/>
          <w:color w:val="auto"/>
          <w:kern w:val="0"/>
          <w:sz w:val="21"/>
          <w:szCs w:val="21"/>
          <w:lang w:val="en-US" w:eastAsia="zh-CN"/>
        </w:rPr>
        <w:t>数量×单价”值的总和，投标总价不可超出最高限价。投标人未进行分项报价或分项报价出现缺漏项及分项报价表中的单价超过最高限价的，均按无效投标处理。</w:t>
      </w:r>
    </w:p>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 3、本招标文件上表中的采购数量均为预估数，以实际采购数量为准。预估数与实际采购数量可能存在一定差异。投标人在报价中须充分考虑此项因素，采购人不对投标人据此作出的判断和决策负责。 中标总价仅作为价格分计算的评审依据，非合同总价金额，不作结算依据。中标后，中标单价作为项目结算的报价依据，实际采购数量以采购人实际通知为准。</w:t>
      </w:r>
    </w:p>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4、投标人应以包括产品所涉及的所有有关费用进行人民币报价，包括但不限于：设备和材料（含采购、交通、运输）、 检测费用、安装、调试及试运行、验收、劳务、管理、劳保、维护、保险、利润、税款及政策性文件规定的各项应有费用及可合理推断的责任和义务。</w:t>
      </w:r>
    </w:p>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技术要求</w:t>
      </w:r>
    </w:p>
    <w:p>
      <w:pPr>
        <w:pStyle w:val="2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lang w:val="en-US" w:eastAsia="zh-CN"/>
        </w:rPr>
        <w:t>（一）</w:t>
      </w:r>
      <w:r>
        <w:rPr>
          <w:rFonts w:hint="eastAsia" w:ascii="宋体" w:hAnsi="宋体" w:eastAsia="宋体" w:cs="宋体"/>
          <w:b/>
          <w:bCs/>
          <w:color w:val="auto"/>
          <w:sz w:val="21"/>
          <w:szCs w:val="21"/>
          <w:lang w:val="en-US" w:eastAsia="zh-CN"/>
        </w:rPr>
        <w:t>主要</w:t>
      </w:r>
      <w:r>
        <w:rPr>
          <w:rFonts w:hint="eastAsia" w:ascii="宋体" w:hAnsi="宋体" w:eastAsia="宋体" w:cs="宋体"/>
          <w:b/>
          <w:bCs/>
          <w:color w:val="auto"/>
          <w:sz w:val="21"/>
          <w:szCs w:val="21"/>
        </w:rPr>
        <w:t>技术参数要求</w:t>
      </w:r>
    </w:p>
    <w:tbl>
      <w:tblPr>
        <w:tblStyle w:val="16"/>
        <w:tblW w:w="8962" w:type="dxa"/>
        <w:tblInd w:w="11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87"/>
        <w:gridCol w:w="1140"/>
        <w:gridCol w:w="703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序号</w:t>
            </w:r>
          </w:p>
        </w:tc>
        <w:tc>
          <w:tcPr>
            <w:tcW w:w="1140" w:type="dxa"/>
            <w:tcBorders>
              <w:top w:val="single" w:color="000000" w:sz="4" w:space="0"/>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品目名称</w:t>
            </w:r>
          </w:p>
        </w:tc>
        <w:tc>
          <w:tcPr>
            <w:tcW w:w="7035" w:type="dxa"/>
            <w:tcBorders>
              <w:top w:val="single" w:color="000000" w:sz="4" w:space="0"/>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主要</w:t>
            </w:r>
            <w:r>
              <w:rPr>
                <w:rFonts w:hint="eastAsia" w:ascii="宋体" w:hAnsi="宋体" w:eastAsia="宋体" w:cs="宋体"/>
                <w:color w:val="auto"/>
                <w:sz w:val="21"/>
                <w:szCs w:val="21"/>
                <w:lang w:val="en-US" w:eastAsia="zh-CN"/>
              </w:rPr>
              <w:t>技术参数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5" w:type="dxa"/>
              <w:bottom w:w="0" w:type="dxa"/>
              <w:right w:w="10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140" w:type="dxa"/>
            <w:tcBorders>
              <w:top w:val="single" w:color="000000" w:sz="4" w:space="0"/>
              <w:left w:val="nil"/>
              <w:bottom w:val="single" w:color="000000" w:sz="4" w:space="0"/>
              <w:right w:val="single" w:color="000000" w:sz="4" w:space="0"/>
            </w:tcBorders>
            <w:shd w:val="clear" w:color="auto" w:fill="auto"/>
            <w:noWrap w:val="0"/>
            <w:tcMar>
              <w:top w:w="0" w:type="dxa"/>
              <w:left w:w="105" w:type="dxa"/>
              <w:bottom w:w="0" w:type="dxa"/>
              <w:right w:w="10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布帘（含铝合金轨道）</w:t>
            </w:r>
          </w:p>
        </w:tc>
        <w:tc>
          <w:tcPr>
            <w:tcW w:w="7035" w:type="dxa"/>
            <w:tcBorders>
              <w:top w:val="single" w:color="000000" w:sz="4" w:space="0"/>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pStyle w:val="26"/>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b/>
                <w:bCs/>
                <w:color w:val="auto"/>
                <w:sz w:val="21"/>
                <w:szCs w:val="21"/>
                <w:u w:val="single"/>
                <w:lang w:val="en-US" w:eastAsia="zh-CN"/>
              </w:rPr>
            </w:pPr>
            <w:r>
              <w:rPr>
                <w:rFonts w:hint="eastAsia" w:ascii="宋体" w:hAnsi="宋体" w:eastAsia="宋体" w:cs="宋体"/>
                <w:b/>
                <w:bCs/>
                <w:color w:val="auto"/>
                <w:sz w:val="21"/>
                <w:szCs w:val="21"/>
                <w:u w:val="single"/>
                <w:lang w:val="en-US" w:eastAsia="zh-CN"/>
              </w:rPr>
              <w:t>窗帘面料（棉麻提花布帘）：</w:t>
            </w:r>
          </w:p>
          <w:p>
            <w:pPr>
              <w:pStyle w:val="26"/>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1、克重≥1200g/m（门幅2.8米</w:t>
            </w:r>
            <w:r>
              <w:rPr>
                <w:rFonts w:hint="eastAsia" w:ascii="宋体" w:hAnsi="宋体" w:cs="宋体"/>
                <w:color w:val="auto"/>
                <w:sz w:val="21"/>
                <w:szCs w:val="21"/>
                <w:lang w:val="en-US" w:eastAsia="zh-CN"/>
              </w:rPr>
              <w:t>,即2.8</w:t>
            </w:r>
            <w:r>
              <w:rPr>
                <w:rFonts w:hint="eastAsia" w:ascii="宋体" w:hAnsi="宋体" w:eastAsia="宋体" w:cs="宋体"/>
                <w:color w:val="auto"/>
                <w:sz w:val="21"/>
                <w:szCs w:val="21"/>
                <w:lang w:val="en-US" w:eastAsia="zh-CN"/>
              </w:rPr>
              <w:t xml:space="preserve">㎡）；遮光率达≥90％； </w:t>
            </w:r>
            <w:r>
              <w:rPr>
                <w:rFonts w:hint="eastAsia" w:ascii="宋体" w:hAnsi="宋体" w:cs="宋体"/>
                <w:b/>
                <w:bCs/>
                <w:color w:val="auto"/>
                <w:sz w:val="21"/>
                <w:szCs w:val="21"/>
                <w:lang w:val="en-US" w:eastAsia="zh-CN"/>
              </w:rPr>
              <w:t>（项号1）</w:t>
            </w:r>
            <w:r>
              <w:rPr>
                <w:rFonts w:hint="eastAsia" w:ascii="宋体" w:hAnsi="宋体" w:eastAsia="宋体" w:cs="宋体"/>
                <w:b/>
                <w:bCs/>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p>
          <w:p>
            <w:pPr>
              <w:pStyle w:val="26"/>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2、pH值：</w:t>
            </w:r>
            <w:r>
              <w:rPr>
                <w:rFonts w:hint="eastAsia" w:asciiTheme="minorEastAsia" w:hAnsiTheme="minorEastAsia" w:eastAsiaTheme="minorEastAsia" w:cstheme="minorEastAsia"/>
                <w:color w:val="auto"/>
                <w:sz w:val="21"/>
                <w:szCs w:val="21"/>
                <w:lang w:val="en-US" w:eastAsia="zh-CN"/>
              </w:rPr>
              <w:t>4-9；</w:t>
            </w:r>
            <w:r>
              <w:rPr>
                <w:rFonts w:hint="eastAsia" w:ascii="宋体" w:hAnsi="宋体" w:cs="宋体"/>
                <w:b/>
                <w:bCs/>
                <w:color w:val="auto"/>
                <w:sz w:val="21"/>
                <w:szCs w:val="21"/>
                <w:lang w:val="en-US" w:eastAsia="zh-CN"/>
              </w:rPr>
              <w:t>（项号2）</w:t>
            </w:r>
            <w:r>
              <w:rPr>
                <w:rFonts w:hint="eastAsia" w:ascii="宋体" w:hAnsi="宋体" w:eastAsia="宋体" w:cs="宋体"/>
                <w:b/>
                <w:bCs/>
                <w:color w:val="auto"/>
                <w:sz w:val="21"/>
                <w:szCs w:val="21"/>
                <w:lang w:val="en-US" w:eastAsia="zh-CN"/>
              </w:rPr>
              <w:t xml:space="preserve"> </w:t>
            </w:r>
          </w:p>
          <w:p>
            <w:pPr>
              <w:pStyle w:val="26"/>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pacing w:val="-6"/>
                <w:sz w:val="21"/>
                <w:szCs w:val="21"/>
              </w:rPr>
              <w:t>▲</w:t>
            </w:r>
            <w:r>
              <w:rPr>
                <w:rFonts w:hint="eastAsia" w:ascii="宋体" w:hAnsi="宋体" w:eastAsia="宋体" w:cs="宋体"/>
                <w:color w:val="auto"/>
                <w:sz w:val="21"/>
                <w:szCs w:val="21"/>
                <w:lang w:val="en-US" w:eastAsia="zh-CN"/>
              </w:rPr>
              <w:t>3、甲醛含量：</w:t>
            </w:r>
            <w:r>
              <w:rPr>
                <w:rFonts w:hint="eastAsia" w:asciiTheme="minorEastAsia" w:hAnsiTheme="minorEastAsia" w:eastAsiaTheme="minorEastAsia" w:cstheme="minorEastAsia"/>
                <w:color w:val="auto"/>
                <w:sz w:val="21"/>
                <w:szCs w:val="21"/>
                <w:lang w:val="en-US" w:eastAsia="zh-CN"/>
              </w:rPr>
              <w:t>未检出，检出限≤300mg/kg；</w:t>
            </w:r>
            <w:r>
              <w:rPr>
                <w:rFonts w:hint="eastAsia" w:ascii="宋体" w:hAnsi="宋体" w:cs="宋体"/>
                <w:b/>
                <w:bCs/>
                <w:color w:val="auto"/>
                <w:sz w:val="21"/>
                <w:szCs w:val="21"/>
                <w:lang w:val="en-US" w:eastAsia="zh-CN"/>
              </w:rPr>
              <w:t>（项号3）</w:t>
            </w:r>
            <w:r>
              <w:rPr>
                <w:rFonts w:hint="eastAsia" w:ascii="宋体" w:hAnsi="宋体" w:eastAsia="宋体" w:cs="宋体"/>
                <w:b/>
                <w:bCs/>
                <w:color w:val="auto"/>
                <w:sz w:val="21"/>
                <w:szCs w:val="21"/>
                <w:lang w:val="en-US" w:eastAsia="zh-CN"/>
              </w:rPr>
              <w:t xml:space="preserve"> </w:t>
            </w:r>
          </w:p>
          <w:p>
            <w:pPr>
              <w:pStyle w:val="26"/>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4、可分解致癌芳香胺染料：禁用；</w:t>
            </w:r>
            <w:r>
              <w:rPr>
                <w:rFonts w:hint="eastAsia" w:ascii="宋体" w:hAnsi="宋体" w:cs="宋体"/>
                <w:b/>
                <w:bCs/>
                <w:color w:val="auto"/>
                <w:sz w:val="21"/>
                <w:szCs w:val="21"/>
                <w:lang w:val="en-US" w:eastAsia="zh-CN"/>
              </w:rPr>
              <w:t>（项号4）</w:t>
            </w:r>
            <w:r>
              <w:rPr>
                <w:rFonts w:hint="eastAsia" w:ascii="宋体" w:hAnsi="宋体" w:eastAsia="宋体" w:cs="宋体"/>
                <w:b/>
                <w:bCs/>
                <w:color w:val="auto"/>
                <w:sz w:val="21"/>
                <w:szCs w:val="21"/>
                <w:lang w:val="en-US" w:eastAsia="zh-CN"/>
              </w:rPr>
              <w:t xml:space="preserve"> </w:t>
            </w:r>
          </w:p>
          <w:p>
            <w:pPr>
              <w:pStyle w:val="26"/>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5、异味：无。</w:t>
            </w:r>
            <w:r>
              <w:rPr>
                <w:rFonts w:hint="eastAsia" w:ascii="宋体" w:hAnsi="宋体" w:cs="宋体"/>
                <w:b/>
                <w:bCs/>
                <w:color w:val="auto"/>
                <w:sz w:val="21"/>
                <w:szCs w:val="21"/>
                <w:lang w:val="en-US" w:eastAsia="zh-CN"/>
              </w:rPr>
              <w:t>（项号5）</w:t>
            </w:r>
            <w:r>
              <w:rPr>
                <w:rFonts w:hint="eastAsia" w:ascii="宋体" w:hAnsi="宋体" w:eastAsia="宋体" w:cs="宋体"/>
                <w:b/>
                <w:bCs/>
                <w:color w:val="auto"/>
                <w:sz w:val="21"/>
                <w:szCs w:val="21"/>
                <w:lang w:val="en-US" w:eastAsia="zh-CN"/>
              </w:rPr>
              <w:t xml:space="preserve"> </w:t>
            </w:r>
          </w:p>
          <w:p>
            <w:pPr>
              <w:pStyle w:val="26"/>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6、耐水洗色牢度≥4级，耐干洗色牢度≥4级，耐光色牢度≥</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 xml:space="preserve">级，耐磨色牢度≥4级； </w:t>
            </w:r>
            <w:r>
              <w:rPr>
                <w:rFonts w:hint="eastAsia" w:ascii="宋体" w:hAnsi="宋体" w:cs="宋体"/>
                <w:b/>
                <w:bCs/>
                <w:color w:val="auto"/>
                <w:sz w:val="21"/>
                <w:szCs w:val="21"/>
                <w:lang w:val="en-US" w:eastAsia="zh-CN"/>
              </w:rPr>
              <w:t>（项号6）</w:t>
            </w:r>
            <w:r>
              <w:rPr>
                <w:rFonts w:hint="eastAsia" w:ascii="宋体" w:hAnsi="宋体" w:eastAsia="宋体" w:cs="宋体"/>
                <w:b/>
                <w:bCs/>
                <w:color w:val="auto"/>
                <w:sz w:val="21"/>
                <w:szCs w:val="21"/>
                <w:lang w:val="en-US" w:eastAsia="zh-CN"/>
              </w:rPr>
              <w:t xml:space="preserve"> </w:t>
            </w:r>
          </w:p>
          <w:p>
            <w:pPr>
              <w:pStyle w:val="26"/>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7、防紫外线性能：紫外线防护系数：UPF/UPFAV&gt;40，紫外线透过率丅(UVA)/T(UVB)AV&lt;5；符合GB/T18830-2009标准；</w:t>
            </w:r>
            <w:r>
              <w:rPr>
                <w:rFonts w:hint="eastAsia" w:ascii="宋体" w:hAnsi="宋体" w:cs="宋体"/>
                <w:b/>
                <w:bCs/>
                <w:color w:val="auto"/>
                <w:sz w:val="21"/>
                <w:szCs w:val="21"/>
                <w:lang w:val="en-US" w:eastAsia="zh-CN"/>
              </w:rPr>
              <w:t>（项号7）</w:t>
            </w:r>
            <w:r>
              <w:rPr>
                <w:rFonts w:hint="eastAsia" w:ascii="宋体" w:hAnsi="宋体" w:eastAsia="宋体" w:cs="宋体"/>
                <w:b/>
                <w:bCs/>
                <w:color w:val="auto"/>
                <w:sz w:val="21"/>
                <w:szCs w:val="21"/>
                <w:lang w:val="en-US" w:eastAsia="zh-CN"/>
              </w:rPr>
              <w:t xml:space="preserve"> </w:t>
            </w:r>
          </w:p>
          <w:p>
            <w:pPr>
              <w:pStyle w:val="26"/>
              <w:keepNext w:val="0"/>
              <w:keepLines w:val="0"/>
              <w:widowControl/>
              <w:numPr>
                <w:ilvl w:val="0"/>
                <w:numId w:val="0"/>
              </w:numPr>
              <w:suppressLineNumbers w:val="0"/>
              <w:spacing w:before="0" w:beforeAutospacing="0" w:after="0" w:afterAutospacing="0" w:line="400" w:lineRule="exact"/>
              <w:ind w:left="0" w:right="0"/>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color w:val="auto"/>
                <w:spacing w:val="-6"/>
                <w:sz w:val="21"/>
                <w:szCs w:val="21"/>
              </w:rPr>
              <w:t>▲</w:t>
            </w:r>
            <w:r>
              <w:rPr>
                <w:rFonts w:hint="eastAsia" w:asciiTheme="minorEastAsia" w:hAnsiTheme="minorEastAsia" w:eastAsiaTheme="minorEastAsia" w:cstheme="minorEastAsia"/>
                <w:color w:val="auto"/>
                <w:spacing w:val="-6"/>
                <w:sz w:val="21"/>
                <w:szCs w:val="21"/>
                <w:lang w:val="en-US" w:eastAsia="zh-CN"/>
              </w:rPr>
              <w:t>8</w:t>
            </w:r>
            <w:r>
              <w:rPr>
                <w:rFonts w:hint="eastAsia" w:asciiTheme="minorEastAsia" w:hAnsiTheme="minorEastAsia" w:eastAsiaTheme="minorEastAsia" w:cstheme="minorEastAsia"/>
                <w:b w:val="0"/>
                <w:bCs w:val="0"/>
                <w:color w:val="auto"/>
                <w:sz w:val="21"/>
                <w:szCs w:val="21"/>
                <w:highlight w:val="none"/>
                <w:u w:val="none"/>
                <w:lang w:val="en-US" w:eastAsia="zh-CN"/>
              </w:rPr>
              <w:t>、需符合《生态纺织品技术要求》GB/T18885-2020(73种杀虫剂）每种杀虫剂总量&lt;1.0mg/kg；</w:t>
            </w:r>
            <w:r>
              <w:rPr>
                <w:rFonts w:hint="eastAsia" w:ascii="宋体" w:hAnsi="宋体" w:cs="宋体"/>
                <w:b/>
                <w:bCs/>
                <w:color w:val="auto"/>
                <w:sz w:val="21"/>
                <w:szCs w:val="21"/>
                <w:lang w:val="en-US" w:eastAsia="zh-CN"/>
              </w:rPr>
              <w:t>（项号8）</w:t>
            </w:r>
            <w:r>
              <w:rPr>
                <w:rFonts w:hint="eastAsia" w:ascii="宋体" w:hAnsi="宋体" w:eastAsia="宋体" w:cs="宋体"/>
                <w:b/>
                <w:bCs/>
                <w:color w:val="auto"/>
                <w:sz w:val="21"/>
                <w:szCs w:val="21"/>
                <w:lang w:val="en-US" w:eastAsia="zh-CN"/>
              </w:rPr>
              <w:t xml:space="preserve"> </w:t>
            </w:r>
          </w:p>
          <w:p>
            <w:pPr>
              <w:pStyle w:val="26"/>
              <w:numPr>
                <w:ilvl w:val="0"/>
                <w:numId w:val="0"/>
              </w:numPr>
              <w:spacing w:line="400" w:lineRule="exact"/>
              <w:jc w:val="left"/>
              <w:rPr>
                <w:color w:val="auto"/>
              </w:rPr>
            </w:pPr>
            <w:r>
              <w:rPr>
                <w:rFonts w:hint="eastAsia" w:asciiTheme="minorEastAsia" w:hAnsiTheme="minorEastAsia" w:eastAsiaTheme="minorEastAsia" w:cstheme="minorEastAsia"/>
                <w:color w:val="auto"/>
                <w:spacing w:val="-6"/>
                <w:sz w:val="21"/>
                <w:szCs w:val="21"/>
                <w:highlight w:val="none"/>
              </w:rPr>
              <w:t>▲</w:t>
            </w:r>
            <w:r>
              <w:rPr>
                <w:rFonts w:hint="eastAsia" w:asciiTheme="minorEastAsia" w:hAnsiTheme="minorEastAsia" w:eastAsiaTheme="minorEastAsia" w:cstheme="minorEastAsia"/>
                <w:color w:val="auto"/>
                <w:spacing w:val="-6"/>
                <w:sz w:val="21"/>
                <w:szCs w:val="21"/>
                <w:highlight w:val="none"/>
                <w:lang w:val="en-US" w:eastAsia="zh-CN"/>
              </w:rPr>
              <w:t>9</w:t>
            </w:r>
            <w:r>
              <w:rPr>
                <w:rFonts w:hint="eastAsia" w:asciiTheme="minorEastAsia" w:hAnsiTheme="minorEastAsia" w:eastAsiaTheme="minorEastAsia" w:cstheme="minorEastAsia"/>
                <w:b w:val="0"/>
                <w:bCs w:val="0"/>
                <w:color w:val="auto"/>
                <w:sz w:val="21"/>
                <w:szCs w:val="21"/>
                <w:highlight w:val="none"/>
                <w:u w:val="none"/>
                <w:lang w:val="en-US" w:eastAsia="zh-CN"/>
              </w:rPr>
              <w:t>、需符合GB/T24279.1-2008、GB/T24279.2-2021、GB/T18885-2020的（21种）禁用阻燃整理剂。</w:t>
            </w:r>
            <w:r>
              <w:rPr>
                <w:rFonts w:hint="eastAsia" w:ascii="宋体" w:hAnsi="宋体" w:cs="宋体"/>
                <w:b/>
                <w:bCs/>
                <w:color w:val="auto"/>
                <w:sz w:val="21"/>
                <w:szCs w:val="21"/>
                <w:lang w:val="en-US" w:eastAsia="zh-CN"/>
              </w:rPr>
              <w:t>（项号9）</w:t>
            </w:r>
            <w:r>
              <w:rPr>
                <w:rFonts w:hint="eastAsia" w:ascii="宋体" w:hAnsi="宋体" w:eastAsia="宋体" w:cs="宋体"/>
                <w:b/>
                <w:bCs/>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highlight w:val="none"/>
                <w:u w:val="none"/>
                <w:lang w:val="en-US" w:eastAsia="zh-CN"/>
              </w:rPr>
              <w:t xml:space="preserve">                                                      ▲10、总折痕回复角：急弹≥290º，缓弹≥300º。</w:t>
            </w:r>
            <w:r>
              <w:rPr>
                <w:rFonts w:hint="eastAsia" w:ascii="宋体" w:hAnsi="宋体" w:cs="宋体"/>
                <w:b/>
                <w:bCs/>
                <w:color w:val="auto"/>
                <w:sz w:val="21"/>
                <w:szCs w:val="21"/>
                <w:lang w:val="en-US" w:eastAsia="zh-CN"/>
              </w:rPr>
              <w:t>（项号10）</w:t>
            </w:r>
            <w:r>
              <w:rPr>
                <w:rFonts w:hint="eastAsia" w:ascii="宋体" w:hAnsi="宋体" w:eastAsia="宋体" w:cs="宋体"/>
                <w:b/>
                <w:bCs/>
                <w:color w:val="auto"/>
                <w:sz w:val="21"/>
                <w:szCs w:val="21"/>
                <w:lang w:val="en-US" w:eastAsia="zh-CN"/>
              </w:rPr>
              <w:t xml:space="preserve"> </w:t>
            </w:r>
          </w:p>
          <w:p>
            <w:pPr>
              <w:pStyle w:val="26"/>
              <w:numPr>
                <w:ilvl w:val="0"/>
                <w:numId w:val="0"/>
              </w:numPr>
              <w:spacing w:line="400" w:lineRule="exact"/>
              <w:rPr>
                <w:rFonts w:hint="eastAsia" w:ascii="宋体" w:hAnsi="宋体" w:cs="宋体"/>
                <w:b/>
                <w:bCs/>
                <w:color w:val="auto"/>
                <w:sz w:val="21"/>
                <w:szCs w:val="21"/>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▲11、断裂强力（N）：经向：≥2250；纬向：≥1300；GB/T3923.1-2013；胀破强力：≥1150Kpa；GB/T7742.1-2005；</w:t>
            </w:r>
            <w:r>
              <w:rPr>
                <w:rFonts w:hint="eastAsia" w:ascii="宋体" w:hAnsi="宋体" w:cs="宋体"/>
                <w:b/>
                <w:bCs/>
                <w:color w:val="auto"/>
                <w:sz w:val="21"/>
                <w:szCs w:val="21"/>
                <w:lang w:val="en-US" w:eastAsia="zh-CN"/>
              </w:rPr>
              <w:t>（项号11）</w:t>
            </w:r>
            <w:r>
              <w:rPr>
                <w:rFonts w:hint="eastAsia" w:ascii="宋体" w:hAnsi="宋体" w:cs="宋体"/>
                <w:b/>
                <w:bCs/>
                <w:color w:val="auto"/>
                <w:sz w:val="21"/>
                <w:szCs w:val="21"/>
                <w:lang w:val="en-US" w:eastAsia="zh"/>
              </w:rPr>
              <w:t xml:space="preserve">                            ▲12、</w:t>
            </w:r>
            <w:r>
              <w:rPr>
                <w:rFonts w:hint="eastAsia" w:asciiTheme="minorEastAsia" w:hAnsiTheme="minorEastAsia" w:eastAsiaTheme="minorEastAsia" w:cstheme="minorEastAsia"/>
                <w:color w:val="auto"/>
                <w:sz w:val="21"/>
                <w:szCs w:val="21"/>
                <w:highlight w:val="none"/>
              </w:rPr>
              <w:t>阻燃性能：需符合《建筑材料及制品燃烧性能分级》GB/T 8624-2012B1级</w:t>
            </w:r>
            <w:r>
              <w:rPr>
                <w:rFonts w:hint="eastAsia" w:asciiTheme="minorEastAsia" w:hAnsiTheme="minorEastAsia" w:eastAsiaTheme="minorEastAsia" w:cstheme="minorEastAsia"/>
                <w:color w:val="auto"/>
                <w:sz w:val="21"/>
                <w:szCs w:val="21"/>
                <w:highlight w:val="none"/>
                <w:lang w:eastAsia="zh-CN"/>
              </w:rPr>
              <w:t>；</w:t>
            </w:r>
            <w:r>
              <w:rPr>
                <w:rFonts w:hint="eastAsia" w:ascii="宋体" w:hAnsi="宋体" w:cs="宋体"/>
                <w:b/>
                <w:bCs/>
                <w:color w:val="auto"/>
                <w:sz w:val="21"/>
                <w:szCs w:val="21"/>
                <w:lang w:val="en-US" w:eastAsia="zh-CN"/>
              </w:rPr>
              <w:t>（项号12）</w:t>
            </w:r>
          </w:p>
          <w:p>
            <w:pPr>
              <w:pStyle w:val="26"/>
              <w:keepNext w:val="0"/>
              <w:keepLines w:val="0"/>
              <w:widowControl w:val="0"/>
              <w:numPr>
                <w:ilvl w:val="0"/>
                <w:numId w:val="0"/>
              </w:numPr>
              <w:suppressLineNumbers w:val="0"/>
              <w:spacing w:before="0" w:beforeAutospacing="0" w:after="0" w:afterAutospacing="0" w:line="400" w:lineRule="exact"/>
              <w:ind w:left="0" w:leftChars="0" w:right="0" w:firstLine="0" w:firstLineChars="0"/>
              <w:jc w:val="both"/>
              <w:rPr>
                <w:rFonts w:hint="eastAsia" w:ascii="宋体" w:hAnsi="宋体" w:eastAsia="宋体" w:cs="宋体"/>
                <w:color w:val="auto"/>
                <w:kern w:val="2"/>
                <w:sz w:val="21"/>
                <w:szCs w:val="21"/>
              </w:rPr>
            </w:pPr>
            <w:r>
              <w:rPr>
                <w:rFonts w:hint="eastAsia" w:asciiTheme="minorEastAsia" w:hAnsiTheme="minorEastAsia" w:eastAsiaTheme="minorEastAsia" w:cstheme="minorEastAsia"/>
                <w:b w:val="0"/>
                <w:bCs w:val="0"/>
                <w:color w:val="auto"/>
                <w:sz w:val="21"/>
                <w:szCs w:val="21"/>
                <w:highlight w:val="none"/>
                <w:u w:val="none"/>
                <w:lang w:val="en-US" w:eastAsia="zh"/>
              </w:rPr>
              <w:t>13、</w:t>
            </w:r>
            <w:r>
              <w:rPr>
                <w:rFonts w:hint="eastAsia" w:ascii="宋体" w:hAnsi="宋体" w:eastAsia="宋体" w:cs="宋体"/>
                <w:color w:val="auto"/>
                <w:kern w:val="2"/>
                <w:sz w:val="21"/>
                <w:szCs w:val="21"/>
                <w:lang w:val="en-US" w:eastAsia="zh-CN" w:bidi="ar"/>
              </w:rPr>
              <w:t>辅料布带(布头)；成分：100%聚酯纤维；</w:t>
            </w:r>
          </w:p>
          <w:p>
            <w:pPr>
              <w:pStyle w:val="26"/>
              <w:keepNext w:val="0"/>
              <w:keepLines w:val="0"/>
              <w:widowControl w:val="0"/>
              <w:numPr>
                <w:ilvl w:val="0"/>
                <w:numId w:val="0"/>
              </w:numPr>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rPr>
            </w:pPr>
            <w:r>
              <w:rPr>
                <w:rFonts w:hint="eastAsia" w:ascii="宋体" w:hAnsi="宋体" w:eastAsia="宋体" w:cs="宋体"/>
                <w:b w:val="0"/>
                <w:bCs w:val="0"/>
                <w:color w:val="auto"/>
                <w:kern w:val="2"/>
                <w:sz w:val="21"/>
                <w:szCs w:val="21"/>
                <w:lang w:val="en-US" w:eastAsia="zh" w:bidi="ar"/>
              </w:rPr>
              <w:t>(</w:t>
            </w:r>
            <w:r>
              <w:rPr>
                <w:rFonts w:hint="eastAsia" w:ascii="宋体" w:hAnsi="宋体" w:cs="宋体"/>
                <w:color w:val="auto"/>
                <w:kern w:val="2"/>
                <w:sz w:val="21"/>
                <w:szCs w:val="21"/>
                <w:lang w:val="en-US" w:eastAsia="zh-CN" w:bidi="ar"/>
              </w:rPr>
              <w:t>1</w:t>
            </w:r>
            <w:r>
              <w:rPr>
                <w:rFonts w:hint="eastAsia" w:ascii="宋体" w:hAnsi="宋体" w:eastAsia="宋体" w:cs="宋体"/>
                <w:color w:val="auto"/>
                <w:kern w:val="2"/>
                <w:sz w:val="21"/>
                <w:szCs w:val="21"/>
                <w:lang w:val="en-US" w:eastAsia="zh" w:bidi="ar"/>
              </w:rPr>
              <w:t>)</w:t>
            </w:r>
            <w:r>
              <w:rPr>
                <w:rFonts w:hint="eastAsia" w:ascii="宋体" w:hAnsi="宋体" w:eastAsia="宋体" w:cs="宋体"/>
                <w:color w:val="auto"/>
                <w:kern w:val="2"/>
                <w:sz w:val="21"/>
                <w:szCs w:val="21"/>
                <w:lang w:val="en-US" w:eastAsia="zh-CN" w:bidi="ar"/>
              </w:rPr>
              <w:t>、PH值4-9；</w:t>
            </w:r>
            <w:r>
              <w:rPr>
                <w:rFonts w:hint="eastAsia" w:ascii="宋体" w:hAnsi="宋体" w:eastAsia="宋体" w:cs="宋体"/>
                <w:b/>
                <w:bCs w:val="0"/>
                <w:color w:val="auto"/>
                <w:kern w:val="2"/>
                <w:sz w:val="21"/>
                <w:szCs w:val="21"/>
                <w:lang w:val="en-US" w:eastAsia="zh-CN" w:bidi="ar"/>
              </w:rPr>
              <w:t>（项</w:t>
            </w:r>
            <w:r>
              <w:rPr>
                <w:rFonts w:hint="eastAsia" w:ascii="宋体" w:hAnsi="宋体" w:cs="宋体"/>
                <w:b/>
                <w:bCs w:val="0"/>
                <w:color w:val="auto"/>
                <w:kern w:val="2"/>
                <w:sz w:val="21"/>
                <w:szCs w:val="21"/>
                <w:lang w:val="en-US" w:eastAsia="zh-CN" w:bidi="ar"/>
              </w:rPr>
              <w:t>号</w:t>
            </w:r>
            <w:r>
              <w:rPr>
                <w:rFonts w:hint="eastAsia" w:ascii="宋体" w:hAnsi="宋体" w:eastAsia="宋体" w:cs="宋体"/>
                <w:b/>
                <w:bCs w:val="0"/>
                <w:color w:val="auto"/>
                <w:kern w:val="2"/>
                <w:sz w:val="21"/>
                <w:szCs w:val="21"/>
                <w:lang w:val="en-US" w:eastAsia="zh-CN" w:bidi="ar"/>
              </w:rPr>
              <w:t>1</w:t>
            </w:r>
            <w:r>
              <w:rPr>
                <w:rFonts w:hint="eastAsia" w:ascii="宋体" w:hAnsi="宋体" w:eastAsia="宋体" w:cs="宋体"/>
                <w:b/>
                <w:bCs w:val="0"/>
                <w:color w:val="auto"/>
                <w:kern w:val="2"/>
                <w:sz w:val="21"/>
                <w:szCs w:val="21"/>
                <w:lang w:val="en-US" w:eastAsia="zh" w:bidi="ar"/>
              </w:rPr>
              <w:t>3</w:t>
            </w:r>
            <w:r>
              <w:rPr>
                <w:rFonts w:hint="eastAsia" w:ascii="宋体" w:hAnsi="宋体" w:eastAsia="宋体" w:cs="宋体"/>
                <w:b/>
                <w:bCs w:val="0"/>
                <w:color w:val="auto"/>
                <w:kern w:val="2"/>
                <w:sz w:val="21"/>
                <w:szCs w:val="21"/>
                <w:lang w:val="en-US" w:eastAsia="zh-CN" w:bidi="ar"/>
              </w:rPr>
              <w:t>）</w:t>
            </w:r>
          </w:p>
          <w:p>
            <w:pPr>
              <w:pStyle w:val="26"/>
              <w:keepNext w:val="0"/>
              <w:keepLines w:val="0"/>
              <w:widowControl w:val="0"/>
              <w:numPr>
                <w:ilvl w:val="0"/>
                <w:numId w:val="0"/>
              </w:numPr>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rPr>
            </w:pPr>
            <w:r>
              <w:rPr>
                <w:rFonts w:hint="eastAsia" w:ascii="宋体" w:hAnsi="宋体" w:eastAsia="宋体" w:cs="宋体"/>
                <w:b w:val="0"/>
                <w:bCs w:val="0"/>
                <w:color w:val="auto"/>
                <w:kern w:val="2"/>
                <w:sz w:val="21"/>
                <w:szCs w:val="21"/>
                <w:lang w:val="en-US" w:eastAsia="zh" w:bidi="ar"/>
              </w:rPr>
              <w:t>(</w:t>
            </w:r>
            <w:r>
              <w:rPr>
                <w:rFonts w:hint="eastAsia" w:ascii="宋体" w:hAnsi="宋体" w:cs="宋体"/>
                <w:color w:val="auto"/>
                <w:kern w:val="2"/>
                <w:sz w:val="21"/>
                <w:szCs w:val="21"/>
                <w:lang w:val="en-US" w:eastAsia="zh-CN" w:bidi="ar"/>
              </w:rPr>
              <w:t>2</w:t>
            </w:r>
            <w:r>
              <w:rPr>
                <w:rFonts w:hint="eastAsia" w:ascii="宋体" w:hAnsi="宋体" w:eastAsia="宋体" w:cs="宋体"/>
                <w:color w:val="auto"/>
                <w:kern w:val="2"/>
                <w:sz w:val="21"/>
                <w:szCs w:val="21"/>
                <w:lang w:val="en-US" w:eastAsia="zh" w:bidi="ar"/>
              </w:rPr>
              <w:t>)</w:t>
            </w:r>
            <w:r>
              <w:rPr>
                <w:rFonts w:hint="eastAsia" w:ascii="宋体" w:hAnsi="宋体" w:eastAsia="宋体" w:cs="宋体"/>
                <w:color w:val="auto"/>
                <w:kern w:val="2"/>
                <w:sz w:val="21"/>
                <w:szCs w:val="21"/>
                <w:lang w:val="en-US" w:eastAsia="zh-CN" w:bidi="ar"/>
              </w:rPr>
              <w:t>、甲醛含量：未检出，检出限≤300mg/kg；</w:t>
            </w:r>
            <w:r>
              <w:rPr>
                <w:rFonts w:hint="eastAsia" w:ascii="宋体" w:hAnsi="宋体" w:eastAsia="宋体" w:cs="宋体"/>
                <w:b/>
                <w:bCs w:val="0"/>
                <w:color w:val="auto"/>
                <w:kern w:val="2"/>
                <w:sz w:val="21"/>
                <w:szCs w:val="21"/>
                <w:lang w:val="en-US" w:eastAsia="zh-CN" w:bidi="ar"/>
              </w:rPr>
              <w:t>（项</w:t>
            </w:r>
            <w:r>
              <w:rPr>
                <w:rFonts w:hint="eastAsia" w:ascii="宋体" w:hAnsi="宋体" w:cs="宋体"/>
                <w:b/>
                <w:bCs w:val="0"/>
                <w:color w:val="auto"/>
                <w:kern w:val="2"/>
                <w:sz w:val="21"/>
                <w:szCs w:val="21"/>
                <w:lang w:val="en-US" w:eastAsia="zh-CN" w:bidi="ar"/>
              </w:rPr>
              <w:t>号</w:t>
            </w:r>
            <w:r>
              <w:rPr>
                <w:rFonts w:hint="eastAsia" w:ascii="宋体" w:hAnsi="宋体" w:eastAsia="宋体" w:cs="宋体"/>
                <w:b/>
                <w:bCs w:val="0"/>
                <w:color w:val="auto"/>
                <w:kern w:val="2"/>
                <w:sz w:val="21"/>
                <w:szCs w:val="21"/>
                <w:lang w:val="en-US" w:eastAsia="zh-CN" w:bidi="ar"/>
              </w:rPr>
              <w:t>1</w:t>
            </w:r>
            <w:r>
              <w:rPr>
                <w:rFonts w:hint="eastAsia" w:ascii="宋体" w:hAnsi="宋体" w:eastAsia="宋体" w:cs="宋体"/>
                <w:b/>
                <w:bCs w:val="0"/>
                <w:color w:val="auto"/>
                <w:kern w:val="2"/>
                <w:sz w:val="21"/>
                <w:szCs w:val="21"/>
                <w:lang w:val="en-US" w:eastAsia="zh" w:bidi="ar"/>
              </w:rPr>
              <w:t>4</w:t>
            </w:r>
            <w:r>
              <w:rPr>
                <w:rFonts w:hint="eastAsia" w:ascii="宋体" w:hAnsi="宋体" w:eastAsia="宋体" w:cs="宋体"/>
                <w:b/>
                <w:bCs w:val="0"/>
                <w:color w:val="auto"/>
                <w:kern w:val="2"/>
                <w:sz w:val="21"/>
                <w:szCs w:val="21"/>
                <w:lang w:val="en-US" w:eastAsia="zh-CN" w:bidi="ar"/>
              </w:rPr>
              <w:t>）</w:t>
            </w:r>
          </w:p>
          <w:p>
            <w:pPr>
              <w:pStyle w:val="26"/>
              <w:keepNext w:val="0"/>
              <w:keepLines w:val="0"/>
              <w:widowControl w:val="0"/>
              <w:numPr>
                <w:ilvl w:val="0"/>
                <w:numId w:val="0"/>
              </w:numPr>
              <w:suppressLineNumbers w:val="0"/>
              <w:spacing w:before="0" w:beforeAutospacing="0" w:after="0" w:afterAutospacing="0" w:line="400" w:lineRule="exact"/>
              <w:ind w:left="0" w:right="0" w:firstLine="0" w:firstLineChars="0"/>
              <w:jc w:val="both"/>
              <w:rPr>
                <w:rFonts w:hint="eastAsia" w:ascii="宋体" w:hAnsi="宋体" w:eastAsia="宋体" w:cs="宋体"/>
                <w:b/>
                <w:bCs w:val="0"/>
                <w:color w:val="auto"/>
                <w:kern w:val="2"/>
                <w:sz w:val="21"/>
                <w:szCs w:val="21"/>
                <w:lang w:val="en-US" w:eastAsia="zh-CN" w:bidi="ar"/>
              </w:rPr>
            </w:pPr>
            <w:r>
              <w:rPr>
                <w:rFonts w:hint="eastAsia" w:ascii="宋体" w:hAnsi="宋体" w:eastAsia="宋体" w:cs="宋体"/>
                <w:b w:val="0"/>
                <w:bCs w:val="0"/>
                <w:color w:val="auto"/>
                <w:kern w:val="2"/>
                <w:sz w:val="21"/>
                <w:szCs w:val="21"/>
                <w:lang w:val="en-US" w:eastAsia="zh" w:bidi="ar"/>
              </w:rPr>
              <w:t>(</w:t>
            </w:r>
            <w:r>
              <w:rPr>
                <w:rFonts w:hint="eastAsia" w:ascii="宋体" w:hAnsi="宋体" w:eastAsia="宋体" w:cs="宋体"/>
                <w:color w:val="auto"/>
                <w:kern w:val="2"/>
                <w:sz w:val="21"/>
                <w:szCs w:val="21"/>
                <w:lang w:val="en-US" w:eastAsia="zh-CN" w:bidi="ar"/>
              </w:rPr>
              <w:t>3</w:t>
            </w:r>
            <w:r>
              <w:rPr>
                <w:rFonts w:hint="eastAsia" w:ascii="宋体" w:hAnsi="宋体" w:eastAsia="宋体" w:cs="宋体"/>
                <w:color w:val="auto"/>
                <w:kern w:val="2"/>
                <w:sz w:val="21"/>
                <w:szCs w:val="21"/>
                <w:lang w:val="en-US" w:eastAsia="zh" w:bidi="ar"/>
              </w:rPr>
              <w:t>)</w:t>
            </w:r>
            <w:r>
              <w:rPr>
                <w:rFonts w:hint="eastAsia" w:ascii="宋体" w:hAnsi="宋体" w:eastAsia="宋体" w:cs="宋体"/>
                <w:color w:val="auto"/>
                <w:kern w:val="2"/>
                <w:sz w:val="21"/>
                <w:szCs w:val="21"/>
                <w:lang w:val="en-US" w:eastAsia="zh-CN" w:bidi="ar"/>
              </w:rPr>
              <w:t>、可分解致癌芳香胺染料含量:</w:t>
            </w:r>
            <w:r>
              <w:rPr>
                <w:rFonts w:hint="eastAsia" w:ascii="宋体" w:hAnsi="宋体" w:eastAsia="宋体" w:cs="宋体"/>
                <w:color w:val="auto"/>
                <w:sz w:val="21"/>
                <w:szCs w:val="21"/>
                <w:lang w:val="en-US" w:eastAsia="zh-CN"/>
              </w:rPr>
              <w:t>禁用；</w:t>
            </w:r>
            <w:r>
              <w:rPr>
                <w:rFonts w:hint="eastAsia" w:ascii="宋体" w:hAnsi="宋体" w:eastAsia="宋体" w:cs="宋体"/>
                <w:b/>
                <w:bCs w:val="0"/>
                <w:color w:val="auto"/>
                <w:kern w:val="2"/>
                <w:sz w:val="21"/>
                <w:szCs w:val="21"/>
                <w:lang w:val="en-US" w:eastAsia="zh-CN" w:bidi="ar"/>
              </w:rPr>
              <w:t>（项</w:t>
            </w:r>
            <w:r>
              <w:rPr>
                <w:rFonts w:hint="eastAsia" w:ascii="宋体" w:hAnsi="宋体" w:cs="宋体"/>
                <w:b/>
                <w:bCs w:val="0"/>
                <w:color w:val="auto"/>
                <w:kern w:val="2"/>
                <w:sz w:val="21"/>
                <w:szCs w:val="21"/>
                <w:lang w:val="en-US" w:eastAsia="zh-CN" w:bidi="ar"/>
              </w:rPr>
              <w:t>号</w:t>
            </w:r>
            <w:r>
              <w:rPr>
                <w:rFonts w:hint="eastAsia" w:ascii="宋体" w:hAnsi="宋体" w:eastAsia="宋体" w:cs="宋体"/>
                <w:b/>
                <w:bCs w:val="0"/>
                <w:color w:val="auto"/>
                <w:kern w:val="2"/>
                <w:sz w:val="21"/>
                <w:szCs w:val="21"/>
                <w:lang w:val="en-US" w:eastAsia="zh-CN" w:bidi="ar"/>
              </w:rPr>
              <w:t>1</w:t>
            </w:r>
            <w:r>
              <w:rPr>
                <w:rFonts w:hint="eastAsia" w:ascii="宋体" w:hAnsi="宋体" w:eastAsia="宋体" w:cs="宋体"/>
                <w:b/>
                <w:bCs w:val="0"/>
                <w:color w:val="auto"/>
                <w:kern w:val="2"/>
                <w:sz w:val="21"/>
                <w:szCs w:val="21"/>
                <w:lang w:val="en-US" w:eastAsia="zh" w:bidi="ar"/>
              </w:rPr>
              <w:t>5</w:t>
            </w:r>
            <w:r>
              <w:rPr>
                <w:rFonts w:hint="eastAsia" w:ascii="宋体" w:hAnsi="宋体" w:eastAsia="宋体" w:cs="宋体"/>
                <w:b/>
                <w:bCs w:val="0"/>
                <w:color w:val="auto"/>
                <w:kern w:val="2"/>
                <w:sz w:val="21"/>
                <w:szCs w:val="21"/>
                <w:lang w:val="en-US" w:eastAsia="zh-CN" w:bidi="ar"/>
              </w:rPr>
              <w:t>）</w:t>
            </w:r>
          </w:p>
          <w:p>
            <w:pPr>
              <w:pStyle w:val="26"/>
              <w:keepNext w:val="0"/>
              <w:keepLines w:val="0"/>
              <w:widowControl w:val="0"/>
              <w:numPr>
                <w:ilvl w:val="0"/>
                <w:numId w:val="0"/>
              </w:numPr>
              <w:suppressLineNumbers w:val="0"/>
              <w:spacing w:before="0" w:beforeAutospacing="0" w:after="0" w:afterAutospacing="0" w:line="400" w:lineRule="exact"/>
              <w:ind w:left="0" w:right="0" w:firstLine="0" w:firstLineChars="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w:t>
            </w:r>
            <w:r>
              <w:rPr>
                <w:rFonts w:hint="eastAsia" w:ascii="宋体" w:hAnsi="宋体" w:eastAsia="宋体" w:cs="宋体"/>
                <w:color w:val="auto"/>
                <w:kern w:val="2"/>
                <w:sz w:val="21"/>
                <w:szCs w:val="21"/>
                <w:lang w:val="en-US" w:eastAsia="zh" w:bidi="ar"/>
              </w:rPr>
              <w:t>(</w:t>
            </w:r>
            <w:r>
              <w:rPr>
                <w:rFonts w:hint="eastAsia" w:ascii="宋体" w:hAnsi="宋体" w:eastAsia="宋体" w:cs="宋体"/>
                <w:color w:val="auto"/>
                <w:kern w:val="2"/>
                <w:sz w:val="21"/>
                <w:szCs w:val="21"/>
                <w:lang w:val="en-US" w:eastAsia="zh-CN" w:bidi="ar"/>
              </w:rPr>
              <w:t>4</w:t>
            </w:r>
            <w:r>
              <w:rPr>
                <w:rFonts w:hint="eastAsia" w:ascii="宋体" w:hAnsi="宋体" w:eastAsia="宋体" w:cs="宋体"/>
                <w:color w:val="auto"/>
                <w:kern w:val="2"/>
                <w:sz w:val="21"/>
                <w:szCs w:val="21"/>
                <w:lang w:val="en-US" w:eastAsia="zh" w:bidi="ar"/>
              </w:rPr>
              <w:t>)</w:t>
            </w:r>
            <w:r>
              <w:rPr>
                <w:rFonts w:hint="eastAsia" w:ascii="宋体" w:hAnsi="宋体" w:eastAsia="宋体" w:cs="宋体"/>
                <w:color w:val="auto"/>
                <w:kern w:val="2"/>
                <w:sz w:val="21"/>
                <w:szCs w:val="21"/>
                <w:lang w:val="en-US" w:eastAsia="zh-CN" w:bidi="ar"/>
              </w:rPr>
              <w:t>、致敏性染料:未检出，检出限≤5mg/kg；</w:t>
            </w:r>
            <w:r>
              <w:rPr>
                <w:rFonts w:hint="eastAsia" w:ascii="宋体" w:hAnsi="宋体" w:eastAsia="宋体" w:cs="宋体"/>
                <w:b/>
                <w:bCs w:val="0"/>
                <w:color w:val="auto"/>
                <w:kern w:val="2"/>
                <w:sz w:val="21"/>
                <w:szCs w:val="21"/>
                <w:lang w:val="en-US" w:eastAsia="zh-CN" w:bidi="ar"/>
              </w:rPr>
              <w:t>（项</w:t>
            </w:r>
            <w:r>
              <w:rPr>
                <w:rFonts w:hint="eastAsia" w:ascii="宋体" w:hAnsi="宋体" w:cs="宋体"/>
                <w:b/>
                <w:bCs w:val="0"/>
                <w:color w:val="auto"/>
                <w:kern w:val="2"/>
                <w:sz w:val="21"/>
                <w:szCs w:val="21"/>
                <w:lang w:val="en-US" w:eastAsia="zh-CN" w:bidi="ar"/>
              </w:rPr>
              <w:t>号</w:t>
            </w:r>
            <w:r>
              <w:rPr>
                <w:rFonts w:hint="eastAsia" w:ascii="宋体" w:hAnsi="宋体" w:eastAsia="宋体" w:cs="宋体"/>
                <w:b/>
                <w:bCs w:val="0"/>
                <w:color w:val="auto"/>
                <w:kern w:val="2"/>
                <w:sz w:val="21"/>
                <w:szCs w:val="21"/>
                <w:lang w:val="en-US" w:eastAsia="zh-CN" w:bidi="ar"/>
              </w:rPr>
              <w:t>1</w:t>
            </w:r>
            <w:r>
              <w:rPr>
                <w:rFonts w:hint="eastAsia" w:ascii="宋体" w:hAnsi="宋体" w:eastAsia="宋体" w:cs="宋体"/>
                <w:b/>
                <w:bCs w:val="0"/>
                <w:color w:val="auto"/>
                <w:kern w:val="2"/>
                <w:sz w:val="21"/>
                <w:szCs w:val="21"/>
                <w:lang w:val="en-US" w:eastAsia="zh" w:bidi="ar"/>
              </w:rPr>
              <w:t>6</w:t>
            </w:r>
            <w:r>
              <w:rPr>
                <w:rFonts w:hint="eastAsia" w:ascii="宋体" w:hAnsi="宋体" w:eastAsia="宋体" w:cs="宋体"/>
                <w:b/>
                <w:bCs w:val="0"/>
                <w:color w:val="auto"/>
                <w:kern w:val="2"/>
                <w:sz w:val="21"/>
                <w:szCs w:val="21"/>
                <w:lang w:val="en-US" w:eastAsia="zh-CN" w:bidi="ar"/>
              </w:rPr>
              <w:t>）</w:t>
            </w:r>
          </w:p>
          <w:p>
            <w:pPr>
              <w:pStyle w:val="26"/>
              <w:numPr>
                <w:ilvl w:val="0"/>
                <w:numId w:val="0"/>
              </w:numPr>
              <w:spacing w:before="0" w:beforeAutospacing="0" w:after="0" w:afterAutospacing="0" w:line="400" w:lineRule="exact"/>
              <w:rPr>
                <w:color w:val="auto"/>
              </w:rPr>
            </w:pPr>
            <w:r>
              <w:rPr>
                <w:rFonts w:hint="eastAsia" w:ascii="宋体" w:hAnsi="宋体" w:eastAsia="宋体" w:cs="宋体"/>
                <w:color w:val="auto"/>
                <w:kern w:val="2"/>
                <w:sz w:val="21"/>
                <w:szCs w:val="21"/>
                <w:lang w:val="en-US" w:eastAsia="zh-CN" w:bidi="ar"/>
              </w:rPr>
              <w:t>▲</w:t>
            </w:r>
            <w:r>
              <w:rPr>
                <w:rFonts w:hint="eastAsia" w:ascii="宋体" w:hAnsi="宋体" w:eastAsia="宋体" w:cs="宋体"/>
                <w:color w:val="auto"/>
                <w:kern w:val="2"/>
                <w:sz w:val="21"/>
                <w:szCs w:val="21"/>
                <w:lang w:val="en-US" w:eastAsia="zh" w:bidi="ar"/>
              </w:rPr>
              <w:t>(</w:t>
            </w:r>
            <w:r>
              <w:rPr>
                <w:rFonts w:hint="eastAsia" w:ascii="宋体" w:hAnsi="宋体" w:eastAsia="宋体" w:cs="宋体"/>
                <w:b/>
                <w:bCs/>
                <w:color w:val="auto"/>
                <w:kern w:val="2"/>
                <w:sz w:val="21"/>
                <w:szCs w:val="21"/>
                <w:lang w:val="en-US" w:eastAsia="zh-CN" w:bidi="ar"/>
              </w:rPr>
              <w:t>5</w:t>
            </w:r>
            <w:r>
              <w:rPr>
                <w:rFonts w:hint="eastAsia" w:ascii="宋体" w:hAnsi="宋体" w:eastAsia="宋体" w:cs="宋体"/>
                <w:color w:val="auto"/>
                <w:kern w:val="2"/>
                <w:sz w:val="21"/>
                <w:szCs w:val="21"/>
                <w:lang w:val="en-US" w:eastAsia="zh" w:bidi="ar"/>
              </w:rPr>
              <w:t>)</w:t>
            </w:r>
            <w:r>
              <w:rPr>
                <w:rFonts w:hint="eastAsia" w:ascii="宋体" w:hAnsi="宋体" w:eastAsia="宋体" w:cs="宋体"/>
                <w:color w:val="auto"/>
                <w:kern w:val="2"/>
                <w:sz w:val="21"/>
                <w:szCs w:val="21"/>
                <w:lang w:val="en-US" w:eastAsia="zh-CN" w:bidi="ar"/>
              </w:rPr>
              <w:t>、强力保持率：经向：≥80%，纬向：≥120%；符合GB/T31899-2015;GB/T3923.1-2013；</w:t>
            </w:r>
            <w:r>
              <w:rPr>
                <w:rFonts w:hint="eastAsia" w:ascii="宋体" w:hAnsi="宋体" w:eastAsia="宋体" w:cs="宋体"/>
                <w:b/>
                <w:bCs w:val="0"/>
                <w:color w:val="auto"/>
                <w:kern w:val="2"/>
                <w:sz w:val="21"/>
                <w:szCs w:val="21"/>
                <w:lang w:val="en-US" w:eastAsia="zh-CN" w:bidi="ar"/>
              </w:rPr>
              <w:t>（项</w:t>
            </w:r>
            <w:r>
              <w:rPr>
                <w:rFonts w:hint="eastAsia" w:ascii="宋体" w:hAnsi="宋体" w:cs="宋体"/>
                <w:b/>
                <w:bCs w:val="0"/>
                <w:color w:val="auto"/>
                <w:kern w:val="2"/>
                <w:sz w:val="21"/>
                <w:szCs w:val="21"/>
                <w:lang w:val="en-US" w:eastAsia="zh-CN" w:bidi="ar"/>
              </w:rPr>
              <w:t>号</w:t>
            </w:r>
            <w:r>
              <w:rPr>
                <w:rFonts w:hint="eastAsia" w:ascii="宋体" w:hAnsi="宋体" w:eastAsia="宋体" w:cs="宋体"/>
                <w:b/>
                <w:bCs w:val="0"/>
                <w:color w:val="auto"/>
                <w:kern w:val="2"/>
                <w:sz w:val="21"/>
                <w:szCs w:val="21"/>
                <w:lang w:val="en-US" w:eastAsia="zh-CN" w:bidi="ar"/>
              </w:rPr>
              <w:t>1</w:t>
            </w:r>
            <w:r>
              <w:rPr>
                <w:rFonts w:hint="eastAsia" w:ascii="宋体" w:hAnsi="宋体" w:eastAsia="宋体" w:cs="宋体"/>
                <w:b/>
                <w:bCs w:val="0"/>
                <w:color w:val="auto"/>
                <w:kern w:val="2"/>
                <w:sz w:val="21"/>
                <w:szCs w:val="21"/>
                <w:lang w:val="en-US" w:eastAsia="zh" w:bidi="ar"/>
              </w:rPr>
              <w:t>7</w:t>
            </w:r>
            <w:r>
              <w:rPr>
                <w:rFonts w:hint="eastAsia" w:ascii="宋体" w:hAnsi="宋体" w:eastAsia="宋体" w:cs="宋体"/>
                <w:b/>
                <w:bCs w:val="0"/>
                <w:color w:val="auto"/>
                <w:kern w:val="2"/>
                <w:sz w:val="21"/>
                <w:szCs w:val="21"/>
                <w:lang w:val="en-US" w:eastAsia="zh-CN" w:bidi="ar"/>
              </w:rPr>
              <w:t>）</w:t>
            </w:r>
          </w:p>
          <w:p>
            <w:pPr>
              <w:pStyle w:val="26"/>
              <w:numPr>
                <w:ilvl w:val="0"/>
                <w:numId w:val="0"/>
              </w:numPr>
              <w:spacing w:line="400" w:lineRule="exact"/>
              <w:rPr>
                <w:color w:val="auto"/>
              </w:rPr>
            </w:pPr>
            <w:r>
              <w:rPr>
                <w:rFonts w:hint="eastAsia" w:ascii="宋体" w:hAnsi="宋体" w:eastAsia="宋体" w:cs="宋体"/>
                <w:color w:val="auto"/>
                <w:kern w:val="2"/>
                <w:sz w:val="21"/>
                <w:szCs w:val="21"/>
                <w:lang w:val="en-US" w:eastAsia="zh" w:bidi="ar"/>
              </w:rPr>
              <w:t>(</w:t>
            </w:r>
            <w:r>
              <w:rPr>
                <w:rFonts w:hint="eastAsia" w:ascii="宋体" w:hAnsi="宋体" w:cs="宋体"/>
                <w:color w:val="auto"/>
                <w:kern w:val="2"/>
                <w:sz w:val="21"/>
                <w:szCs w:val="21"/>
                <w:lang w:val="en-US" w:eastAsia="zh-CN" w:bidi="ar"/>
              </w:rPr>
              <w:t>6</w:t>
            </w:r>
            <w:r>
              <w:rPr>
                <w:rFonts w:hint="eastAsia" w:ascii="宋体" w:hAnsi="宋体" w:eastAsia="宋体" w:cs="宋体"/>
                <w:color w:val="auto"/>
                <w:kern w:val="2"/>
                <w:sz w:val="21"/>
                <w:szCs w:val="21"/>
                <w:lang w:val="en-US" w:eastAsia="zh" w:bidi="ar"/>
              </w:rPr>
              <w:t>）</w:t>
            </w:r>
            <w:r>
              <w:rPr>
                <w:rFonts w:hint="eastAsia" w:ascii="宋体" w:hAnsi="宋体" w:eastAsia="宋体" w:cs="宋体"/>
                <w:color w:val="auto"/>
                <w:kern w:val="2"/>
                <w:sz w:val="21"/>
                <w:szCs w:val="21"/>
                <w:lang w:val="en-US" w:eastAsia="zh-CN" w:bidi="ar"/>
              </w:rPr>
              <w:t>、辅料布叉、绑带：配置相适合的布叉绑带。</w:t>
            </w:r>
            <w:r>
              <w:rPr>
                <w:rFonts w:hint="eastAsia" w:ascii="宋体" w:hAnsi="宋体" w:cs="宋体"/>
                <w:b/>
                <w:bCs/>
                <w:color w:val="auto"/>
                <w:sz w:val="21"/>
                <w:szCs w:val="21"/>
                <w:lang w:val="en-US" w:eastAsia="zh-CN"/>
              </w:rPr>
              <w:t>（项号18）</w:t>
            </w:r>
          </w:p>
          <w:p>
            <w:pPr>
              <w:pStyle w:val="26"/>
              <w:keepNext w:val="0"/>
              <w:keepLines w:val="0"/>
              <w:numPr>
                <w:ilvl w:val="0"/>
                <w:numId w:val="0"/>
              </w:numPr>
              <w:suppressLineNumbers w:val="0"/>
              <w:spacing w:before="0" w:beforeAutospacing="0" w:after="0" w:afterAutospacing="0" w:line="400" w:lineRule="exact"/>
              <w:ind w:left="0" w:right="0" w:firstLine="0" w:firstLineChars="0"/>
              <w:rPr>
                <w:rFonts w:hint="eastAsia" w:ascii="宋体" w:hAnsi="宋体" w:eastAsia="宋体" w:cs="宋体"/>
                <w:color w:val="auto"/>
                <w:sz w:val="21"/>
                <w:szCs w:val="21"/>
                <w:u w:val="singl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 xml:space="preserve">                                             </w:t>
            </w:r>
          </w:p>
          <w:p>
            <w:pPr>
              <w:pStyle w:val="26"/>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cs="宋体"/>
                <w:b/>
                <w:bCs/>
                <w:color w:val="auto"/>
                <w:sz w:val="21"/>
                <w:szCs w:val="21"/>
                <w:u w:val="single"/>
                <w:lang w:val="en-US" w:eastAsia="zh-CN"/>
              </w:rPr>
            </w:pPr>
            <w:r>
              <w:rPr>
                <w:rFonts w:hint="eastAsia" w:ascii="宋体" w:hAnsi="宋体" w:eastAsia="宋体" w:cs="宋体"/>
                <w:b/>
                <w:bCs/>
                <w:color w:val="auto"/>
                <w:sz w:val="21"/>
                <w:szCs w:val="21"/>
                <w:u w:val="single"/>
                <w:lang w:val="en-US" w:eastAsia="zh-CN"/>
              </w:rPr>
              <w:t>铝合金轨道：铝合金材质；</w:t>
            </w:r>
          </w:p>
          <w:p>
            <w:pPr>
              <w:pStyle w:val="26"/>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、铝合金轨道尺寸：宽23.8mm±0.2mm,高32mm±0.2mm；</w:t>
            </w:r>
            <w:r>
              <w:rPr>
                <w:rFonts w:hint="eastAsia" w:ascii="宋体" w:hAnsi="宋体" w:cs="宋体"/>
                <w:b/>
                <w:bCs/>
                <w:color w:val="auto"/>
                <w:sz w:val="21"/>
                <w:szCs w:val="21"/>
                <w:lang w:val="en-US" w:eastAsia="zh-CN"/>
              </w:rPr>
              <w:t>（项号19）</w:t>
            </w:r>
            <w:r>
              <w:rPr>
                <w:rFonts w:hint="eastAsia" w:ascii="宋体" w:hAnsi="宋体" w:eastAsia="宋体" w:cs="宋体"/>
                <w:b/>
                <w:bCs/>
                <w:color w:val="auto"/>
                <w:sz w:val="21"/>
                <w:szCs w:val="21"/>
                <w:lang w:val="en-US" w:eastAsia="zh-CN"/>
              </w:rPr>
              <w:t xml:space="preserve"> </w:t>
            </w:r>
          </w:p>
          <w:p>
            <w:pPr>
              <w:pStyle w:val="26"/>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、铝合金轨道厚度：2.0mm±0.2mm；</w:t>
            </w:r>
            <w:r>
              <w:rPr>
                <w:rFonts w:hint="eastAsia" w:ascii="宋体" w:hAnsi="宋体" w:cs="宋体"/>
                <w:b/>
                <w:bCs/>
                <w:color w:val="auto"/>
                <w:sz w:val="21"/>
                <w:szCs w:val="21"/>
                <w:lang w:val="en-US" w:eastAsia="zh-CN"/>
              </w:rPr>
              <w:t>（项号</w:t>
            </w:r>
            <w:r>
              <w:rPr>
                <w:rFonts w:hint="eastAsia" w:ascii="宋体" w:hAnsi="宋体" w:cs="宋体"/>
                <w:b/>
                <w:bCs/>
                <w:color w:val="auto"/>
                <w:sz w:val="21"/>
                <w:szCs w:val="21"/>
                <w:lang w:val="en-US" w:eastAsia="zh"/>
              </w:rPr>
              <w:t>2</w:t>
            </w:r>
            <w:r>
              <w:rPr>
                <w:rFonts w:hint="eastAsia" w:ascii="宋体" w:hAnsi="宋体" w:cs="宋体"/>
                <w:b/>
                <w:bCs/>
                <w:color w:val="auto"/>
                <w:sz w:val="21"/>
                <w:szCs w:val="21"/>
                <w:lang w:val="en-US" w:eastAsia="zh-CN"/>
              </w:rPr>
              <w:t>0）</w:t>
            </w:r>
            <w:r>
              <w:rPr>
                <w:rFonts w:hint="eastAsia" w:ascii="宋体" w:hAnsi="宋体" w:eastAsia="宋体" w:cs="宋体"/>
                <w:b/>
                <w:bCs/>
                <w:color w:val="auto"/>
                <w:sz w:val="21"/>
                <w:szCs w:val="21"/>
                <w:lang w:val="en-US" w:eastAsia="zh-CN"/>
              </w:rPr>
              <w:t xml:space="preserve"> </w:t>
            </w:r>
          </w:p>
          <w:p>
            <w:pPr>
              <w:pStyle w:val="26"/>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、克重（每米克重</w:t>
            </w:r>
            <w:r>
              <w:rPr>
                <w:rFonts w:hint="eastAsia" w:asciiTheme="minorEastAsia" w:hAnsiTheme="minorEastAsia" w:eastAsiaTheme="minorEastAsia" w:cstheme="minorEastAsia"/>
                <w:color w:val="auto"/>
                <w:sz w:val="21"/>
                <w:szCs w:val="21"/>
                <w:highlight w:val="none"/>
                <w:lang w:val="en-US" w:eastAsia="zh-CN"/>
              </w:rPr>
              <w:t>不含封口、走轮、静音条</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53</w:t>
            </w:r>
            <w:r>
              <w:rPr>
                <w:rFonts w:hint="eastAsia" w:ascii="宋体" w:hAnsi="宋体" w:eastAsia="宋体" w:cs="宋体"/>
                <w:color w:val="auto"/>
                <w:sz w:val="21"/>
                <w:szCs w:val="21"/>
                <w:lang w:val="en-US" w:eastAsia="zh-CN"/>
              </w:rPr>
              <w:t>0g/m；</w:t>
            </w:r>
            <w:r>
              <w:rPr>
                <w:rFonts w:hint="eastAsia" w:ascii="宋体" w:hAnsi="宋体" w:cs="宋体"/>
                <w:b/>
                <w:bCs/>
                <w:color w:val="auto"/>
                <w:sz w:val="21"/>
                <w:szCs w:val="21"/>
                <w:lang w:val="en-US" w:eastAsia="zh-CN"/>
              </w:rPr>
              <w:t>（项号</w:t>
            </w:r>
            <w:r>
              <w:rPr>
                <w:rFonts w:hint="eastAsia" w:ascii="宋体" w:hAnsi="宋体" w:cs="宋体"/>
                <w:b/>
                <w:bCs/>
                <w:color w:val="auto"/>
                <w:sz w:val="21"/>
                <w:szCs w:val="21"/>
                <w:lang w:val="en-US" w:eastAsia="zh"/>
              </w:rPr>
              <w:t>2</w:t>
            </w:r>
            <w:r>
              <w:rPr>
                <w:rFonts w:hint="eastAsia" w:ascii="宋体" w:hAnsi="宋体" w:cs="宋体"/>
                <w:b/>
                <w:bCs/>
                <w:color w:val="auto"/>
                <w:sz w:val="21"/>
                <w:szCs w:val="21"/>
                <w:lang w:val="en-US" w:eastAsia="zh-CN"/>
              </w:rPr>
              <w:t>1）</w:t>
            </w:r>
            <w:r>
              <w:rPr>
                <w:rFonts w:hint="eastAsia" w:ascii="宋体" w:hAnsi="宋体" w:eastAsia="宋体" w:cs="宋体"/>
                <w:b/>
                <w:bCs/>
                <w:color w:val="auto"/>
                <w:sz w:val="21"/>
                <w:szCs w:val="21"/>
                <w:lang w:val="en-US" w:eastAsia="zh-CN"/>
              </w:rPr>
              <w:t xml:space="preserve"> </w:t>
            </w:r>
          </w:p>
          <w:p>
            <w:pPr>
              <w:pStyle w:val="26"/>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▲4</w:t>
            </w:r>
            <w:r>
              <w:rPr>
                <w:rFonts w:hint="eastAsia" w:ascii="宋体" w:hAnsi="宋体" w:eastAsia="宋体" w:cs="宋体"/>
                <w:color w:val="auto"/>
                <w:sz w:val="21"/>
                <w:szCs w:val="21"/>
                <w:lang w:val="en-US" w:eastAsia="zh-CN"/>
              </w:rPr>
              <w:t>、轨道承重≥30kg，施加≥30kg载荷后，未变形</w:t>
            </w:r>
            <w:r>
              <w:rPr>
                <w:rFonts w:hint="eastAsia" w:ascii="宋体" w:hAnsi="宋体" w:cs="宋体"/>
                <w:b/>
                <w:bCs/>
                <w:color w:val="auto"/>
                <w:sz w:val="21"/>
                <w:szCs w:val="21"/>
                <w:lang w:val="en-US" w:eastAsia="zh-CN"/>
              </w:rPr>
              <w:t>（项号</w:t>
            </w:r>
            <w:r>
              <w:rPr>
                <w:rFonts w:hint="eastAsia" w:ascii="宋体" w:hAnsi="宋体" w:cs="宋体"/>
                <w:b/>
                <w:bCs/>
                <w:color w:val="auto"/>
                <w:sz w:val="21"/>
                <w:szCs w:val="21"/>
                <w:lang w:val="en-US" w:eastAsia="zh"/>
              </w:rPr>
              <w:t>2</w:t>
            </w:r>
            <w:r>
              <w:rPr>
                <w:rFonts w:hint="eastAsia" w:ascii="宋体" w:hAnsi="宋体" w:cs="宋体"/>
                <w:b/>
                <w:bCs/>
                <w:color w:val="auto"/>
                <w:sz w:val="21"/>
                <w:szCs w:val="21"/>
                <w:lang w:val="en-US" w:eastAsia="zh-CN"/>
              </w:rPr>
              <w:t>2）</w:t>
            </w:r>
            <w:r>
              <w:rPr>
                <w:rFonts w:hint="eastAsia" w:ascii="宋体" w:hAnsi="宋体" w:eastAsia="宋体" w:cs="宋体"/>
                <w:b/>
                <w:bCs/>
                <w:color w:val="auto"/>
                <w:sz w:val="21"/>
                <w:szCs w:val="21"/>
                <w:lang w:val="en-US" w:eastAsia="zh-CN"/>
              </w:rPr>
              <w:t xml:space="preserve"> </w:t>
            </w:r>
          </w:p>
          <w:p>
            <w:pPr>
              <w:pStyle w:val="26"/>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cs="宋体"/>
                <w:b/>
                <w:bCs/>
                <w:color w:val="auto"/>
                <w:sz w:val="21"/>
                <w:szCs w:val="21"/>
                <w:lang w:val="en-US" w:eastAsia="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拉伸实验：</w:t>
            </w:r>
          </w:p>
          <w:p>
            <w:pPr>
              <w:pStyle w:val="26"/>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（1）抗拉强度（Rm/Mpa）：≥235；</w:t>
            </w:r>
            <w:r>
              <w:rPr>
                <w:rFonts w:hint="eastAsia" w:ascii="宋体" w:hAnsi="宋体" w:eastAsia="宋体" w:cs="宋体"/>
                <w:b/>
                <w:bCs/>
                <w:color w:val="auto"/>
                <w:sz w:val="21"/>
                <w:szCs w:val="21"/>
                <w:lang w:val="en-US" w:eastAsia="zh-CN"/>
              </w:rPr>
              <w:t xml:space="preserve"> </w:t>
            </w:r>
            <w:r>
              <w:rPr>
                <w:rFonts w:hint="eastAsia" w:ascii="宋体" w:hAnsi="宋体" w:cs="宋体"/>
                <w:b/>
                <w:bCs/>
                <w:color w:val="auto"/>
                <w:sz w:val="21"/>
                <w:szCs w:val="21"/>
                <w:lang w:val="en-US" w:eastAsia="zh-CN"/>
              </w:rPr>
              <w:t>（项号</w:t>
            </w:r>
            <w:r>
              <w:rPr>
                <w:rFonts w:hint="eastAsia" w:ascii="宋体" w:hAnsi="宋体" w:cs="宋体"/>
                <w:b/>
                <w:bCs/>
                <w:color w:val="auto"/>
                <w:sz w:val="21"/>
                <w:szCs w:val="21"/>
                <w:lang w:val="en-US" w:eastAsia="zh"/>
              </w:rPr>
              <w:t>2</w:t>
            </w:r>
            <w:r>
              <w:rPr>
                <w:rFonts w:hint="eastAsia" w:ascii="宋体" w:hAnsi="宋体" w:cs="宋体"/>
                <w:b/>
                <w:bCs/>
                <w:color w:val="auto"/>
                <w:sz w:val="21"/>
                <w:szCs w:val="21"/>
                <w:lang w:val="en-US" w:eastAsia="zh-CN"/>
              </w:rPr>
              <w:t>3）</w:t>
            </w:r>
          </w:p>
          <w:p>
            <w:pPr>
              <w:pStyle w:val="26"/>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（2）规定非比例延伸强度(RP0.2/MPa)：≥210；</w:t>
            </w:r>
            <w:r>
              <w:rPr>
                <w:rFonts w:hint="eastAsia" w:ascii="宋体" w:hAnsi="宋体" w:eastAsia="宋体" w:cs="宋体"/>
                <w:b/>
                <w:bCs/>
                <w:color w:val="auto"/>
                <w:sz w:val="21"/>
                <w:szCs w:val="21"/>
                <w:lang w:val="en-US" w:eastAsia="zh-CN"/>
              </w:rPr>
              <w:t xml:space="preserve"> </w:t>
            </w:r>
            <w:r>
              <w:rPr>
                <w:rFonts w:hint="eastAsia" w:ascii="宋体" w:hAnsi="宋体" w:cs="宋体"/>
                <w:b/>
                <w:bCs/>
                <w:color w:val="auto"/>
                <w:sz w:val="21"/>
                <w:szCs w:val="21"/>
                <w:lang w:val="en-US" w:eastAsia="zh-CN"/>
              </w:rPr>
              <w:t>（项号</w:t>
            </w:r>
            <w:r>
              <w:rPr>
                <w:rFonts w:hint="eastAsia" w:ascii="宋体" w:hAnsi="宋体" w:cs="宋体"/>
                <w:b/>
                <w:bCs/>
                <w:color w:val="auto"/>
                <w:sz w:val="21"/>
                <w:szCs w:val="21"/>
                <w:lang w:val="en-US" w:eastAsia="zh"/>
              </w:rPr>
              <w:t>2</w:t>
            </w:r>
            <w:r>
              <w:rPr>
                <w:rFonts w:hint="eastAsia" w:ascii="宋体" w:hAnsi="宋体" w:cs="宋体"/>
                <w:b/>
                <w:bCs/>
                <w:color w:val="auto"/>
                <w:sz w:val="21"/>
                <w:szCs w:val="21"/>
                <w:lang w:val="en-US" w:eastAsia="zh-CN"/>
              </w:rPr>
              <w:t>4）</w:t>
            </w:r>
          </w:p>
          <w:p>
            <w:pPr>
              <w:pStyle w:val="26"/>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（3）断后伸长率（%）：≥11.0；</w:t>
            </w:r>
            <w:r>
              <w:rPr>
                <w:rFonts w:hint="eastAsia" w:ascii="宋体" w:hAnsi="宋体" w:eastAsia="宋体" w:cs="宋体"/>
                <w:b/>
                <w:bCs/>
                <w:color w:val="auto"/>
                <w:sz w:val="21"/>
                <w:szCs w:val="21"/>
                <w:lang w:val="en-US" w:eastAsia="zh-CN"/>
              </w:rPr>
              <w:t xml:space="preserve"> </w:t>
            </w:r>
            <w:r>
              <w:rPr>
                <w:rFonts w:hint="eastAsia" w:ascii="宋体" w:hAnsi="宋体" w:cs="宋体"/>
                <w:b/>
                <w:bCs/>
                <w:color w:val="auto"/>
                <w:sz w:val="21"/>
                <w:szCs w:val="21"/>
                <w:lang w:val="en-US" w:eastAsia="zh-CN"/>
              </w:rPr>
              <w:t>（项号25）</w:t>
            </w:r>
          </w:p>
          <w:p>
            <w:pPr>
              <w:pStyle w:val="26"/>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shd w:val="clear"/>
                <w:lang w:val="en-US" w:eastAsia="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硬度：</w:t>
            </w:r>
            <w:r>
              <w:rPr>
                <w:rFonts w:hint="eastAsia" w:ascii="宋体" w:hAnsi="宋体" w:eastAsia="宋体" w:cs="宋体"/>
                <w:color w:val="auto"/>
                <w:sz w:val="21"/>
                <w:szCs w:val="21"/>
                <w:shd w:val="clear"/>
                <w:lang w:val="en-US" w:eastAsia="zh-CN"/>
              </w:rPr>
              <w:t>韦氏硬度HW：≥14.0；</w:t>
            </w:r>
            <w:r>
              <w:rPr>
                <w:rFonts w:hint="eastAsia" w:ascii="宋体" w:hAnsi="宋体" w:eastAsia="宋体" w:cs="宋体"/>
                <w:b w:val="0"/>
                <w:bCs w:val="0"/>
                <w:color w:val="auto"/>
                <w:sz w:val="21"/>
                <w:szCs w:val="21"/>
                <w:shd w:val="clear"/>
                <w:lang w:val="en-US" w:eastAsia="zh-CN"/>
              </w:rPr>
              <w:t xml:space="preserve"> </w:t>
            </w:r>
            <w:r>
              <w:rPr>
                <w:rFonts w:hint="eastAsia" w:ascii="宋体" w:hAnsi="宋体" w:cs="宋体"/>
                <w:b/>
                <w:bCs/>
                <w:color w:val="auto"/>
                <w:sz w:val="21"/>
                <w:szCs w:val="21"/>
                <w:shd w:val="clear"/>
                <w:lang w:val="en-US" w:eastAsia="zh-CN"/>
              </w:rPr>
              <w:t>（项号26）</w:t>
            </w:r>
          </w:p>
          <w:p>
            <w:pPr>
              <w:pStyle w:val="26"/>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zh-CN"/>
              </w:rPr>
              <w:t>、漆膜附着性（级）：干附着性：0；湿附着性：0；</w:t>
            </w:r>
            <w:r>
              <w:rPr>
                <w:rFonts w:hint="eastAsia" w:ascii="宋体" w:hAnsi="宋体" w:cs="宋体"/>
                <w:b/>
                <w:bCs/>
                <w:color w:val="auto"/>
                <w:sz w:val="21"/>
                <w:szCs w:val="21"/>
                <w:lang w:val="en-US" w:eastAsia="zh-CN"/>
              </w:rPr>
              <w:t>（项号27）</w:t>
            </w:r>
            <w:r>
              <w:rPr>
                <w:rFonts w:hint="eastAsia" w:ascii="宋体" w:hAnsi="宋体" w:eastAsia="宋体" w:cs="宋体"/>
                <w:b/>
                <w:bCs/>
                <w:color w:val="auto"/>
                <w:sz w:val="21"/>
                <w:szCs w:val="21"/>
                <w:lang w:val="en-US" w:eastAsia="zh-CN"/>
              </w:rPr>
              <w:t xml:space="preserve"> </w:t>
            </w:r>
          </w:p>
          <w:p>
            <w:pPr>
              <w:pStyle w:val="26"/>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、耐沸水性：漆膜表面无脱落、皱纹、裂纹、气泡、变色等现象；</w:t>
            </w:r>
            <w:r>
              <w:rPr>
                <w:rFonts w:hint="eastAsia" w:ascii="宋体" w:hAnsi="宋体" w:cs="宋体"/>
                <w:b/>
                <w:bCs/>
                <w:color w:val="auto"/>
                <w:sz w:val="21"/>
                <w:szCs w:val="21"/>
                <w:lang w:val="en-US" w:eastAsia="zh-CN"/>
              </w:rPr>
              <w:t>（项号28）</w:t>
            </w:r>
            <w:r>
              <w:rPr>
                <w:rFonts w:hint="eastAsia" w:ascii="宋体" w:hAnsi="宋体" w:eastAsia="宋体" w:cs="宋体"/>
                <w:b/>
                <w:bCs/>
                <w:color w:val="auto"/>
                <w:sz w:val="21"/>
                <w:szCs w:val="21"/>
                <w:lang w:val="en-US" w:eastAsia="zh-CN"/>
              </w:rPr>
              <w:t xml:space="preserve"> </w:t>
            </w:r>
          </w:p>
          <w:p>
            <w:pPr>
              <w:pStyle w:val="2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en-US" w:eastAsia="zh-CN"/>
              </w:rPr>
              <w:t>、漆膜硬度:6H；</w:t>
            </w:r>
            <w:r>
              <w:rPr>
                <w:rFonts w:hint="eastAsia" w:ascii="宋体" w:hAnsi="宋体" w:cs="宋体"/>
                <w:b/>
                <w:bCs/>
                <w:color w:val="auto"/>
                <w:sz w:val="21"/>
                <w:szCs w:val="21"/>
                <w:lang w:val="en-US" w:eastAsia="zh-CN"/>
              </w:rPr>
              <w:t>（项号29）</w:t>
            </w:r>
            <w:r>
              <w:rPr>
                <w:rFonts w:hint="eastAsia" w:ascii="宋体" w:hAnsi="宋体" w:eastAsia="宋体" w:cs="宋体"/>
                <w:b/>
                <w:bCs/>
                <w:color w:val="auto"/>
                <w:sz w:val="21"/>
                <w:szCs w:val="21"/>
                <w:lang w:val="en-US" w:eastAsia="zh-CN"/>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5" w:type="dxa"/>
              <w:bottom w:w="0" w:type="dxa"/>
              <w:right w:w="10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140" w:type="dxa"/>
            <w:tcBorders>
              <w:top w:val="single" w:color="000000" w:sz="4" w:space="0"/>
              <w:left w:val="nil"/>
              <w:bottom w:val="single" w:color="000000" w:sz="4" w:space="0"/>
              <w:right w:val="single" w:color="000000" w:sz="4" w:space="0"/>
            </w:tcBorders>
            <w:shd w:val="clear" w:color="auto" w:fill="auto"/>
            <w:noWrap w:val="0"/>
            <w:tcMar>
              <w:top w:w="0" w:type="dxa"/>
              <w:left w:w="105" w:type="dxa"/>
              <w:bottom w:w="0" w:type="dxa"/>
              <w:right w:w="10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拉帘（卷帘）</w:t>
            </w:r>
          </w:p>
        </w:tc>
        <w:tc>
          <w:tcPr>
            <w:tcW w:w="7035" w:type="dxa"/>
            <w:tcBorders>
              <w:top w:val="single" w:color="000000" w:sz="4" w:space="0"/>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u w:val="single"/>
                <w:lang w:val="en-US" w:eastAsia="zh-CN"/>
              </w:rPr>
            </w:pPr>
            <w:r>
              <w:rPr>
                <w:rFonts w:hint="eastAsia" w:ascii="宋体" w:hAnsi="宋体" w:cs="宋体"/>
                <w:color w:val="auto"/>
                <w:sz w:val="21"/>
                <w:szCs w:val="21"/>
                <w:u w:val="single"/>
                <w:lang w:val="en-US" w:eastAsia="zh-CN"/>
              </w:rPr>
              <w:t>阳光</w:t>
            </w:r>
            <w:r>
              <w:rPr>
                <w:rFonts w:hint="eastAsia" w:ascii="宋体" w:hAnsi="宋体" w:eastAsia="宋体" w:cs="宋体"/>
                <w:color w:val="auto"/>
                <w:sz w:val="21"/>
                <w:szCs w:val="21"/>
                <w:u w:val="single"/>
                <w:lang w:val="en-US" w:eastAsia="zh-CN"/>
              </w:rPr>
              <w:t>面料：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1、克重：≥550g/㎡；</w:t>
            </w:r>
            <w:r>
              <w:rPr>
                <w:rFonts w:hint="eastAsia" w:ascii="宋体" w:hAnsi="宋体" w:cs="宋体"/>
                <w:b/>
                <w:bCs/>
                <w:color w:val="auto"/>
                <w:sz w:val="21"/>
                <w:szCs w:val="21"/>
                <w:lang w:val="en-US" w:eastAsia="zh-CN"/>
              </w:rPr>
              <w:t>（项号</w:t>
            </w:r>
            <w:r>
              <w:rPr>
                <w:rFonts w:hint="eastAsia" w:ascii="宋体" w:hAnsi="宋体" w:cs="宋体"/>
                <w:b/>
                <w:bCs/>
                <w:color w:val="auto"/>
                <w:sz w:val="21"/>
                <w:szCs w:val="21"/>
                <w:lang w:val="en-US" w:eastAsia="zh"/>
              </w:rPr>
              <w:t>3</w:t>
            </w:r>
            <w:r>
              <w:rPr>
                <w:rFonts w:hint="eastAsia" w:ascii="宋体" w:hAnsi="宋体" w:cs="宋体"/>
                <w:b/>
                <w:bCs/>
                <w:color w:val="auto"/>
                <w:sz w:val="21"/>
                <w:szCs w:val="21"/>
                <w:lang w:val="en-US" w:eastAsia="zh-CN"/>
              </w:rPr>
              <w:t>0）</w:t>
            </w:r>
            <w:r>
              <w:rPr>
                <w:rFonts w:hint="eastAsia" w:ascii="宋体" w:hAnsi="宋体" w:eastAsia="宋体" w:cs="宋体"/>
                <w:b/>
                <w:bCs/>
                <w:color w:val="auto"/>
                <w:sz w:val="21"/>
                <w:szCs w:val="21"/>
                <w:lang w:val="en-US" w:eastAsia="zh-CN"/>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2、耐摩擦色牢度（级）：≥4-5；</w:t>
            </w:r>
            <w:r>
              <w:rPr>
                <w:rFonts w:hint="eastAsia" w:ascii="宋体" w:hAnsi="宋体" w:cs="宋体"/>
                <w:b/>
                <w:bCs/>
                <w:color w:val="auto"/>
                <w:sz w:val="21"/>
                <w:szCs w:val="21"/>
                <w:lang w:val="en-US" w:eastAsia="zh-CN"/>
              </w:rPr>
              <w:t>（项号</w:t>
            </w:r>
            <w:r>
              <w:rPr>
                <w:rFonts w:hint="eastAsia" w:ascii="宋体" w:hAnsi="宋体" w:cs="宋体"/>
                <w:b/>
                <w:bCs/>
                <w:color w:val="auto"/>
                <w:sz w:val="21"/>
                <w:szCs w:val="21"/>
                <w:lang w:val="en-US" w:eastAsia="zh"/>
              </w:rPr>
              <w:t>3</w:t>
            </w:r>
            <w:r>
              <w:rPr>
                <w:rFonts w:hint="eastAsia" w:ascii="宋体" w:hAnsi="宋体" w:cs="宋体"/>
                <w:b/>
                <w:bCs/>
                <w:color w:val="auto"/>
                <w:sz w:val="21"/>
                <w:szCs w:val="21"/>
                <w:lang w:val="en-US" w:eastAsia="zh-CN"/>
              </w:rPr>
              <w:t>1）</w:t>
            </w:r>
            <w:r>
              <w:rPr>
                <w:rFonts w:hint="eastAsia" w:ascii="宋体" w:hAnsi="宋体" w:eastAsia="宋体" w:cs="宋体"/>
                <w:b/>
                <w:bCs/>
                <w:color w:val="auto"/>
                <w:sz w:val="21"/>
                <w:szCs w:val="21"/>
                <w:lang w:val="en-US" w:eastAsia="zh-CN"/>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3、耐皂洗色牢度（级）：≥4-5；</w:t>
            </w:r>
            <w:r>
              <w:rPr>
                <w:rFonts w:hint="eastAsia" w:ascii="宋体" w:hAnsi="宋体" w:cs="宋体"/>
                <w:b/>
                <w:bCs/>
                <w:color w:val="auto"/>
                <w:sz w:val="21"/>
                <w:szCs w:val="21"/>
                <w:lang w:val="en-US" w:eastAsia="zh-CN"/>
              </w:rPr>
              <w:t>（项号</w:t>
            </w:r>
            <w:r>
              <w:rPr>
                <w:rFonts w:hint="eastAsia" w:ascii="宋体" w:hAnsi="宋体" w:cs="宋体"/>
                <w:b/>
                <w:bCs/>
                <w:color w:val="auto"/>
                <w:sz w:val="21"/>
                <w:szCs w:val="21"/>
                <w:lang w:val="en-US" w:eastAsia="zh"/>
              </w:rPr>
              <w:t>3</w:t>
            </w:r>
            <w:r>
              <w:rPr>
                <w:rFonts w:hint="eastAsia" w:ascii="宋体" w:hAnsi="宋体" w:cs="宋体"/>
                <w:b/>
                <w:bCs/>
                <w:color w:val="auto"/>
                <w:sz w:val="21"/>
                <w:szCs w:val="21"/>
                <w:lang w:val="en-US" w:eastAsia="zh-CN"/>
              </w:rPr>
              <w:t>2）</w:t>
            </w:r>
            <w:r>
              <w:rPr>
                <w:rFonts w:hint="eastAsia" w:ascii="宋体" w:hAnsi="宋体" w:eastAsia="宋体" w:cs="宋体"/>
                <w:b/>
                <w:bCs/>
                <w:color w:val="auto"/>
                <w:sz w:val="21"/>
                <w:szCs w:val="21"/>
                <w:lang w:val="en-US" w:eastAsia="zh-CN"/>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4、耐光色牢度（级）≥</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5；</w:t>
            </w:r>
            <w:r>
              <w:rPr>
                <w:rFonts w:hint="eastAsia" w:ascii="宋体" w:hAnsi="宋体" w:cs="宋体"/>
                <w:b/>
                <w:bCs/>
                <w:color w:val="auto"/>
                <w:sz w:val="21"/>
                <w:szCs w:val="21"/>
                <w:lang w:val="en-US" w:eastAsia="zh-CN"/>
              </w:rPr>
              <w:t>（项号</w:t>
            </w:r>
            <w:r>
              <w:rPr>
                <w:rFonts w:hint="eastAsia" w:ascii="宋体" w:hAnsi="宋体" w:cs="宋体"/>
                <w:b/>
                <w:bCs/>
                <w:color w:val="auto"/>
                <w:sz w:val="21"/>
                <w:szCs w:val="21"/>
                <w:lang w:val="en-US" w:eastAsia="zh"/>
              </w:rPr>
              <w:t>3</w:t>
            </w:r>
            <w:r>
              <w:rPr>
                <w:rFonts w:hint="eastAsia" w:ascii="宋体" w:hAnsi="宋体" w:cs="宋体"/>
                <w:b/>
                <w:bCs/>
                <w:color w:val="auto"/>
                <w:sz w:val="21"/>
                <w:szCs w:val="21"/>
                <w:lang w:val="en-US" w:eastAsia="zh-CN"/>
              </w:rPr>
              <w:t>3）</w:t>
            </w:r>
            <w:r>
              <w:rPr>
                <w:rFonts w:hint="eastAsia" w:ascii="宋体" w:hAnsi="宋体" w:eastAsia="宋体" w:cs="宋体"/>
                <w:b/>
                <w:bCs/>
                <w:color w:val="auto"/>
                <w:sz w:val="21"/>
                <w:szCs w:val="21"/>
                <w:lang w:val="en-US" w:eastAsia="zh-CN"/>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5、耐水色牢度（级）：≥4-5；</w:t>
            </w:r>
            <w:r>
              <w:rPr>
                <w:rFonts w:hint="eastAsia" w:ascii="宋体" w:hAnsi="宋体" w:cs="宋体"/>
                <w:b/>
                <w:bCs/>
                <w:color w:val="auto"/>
                <w:sz w:val="21"/>
                <w:szCs w:val="21"/>
                <w:lang w:val="en-US" w:eastAsia="zh-CN"/>
              </w:rPr>
              <w:t>（项号</w:t>
            </w:r>
            <w:r>
              <w:rPr>
                <w:rFonts w:hint="eastAsia" w:ascii="宋体" w:hAnsi="宋体" w:cs="宋体"/>
                <w:b/>
                <w:bCs/>
                <w:color w:val="auto"/>
                <w:sz w:val="21"/>
                <w:szCs w:val="21"/>
                <w:lang w:val="en-US" w:eastAsia="zh"/>
              </w:rPr>
              <w:t>3</w:t>
            </w:r>
            <w:r>
              <w:rPr>
                <w:rFonts w:hint="eastAsia" w:ascii="宋体" w:hAnsi="宋体" w:cs="宋体"/>
                <w:b/>
                <w:bCs/>
                <w:color w:val="auto"/>
                <w:sz w:val="21"/>
                <w:szCs w:val="21"/>
                <w:lang w:val="en-US" w:eastAsia="zh-CN"/>
              </w:rPr>
              <w:t>4）</w:t>
            </w:r>
            <w:r>
              <w:rPr>
                <w:rFonts w:hint="eastAsia" w:ascii="宋体" w:hAnsi="宋体" w:eastAsia="宋体" w:cs="宋体"/>
                <w:b/>
                <w:bCs/>
                <w:color w:val="auto"/>
                <w:sz w:val="21"/>
                <w:szCs w:val="21"/>
                <w:lang w:val="en-US" w:eastAsia="zh-CN"/>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6、PH值：</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-9；</w:t>
            </w:r>
            <w:r>
              <w:rPr>
                <w:rFonts w:hint="eastAsia" w:ascii="宋体" w:hAnsi="宋体" w:cs="宋体"/>
                <w:b/>
                <w:bCs/>
                <w:color w:val="auto"/>
                <w:sz w:val="21"/>
                <w:szCs w:val="21"/>
                <w:lang w:val="en-US" w:eastAsia="zh-CN"/>
              </w:rPr>
              <w:t>（项号35）</w:t>
            </w:r>
            <w:r>
              <w:rPr>
                <w:rFonts w:hint="eastAsia" w:ascii="宋体" w:hAnsi="宋体" w:eastAsia="宋体" w:cs="宋体"/>
                <w:b/>
                <w:bCs/>
                <w:color w:val="auto"/>
                <w:sz w:val="21"/>
                <w:szCs w:val="21"/>
                <w:lang w:val="en-US" w:eastAsia="zh-CN"/>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7、撕破强力（N）：经向≥</w:t>
            </w:r>
            <w:r>
              <w:rPr>
                <w:rFonts w:hint="eastAsia" w:ascii="宋体" w:hAnsi="宋体" w:cs="宋体"/>
                <w:color w:val="auto"/>
                <w:sz w:val="21"/>
                <w:szCs w:val="21"/>
                <w:lang w:val="en-US" w:eastAsia="zh-CN"/>
              </w:rPr>
              <w:t>500</w:t>
            </w:r>
            <w:r>
              <w:rPr>
                <w:rFonts w:hint="eastAsia" w:ascii="宋体" w:hAnsi="宋体" w:eastAsia="宋体" w:cs="宋体"/>
                <w:color w:val="auto"/>
                <w:sz w:val="21"/>
                <w:szCs w:val="21"/>
                <w:lang w:val="en-US" w:eastAsia="zh-CN"/>
              </w:rPr>
              <w:t>，纬向≥</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en-US" w:eastAsia="zh-CN"/>
              </w:rPr>
              <w:t>；</w:t>
            </w:r>
            <w:r>
              <w:rPr>
                <w:rFonts w:hint="eastAsia" w:ascii="宋体" w:hAnsi="宋体" w:cs="宋体"/>
                <w:b/>
                <w:bCs/>
                <w:color w:val="auto"/>
                <w:sz w:val="21"/>
                <w:szCs w:val="21"/>
                <w:lang w:val="en-US" w:eastAsia="zh-CN"/>
              </w:rPr>
              <w:t>（项号36）</w:t>
            </w:r>
            <w:r>
              <w:rPr>
                <w:rFonts w:hint="eastAsia" w:ascii="宋体" w:hAnsi="宋体" w:eastAsia="宋体" w:cs="宋体"/>
                <w:b/>
                <w:bCs/>
                <w:color w:val="auto"/>
                <w:sz w:val="21"/>
                <w:szCs w:val="21"/>
                <w:lang w:val="en-US" w:eastAsia="zh-CN"/>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8、断裂强度（N）：经向≥</w:t>
            </w:r>
            <w:r>
              <w:rPr>
                <w:rFonts w:hint="eastAsia" w:ascii="宋体" w:hAnsi="宋体" w:cs="宋体"/>
                <w:color w:val="auto"/>
                <w:sz w:val="21"/>
                <w:szCs w:val="21"/>
                <w:lang w:val="en-US" w:eastAsia="zh-CN"/>
              </w:rPr>
              <w:t>1800</w:t>
            </w:r>
            <w:r>
              <w:rPr>
                <w:rFonts w:hint="eastAsia" w:ascii="宋体" w:hAnsi="宋体" w:eastAsia="宋体" w:cs="宋体"/>
                <w:color w:val="auto"/>
                <w:sz w:val="21"/>
                <w:szCs w:val="21"/>
                <w:lang w:val="en-US" w:eastAsia="zh-CN"/>
              </w:rPr>
              <w:t>，纬向≥900；</w:t>
            </w:r>
            <w:r>
              <w:rPr>
                <w:rFonts w:hint="eastAsia" w:ascii="宋体" w:hAnsi="宋体" w:cs="宋体"/>
                <w:b/>
                <w:bCs/>
                <w:color w:val="auto"/>
                <w:sz w:val="21"/>
                <w:szCs w:val="21"/>
                <w:lang w:val="en-US" w:eastAsia="zh-CN"/>
              </w:rPr>
              <w:t>（项号37）</w:t>
            </w:r>
            <w:r>
              <w:rPr>
                <w:rFonts w:hint="eastAsia" w:ascii="宋体" w:hAnsi="宋体" w:eastAsia="宋体" w:cs="宋体"/>
                <w:b/>
                <w:bCs/>
                <w:color w:val="auto"/>
                <w:sz w:val="21"/>
                <w:szCs w:val="21"/>
                <w:lang w:val="en-US" w:eastAsia="zh-CN"/>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9、甲醛含量：未检出；</w:t>
            </w:r>
            <w:r>
              <w:rPr>
                <w:rFonts w:hint="eastAsia" w:ascii="宋体" w:hAnsi="宋体" w:cs="宋体"/>
                <w:b/>
                <w:bCs/>
                <w:color w:val="auto"/>
                <w:sz w:val="21"/>
                <w:szCs w:val="21"/>
                <w:lang w:val="en-US" w:eastAsia="zh-CN"/>
              </w:rPr>
              <w:t>（项号38）</w:t>
            </w:r>
            <w:r>
              <w:rPr>
                <w:rFonts w:hint="eastAsia" w:ascii="宋体" w:hAnsi="宋体" w:eastAsia="宋体" w:cs="宋体"/>
                <w:b/>
                <w:bCs/>
                <w:color w:val="auto"/>
                <w:sz w:val="21"/>
                <w:szCs w:val="21"/>
                <w:lang w:val="en-US" w:eastAsia="zh-CN"/>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10、可分解致癌芳香胺燃料：无；</w:t>
            </w:r>
            <w:r>
              <w:rPr>
                <w:rFonts w:hint="eastAsia" w:ascii="宋体" w:hAnsi="宋体" w:cs="宋体"/>
                <w:b/>
                <w:bCs/>
                <w:color w:val="auto"/>
                <w:sz w:val="21"/>
                <w:szCs w:val="21"/>
                <w:lang w:val="en-US" w:eastAsia="zh-CN"/>
              </w:rPr>
              <w:t>（项号39）</w:t>
            </w:r>
            <w:r>
              <w:rPr>
                <w:rFonts w:hint="eastAsia" w:ascii="宋体" w:hAnsi="宋体" w:eastAsia="宋体" w:cs="宋体"/>
                <w:b/>
                <w:bCs/>
                <w:color w:val="auto"/>
                <w:sz w:val="21"/>
                <w:szCs w:val="21"/>
                <w:lang w:val="en-US" w:eastAsia="zh-CN"/>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11、无异味；</w:t>
            </w:r>
            <w:r>
              <w:rPr>
                <w:rFonts w:hint="eastAsia" w:ascii="宋体" w:hAnsi="宋体" w:cs="宋体"/>
                <w:b/>
                <w:bCs/>
                <w:color w:val="auto"/>
                <w:sz w:val="21"/>
                <w:szCs w:val="21"/>
                <w:lang w:val="en-US" w:eastAsia="zh-CN"/>
              </w:rPr>
              <w:t>（项号</w:t>
            </w:r>
            <w:r>
              <w:rPr>
                <w:rFonts w:hint="eastAsia" w:ascii="宋体" w:hAnsi="宋体" w:cs="宋体"/>
                <w:b/>
                <w:bCs/>
                <w:color w:val="auto"/>
                <w:sz w:val="21"/>
                <w:szCs w:val="21"/>
                <w:lang w:val="en-US" w:eastAsia="zh"/>
              </w:rPr>
              <w:t>4</w:t>
            </w:r>
            <w:r>
              <w:rPr>
                <w:rFonts w:hint="eastAsia" w:ascii="宋体" w:hAnsi="宋体" w:cs="宋体"/>
                <w:b/>
                <w:bCs/>
                <w:color w:val="auto"/>
                <w:sz w:val="21"/>
                <w:szCs w:val="21"/>
                <w:lang w:val="en-US" w:eastAsia="zh-CN"/>
              </w:rPr>
              <w:t>0）</w:t>
            </w:r>
            <w:r>
              <w:rPr>
                <w:rFonts w:hint="eastAsia" w:ascii="宋体" w:hAnsi="宋体" w:eastAsia="宋体" w:cs="宋体"/>
                <w:b/>
                <w:bCs/>
                <w:color w:val="auto"/>
                <w:sz w:val="21"/>
                <w:szCs w:val="21"/>
                <w:lang w:val="en-US" w:eastAsia="zh-CN"/>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12、可萃取重金属含量（mg/kg）：锑、镍、汞、铬、铅、铬（六价）、砷、铜、镉、钴：</w:t>
            </w:r>
            <w:r>
              <w:rPr>
                <w:rFonts w:hint="eastAsia" w:ascii="宋体" w:hAnsi="宋体" w:cs="宋体"/>
                <w:color w:val="auto"/>
                <w:sz w:val="21"/>
                <w:szCs w:val="21"/>
                <w:lang w:val="en-US" w:eastAsia="zh"/>
              </w:rPr>
              <w:t>检出限范围内</w:t>
            </w:r>
            <w:r>
              <w:rPr>
                <w:rFonts w:hint="eastAsia" w:ascii="宋体" w:hAnsi="宋体" w:eastAsia="宋体" w:cs="宋体"/>
                <w:color w:val="auto"/>
                <w:sz w:val="21"/>
                <w:szCs w:val="21"/>
                <w:lang w:val="en-US" w:eastAsia="zh-CN"/>
              </w:rPr>
              <w:t>未检出；</w:t>
            </w:r>
            <w:r>
              <w:rPr>
                <w:rFonts w:hint="eastAsia" w:ascii="宋体" w:hAnsi="宋体" w:cs="宋体"/>
                <w:b/>
                <w:bCs/>
                <w:color w:val="auto"/>
                <w:sz w:val="21"/>
                <w:szCs w:val="21"/>
                <w:lang w:val="en-US" w:eastAsia="zh-CN"/>
              </w:rPr>
              <w:t>（项号</w:t>
            </w:r>
            <w:r>
              <w:rPr>
                <w:rFonts w:hint="eastAsia" w:ascii="宋体" w:hAnsi="宋体" w:cs="宋体"/>
                <w:b/>
                <w:bCs/>
                <w:color w:val="auto"/>
                <w:sz w:val="21"/>
                <w:szCs w:val="21"/>
                <w:lang w:val="en-US" w:eastAsia="zh"/>
              </w:rPr>
              <w:t>4</w:t>
            </w:r>
            <w:r>
              <w:rPr>
                <w:rFonts w:hint="eastAsia" w:ascii="宋体" w:hAnsi="宋体" w:cs="宋体"/>
                <w:b/>
                <w:bCs/>
                <w:color w:val="auto"/>
                <w:sz w:val="21"/>
                <w:szCs w:val="21"/>
                <w:lang w:val="en-US" w:eastAsia="zh-CN"/>
              </w:rPr>
              <w:t>1）</w:t>
            </w:r>
            <w:r>
              <w:rPr>
                <w:rFonts w:hint="eastAsia" w:ascii="宋体" w:hAnsi="宋体" w:eastAsia="宋体" w:cs="宋体"/>
                <w:b/>
                <w:bCs/>
                <w:color w:val="auto"/>
                <w:sz w:val="21"/>
                <w:szCs w:val="21"/>
                <w:lang w:val="en-US" w:eastAsia="zh-CN"/>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r>
              <w:rPr>
                <w:rFonts w:hint="eastAsia" w:ascii="宋体" w:hAnsi="宋体" w:eastAsia="宋体" w:cs="宋体"/>
                <w:color w:val="auto"/>
                <w:sz w:val="21"/>
                <w:szCs w:val="21"/>
                <w:lang w:val="en-US" w:eastAsia="zh-CN"/>
              </w:rPr>
              <w:t>13、面料阻燃要求符合阻燃B1级要求：续燃时间≤5s，阴燃时间≤5s，损毁长度：≤150mm。</w:t>
            </w:r>
            <w:r>
              <w:rPr>
                <w:rFonts w:hint="eastAsia" w:ascii="宋体" w:hAnsi="宋体" w:cs="宋体"/>
                <w:b/>
                <w:bCs/>
                <w:color w:val="auto"/>
                <w:sz w:val="21"/>
                <w:szCs w:val="21"/>
                <w:lang w:val="en-US" w:eastAsia="zh-CN"/>
              </w:rPr>
              <w:t>（项号</w:t>
            </w:r>
            <w:r>
              <w:rPr>
                <w:rFonts w:hint="eastAsia" w:ascii="宋体" w:hAnsi="宋体" w:cs="宋体"/>
                <w:b/>
                <w:bCs/>
                <w:color w:val="auto"/>
                <w:sz w:val="21"/>
                <w:szCs w:val="21"/>
                <w:lang w:val="en-US" w:eastAsia="zh"/>
              </w:rPr>
              <w:t>4</w:t>
            </w:r>
            <w:r>
              <w:rPr>
                <w:rFonts w:hint="eastAsia" w:ascii="宋体" w:hAnsi="宋体" w:cs="宋体"/>
                <w:b/>
                <w:bCs/>
                <w:color w:val="auto"/>
                <w:sz w:val="21"/>
                <w:szCs w:val="21"/>
                <w:lang w:val="en-US" w:eastAsia="zh-CN"/>
              </w:rPr>
              <w:t>2）</w:t>
            </w:r>
            <w:r>
              <w:rPr>
                <w:rFonts w:hint="eastAsia" w:ascii="宋体" w:hAnsi="宋体" w:eastAsia="宋体" w:cs="宋体"/>
                <w:b/>
                <w:bCs/>
                <w:color w:val="auto"/>
                <w:sz w:val="21"/>
                <w:szCs w:val="21"/>
                <w:lang w:val="en-US" w:eastAsia="zh-CN"/>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卷管：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14、卷管：圆管铝合金；</w:t>
            </w:r>
            <w:r>
              <w:rPr>
                <w:rFonts w:hint="eastAsia" w:ascii="宋体" w:hAnsi="宋体" w:cs="宋体"/>
                <w:b/>
                <w:bCs/>
                <w:color w:val="auto"/>
                <w:sz w:val="21"/>
                <w:szCs w:val="21"/>
                <w:lang w:val="en-US" w:eastAsia="zh-CN"/>
              </w:rPr>
              <w:t>（项号</w:t>
            </w:r>
            <w:r>
              <w:rPr>
                <w:rFonts w:hint="eastAsia" w:ascii="宋体" w:hAnsi="宋体" w:cs="宋体"/>
                <w:b/>
                <w:bCs/>
                <w:color w:val="auto"/>
                <w:sz w:val="21"/>
                <w:szCs w:val="21"/>
                <w:lang w:val="en-US" w:eastAsia="zh"/>
              </w:rPr>
              <w:t>4</w:t>
            </w:r>
            <w:r>
              <w:rPr>
                <w:rFonts w:hint="eastAsia" w:ascii="宋体" w:hAnsi="宋体" w:cs="宋体"/>
                <w:b/>
                <w:bCs/>
                <w:color w:val="auto"/>
                <w:sz w:val="21"/>
                <w:szCs w:val="21"/>
                <w:lang w:val="en-US" w:eastAsia="zh-CN"/>
              </w:rPr>
              <w:t>3）</w:t>
            </w:r>
            <w:r>
              <w:rPr>
                <w:rFonts w:hint="eastAsia" w:ascii="宋体" w:hAnsi="宋体" w:eastAsia="宋体" w:cs="宋体"/>
                <w:b/>
                <w:bCs/>
                <w:color w:val="auto"/>
                <w:sz w:val="21"/>
                <w:szCs w:val="21"/>
                <w:lang w:val="en-US" w:eastAsia="zh-CN"/>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15、圆管外径≥φ38.00mm；</w:t>
            </w:r>
            <w:r>
              <w:rPr>
                <w:rFonts w:hint="eastAsia" w:ascii="宋体" w:hAnsi="宋体" w:cs="宋体"/>
                <w:b/>
                <w:bCs/>
                <w:color w:val="auto"/>
                <w:sz w:val="21"/>
                <w:szCs w:val="21"/>
                <w:lang w:val="en-US" w:eastAsia="zh-CN"/>
              </w:rPr>
              <w:t>（项号</w:t>
            </w:r>
            <w:r>
              <w:rPr>
                <w:rFonts w:hint="eastAsia" w:ascii="宋体" w:hAnsi="宋体" w:cs="宋体"/>
                <w:b/>
                <w:bCs/>
                <w:color w:val="auto"/>
                <w:sz w:val="21"/>
                <w:szCs w:val="21"/>
                <w:lang w:val="en-US" w:eastAsia="zh"/>
              </w:rPr>
              <w:t>4</w:t>
            </w:r>
            <w:r>
              <w:rPr>
                <w:rFonts w:hint="eastAsia" w:ascii="宋体" w:hAnsi="宋体" w:cs="宋体"/>
                <w:b/>
                <w:bCs/>
                <w:color w:val="auto"/>
                <w:sz w:val="21"/>
                <w:szCs w:val="21"/>
                <w:lang w:val="en-US" w:eastAsia="zh-CN"/>
              </w:rPr>
              <w:t>4）</w:t>
            </w:r>
            <w:r>
              <w:rPr>
                <w:rFonts w:hint="eastAsia" w:ascii="宋体" w:hAnsi="宋体" w:eastAsia="宋体" w:cs="宋体"/>
                <w:b/>
                <w:bCs/>
                <w:color w:val="auto"/>
                <w:sz w:val="21"/>
                <w:szCs w:val="21"/>
                <w:lang w:val="en-US" w:eastAsia="zh-CN"/>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16、壁厚≥1.6mm；</w:t>
            </w:r>
            <w:r>
              <w:rPr>
                <w:rFonts w:hint="eastAsia" w:ascii="宋体" w:hAnsi="宋体" w:cs="宋体"/>
                <w:b/>
                <w:bCs/>
                <w:color w:val="auto"/>
                <w:sz w:val="21"/>
                <w:szCs w:val="21"/>
                <w:lang w:val="en-US" w:eastAsia="zh-CN"/>
              </w:rPr>
              <w:t>（项号45）</w:t>
            </w:r>
            <w:r>
              <w:rPr>
                <w:rFonts w:hint="eastAsia" w:ascii="宋体" w:hAnsi="宋体" w:eastAsia="宋体" w:cs="宋体"/>
                <w:b/>
                <w:bCs/>
                <w:color w:val="auto"/>
                <w:sz w:val="21"/>
                <w:szCs w:val="21"/>
                <w:lang w:val="en-US" w:eastAsia="zh-CN"/>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w:t>
            </w:r>
            <w:r>
              <w:rPr>
                <w:rFonts w:hint="eastAsia" w:ascii="宋体" w:hAnsi="宋体" w:eastAsia="宋体" w:cs="宋体"/>
                <w:color w:val="auto"/>
                <w:sz w:val="21"/>
                <w:szCs w:val="21"/>
                <w:shd w:val="clear" w:fill="auto"/>
                <w:lang w:val="en-US" w:eastAsia="zh-CN"/>
              </w:rPr>
              <w:t>内有≥8条加强筋，外表面带插槽；</w:t>
            </w:r>
            <w:r>
              <w:rPr>
                <w:rFonts w:hint="eastAsia" w:ascii="宋体" w:hAnsi="宋体" w:cs="宋体"/>
                <w:b/>
                <w:bCs/>
                <w:color w:val="auto"/>
                <w:sz w:val="21"/>
                <w:szCs w:val="21"/>
                <w:lang w:val="en-US" w:eastAsia="zh-CN"/>
              </w:rPr>
              <w:t>（项号46）</w:t>
            </w:r>
            <w:r>
              <w:rPr>
                <w:rFonts w:hint="eastAsia" w:ascii="宋体" w:hAnsi="宋体" w:eastAsia="宋体" w:cs="宋体"/>
                <w:b/>
                <w:bCs/>
                <w:color w:val="auto"/>
                <w:sz w:val="21"/>
                <w:szCs w:val="21"/>
                <w:lang w:val="en-US" w:eastAsia="zh-CN"/>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下杆：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18、铝合金扁管，水滴型包杆下梁，造型简洁，流畅，设计紧凑合理，壁厚：≥1.0 mm</w:t>
            </w:r>
            <w:r>
              <w:rPr>
                <w:rFonts w:hint="eastAsia" w:ascii="宋体" w:hAnsi="宋体" w:cs="宋体"/>
                <w:color w:val="auto"/>
                <w:sz w:val="21"/>
                <w:szCs w:val="21"/>
                <w:lang w:val="en-US" w:eastAsia="zh-CN"/>
              </w:rPr>
              <w:t>；</w:t>
            </w:r>
            <w:r>
              <w:rPr>
                <w:rFonts w:hint="eastAsia" w:ascii="宋体" w:hAnsi="宋体" w:cs="宋体"/>
                <w:b/>
                <w:bCs/>
                <w:color w:val="auto"/>
                <w:sz w:val="21"/>
                <w:szCs w:val="21"/>
                <w:lang w:val="en-US" w:eastAsia="zh-CN"/>
              </w:rPr>
              <w:t>（项号47）</w:t>
            </w:r>
            <w:r>
              <w:rPr>
                <w:rFonts w:hint="eastAsia" w:ascii="宋体" w:hAnsi="宋体" w:eastAsia="宋体" w:cs="宋体"/>
                <w:b/>
                <w:bCs/>
                <w:color w:val="auto"/>
                <w:sz w:val="21"/>
                <w:szCs w:val="21"/>
                <w:lang w:val="en-US" w:eastAsia="zh-CN"/>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19、维氏硬度HW≥12.2。</w:t>
            </w:r>
            <w:r>
              <w:rPr>
                <w:rFonts w:hint="eastAsia" w:ascii="宋体" w:hAnsi="宋体" w:cs="宋体"/>
                <w:b/>
                <w:bCs/>
                <w:color w:val="auto"/>
                <w:sz w:val="21"/>
                <w:szCs w:val="21"/>
                <w:lang w:val="en-US" w:eastAsia="zh-CN"/>
              </w:rPr>
              <w:t>（项号48）</w:t>
            </w:r>
            <w:r>
              <w:rPr>
                <w:rFonts w:hint="eastAsia" w:ascii="宋体" w:hAnsi="宋体" w:eastAsia="宋体" w:cs="宋体"/>
                <w:b/>
                <w:bCs/>
                <w:color w:val="auto"/>
                <w:sz w:val="21"/>
                <w:szCs w:val="21"/>
                <w:lang w:val="en-US" w:eastAsia="zh-CN"/>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5" w:type="dxa"/>
              <w:bottom w:w="0" w:type="dxa"/>
              <w:right w:w="10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140" w:type="dxa"/>
            <w:tcBorders>
              <w:top w:val="single" w:color="000000" w:sz="4" w:space="0"/>
              <w:left w:val="nil"/>
              <w:bottom w:val="single" w:color="000000" w:sz="4" w:space="0"/>
              <w:right w:val="single" w:color="000000" w:sz="4" w:space="0"/>
            </w:tcBorders>
            <w:shd w:val="clear" w:color="auto" w:fill="auto"/>
            <w:noWrap w:val="0"/>
            <w:tcMar>
              <w:top w:w="0" w:type="dxa"/>
              <w:left w:w="105" w:type="dxa"/>
              <w:bottom w:w="0" w:type="dxa"/>
              <w:right w:w="10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百叶帘</w:t>
            </w:r>
          </w:p>
        </w:tc>
        <w:tc>
          <w:tcPr>
            <w:tcW w:w="7035" w:type="dxa"/>
            <w:tcBorders>
              <w:top w:val="single" w:color="000000" w:sz="4" w:space="0"/>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1、材质:铝合金烤漆叶片；</w:t>
            </w:r>
            <w:r>
              <w:rPr>
                <w:rFonts w:hint="eastAsia" w:ascii="宋体" w:hAnsi="宋体" w:cs="宋体"/>
                <w:b/>
                <w:bCs/>
                <w:color w:val="auto"/>
                <w:sz w:val="21"/>
                <w:szCs w:val="21"/>
                <w:lang w:val="en-US" w:eastAsia="zh-CN"/>
              </w:rPr>
              <w:t>（项号49）</w:t>
            </w:r>
            <w:r>
              <w:rPr>
                <w:rFonts w:hint="eastAsia" w:ascii="宋体" w:hAnsi="宋体" w:eastAsia="宋体" w:cs="宋体"/>
                <w:b/>
                <w:bCs/>
                <w:color w:val="auto"/>
                <w:sz w:val="21"/>
                <w:szCs w:val="21"/>
                <w:lang w:val="en-US" w:eastAsia="zh-CN"/>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2、铝片厚度：壁厚≥ 0.21mm 宽≥25mm；</w:t>
            </w:r>
            <w:r>
              <w:rPr>
                <w:rFonts w:hint="eastAsia" w:ascii="宋体" w:hAnsi="宋体" w:cs="宋体"/>
                <w:b/>
                <w:bCs/>
                <w:color w:val="auto"/>
                <w:sz w:val="21"/>
                <w:szCs w:val="21"/>
                <w:lang w:val="en-US" w:eastAsia="zh-CN"/>
              </w:rPr>
              <w:t>（项号</w:t>
            </w:r>
            <w:r>
              <w:rPr>
                <w:rFonts w:hint="eastAsia" w:ascii="宋体" w:hAnsi="宋体" w:cs="宋体"/>
                <w:b/>
                <w:bCs/>
                <w:color w:val="auto"/>
                <w:sz w:val="21"/>
                <w:szCs w:val="21"/>
                <w:lang w:val="en-US" w:eastAsia="zh"/>
              </w:rPr>
              <w:t>5</w:t>
            </w:r>
            <w:r>
              <w:rPr>
                <w:rFonts w:hint="eastAsia" w:ascii="宋体" w:hAnsi="宋体" w:cs="宋体"/>
                <w:b/>
                <w:bCs/>
                <w:color w:val="auto"/>
                <w:sz w:val="21"/>
                <w:szCs w:val="21"/>
                <w:lang w:val="en-US" w:eastAsia="zh-CN"/>
              </w:rPr>
              <w:t>0）</w:t>
            </w:r>
            <w:r>
              <w:rPr>
                <w:rFonts w:hint="eastAsia" w:ascii="宋体" w:hAnsi="宋体" w:eastAsia="宋体" w:cs="宋体"/>
                <w:b/>
                <w:bCs/>
                <w:color w:val="auto"/>
                <w:sz w:val="21"/>
                <w:szCs w:val="21"/>
                <w:lang w:val="en-US" w:eastAsia="zh-CN"/>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3、可萃取重金属含量（mg/kg）：锑、镍、汞、铬、铅、铬（六价）、砷、铜、镉、钴：未检出；</w:t>
            </w:r>
            <w:r>
              <w:rPr>
                <w:rFonts w:hint="eastAsia" w:ascii="宋体" w:hAnsi="宋体" w:cs="宋体"/>
                <w:b/>
                <w:bCs/>
                <w:color w:val="auto"/>
                <w:sz w:val="21"/>
                <w:szCs w:val="21"/>
                <w:lang w:val="en-US" w:eastAsia="zh-CN"/>
              </w:rPr>
              <w:t>（项号</w:t>
            </w:r>
            <w:r>
              <w:rPr>
                <w:rFonts w:hint="eastAsia" w:ascii="宋体" w:hAnsi="宋体" w:cs="宋体"/>
                <w:b/>
                <w:bCs/>
                <w:color w:val="auto"/>
                <w:sz w:val="21"/>
                <w:szCs w:val="21"/>
                <w:lang w:val="en-US" w:eastAsia="zh"/>
              </w:rPr>
              <w:t>5</w:t>
            </w:r>
            <w:r>
              <w:rPr>
                <w:rFonts w:hint="eastAsia" w:ascii="宋体" w:hAnsi="宋体" w:cs="宋体"/>
                <w:b/>
                <w:bCs/>
                <w:color w:val="auto"/>
                <w:sz w:val="21"/>
                <w:szCs w:val="21"/>
                <w:lang w:val="en-US" w:eastAsia="zh-CN"/>
              </w:rPr>
              <w:t>1）</w:t>
            </w:r>
            <w:r>
              <w:rPr>
                <w:rFonts w:hint="eastAsia" w:ascii="宋体" w:hAnsi="宋体" w:eastAsia="宋体" w:cs="宋体"/>
                <w:b/>
                <w:bCs/>
                <w:color w:val="auto"/>
                <w:sz w:val="21"/>
                <w:szCs w:val="21"/>
                <w:lang w:val="en-US" w:eastAsia="zh-CN"/>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4、轨道厚度 1.2mm±2%；轨道成分铝镁合金；轨道烤漆电镀烤漆；</w:t>
            </w:r>
            <w:r>
              <w:rPr>
                <w:rFonts w:hint="eastAsia" w:ascii="宋体" w:hAnsi="宋体" w:cs="宋体"/>
                <w:b/>
                <w:bCs/>
                <w:color w:val="auto"/>
                <w:sz w:val="21"/>
                <w:szCs w:val="21"/>
                <w:lang w:val="en-US" w:eastAsia="zh-CN"/>
              </w:rPr>
              <w:t>（项号</w:t>
            </w:r>
            <w:r>
              <w:rPr>
                <w:rFonts w:hint="eastAsia" w:ascii="宋体" w:hAnsi="宋体" w:cs="宋体"/>
                <w:b/>
                <w:bCs/>
                <w:color w:val="auto"/>
                <w:sz w:val="21"/>
                <w:szCs w:val="21"/>
                <w:lang w:val="en-US" w:eastAsia="zh"/>
              </w:rPr>
              <w:t>5</w:t>
            </w:r>
            <w:r>
              <w:rPr>
                <w:rFonts w:hint="eastAsia" w:ascii="宋体" w:hAnsi="宋体" w:cs="宋体"/>
                <w:b/>
                <w:bCs/>
                <w:color w:val="auto"/>
                <w:sz w:val="21"/>
                <w:szCs w:val="21"/>
                <w:lang w:val="en-US" w:eastAsia="zh-CN"/>
              </w:rPr>
              <w:t>2）</w:t>
            </w:r>
            <w:r>
              <w:rPr>
                <w:rFonts w:hint="eastAsia" w:ascii="宋体" w:hAnsi="宋体" w:eastAsia="宋体" w:cs="宋体"/>
                <w:b/>
                <w:bCs/>
                <w:color w:val="auto"/>
                <w:sz w:val="21"/>
                <w:szCs w:val="21"/>
                <w:lang w:val="en-US" w:eastAsia="zh-CN"/>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5、拉珠规格直径：≥4.5mm；</w:t>
            </w:r>
            <w:r>
              <w:rPr>
                <w:rFonts w:hint="eastAsia" w:ascii="宋体" w:hAnsi="宋体" w:cs="宋体"/>
                <w:b/>
                <w:bCs/>
                <w:color w:val="auto"/>
                <w:sz w:val="21"/>
                <w:szCs w:val="21"/>
                <w:lang w:val="en-US" w:eastAsia="zh-CN"/>
              </w:rPr>
              <w:t>（项号</w:t>
            </w:r>
            <w:r>
              <w:rPr>
                <w:rFonts w:hint="eastAsia" w:ascii="宋体" w:hAnsi="宋体" w:cs="宋体"/>
                <w:b/>
                <w:bCs/>
                <w:color w:val="auto"/>
                <w:sz w:val="21"/>
                <w:szCs w:val="21"/>
                <w:lang w:val="en-US" w:eastAsia="zh"/>
              </w:rPr>
              <w:t>5</w:t>
            </w:r>
            <w:r>
              <w:rPr>
                <w:rFonts w:hint="eastAsia" w:ascii="宋体" w:hAnsi="宋体" w:cs="宋体"/>
                <w:b/>
                <w:bCs/>
                <w:color w:val="auto"/>
                <w:sz w:val="21"/>
                <w:szCs w:val="21"/>
                <w:lang w:val="en-US" w:eastAsia="zh-CN"/>
              </w:rPr>
              <w:t>3）</w:t>
            </w:r>
            <w:r>
              <w:rPr>
                <w:rFonts w:hint="eastAsia" w:ascii="宋体" w:hAnsi="宋体" w:eastAsia="宋体" w:cs="宋体"/>
                <w:b/>
                <w:bCs/>
                <w:color w:val="auto"/>
                <w:sz w:val="21"/>
                <w:szCs w:val="21"/>
                <w:lang w:val="en-US" w:eastAsia="zh-CN"/>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6、拉珠承重：≥20kg；</w:t>
            </w:r>
            <w:r>
              <w:rPr>
                <w:rFonts w:hint="eastAsia" w:ascii="宋体" w:hAnsi="宋体" w:cs="宋体"/>
                <w:b/>
                <w:bCs/>
                <w:color w:val="auto"/>
                <w:sz w:val="21"/>
                <w:szCs w:val="21"/>
                <w:lang w:val="en-US" w:eastAsia="zh-CN"/>
              </w:rPr>
              <w:t>（项号</w:t>
            </w:r>
            <w:r>
              <w:rPr>
                <w:rFonts w:hint="eastAsia" w:ascii="宋体" w:hAnsi="宋体" w:cs="宋体"/>
                <w:b/>
                <w:bCs/>
                <w:color w:val="auto"/>
                <w:sz w:val="21"/>
                <w:szCs w:val="21"/>
                <w:lang w:val="en-US" w:eastAsia="zh"/>
              </w:rPr>
              <w:t>5</w:t>
            </w:r>
            <w:r>
              <w:rPr>
                <w:rFonts w:hint="eastAsia" w:ascii="宋体" w:hAnsi="宋体" w:cs="宋体"/>
                <w:b/>
                <w:bCs/>
                <w:color w:val="auto"/>
                <w:sz w:val="21"/>
                <w:szCs w:val="21"/>
                <w:lang w:val="en-US" w:eastAsia="zh-CN"/>
              </w:rPr>
              <w:t>4）</w:t>
            </w:r>
            <w:r>
              <w:rPr>
                <w:rFonts w:hint="eastAsia" w:ascii="宋体" w:hAnsi="宋体" w:eastAsia="宋体" w:cs="宋体"/>
                <w:b/>
                <w:bCs/>
                <w:color w:val="auto"/>
                <w:sz w:val="21"/>
                <w:szCs w:val="21"/>
                <w:lang w:val="en-US" w:eastAsia="zh-CN"/>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7、拉珠制头成分 ABS塑料内含琴钢丝3根弹簧</w:t>
            </w:r>
            <w:r>
              <w:rPr>
                <w:rFonts w:hint="eastAsia" w:ascii="宋体" w:hAnsi="宋体" w:cs="宋体"/>
                <w:color w:val="auto"/>
                <w:sz w:val="21"/>
                <w:szCs w:val="21"/>
                <w:lang w:val="en-US" w:eastAsia="zh-CN"/>
              </w:rPr>
              <w:t>。</w:t>
            </w:r>
            <w:r>
              <w:rPr>
                <w:rFonts w:hint="eastAsia" w:ascii="宋体" w:hAnsi="宋体" w:cs="宋体"/>
                <w:b/>
                <w:bCs/>
                <w:color w:val="auto"/>
                <w:sz w:val="21"/>
                <w:szCs w:val="21"/>
                <w:lang w:val="en-US" w:eastAsia="zh-CN"/>
              </w:rPr>
              <w:t>（项号55）</w:t>
            </w:r>
            <w:r>
              <w:rPr>
                <w:rFonts w:hint="eastAsia" w:ascii="宋体" w:hAnsi="宋体" w:eastAsia="宋体" w:cs="宋体"/>
                <w:b/>
                <w:bCs/>
                <w:color w:val="auto"/>
                <w:sz w:val="21"/>
                <w:szCs w:val="21"/>
                <w:lang w:val="en-US" w:eastAsia="zh-CN"/>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5" w:type="dxa"/>
              <w:bottom w:w="0" w:type="dxa"/>
              <w:right w:w="10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140" w:type="dxa"/>
            <w:tcBorders>
              <w:top w:val="single" w:color="000000" w:sz="4" w:space="0"/>
              <w:left w:val="nil"/>
              <w:bottom w:val="single" w:color="000000" w:sz="4" w:space="0"/>
              <w:right w:val="single" w:color="000000" w:sz="4" w:space="0"/>
            </w:tcBorders>
            <w:shd w:val="clear" w:color="auto" w:fill="auto"/>
            <w:noWrap w:val="0"/>
            <w:tcMar>
              <w:top w:w="0" w:type="dxa"/>
              <w:left w:w="105" w:type="dxa"/>
              <w:bottom w:w="0" w:type="dxa"/>
              <w:right w:w="10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电动帘</w:t>
            </w:r>
          </w:p>
        </w:tc>
        <w:tc>
          <w:tcPr>
            <w:tcW w:w="7035" w:type="dxa"/>
            <w:tcBorders>
              <w:top w:val="single" w:color="000000" w:sz="4" w:space="0"/>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u w:val="single"/>
                <w:lang w:val="en-US" w:eastAsia="zh-CN"/>
              </w:rPr>
              <w:t>罗马帘面料：</w:t>
            </w:r>
            <w:r>
              <w:rPr>
                <w:rFonts w:hint="eastAsia" w:ascii="宋体" w:hAnsi="宋体" w:eastAsia="宋体" w:cs="宋体"/>
                <w:b/>
                <w:bCs/>
                <w:color w:val="auto"/>
                <w:sz w:val="21"/>
                <w:szCs w:val="21"/>
                <w:lang w:val="en-US" w:eastAsia="zh-CN"/>
              </w:rPr>
              <w:t>100%聚酯纤维</w:t>
            </w:r>
            <w:r>
              <w:rPr>
                <w:rFonts w:hint="eastAsia" w:ascii="宋体" w:hAnsi="宋体" w:cs="宋体"/>
                <w:b/>
                <w:bCs/>
                <w:color w:val="auto"/>
                <w:sz w:val="21"/>
                <w:szCs w:val="21"/>
                <w:lang w:val="en-US" w:eastAsia="zh-CN"/>
              </w:rPr>
              <w:t>。</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异味：无；</w:t>
            </w:r>
            <w:r>
              <w:rPr>
                <w:rFonts w:hint="eastAsia" w:ascii="宋体" w:hAnsi="宋体" w:cs="宋体"/>
                <w:b/>
                <w:bCs/>
                <w:color w:val="auto"/>
                <w:sz w:val="21"/>
                <w:szCs w:val="21"/>
                <w:lang w:val="en-US" w:eastAsia="zh-CN"/>
              </w:rPr>
              <w:t>（项号56）</w:t>
            </w:r>
            <w:r>
              <w:rPr>
                <w:rFonts w:hint="eastAsia" w:ascii="宋体" w:hAnsi="宋体" w:eastAsia="宋体" w:cs="宋体"/>
                <w:b/>
                <w:bCs/>
                <w:color w:val="auto"/>
                <w:sz w:val="21"/>
                <w:szCs w:val="21"/>
                <w:lang w:val="en-US" w:eastAsia="zh-CN"/>
              </w:rPr>
              <w:t xml:space="preserve"> </w:t>
            </w:r>
            <w:r>
              <w:rPr>
                <w:rFonts w:hint="eastAsia" w:ascii="宋体" w:hAnsi="宋体" w:eastAsia="宋体" w:cs="宋体"/>
                <w:color w:val="auto"/>
                <w:sz w:val="21"/>
                <w:szCs w:val="21"/>
                <w:lang w:val="en-US" w:eastAsia="zh-CN"/>
              </w:rPr>
              <w:t>     </w:t>
            </w:r>
            <w:r>
              <w:rPr>
                <w:rFonts w:hint="eastAsia" w:ascii="宋体" w:hAnsi="宋体" w:eastAsia="宋体" w:cs="宋体"/>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w:t>
            </w: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水洗尺寸变化率（缩水率）：长度：±0.3%；宽度±0.3%；</w:t>
            </w:r>
            <w:r>
              <w:rPr>
                <w:rFonts w:hint="eastAsia" w:ascii="宋体" w:hAnsi="宋体" w:cs="宋体"/>
                <w:b/>
                <w:bCs/>
                <w:color w:val="auto"/>
                <w:sz w:val="21"/>
                <w:szCs w:val="21"/>
                <w:lang w:val="en-US" w:eastAsia="zh-CN"/>
              </w:rPr>
              <w:t>（项号57）</w:t>
            </w:r>
            <w:r>
              <w:rPr>
                <w:rFonts w:hint="eastAsia" w:ascii="宋体" w:hAnsi="宋体" w:eastAsia="宋体" w:cs="宋体"/>
                <w:b/>
                <w:bCs/>
                <w:color w:val="auto"/>
                <w:sz w:val="21"/>
                <w:szCs w:val="21"/>
                <w:lang w:val="en-US" w:eastAsia="zh-CN"/>
              </w:rPr>
              <w:t xml:space="preserve"> </w:t>
            </w:r>
            <w:r>
              <w:rPr>
                <w:rFonts w:hint="eastAsia" w:ascii="宋体" w:hAnsi="宋体" w:eastAsia="宋体" w:cs="宋体"/>
                <w:color w:val="auto"/>
                <w:sz w:val="21"/>
                <w:szCs w:val="21"/>
                <w:lang w:val="en-US" w:eastAsia="zh-CN"/>
              </w:rPr>
              <w:t>              </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阻燃性能：</w:t>
            </w:r>
            <w:r>
              <w:rPr>
                <w:rFonts w:hint="eastAsia" w:asciiTheme="minorEastAsia" w:hAnsiTheme="minorEastAsia" w:eastAsiaTheme="minorEastAsia" w:cstheme="minorEastAsia"/>
                <w:color w:val="auto"/>
                <w:sz w:val="21"/>
                <w:szCs w:val="21"/>
                <w:highlight w:val="none"/>
              </w:rPr>
              <w:t>需符合《建筑材料及制品燃烧性能分级》GB/T 8624-2012B1级</w:t>
            </w:r>
            <w:r>
              <w:rPr>
                <w:rFonts w:hint="eastAsia" w:ascii="宋体" w:hAnsi="宋体" w:eastAsia="宋体" w:cs="宋体"/>
                <w:color w:val="auto"/>
                <w:sz w:val="21"/>
                <w:szCs w:val="21"/>
                <w:lang w:val="en-US" w:eastAsia="zh-CN"/>
              </w:rPr>
              <w:t>；</w:t>
            </w:r>
            <w:r>
              <w:rPr>
                <w:rFonts w:hint="eastAsia" w:ascii="宋体" w:hAnsi="宋体" w:cs="宋体"/>
                <w:b/>
                <w:bCs/>
                <w:color w:val="auto"/>
                <w:sz w:val="21"/>
                <w:szCs w:val="21"/>
                <w:lang w:val="en-US" w:eastAsia="zh-CN"/>
              </w:rPr>
              <w:t>（项号58）</w:t>
            </w:r>
            <w:r>
              <w:rPr>
                <w:rFonts w:hint="eastAsia" w:ascii="宋体" w:hAnsi="宋体" w:eastAsia="宋体" w:cs="宋体"/>
                <w:b/>
                <w:bCs/>
                <w:color w:val="auto"/>
                <w:sz w:val="21"/>
                <w:szCs w:val="21"/>
                <w:lang w:val="en-US" w:eastAsia="zh-CN"/>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b/>
                <w:bCs/>
                <w:color w:val="auto"/>
                <w:sz w:val="21"/>
                <w:szCs w:val="21"/>
                <w:u w:val="single"/>
                <w:lang w:val="en-US" w:eastAsia="zh-CN"/>
              </w:rPr>
            </w:pPr>
            <w:r>
              <w:rPr>
                <w:rFonts w:hint="eastAsia" w:ascii="宋体" w:hAnsi="宋体" w:eastAsia="宋体" w:cs="宋体"/>
                <w:b/>
                <w:bCs/>
                <w:color w:val="auto"/>
                <w:sz w:val="21"/>
                <w:szCs w:val="21"/>
                <w:u w:val="single"/>
                <w:lang w:val="en-US" w:eastAsia="zh-CN"/>
              </w:rPr>
              <w:t>直流罗马帘电机：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静音舒适：运行时震动小，静音；完美对齐：所有负载条件下转速恒定，确保多个窗帘在开启和关闭过程中的完美对齐；</w:t>
            </w:r>
            <w:r>
              <w:rPr>
                <w:rFonts w:hint="eastAsia" w:ascii="宋体" w:hAnsi="宋体" w:cs="宋体"/>
                <w:b/>
                <w:bCs/>
                <w:color w:val="auto"/>
                <w:sz w:val="21"/>
                <w:szCs w:val="21"/>
                <w:lang w:val="en-US" w:eastAsia="zh-CN"/>
              </w:rPr>
              <w:t>（项号59）</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安全节能：窗帘开启和关闭过程中具有阻力探测功能；确保运行或待机模式下低功耗，环保节能。</w:t>
            </w:r>
            <w:r>
              <w:rPr>
                <w:rFonts w:hint="eastAsia" w:ascii="宋体" w:hAnsi="宋体" w:cs="宋体"/>
                <w:b/>
                <w:bCs/>
                <w:color w:val="auto"/>
                <w:sz w:val="21"/>
                <w:szCs w:val="21"/>
                <w:lang w:val="en-US" w:eastAsia="zh-CN"/>
              </w:rPr>
              <w:t>（项号</w:t>
            </w:r>
            <w:r>
              <w:rPr>
                <w:rFonts w:hint="eastAsia" w:ascii="宋体" w:hAnsi="宋体" w:cs="宋体"/>
                <w:b/>
                <w:bCs/>
                <w:color w:val="auto"/>
                <w:sz w:val="21"/>
                <w:szCs w:val="21"/>
                <w:lang w:val="en-US" w:eastAsia="zh"/>
              </w:rPr>
              <w:t>6</w:t>
            </w:r>
            <w:r>
              <w:rPr>
                <w:rFonts w:hint="eastAsia" w:ascii="宋体" w:hAnsi="宋体" w:cs="宋体"/>
                <w:b/>
                <w:bCs/>
                <w:color w:val="auto"/>
                <w:sz w:val="21"/>
                <w:szCs w:val="21"/>
                <w:lang w:val="en-US" w:eastAsia="zh-CN"/>
              </w:rPr>
              <w:t>0）本项号包含以下第（1）-（9）项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（1）额定电压：≥12</w:t>
            </w:r>
            <w:r>
              <w:rPr>
                <w:rFonts w:hint="eastAsia" w:ascii="宋体" w:hAnsi="宋体" w:cs="宋体"/>
                <w:color w:val="auto"/>
                <w:sz w:val="21"/>
                <w:szCs w:val="21"/>
                <w:lang w:val="en-US" w:eastAsia="zh-CN"/>
              </w:rPr>
              <w:t>V</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（2）额定扭矩≥ 0.8N.M</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（3）输出转速：≥34rpm</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（4）额定功率 ≥10W</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（5）额定电流：≥0.83A</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（7）马达外壳直径：≥24mm</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（8）保护等级：≥44IP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（9）控制方式：遥控器/面板</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5" w:type="dxa"/>
              <w:bottom w:w="0" w:type="dxa"/>
              <w:right w:w="10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140" w:type="dxa"/>
            <w:tcBorders>
              <w:top w:val="single" w:color="000000" w:sz="4" w:space="0"/>
              <w:left w:val="nil"/>
              <w:bottom w:val="single" w:color="000000" w:sz="4" w:space="0"/>
              <w:right w:val="single" w:color="000000" w:sz="4" w:space="0"/>
            </w:tcBorders>
            <w:shd w:val="clear" w:color="auto" w:fill="auto"/>
            <w:noWrap w:val="0"/>
            <w:tcMar>
              <w:top w:w="0" w:type="dxa"/>
              <w:left w:w="105" w:type="dxa"/>
              <w:bottom w:w="0" w:type="dxa"/>
              <w:right w:w="10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ascii="宋体" w:hAnsi="宋体" w:eastAsia="宋体" w:cs="宋体"/>
                <w:color w:val="auto"/>
                <w:sz w:val="21"/>
                <w:szCs w:val="21"/>
              </w:rPr>
              <w:t>柔纱帘</w:t>
            </w:r>
          </w:p>
        </w:tc>
        <w:tc>
          <w:tcPr>
            <w:tcW w:w="7035" w:type="dxa"/>
            <w:tcBorders>
              <w:top w:val="single" w:color="000000" w:sz="4" w:space="0"/>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面料成分:100%聚酯纤维</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厚度≥0.25mm；</w:t>
            </w:r>
            <w:r>
              <w:rPr>
                <w:rFonts w:hint="eastAsia" w:ascii="宋体" w:hAnsi="宋体" w:cs="宋体"/>
                <w:b/>
                <w:bCs/>
                <w:color w:val="auto"/>
                <w:sz w:val="21"/>
                <w:szCs w:val="21"/>
                <w:lang w:val="en-US" w:eastAsia="zh-CN"/>
              </w:rPr>
              <w:t>（项号</w:t>
            </w:r>
            <w:r>
              <w:rPr>
                <w:rFonts w:hint="eastAsia" w:ascii="宋体" w:hAnsi="宋体" w:cs="宋体"/>
                <w:b/>
                <w:bCs/>
                <w:color w:val="auto"/>
                <w:sz w:val="21"/>
                <w:szCs w:val="21"/>
                <w:lang w:val="en-US" w:eastAsia="zh"/>
              </w:rPr>
              <w:t>6</w:t>
            </w:r>
            <w:r>
              <w:rPr>
                <w:rFonts w:hint="eastAsia" w:ascii="宋体" w:hAnsi="宋体" w:cs="宋体"/>
                <w:b/>
                <w:bCs/>
                <w:color w:val="auto"/>
                <w:sz w:val="21"/>
                <w:szCs w:val="21"/>
                <w:lang w:val="en-US" w:eastAsia="zh-CN"/>
              </w:rPr>
              <w:t>1）</w:t>
            </w:r>
            <w:r>
              <w:rPr>
                <w:rFonts w:hint="eastAsia" w:ascii="宋体" w:hAnsi="宋体" w:eastAsia="宋体" w:cs="宋体"/>
                <w:b/>
                <w:bCs/>
                <w:color w:val="auto"/>
                <w:sz w:val="21"/>
                <w:szCs w:val="21"/>
                <w:lang w:val="en-US" w:eastAsia="zh-CN"/>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、克重≥135g/㎡；</w:t>
            </w:r>
            <w:r>
              <w:rPr>
                <w:rFonts w:hint="eastAsia" w:ascii="宋体" w:hAnsi="宋体" w:cs="宋体"/>
                <w:b/>
                <w:bCs/>
                <w:color w:val="auto"/>
                <w:sz w:val="21"/>
                <w:szCs w:val="21"/>
                <w:lang w:val="en-US" w:eastAsia="zh-CN"/>
              </w:rPr>
              <w:t>（项号</w:t>
            </w:r>
            <w:r>
              <w:rPr>
                <w:rFonts w:hint="eastAsia" w:ascii="宋体" w:hAnsi="宋体" w:cs="宋体"/>
                <w:b/>
                <w:bCs/>
                <w:color w:val="auto"/>
                <w:sz w:val="21"/>
                <w:szCs w:val="21"/>
                <w:lang w:val="en-US" w:eastAsia="zh"/>
              </w:rPr>
              <w:t>6</w:t>
            </w:r>
            <w:r>
              <w:rPr>
                <w:rFonts w:hint="eastAsia" w:ascii="宋体" w:hAnsi="宋体" w:cs="宋体"/>
                <w:b/>
                <w:bCs/>
                <w:color w:val="auto"/>
                <w:sz w:val="21"/>
                <w:szCs w:val="21"/>
                <w:lang w:val="en-US" w:eastAsia="zh-CN"/>
              </w:rPr>
              <w:t>2）</w:t>
            </w:r>
            <w:r>
              <w:rPr>
                <w:rFonts w:hint="eastAsia" w:ascii="宋体" w:hAnsi="宋体" w:eastAsia="宋体" w:cs="宋体"/>
                <w:b/>
                <w:bCs/>
                <w:color w:val="auto"/>
                <w:sz w:val="21"/>
                <w:szCs w:val="21"/>
                <w:lang w:val="en-US" w:eastAsia="zh-CN"/>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、pH值：</w:t>
            </w:r>
            <w:r>
              <w:rPr>
                <w:rFonts w:hint="eastAsia" w:ascii="宋体" w:hAnsi="宋体" w:cs="宋体"/>
                <w:color w:val="auto"/>
                <w:sz w:val="21"/>
                <w:szCs w:val="21"/>
                <w:lang w:val="en-US" w:eastAsia="zh-CN"/>
              </w:rPr>
              <w:t>4－9</w:t>
            </w:r>
            <w:r>
              <w:rPr>
                <w:rFonts w:hint="eastAsia" w:ascii="宋体" w:hAnsi="宋体" w:eastAsia="宋体" w:cs="宋体"/>
                <w:color w:val="auto"/>
                <w:sz w:val="21"/>
                <w:szCs w:val="21"/>
                <w:lang w:val="en-US" w:eastAsia="zh-CN"/>
              </w:rPr>
              <w:t>；</w:t>
            </w:r>
            <w:r>
              <w:rPr>
                <w:rFonts w:hint="eastAsia" w:ascii="宋体" w:hAnsi="宋体" w:cs="宋体"/>
                <w:b/>
                <w:bCs/>
                <w:color w:val="auto"/>
                <w:sz w:val="21"/>
                <w:szCs w:val="21"/>
                <w:lang w:val="en-US" w:eastAsia="zh-CN"/>
              </w:rPr>
              <w:t>（项号</w:t>
            </w:r>
            <w:r>
              <w:rPr>
                <w:rFonts w:hint="eastAsia" w:ascii="宋体" w:hAnsi="宋体" w:cs="宋体"/>
                <w:b/>
                <w:bCs/>
                <w:color w:val="auto"/>
                <w:sz w:val="21"/>
                <w:szCs w:val="21"/>
                <w:lang w:val="en-US" w:eastAsia="zh"/>
              </w:rPr>
              <w:t>6</w:t>
            </w:r>
            <w:r>
              <w:rPr>
                <w:rFonts w:hint="eastAsia" w:ascii="宋体" w:hAnsi="宋体" w:cs="宋体"/>
                <w:b/>
                <w:bCs/>
                <w:color w:val="auto"/>
                <w:sz w:val="21"/>
                <w:szCs w:val="21"/>
                <w:lang w:val="en-US" w:eastAsia="zh-CN"/>
              </w:rPr>
              <w:t>3）</w:t>
            </w:r>
            <w:r>
              <w:rPr>
                <w:rFonts w:hint="eastAsia" w:ascii="宋体" w:hAnsi="宋体" w:eastAsia="宋体" w:cs="宋体"/>
                <w:b/>
                <w:bCs/>
                <w:color w:val="auto"/>
                <w:sz w:val="21"/>
                <w:szCs w:val="21"/>
                <w:lang w:val="en-US" w:eastAsia="zh-CN"/>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pacing w:val="-6"/>
                <w:sz w:val="21"/>
                <w:szCs w:val="21"/>
              </w:rPr>
              <w:t>▲</w:t>
            </w:r>
            <w:r>
              <w:rPr>
                <w:rFonts w:hint="eastAsia" w:ascii="宋体" w:hAnsi="宋体" w:cs="宋体"/>
                <w:color w:val="auto"/>
                <w:spacing w:val="-6"/>
                <w:sz w:val="21"/>
                <w:szCs w:val="21"/>
                <w:lang w:val="en-US" w:eastAsia="zh-CN"/>
              </w:rPr>
              <w:t>4</w:t>
            </w:r>
            <w:r>
              <w:rPr>
                <w:rFonts w:hint="eastAsia" w:ascii="宋体" w:hAnsi="宋体" w:eastAsia="宋体" w:cs="宋体"/>
                <w:color w:val="auto"/>
                <w:sz w:val="21"/>
                <w:szCs w:val="21"/>
                <w:lang w:val="en-US" w:eastAsia="zh-CN"/>
              </w:rPr>
              <w:t>、甲醛含量：</w:t>
            </w:r>
            <w:r>
              <w:rPr>
                <w:rFonts w:hint="eastAsia" w:ascii="宋体" w:hAnsi="宋体" w:cs="宋体"/>
                <w:color w:val="auto"/>
                <w:sz w:val="21"/>
                <w:szCs w:val="21"/>
                <w:lang w:val="en-US" w:eastAsia="zh-CN"/>
              </w:rPr>
              <w:t>未检出，检出限</w:t>
            </w:r>
            <w:r>
              <w:rPr>
                <w:rFonts w:hint="eastAsia" w:ascii="宋体" w:hAnsi="宋体" w:eastAsia="宋体" w:cs="宋体"/>
                <w:color w:val="auto"/>
                <w:sz w:val="21"/>
                <w:szCs w:val="21"/>
                <w:lang w:val="en-US" w:eastAsia="zh-CN"/>
              </w:rPr>
              <w:t>≤20mg/kg；</w:t>
            </w:r>
            <w:r>
              <w:rPr>
                <w:rFonts w:hint="eastAsia" w:ascii="宋体" w:hAnsi="宋体" w:cs="宋体"/>
                <w:b/>
                <w:bCs/>
                <w:color w:val="auto"/>
                <w:sz w:val="21"/>
                <w:szCs w:val="21"/>
                <w:lang w:val="en-US" w:eastAsia="zh-CN"/>
              </w:rPr>
              <w:t>（项号</w:t>
            </w:r>
            <w:r>
              <w:rPr>
                <w:rFonts w:hint="eastAsia" w:ascii="宋体" w:hAnsi="宋体" w:cs="宋体"/>
                <w:b/>
                <w:bCs/>
                <w:color w:val="auto"/>
                <w:sz w:val="21"/>
                <w:szCs w:val="21"/>
                <w:lang w:val="en-US" w:eastAsia="zh"/>
              </w:rPr>
              <w:t>6</w:t>
            </w:r>
            <w:r>
              <w:rPr>
                <w:rFonts w:hint="eastAsia" w:ascii="宋体" w:hAnsi="宋体" w:cs="宋体"/>
                <w:b/>
                <w:bCs/>
                <w:color w:val="auto"/>
                <w:sz w:val="21"/>
                <w:szCs w:val="21"/>
                <w:lang w:val="en-US" w:eastAsia="zh-CN"/>
              </w:rPr>
              <w:t>4）</w:t>
            </w:r>
            <w:r>
              <w:rPr>
                <w:rFonts w:hint="eastAsia" w:ascii="宋体" w:hAnsi="宋体" w:eastAsia="宋体" w:cs="宋体"/>
                <w:b/>
                <w:bCs/>
                <w:color w:val="auto"/>
                <w:sz w:val="21"/>
                <w:szCs w:val="21"/>
                <w:lang w:val="en-US" w:eastAsia="zh-CN"/>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、可分解致癌芳香胺染料：禁用；</w:t>
            </w:r>
            <w:r>
              <w:rPr>
                <w:rFonts w:hint="eastAsia" w:ascii="宋体" w:hAnsi="宋体" w:cs="宋体"/>
                <w:b/>
                <w:bCs/>
                <w:color w:val="auto"/>
                <w:sz w:val="21"/>
                <w:szCs w:val="21"/>
                <w:lang w:val="en-US" w:eastAsia="zh-CN"/>
              </w:rPr>
              <w:t>（项号65）</w:t>
            </w:r>
            <w:r>
              <w:rPr>
                <w:rFonts w:hint="eastAsia" w:ascii="宋体" w:hAnsi="宋体" w:eastAsia="宋体" w:cs="宋体"/>
                <w:b/>
                <w:bCs/>
                <w:color w:val="auto"/>
                <w:sz w:val="21"/>
                <w:szCs w:val="21"/>
                <w:lang w:val="en-US" w:eastAsia="zh-CN"/>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宋体" w:hAnsi="宋体" w:eastAsia="宋体" w:cs="宋体"/>
                <w:b/>
                <w:bCs/>
                <w:color w:val="auto"/>
                <w:sz w:val="21"/>
                <w:szCs w:val="21"/>
                <w:lang w:val="en-US" w:eastAsia="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、异味：无。</w:t>
            </w:r>
            <w:r>
              <w:rPr>
                <w:rFonts w:hint="eastAsia" w:ascii="宋体" w:hAnsi="宋体" w:cs="宋体"/>
                <w:b/>
                <w:bCs/>
                <w:color w:val="auto"/>
                <w:sz w:val="21"/>
                <w:szCs w:val="21"/>
                <w:lang w:val="en-US" w:eastAsia="zh-CN"/>
              </w:rPr>
              <w:t>（项号66）</w:t>
            </w:r>
          </w:p>
          <w:p>
            <w:pPr>
              <w:pStyle w:val="26"/>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▲7、耐光色牢度：≥4级；</w:t>
            </w:r>
            <w:r>
              <w:rPr>
                <w:rFonts w:hint="eastAsia" w:asciiTheme="minorEastAsia" w:hAnsiTheme="minorEastAsia" w:eastAsiaTheme="minorEastAsia" w:cstheme="minorEastAsia"/>
                <w:b/>
                <w:color w:val="auto"/>
                <w:sz w:val="21"/>
                <w:szCs w:val="21"/>
              </w:rPr>
              <w:t>（指标项</w:t>
            </w:r>
            <w:r>
              <w:rPr>
                <w:rFonts w:hint="eastAsia" w:asciiTheme="minorEastAsia" w:hAnsiTheme="minorEastAsia" w:eastAsiaTheme="minorEastAsia" w:cstheme="minorEastAsia"/>
                <w:b/>
                <w:color w:val="auto"/>
                <w:sz w:val="21"/>
                <w:szCs w:val="21"/>
                <w:lang w:val="en-US" w:eastAsia="zh-CN"/>
              </w:rPr>
              <w:t>67</w:t>
            </w:r>
            <w:r>
              <w:rPr>
                <w:rFonts w:hint="eastAsia" w:asciiTheme="minorEastAsia" w:hAnsiTheme="minorEastAsia" w:eastAsiaTheme="minorEastAsia" w:cstheme="minorEastAsia"/>
                <w:b/>
                <w:color w:val="auto"/>
                <w:sz w:val="21"/>
                <w:szCs w:val="21"/>
              </w:rPr>
              <w:t>）</w:t>
            </w:r>
          </w:p>
          <w:p>
            <w:pPr>
              <w:pStyle w:val="26"/>
              <w:keepNext w:val="0"/>
              <w:keepLines w:val="0"/>
              <w:numPr>
                <w:ilvl w:val="0"/>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▲8、撕破强力：经向≥640N，纬向：≥150N；</w:t>
            </w:r>
            <w:r>
              <w:rPr>
                <w:rFonts w:hint="eastAsia" w:asciiTheme="minorEastAsia" w:hAnsiTheme="minorEastAsia" w:eastAsiaTheme="minorEastAsia" w:cstheme="minorEastAsia"/>
                <w:b/>
                <w:color w:val="auto"/>
                <w:sz w:val="21"/>
                <w:szCs w:val="21"/>
              </w:rPr>
              <w:t>（指标项</w:t>
            </w:r>
            <w:r>
              <w:rPr>
                <w:rFonts w:hint="eastAsia" w:asciiTheme="minorEastAsia" w:hAnsiTheme="minorEastAsia" w:eastAsiaTheme="minorEastAsia" w:cstheme="minorEastAsia"/>
                <w:b/>
                <w:color w:val="auto"/>
                <w:sz w:val="21"/>
                <w:szCs w:val="21"/>
                <w:lang w:val="en-US" w:eastAsia="zh-CN"/>
              </w:rPr>
              <w:t>68</w:t>
            </w:r>
            <w:r>
              <w:rPr>
                <w:rFonts w:hint="eastAsia" w:asciiTheme="minorEastAsia" w:hAnsiTheme="minorEastAsia" w:eastAsiaTheme="minorEastAsia" w:cstheme="minorEastAsia"/>
                <w:b/>
                <w:color w:val="auto"/>
                <w:sz w:val="21"/>
                <w:szCs w:val="21"/>
              </w:rPr>
              <w:t>）</w:t>
            </w:r>
          </w:p>
          <w:p>
            <w:pPr>
              <w:pStyle w:val="26"/>
              <w:keepNext w:val="0"/>
              <w:keepLines w:val="0"/>
              <w:numPr>
                <w:ilvl w:val="0"/>
                <w:numId w:val="0"/>
              </w:numPr>
              <w:suppressLineNumbers w:val="0"/>
              <w:spacing w:before="0" w:beforeAutospacing="0" w:after="0" w:afterAutospacing="0" w:line="240" w:lineRule="auto"/>
              <w:ind w:left="0" w:right="0"/>
              <w:rPr>
                <w:rFonts w:hint="eastAsia" w:ascii="宋体" w:hAnsi="宋体" w:eastAsia="宋体" w:cs="宋体"/>
                <w:b/>
                <w:bCs/>
                <w:color w:val="auto"/>
                <w:sz w:val="21"/>
                <w:szCs w:val="21"/>
                <w:lang w:val="en-US" w:eastAsia="zh-CN"/>
              </w:rPr>
            </w:pPr>
            <w:r>
              <w:rPr>
                <w:rFonts w:hint="eastAsia" w:asciiTheme="minorEastAsia" w:hAnsiTheme="minorEastAsia" w:eastAsiaTheme="minorEastAsia" w:cstheme="minorEastAsia"/>
                <w:color w:val="auto"/>
                <w:spacing w:val="-6"/>
                <w:sz w:val="21"/>
                <w:szCs w:val="21"/>
              </w:rPr>
              <w:t>▲</w:t>
            </w:r>
            <w:r>
              <w:rPr>
                <w:rFonts w:hint="eastAsia" w:asciiTheme="minorEastAsia" w:hAnsiTheme="minorEastAsia" w:eastAsiaTheme="minorEastAsia" w:cstheme="minorEastAsia"/>
                <w:color w:val="auto"/>
                <w:spacing w:val="-6"/>
                <w:sz w:val="21"/>
                <w:szCs w:val="21"/>
                <w:lang w:val="en-US" w:eastAsia="zh-CN"/>
              </w:rPr>
              <w:t>9</w:t>
            </w:r>
            <w:r>
              <w:rPr>
                <w:rFonts w:hint="eastAsia" w:asciiTheme="minorEastAsia" w:hAnsiTheme="minorEastAsia" w:eastAsiaTheme="minorEastAsia" w:cstheme="minorEastAsia"/>
                <w:color w:val="auto"/>
                <w:sz w:val="21"/>
                <w:szCs w:val="21"/>
                <w:highlight w:val="none"/>
                <w:lang w:val="en-US" w:eastAsia="zh-CN"/>
              </w:rPr>
              <w:t>、阻燃性能：</w:t>
            </w:r>
            <w:r>
              <w:rPr>
                <w:rFonts w:hint="eastAsia" w:asciiTheme="minorEastAsia" w:hAnsiTheme="minorEastAsia" w:eastAsiaTheme="minorEastAsia" w:cstheme="minorEastAsia"/>
                <w:color w:val="auto"/>
                <w:sz w:val="21"/>
                <w:szCs w:val="21"/>
                <w:highlight w:val="none"/>
              </w:rPr>
              <w:t>需符合《建筑材料及制品燃烧性能分级》GB/T 8624-2012B1级</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color w:val="auto"/>
                <w:sz w:val="21"/>
                <w:szCs w:val="21"/>
              </w:rPr>
              <w:t>（指标项</w:t>
            </w:r>
            <w:r>
              <w:rPr>
                <w:rFonts w:hint="eastAsia" w:asciiTheme="minorEastAsia" w:hAnsiTheme="minorEastAsia" w:eastAsiaTheme="minorEastAsia" w:cstheme="minorEastAsia"/>
                <w:b/>
                <w:color w:val="auto"/>
                <w:sz w:val="21"/>
                <w:szCs w:val="21"/>
                <w:lang w:val="en-US" w:eastAsia="zh-CN"/>
              </w:rPr>
              <w:t>69</w:t>
            </w:r>
            <w:r>
              <w:rPr>
                <w:rFonts w:hint="eastAsia" w:asciiTheme="minorEastAsia" w:hAnsiTheme="minorEastAsia" w:eastAsiaTheme="minorEastAsia" w:cstheme="minorEastAsia"/>
                <w:b/>
                <w:color w:val="auto"/>
                <w:sz w:val="21"/>
                <w:szCs w:val="21"/>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10</w:t>
            </w:r>
            <w:r>
              <w:rPr>
                <w:rFonts w:hint="eastAsia" w:ascii="宋体" w:hAnsi="宋体" w:eastAsia="宋体" w:cs="宋体"/>
                <w:color w:val="auto"/>
                <w:sz w:val="21"/>
                <w:szCs w:val="21"/>
                <w:lang w:val="en-US" w:eastAsia="zh-CN"/>
              </w:rPr>
              <w:t>、配件采用高强度铝合金材质、铝镁合金组成，上下轨材质采用圆形铝合金挤压管材，表面阳极氧化表面处理工艺，以保证铝管的强度使顶槽不产生挠度，确保系统平整、经久耐用。帘子上下拉动采用半自动拉</w:t>
            </w:r>
            <w:r>
              <w:rPr>
                <w:rFonts w:hint="eastAsia" w:ascii="宋体" w:hAnsi="宋体" w:cs="宋体"/>
                <w:color w:val="auto"/>
                <w:sz w:val="21"/>
                <w:szCs w:val="21"/>
                <w:lang w:val="en-US" w:eastAsia="zh"/>
              </w:rPr>
              <w:t>珠</w:t>
            </w:r>
            <w:r>
              <w:rPr>
                <w:rFonts w:hint="eastAsia" w:ascii="宋体" w:hAnsi="宋体" w:eastAsia="宋体" w:cs="宋体"/>
                <w:color w:val="auto"/>
                <w:sz w:val="21"/>
                <w:szCs w:val="21"/>
                <w:lang w:val="en-US" w:eastAsia="zh-CN"/>
              </w:rPr>
              <w:t>式循环系统，轻拉</w:t>
            </w:r>
            <w:r>
              <w:rPr>
                <w:rFonts w:hint="eastAsia" w:ascii="宋体" w:hAnsi="宋体" w:cs="宋体"/>
                <w:color w:val="auto"/>
                <w:sz w:val="21"/>
                <w:szCs w:val="21"/>
                <w:lang w:val="en-US" w:eastAsia="zh"/>
              </w:rPr>
              <w:t>珠</w:t>
            </w:r>
            <w:r>
              <w:rPr>
                <w:rFonts w:hint="eastAsia" w:ascii="宋体" w:hAnsi="宋体" w:eastAsia="宋体" w:cs="宋体"/>
                <w:color w:val="auto"/>
                <w:sz w:val="21"/>
                <w:szCs w:val="21"/>
                <w:lang w:val="en-US" w:eastAsia="zh-CN"/>
              </w:rPr>
              <w:t>子，带自动上升功能。</w:t>
            </w:r>
            <w:r>
              <w:rPr>
                <w:rFonts w:hint="eastAsia" w:ascii="宋体" w:hAnsi="宋体" w:cs="宋体"/>
                <w:b/>
                <w:bCs/>
                <w:color w:val="auto"/>
                <w:sz w:val="21"/>
                <w:szCs w:val="21"/>
                <w:lang w:val="en-US" w:eastAsia="zh-CN"/>
              </w:rPr>
              <w:t>（项号</w:t>
            </w:r>
            <w:r>
              <w:rPr>
                <w:rFonts w:hint="eastAsia" w:ascii="宋体" w:hAnsi="宋体" w:cs="宋体"/>
                <w:b/>
                <w:bCs/>
                <w:color w:val="auto"/>
                <w:sz w:val="21"/>
                <w:szCs w:val="21"/>
                <w:lang w:val="en-US" w:eastAsia="zh"/>
              </w:rPr>
              <w:t>7</w:t>
            </w:r>
            <w:r>
              <w:rPr>
                <w:rFonts w:hint="eastAsia" w:ascii="宋体" w:hAnsi="宋体" w:cs="宋体"/>
                <w:b/>
                <w:bCs/>
                <w:color w:val="auto"/>
                <w:sz w:val="21"/>
                <w:szCs w:val="21"/>
                <w:lang w:val="en-US" w:eastAsia="zh-CN"/>
              </w:rPr>
              <w:t>0）</w:t>
            </w:r>
            <w:r>
              <w:rPr>
                <w:rFonts w:hint="eastAsia" w:ascii="宋体" w:hAnsi="宋体" w:eastAsia="宋体" w:cs="宋体"/>
                <w:b/>
                <w:bCs/>
                <w:color w:val="auto"/>
                <w:sz w:val="21"/>
                <w:szCs w:val="21"/>
                <w:lang w:val="en-US" w:eastAsia="zh-CN"/>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5" w:type="dxa"/>
              <w:bottom w:w="0" w:type="dxa"/>
              <w:right w:w="10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140" w:type="dxa"/>
            <w:tcBorders>
              <w:top w:val="single" w:color="000000" w:sz="4" w:space="0"/>
              <w:left w:val="nil"/>
              <w:bottom w:val="single" w:color="000000" w:sz="4" w:space="0"/>
              <w:right w:val="single" w:color="000000" w:sz="4" w:space="0"/>
            </w:tcBorders>
            <w:shd w:val="clear" w:color="auto" w:fill="auto"/>
            <w:noWrap w:val="0"/>
            <w:tcMar>
              <w:top w:w="0" w:type="dxa"/>
              <w:left w:w="105" w:type="dxa"/>
              <w:bottom w:w="0" w:type="dxa"/>
              <w:right w:w="10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阻燃帘（卷帘）</w:t>
            </w:r>
          </w:p>
        </w:tc>
        <w:tc>
          <w:tcPr>
            <w:tcW w:w="7035" w:type="dxa"/>
            <w:tcBorders>
              <w:top w:val="single" w:color="000000" w:sz="4" w:space="0"/>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卷帘面料：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1、成分：PTFE涂层玻璃纤维，</w:t>
            </w:r>
            <w:r>
              <w:rPr>
                <w:rFonts w:hint="eastAsia" w:ascii="宋体" w:hAnsi="宋体" w:cs="宋体"/>
                <w:b/>
                <w:bCs/>
                <w:color w:val="auto"/>
                <w:sz w:val="21"/>
                <w:szCs w:val="21"/>
                <w:lang w:val="en-US" w:eastAsia="zh-CN"/>
              </w:rPr>
              <w:t>（项号</w:t>
            </w:r>
            <w:r>
              <w:rPr>
                <w:rFonts w:hint="eastAsia" w:ascii="宋体" w:hAnsi="宋体" w:cs="宋体"/>
                <w:b/>
                <w:bCs/>
                <w:color w:val="auto"/>
                <w:sz w:val="21"/>
                <w:szCs w:val="21"/>
                <w:lang w:val="en-US" w:eastAsia="zh"/>
              </w:rPr>
              <w:t>7</w:t>
            </w:r>
            <w:r>
              <w:rPr>
                <w:rFonts w:hint="eastAsia" w:ascii="宋体" w:hAnsi="宋体" w:cs="宋体"/>
                <w:b/>
                <w:bCs/>
                <w:color w:val="auto"/>
                <w:sz w:val="21"/>
                <w:szCs w:val="21"/>
                <w:lang w:val="en-US" w:eastAsia="zh-CN"/>
              </w:rPr>
              <w:t>1）</w:t>
            </w:r>
            <w:r>
              <w:rPr>
                <w:rFonts w:hint="eastAsia" w:ascii="宋体" w:hAnsi="宋体" w:eastAsia="宋体" w:cs="宋体"/>
                <w:b/>
                <w:bCs/>
                <w:color w:val="auto"/>
                <w:sz w:val="21"/>
                <w:szCs w:val="21"/>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color w:val="auto"/>
                <w:spacing w:val="-6"/>
                <w:sz w:val="21"/>
                <w:szCs w:val="21"/>
              </w:rPr>
              <w:t>▲</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阻燃A2级</w:t>
            </w:r>
            <w:r>
              <w:rPr>
                <w:rFonts w:hint="eastAsia" w:ascii="宋体" w:hAnsi="宋体" w:cs="宋体"/>
                <w:color w:val="auto"/>
                <w:sz w:val="21"/>
                <w:szCs w:val="21"/>
                <w:lang w:val="en-US" w:eastAsia="zh-CN"/>
              </w:rPr>
              <w:t>；100%</w:t>
            </w:r>
            <w:r>
              <w:rPr>
                <w:rFonts w:hint="eastAsia" w:ascii="宋体" w:hAnsi="宋体" w:eastAsia="宋体" w:cs="宋体"/>
                <w:color w:val="auto"/>
                <w:sz w:val="21"/>
                <w:szCs w:val="21"/>
                <w:lang w:val="en-US" w:eastAsia="zh-CN"/>
              </w:rPr>
              <w:t>遮光</w:t>
            </w:r>
            <w:r>
              <w:rPr>
                <w:rFonts w:hint="eastAsia" w:ascii="宋体" w:hAnsi="宋体" w:cs="宋体"/>
                <w:b/>
                <w:bCs/>
                <w:color w:val="auto"/>
                <w:sz w:val="21"/>
                <w:szCs w:val="21"/>
                <w:lang w:val="en-US" w:eastAsia="zh-CN"/>
              </w:rPr>
              <w:t>（项号</w:t>
            </w:r>
            <w:r>
              <w:rPr>
                <w:rFonts w:hint="eastAsia" w:ascii="宋体" w:hAnsi="宋体" w:cs="宋体"/>
                <w:b/>
                <w:bCs/>
                <w:color w:val="auto"/>
                <w:sz w:val="21"/>
                <w:szCs w:val="21"/>
                <w:lang w:val="en-US" w:eastAsia="zh"/>
              </w:rPr>
              <w:t>7</w:t>
            </w:r>
            <w:r>
              <w:rPr>
                <w:rFonts w:hint="eastAsia" w:ascii="宋体" w:hAnsi="宋体" w:cs="宋体"/>
                <w:b/>
                <w:bCs/>
                <w:color w:val="auto"/>
                <w:sz w:val="21"/>
                <w:szCs w:val="21"/>
                <w:lang w:val="en-US" w:eastAsia="zh-CN"/>
              </w:rPr>
              <w:t>2）</w:t>
            </w:r>
            <w:r>
              <w:rPr>
                <w:rFonts w:hint="eastAsia" w:ascii="宋体" w:hAnsi="宋体" w:eastAsia="宋体" w:cs="宋体"/>
                <w:b/>
                <w:bCs/>
                <w:color w:val="auto"/>
                <w:sz w:val="21"/>
                <w:szCs w:val="21"/>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3、克重：≥550g/㎡； </w:t>
            </w:r>
            <w:r>
              <w:rPr>
                <w:rFonts w:hint="eastAsia" w:ascii="宋体" w:hAnsi="宋体" w:cs="宋体"/>
                <w:b/>
                <w:bCs/>
                <w:color w:val="auto"/>
                <w:sz w:val="21"/>
                <w:szCs w:val="21"/>
                <w:lang w:val="en-US" w:eastAsia="zh-CN"/>
              </w:rPr>
              <w:t>（项号</w:t>
            </w:r>
            <w:r>
              <w:rPr>
                <w:rFonts w:hint="eastAsia" w:ascii="宋体" w:hAnsi="宋体" w:cs="宋体"/>
                <w:b/>
                <w:bCs/>
                <w:color w:val="auto"/>
                <w:sz w:val="21"/>
                <w:szCs w:val="21"/>
                <w:lang w:val="en-US" w:eastAsia="zh"/>
              </w:rPr>
              <w:t>7</w:t>
            </w:r>
            <w:r>
              <w:rPr>
                <w:rFonts w:hint="eastAsia" w:ascii="宋体" w:hAnsi="宋体" w:cs="宋体"/>
                <w:b/>
                <w:bCs/>
                <w:color w:val="auto"/>
                <w:sz w:val="21"/>
                <w:szCs w:val="21"/>
                <w:lang w:val="en-US" w:eastAsia="zh-CN"/>
              </w:rPr>
              <w:t>3）</w:t>
            </w:r>
            <w:r>
              <w:rPr>
                <w:rFonts w:hint="eastAsia" w:ascii="宋体" w:hAnsi="宋体" w:eastAsia="宋体" w:cs="宋体"/>
                <w:b/>
                <w:bCs/>
                <w:color w:val="auto"/>
                <w:sz w:val="21"/>
                <w:szCs w:val="21"/>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4、甲醛含量(mg/kg)：未检出；</w:t>
            </w:r>
            <w:r>
              <w:rPr>
                <w:rFonts w:hint="eastAsia" w:ascii="宋体" w:hAnsi="宋体" w:cs="宋体"/>
                <w:b/>
                <w:bCs/>
                <w:color w:val="auto"/>
                <w:sz w:val="21"/>
                <w:szCs w:val="21"/>
                <w:lang w:val="en-US" w:eastAsia="zh-CN"/>
              </w:rPr>
              <w:t>（项号</w:t>
            </w:r>
            <w:r>
              <w:rPr>
                <w:rFonts w:hint="eastAsia" w:ascii="宋体" w:hAnsi="宋体" w:cs="宋体"/>
                <w:b/>
                <w:bCs/>
                <w:color w:val="auto"/>
                <w:sz w:val="21"/>
                <w:szCs w:val="21"/>
                <w:lang w:val="en-US" w:eastAsia="zh"/>
              </w:rPr>
              <w:t>7</w:t>
            </w:r>
            <w:r>
              <w:rPr>
                <w:rFonts w:hint="eastAsia" w:ascii="宋体" w:hAnsi="宋体" w:cs="宋体"/>
                <w:b/>
                <w:bCs/>
                <w:color w:val="auto"/>
                <w:sz w:val="21"/>
                <w:szCs w:val="21"/>
                <w:lang w:val="en-US" w:eastAsia="zh-CN"/>
              </w:rPr>
              <w:t>4）</w:t>
            </w:r>
            <w:r>
              <w:rPr>
                <w:rFonts w:hint="eastAsia" w:ascii="宋体" w:hAnsi="宋体" w:eastAsia="宋体" w:cs="宋体"/>
                <w:b/>
                <w:bCs/>
                <w:color w:val="auto"/>
                <w:sz w:val="21"/>
                <w:szCs w:val="21"/>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5、PH值：4-9；</w:t>
            </w:r>
            <w:r>
              <w:rPr>
                <w:rFonts w:hint="eastAsia" w:ascii="宋体" w:hAnsi="宋体" w:cs="宋体"/>
                <w:b/>
                <w:bCs/>
                <w:color w:val="auto"/>
                <w:sz w:val="21"/>
                <w:szCs w:val="21"/>
                <w:lang w:val="en-US" w:eastAsia="zh-CN"/>
              </w:rPr>
              <w:t>（项号75）</w:t>
            </w:r>
            <w:r>
              <w:rPr>
                <w:rFonts w:hint="eastAsia" w:ascii="宋体" w:hAnsi="宋体" w:eastAsia="宋体" w:cs="宋体"/>
                <w:b/>
                <w:bCs/>
                <w:color w:val="auto"/>
                <w:sz w:val="21"/>
                <w:szCs w:val="21"/>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6、异味：无异味；</w:t>
            </w:r>
            <w:r>
              <w:rPr>
                <w:rFonts w:hint="eastAsia" w:ascii="宋体" w:hAnsi="宋体" w:cs="宋体"/>
                <w:b/>
                <w:bCs/>
                <w:color w:val="auto"/>
                <w:sz w:val="21"/>
                <w:szCs w:val="21"/>
                <w:lang w:val="en-US" w:eastAsia="zh-CN"/>
              </w:rPr>
              <w:t>（项号76）</w:t>
            </w:r>
            <w:r>
              <w:rPr>
                <w:rFonts w:hint="eastAsia" w:ascii="宋体" w:hAnsi="宋体" w:eastAsia="宋体" w:cs="宋体"/>
                <w:b/>
                <w:bCs/>
                <w:color w:val="auto"/>
                <w:sz w:val="21"/>
                <w:szCs w:val="21"/>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7、可分解致癌芳香胺染料(mg/kg)：未检出；</w:t>
            </w:r>
            <w:r>
              <w:rPr>
                <w:rFonts w:hint="eastAsia" w:ascii="宋体" w:hAnsi="宋体" w:cs="宋体"/>
                <w:b/>
                <w:bCs/>
                <w:color w:val="auto"/>
                <w:sz w:val="21"/>
                <w:szCs w:val="21"/>
                <w:lang w:val="en-US" w:eastAsia="zh-CN"/>
              </w:rPr>
              <w:t>（项号77）</w:t>
            </w:r>
            <w:r>
              <w:rPr>
                <w:rFonts w:hint="eastAsia" w:ascii="宋体" w:hAnsi="宋体" w:eastAsia="宋体" w:cs="宋体"/>
                <w:b/>
                <w:bCs/>
                <w:color w:val="auto"/>
                <w:sz w:val="21"/>
                <w:szCs w:val="21"/>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8、致癌染料(mg/kg)：未检出；</w:t>
            </w:r>
            <w:r>
              <w:rPr>
                <w:rFonts w:hint="eastAsia" w:ascii="宋体" w:hAnsi="宋体" w:cs="宋体"/>
                <w:b/>
                <w:bCs/>
                <w:color w:val="auto"/>
                <w:sz w:val="21"/>
                <w:szCs w:val="21"/>
                <w:lang w:val="en-US" w:eastAsia="zh-CN"/>
              </w:rPr>
              <w:t>（项号78）</w:t>
            </w:r>
            <w:r>
              <w:rPr>
                <w:rFonts w:hint="eastAsia" w:ascii="宋体" w:hAnsi="宋体" w:eastAsia="宋体" w:cs="宋体"/>
                <w:b/>
                <w:bCs/>
                <w:color w:val="auto"/>
                <w:sz w:val="21"/>
                <w:szCs w:val="21"/>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9、致敏染料(mg/kg)：未检出；</w:t>
            </w:r>
            <w:r>
              <w:rPr>
                <w:rFonts w:hint="eastAsia" w:ascii="宋体" w:hAnsi="宋体" w:cs="宋体"/>
                <w:b/>
                <w:bCs/>
                <w:color w:val="auto"/>
                <w:sz w:val="21"/>
                <w:szCs w:val="21"/>
                <w:lang w:val="en-US" w:eastAsia="zh-CN"/>
              </w:rPr>
              <w:t>（项号79）</w:t>
            </w:r>
            <w:r>
              <w:rPr>
                <w:rFonts w:hint="eastAsia" w:ascii="宋体" w:hAnsi="宋体" w:eastAsia="宋体" w:cs="宋体"/>
                <w:b/>
                <w:bCs/>
                <w:color w:val="auto"/>
                <w:sz w:val="21"/>
                <w:szCs w:val="21"/>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10、可萃取重金属含量(mg/kg)：（砷、铜、铬、铅、镉、钴、镍、锑、六价铬、汞等有害重金属）：10项均未检出；</w:t>
            </w:r>
            <w:r>
              <w:rPr>
                <w:rFonts w:hint="eastAsia" w:ascii="宋体" w:hAnsi="宋体" w:cs="宋体"/>
                <w:b/>
                <w:bCs/>
                <w:color w:val="auto"/>
                <w:sz w:val="21"/>
                <w:szCs w:val="21"/>
                <w:lang w:val="en-US" w:eastAsia="zh-CN"/>
              </w:rPr>
              <w:t>（项号</w:t>
            </w:r>
            <w:r>
              <w:rPr>
                <w:rFonts w:hint="eastAsia" w:ascii="宋体" w:hAnsi="宋体" w:cs="宋体"/>
                <w:b/>
                <w:bCs/>
                <w:color w:val="auto"/>
                <w:sz w:val="21"/>
                <w:szCs w:val="21"/>
                <w:lang w:val="en-US" w:eastAsia="zh"/>
              </w:rPr>
              <w:t>8</w:t>
            </w:r>
            <w:r>
              <w:rPr>
                <w:rFonts w:hint="eastAsia" w:ascii="宋体" w:hAnsi="宋体" w:cs="宋体"/>
                <w:b/>
                <w:bCs/>
                <w:color w:val="auto"/>
                <w:sz w:val="21"/>
                <w:szCs w:val="21"/>
                <w:lang w:val="en-US" w:eastAsia="zh-CN"/>
              </w:rPr>
              <w:t>0）</w:t>
            </w:r>
            <w:r>
              <w:rPr>
                <w:rFonts w:hint="eastAsia" w:ascii="宋体" w:hAnsi="宋体" w:eastAsia="宋体" w:cs="宋体"/>
                <w:b/>
                <w:bCs/>
                <w:color w:val="auto"/>
                <w:sz w:val="21"/>
                <w:szCs w:val="21"/>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11、耐水色牢度:变色≥4</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级，沾色≥4</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级</w:t>
            </w:r>
            <w:r>
              <w:rPr>
                <w:rFonts w:hint="eastAsia" w:ascii="宋体" w:hAnsi="宋体" w:cs="宋体"/>
                <w:color w:val="auto"/>
                <w:sz w:val="21"/>
                <w:szCs w:val="21"/>
                <w:lang w:val="en-US" w:eastAsia="zh-CN"/>
              </w:rPr>
              <w:t>；</w:t>
            </w:r>
            <w:r>
              <w:rPr>
                <w:rFonts w:hint="eastAsia" w:ascii="宋体" w:hAnsi="宋体" w:cs="宋体"/>
                <w:b/>
                <w:bCs/>
                <w:color w:val="auto"/>
                <w:sz w:val="21"/>
                <w:szCs w:val="21"/>
                <w:lang w:val="en-US" w:eastAsia="zh-CN"/>
              </w:rPr>
              <w:t>（项号</w:t>
            </w:r>
            <w:r>
              <w:rPr>
                <w:rFonts w:hint="eastAsia" w:ascii="宋体" w:hAnsi="宋体" w:cs="宋体"/>
                <w:b/>
                <w:bCs/>
                <w:color w:val="auto"/>
                <w:sz w:val="21"/>
                <w:szCs w:val="21"/>
                <w:lang w:val="en-US" w:eastAsia="zh"/>
              </w:rPr>
              <w:t>8</w:t>
            </w:r>
            <w:r>
              <w:rPr>
                <w:rFonts w:hint="eastAsia" w:ascii="宋体" w:hAnsi="宋体" w:cs="宋体"/>
                <w:b/>
                <w:bCs/>
                <w:color w:val="auto"/>
                <w:sz w:val="21"/>
                <w:szCs w:val="21"/>
                <w:lang w:val="en-US" w:eastAsia="zh-CN"/>
              </w:rPr>
              <w:t>1）</w:t>
            </w:r>
            <w:r>
              <w:rPr>
                <w:rFonts w:hint="eastAsia" w:ascii="宋体" w:hAnsi="宋体" w:eastAsia="宋体" w:cs="宋体"/>
                <w:b/>
                <w:bCs/>
                <w:color w:val="auto"/>
                <w:sz w:val="21"/>
                <w:szCs w:val="21"/>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color w:val="auto"/>
                <w:sz w:val="21"/>
                <w:szCs w:val="21"/>
                <w:lang w:val="en-US" w:eastAsia="zh"/>
              </w:rPr>
            </w:pPr>
            <w:r>
              <w:rPr>
                <w:rFonts w:hint="eastAsia" w:ascii="宋体" w:hAnsi="宋体" w:eastAsia="宋体" w:cs="宋体"/>
                <w:color w:val="auto"/>
                <w:sz w:val="21"/>
                <w:szCs w:val="21"/>
                <w:lang w:val="en-US" w:eastAsia="zh-CN"/>
              </w:rPr>
              <w:t>12、耐摩擦色牢度：干摩擦≥4-5级，湿摩擦≥4-5级</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耐酸斑色牢度：≥4-5级</w:t>
            </w:r>
            <w:r>
              <w:rPr>
                <w:rFonts w:hint="eastAsia" w:ascii="宋体" w:hAnsi="宋体" w:cs="宋体"/>
                <w:color w:val="auto"/>
                <w:sz w:val="21"/>
                <w:szCs w:val="21"/>
                <w:lang w:val="en-US" w:eastAsia="zh-CN"/>
              </w:rPr>
              <w:t>；</w:t>
            </w:r>
            <w:r>
              <w:rPr>
                <w:rFonts w:hint="eastAsia" w:ascii="宋体" w:hAnsi="宋体" w:cs="宋体"/>
                <w:b/>
                <w:bCs/>
                <w:color w:val="auto"/>
                <w:sz w:val="21"/>
                <w:szCs w:val="21"/>
                <w:lang w:val="en-US" w:eastAsia="zh-CN"/>
              </w:rPr>
              <w:t>（项号</w:t>
            </w:r>
            <w:r>
              <w:rPr>
                <w:rFonts w:hint="eastAsia" w:ascii="宋体" w:hAnsi="宋体" w:cs="宋体"/>
                <w:b/>
                <w:bCs/>
                <w:color w:val="auto"/>
                <w:sz w:val="21"/>
                <w:szCs w:val="21"/>
                <w:lang w:val="en-US" w:eastAsia="zh"/>
              </w:rPr>
              <w:t>8</w:t>
            </w:r>
            <w:r>
              <w:rPr>
                <w:rFonts w:hint="eastAsia" w:ascii="宋体" w:hAnsi="宋体" w:cs="宋体"/>
                <w:b/>
                <w:bCs/>
                <w:color w:val="auto"/>
                <w:sz w:val="21"/>
                <w:szCs w:val="21"/>
                <w:lang w:val="en-US" w:eastAsia="zh-CN"/>
              </w:rPr>
              <w:t>2）</w:t>
            </w:r>
            <w:r>
              <w:rPr>
                <w:rFonts w:hint="eastAsia" w:ascii="宋体" w:hAnsi="宋体" w:eastAsia="宋体" w:cs="宋体"/>
                <w:b/>
                <w:bCs/>
                <w:color w:val="auto"/>
                <w:sz w:val="21"/>
                <w:szCs w:val="21"/>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u w:val="single"/>
                <w:lang w:val="en-US" w:eastAsia="zh-CN"/>
              </w:rPr>
              <w:t>卷帘配件（卷管</w:t>
            </w:r>
            <w:r>
              <w:rPr>
                <w:rFonts w:hint="eastAsia" w:ascii="宋体" w:hAnsi="宋体" w:eastAsia="宋体" w:cs="宋体"/>
                <w:b/>
                <w:bCs/>
                <w:color w:val="auto"/>
                <w:sz w:val="21"/>
                <w:szCs w:val="21"/>
                <w:u w:val="single"/>
                <w:lang w:val="en-US" w:eastAsia="zh"/>
              </w:rPr>
              <w:t>、</w:t>
            </w:r>
            <w:r>
              <w:rPr>
                <w:rFonts w:hint="eastAsia" w:ascii="宋体" w:hAnsi="宋体" w:eastAsia="宋体" w:cs="宋体"/>
                <w:b/>
                <w:bCs/>
                <w:color w:val="auto"/>
                <w:sz w:val="21"/>
                <w:szCs w:val="21"/>
                <w:u w:val="single"/>
                <w:lang w:val="en-US" w:eastAsia="zh-CN"/>
              </w:rPr>
              <w:t>下</w:t>
            </w:r>
            <w:r>
              <w:rPr>
                <w:rFonts w:hint="eastAsia" w:ascii="宋体" w:hAnsi="宋体" w:cs="宋体"/>
                <w:b/>
                <w:bCs/>
                <w:color w:val="auto"/>
                <w:sz w:val="21"/>
                <w:szCs w:val="21"/>
                <w:u w:val="single"/>
                <w:lang w:val="en-US" w:eastAsia="zh"/>
              </w:rPr>
              <w:t>梁</w:t>
            </w:r>
            <w:r>
              <w:rPr>
                <w:rFonts w:hint="eastAsia" w:ascii="宋体" w:hAnsi="宋体" w:eastAsia="宋体" w:cs="宋体"/>
                <w:b/>
                <w:bCs/>
                <w:color w:val="auto"/>
                <w:sz w:val="21"/>
                <w:szCs w:val="21"/>
                <w:u w:val="single"/>
                <w:lang w:val="en-US" w:eastAsia="zh-CN"/>
              </w:rPr>
              <w:t>）：</w:t>
            </w:r>
            <w:r>
              <w:rPr>
                <w:rFonts w:hint="eastAsia" w:ascii="宋体" w:hAnsi="宋体" w:eastAsia="宋体" w:cs="宋体"/>
                <w:b/>
                <w:bCs/>
                <w:color w:val="auto"/>
                <w:kern w:val="2"/>
                <w:sz w:val="21"/>
                <w:szCs w:val="21"/>
                <w:u w:val="single"/>
                <w:lang w:val="en-US" w:eastAsia="zh-CN" w:bidi="ar"/>
              </w:rPr>
              <w:t>材质同</w:t>
            </w:r>
            <w:r>
              <w:rPr>
                <w:rFonts w:hint="eastAsia" w:ascii="宋体" w:hAnsi="宋体" w:cs="宋体"/>
                <w:b/>
                <w:bCs/>
                <w:color w:val="auto"/>
                <w:kern w:val="2"/>
                <w:sz w:val="21"/>
                <w:szCs w:val="21"/>
                <w:u w:val="single"/>
                <w:lang w:val="en-US" w:eastAsia="zh-CN" w:bidi="ar"/>
              </w:rPr>
              <w:t>序号2（若有存在偏离，在序号2已扣分的，本项不再重复扣分）</w:t>
            </w:r>
          </w:p>
        </w:tc>
      </w:tr>
    </w:tbl>
    <w:p>
      <w:pPr>
        <w:pStyle w:val="2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bCs/>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kern w:val="2"/>
          <w:sz w:val="21"/>
          <w:szCs w:val="21"/>
          <w:lang w:val="en-US" w:eastAsia="zh-CN" w:bidi="ar-SA"/>
        </w:rPr>
      </w:pPr>
      <w:r>
        <w:rPr>
          <w:rStyle w:val="19"/>
          <w:rFonts w:hint="eastAsia" w:ascii="宋体" w:hAnsi="宋体" w:eastAsia="宋体" w:cs="宋体"/>
          <w:color w:val="auto"/>
          <w:spacing w:val="0"/>
          <w:sz w:val="21"/>
          <w:szCs w:val="21"/>
        </w:rPr>
        <w:t>★</w:t>
      </w:r>
      <w:r>
        <w:rPr>
          <w:rFonts w:hint="eastAsia" w:ascii="宋体" w:hAnsi="宋体" w:eastAsia="宋体" w:cs="宋体"/>
          <w:b/>
          <w:bCs/>
          <w:color w:val="auto"/>
          <w:kern w:val="2"/>
          <w:sz w:val="21"/>
          <w:szCs w:val="21"/>
          <w:lang w:val="en-US" w:eastAsia="zh-CN" w:bidi="ar-SA"/>
        </w:rPr>
        <w:t>（二）面料色调及工艺要求</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1、中标人所采购安装的窗帘布色调应符合体现税务特色的湖蓝色或采购人要求的其他色调。</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中标人所采购安装的窗帘布，要求安装后离地板面的高度不得大于1cm，窗帘布展开尺寸须严格按照1:2比例（墙体尺寸：布料尺寸），否则由中标人负责整改并承担相应费用；若未整改到位的，采购人有权拒绝验收并不支付不合格部分的</w:t>
      </w:r>
      <w:r>
        <w:rPr>
          <w:rFonts w:hint="eastAsia" w:ascii="宋体" w:hAnsi="宋体" w:cs="宋体"/>
          <w:color w:val="auto"/>
          <w:sz w:val="21"/>
          <w:szCs w:val="21"/>
          <w:lang w:val="en-US" w:eastAsia="zh-CN"/>
        </w:rPr>
        <w:t>款项</w:t>
      </w:r>
      <w:r>
        <w:rPr>
          <w:rFonts w:hint="eastAsia" w:ascii="宋体" w:hAnsi="宋体" w:eastAsia="宋体" w:cs="宋体"/>
          <w:color w:val="auto"/>
          <w:sz w:val="21"/>
          <w:szCs w:val="21"/>
          <w:lang w:val="en-US" w:eastAsia="zh-CN"/>
        </w:rPr>
        <w:t>费用。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highlight w:val="none"/>
        </w:rPr>
      </w:pPr>
      <w:bookmarkStart w:id="122" w:name="_Toc129529571"/>
      <w:bookmarkStart w:id="123" w:name="_Toc132880288"/>
      <w:r>
        <w:rPr>
          <w:rFonts w:hint="eastAsia" w:ascii="宋体" w:hAnsi="宋体" w:cs="宋体"/>
          <w:b/>
          <w:bCs/>
          <w:color w:val="auto"/>
          <w:sz w:val="21"/>
          <w:szCs w:val="21"/>
          <w:highlight w:val="none"/>
          <w:lang w:eastAsia="zh-CN"/>
        </w:rPr>
        <w:t>四</w:t>
      </w:r>
      <w:r>
        <w:rPr>
          <w:rFonts w:hint="eastAsia" w:ascii="宋体" w:hAnsi="宋体" w:eastAsia="宋体" w:cs="宋体"/>
          <w:b/>
          <w:bCs/>
          <w:color w:val="auto"/>
          <w:sz w:val="21"/>
          <w:szCs w:val="21"/>
          <w:highlight w:val="none"/>
        </w:rPr>
        <w:t>、商务要求</w:t>
      </w:r>
      <w:bookmarkEnd w:id="122"/>
      <w:bookmarkEnd w:id="123"/>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1、交</w:t>
      </w:r>
      <w:r>
        <w:rPr>
          <w:rFonts w:hint="eastAsia" w:ascii="宋体" w:hAnsi="宋体" w:eastAsia="宋体" w:cs="宋体"/>
          <w:b w:val="0"/>
          <w:bCs w:val="0"/>
          <w:color w:val="auto"/>
          <w:sz w:val="21"/>
          <w:szCs w:val="21"/>
          <w:highlight w:val="none"/>
        </w:rPr>
        <w:t>付</w:t>
      </w:r>
      <w:r>
        <w:rPr>
          <w:rFonts w:hint="eastAsia" w:ascii="宋体" w:hAnsi="宋体" w:eastAsia="宋体" w:cs="宋体"/>
          <w:b w:val="0"/>
          <w:bCs w:val="0"/>
          <w:color w:val="auto"/>
          <w:sz w:val="21"/>
          <w:szCs w:val="21"/>
          <w:highlight w:val="none"/>
          <w:lang w:val="en-US" w:eastAsia="zh-CN"/>
        </w:rPr>
        <w:t>时间：</w:t>
      </w:r>
      <w:r>
        <w:rPr>
          <w:rFonts w:hint="eastAsia" w:ascii="宋体" w:hAnsi="宋体" w:cs="宋体"/>
          <w:color w:val="auto"/>
          <w:sz w:val="21"/>
          <w:szCs w:val="21"/>
          <w:lang w:val="en-US" w:eastAsia="zh-CN"/>
        </w:rPr>
        <w:t>合同签订后2个月内安装调试完成。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2、交付（安装）地点：南平市武夷新区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3、付款方式：货物安装完毕经采购人验收合格，收到中标供应商所开具发票后支付款项</w:t>
      </w:r>
      <w:r>
        <w:rPr>
          <w:rFonts w:hint="eastAsia" w:ascii="宋体" w:hAnsi="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lang w:val="en-US" w:eastAsia="zh-CN"/>
        </w:rPr>
        <w:t>100%。</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highlight w:val="none"/>
          <w:lang w:val="en-US" w:eastAsia="zh-CN"/>
        </w:rPr>
        <w:t>4、安装</w:t>
      </w:r>
      <w:r>
        <w:rPr>
          <w:rFonts w:hint="eastAsia" w:ascii="宋体" w:hAnsi="宋体" w:eastAsia="宋体" w:cs="宋体"/>
          <w:b w:val="0"/>
          <w:bCs w:val="0"/>
          <w:color w:val="auto"/>
          <w:sz w:val="21"/>
          <w:szCs w:val="21"/>
          <w:highlight w:val="none"/>
        </w:rPr>
        <w:t>和运输</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color w:val="auto"/>
          <w:sz w:val="21"/>
          <w:szCs w:val="21"/>
        </w:rPr>
        <w:t>验收</w:t>
      </w:r>
    </w:p>
    <w:p>
      <w:pPr>
        <w:pStyle w:val="23"/>
        <w:keepNext w:val="0"/>
        <w:keepLines w:val="0"/>
        <w:pageBreakBefore w:val="0"/>
        <w:kinsoku/>
        <w:wordWrap/>
        <w:overflowPunct/>
        <w:topLinePunct w:val="0"/>
        <w:bidi w:val="0"/>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（1）检验依据:①招标文件；②投标文件；③国家相关标准。上述标准若有不一致时，以较高标准为准。</w:t>
      </w:r>
    </w:p>
    <w:p>
      <w:pPr>
        <w:pStyle w:val="23"/>
        <w:keepNext w:val="0"/>
        <w:keepLines w:val="0"/>
        <w:pageBreakBefore w:val="0"/>
        <w:kinsoku/>
        <w:wordWrap/>
        <w:overflowPunct/>
        <w:topLinePunct w:val="0"/>
        <w:bidi w:val="0"/>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（2）中标人应负责将货物免费运至合同中规定的现场。 </w:t>
      </w:r>
    </w:p>
    <w:p>
      <w:pPr>
        <w:pStyle w:val="23"/>
        <w:keepNext w:val="0"/>
        <w:keepLines w:val="0"/>
        <w:pageBreakBefore w:val="0"/>
        <w:kinsoku/>
        <w:wordWrap/>
        <w:overflowPunct/>
        <w:topLinePunct w:val="0"/>
        <w:bidi w:val="0"/>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（3）中标人按合同数量与采购人当场做好货物移交验收工作，运输移交过程所发生的一切费用由中标人承担。</w:t>
      </w:r>
    </w:p>
    <w:p>
      <w:pPr>
        <w:pStyle w:val="23"/>
        <w:keepNext w:val="0"/>
        <w:keepLines w:val="0"/>
        <w:pageBreakBefore w:val="0"/>
        <w:kinsoku/>
        <w:wordWrap/>
        <w:overflowPunct/>
        <w:topLinePunct w:val="0"/>
        <w:bidi w:val="0"/>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（4）中标人须提供完整的产品技术资料(如：出厂合格证及其他相关文件资料)随货物送至采购人规定地点。</w:t>
      </w:r>
    </w:p>
    <w:p>
      <w:pPr>
        <w:pStyle w:val="23"/>
        <w:keepNext w:val="0"/>
        <w:keepLines w:val="0"/>
        <w:pageBreakBefore w:val="0"/>
        <w:kinsoku/>
        <w:wordWrap/>
        <w:overflowPunct/>
        <w:topLinePunct w:val="0"/>
        <w:bidi w:val="0"/>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（5）中标人须自行准备安装窗帘及隔帘的轨道及挂钩等配件，并负责在采购人现场进行安装交付使用，自带安装工具，轨道及挂钩等配件费用等一切费用均由中标人自行承担。</w:t>
      </w:r>
    </w:p>
    <w:p>
      <w:pPr>
        <w:pStyle w:val="23"/>
        <w:keepNext w:val="0"/>
        <w:keepLines w:val="0"/>
        <w:pageBreakBefore w:val="0"/>
        <w:kinsoku/>
        <w:wordWrap/>
        <w:overflowPunct/>
        <w:topLinePunct w:val="0"/>
        <w:bidi w:val="0"/>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）中标人所提供的货物须满足国家三包服务。</w:t>
      </w:r>
    </w:p>
    <w:p>
      <w:pPr>
        <w:pStyle w:val="23"/>
        <w:keepNext w:val="0"/>
        <w:keepLines w:val="0"/>
        <w:pageBreakBefore w:val="0"/>
        <w:kinsoku/>
        <w:wordWrap/>
        <w:overflowPunct/>
        <w:topLinePunct w:val="0"/>
        <w:bidi w:val="0"/>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）中标人及采购人应按生产厂家验收标准(符合国家行业标准)、招标文件、投标文件、合同约定等有关内容进行验收。</w:t>
      </w:r>
    </w:p>
    <w:p>
      <w:pPr>
        <w:pStyle w:val="23"/>
        <w:keepNext w:val="0"/>
        <w:keepLines w:val="0"/>
        <w:pageBreakBefore w:val="0"/>
        <w:kinsoku/>
        <w:wordWrap/>
        <w:overflowPunct/>
        <w:topLinePunct w:val="0"/>
        <w:bidi w:val="0"/>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）中标人在采购人交货现场进行验收所发生的一切费用均由中标人承担，并计入投标报价内。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5、质保期和</w:t>
      </w:r>
      <w:r>
        <w:rPr>
          <w:rFonts w:hint="eastAsia" w:ascii="宋体" w:hAnsi="宋体" w:eastAsia="宋体" w:cs="宋体"/>
          <w:b w:val="0"/>
          <w:bCs w:val="0"/>
          <w:color w:val="auto"/>
          <w:sz w:val="21"/>
          <w:szCs w:val="21"/>
          <w:highlight w:val="none"/>
        </w:rPr>
        <w:t>售后服务</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（1）质量保证期：质量保修期为</w:t>
      </w:r>
      <w:r>
        <w:rPr>
          <w:rFonts w:hint="eastAsia" w:ascii="宋体" w:hAnsi="宋体" w:cs="宋体"/>
          <w:color w:val="auto"/>
          <w:sz w:val="21"/>
          <w:szCs w:val="21"/>
          <w:lang w:val="en-US" w:eastAsia="zh-CN"/>
        </w:rPr>
        <w:t>三</w:t>
      </w:r>
      <w:r>
        <w:rPr>
          <w:rFonts w:hint="eastAsia" w:ascii="宋体" w:hAnsi="宋体" w:eastAsia="宋体" w:cs="宋体"/>
          <w:color w:val="auto"/>
          <w:sz w:val="21"/>
          <w:szCs w:val="21"/>
          <w:lang w:val="en-US" w:eastAsia="zh-CN"/>
        </w:rPr>
        <w:t>年，验收合格之日起计算。</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保修期内：免费进行货物的安全调试；免费上门维修保养及更换配件；中标人应在收到采购人的通知后1小时内响应要求，4小时内派人到达现场，免费负责修理或更换有缺陷的零部件。若24小时内无法排除故障，则应先提供同档次备用品供采购人使用。其中发生一切费用由中标人承担。</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（3）保修期外：货物保修期过后，收到采购人通知后2小时内响应，24小时内派人到达现场解决，承担终身维修服务。维修过程只收取配件费，且以最优惠价格提供。</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cs="宋体"/>
          <w:color w:val="auto"/>
          <w:sz w:val="21"/>
          <w:szCs w:val="21"/>
          <w:lang w:val="en-US" w:eastAsia="zh-CN"/>
        </w:rPr>
        <w:t>投标人</w:t>
      </w:r>
      <w:r>
        <w:rPr>
          <w:rFonts w:hint="eastAsia" w:ascii="宋体" w:hAnsi="宋体" w:eastAsia="宋体" w:cs="宋体"/>
          <w:color w:val="auto"/>
          <w:sz w:val="21"/>
          <w:szCs w:val="21"/>
          <w:lang w:val="en-US" w:eastAsia="zh-CN"/>
        </w:rPr>
        <w:t>应响应本次采购售后服务要求并在投标文件中提供详细具体的售后服务条件及保证，也可视自身能力在投标文件中提供更优、更合理的售后服务承诺。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违约责任：如中标人所提供货品不符合采购人所提供技术参数要求，或与评标时提供样品质量不符，则视为违约，除没收履约保证金外，另按中标金额的10%支付违约金。</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bookmarkStart w:id="124" w:name="_Toc129529572"/>
      <w:bookmarkStart w:id="125" w:name="_Toc132880289"/>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、其他事项</w:t>
      </w:r>
      <w:bookmarkEnd w:id="124"/>
      <w:bookmarkEnd w:id="125"/>
    </w:p>
    <w:p>
      <w:pPr>
        <w:pStyle w:val="2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1、投标人选定的投标货物技术性能符合或优于招标文件的技术性能要求。</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中标人应保证所提供的货物是原制造厂商制造的、经过合法销售渠道取得的、全新的、未使用过的，并完全符合要求。</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、投标人应根据招标文件的技术要求条款，在投标文件中详细说明所提供货物的品牌（或厂家）、技术规格和参数、产地。</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本文所述技术要求，应视为保证涉及系统运行所需的最低要求，如有遗漏，投标人应予以补充，否则，一旦中标将认为投标人认同遗漏部分并免费提供。</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5、本项目不允许中标人以任何名义和理由进行转包，如有发现，采购人有权单方中止合同，且中标人必须赔偿由此给采购人带来的一切损失。</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p>
    <w:p>
      <w:pPr>
        <w:pStyle w:val="2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p>
    <w:p>
      <w:pPr>
        <w:pStyle w:val="2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p>
    <w:p>
      <w:pPr>
        <w:pStyle w:val="26"/>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400" w:lineRule="exact"/>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大标宋简体">
    <w:altName w:val="微软雅黑"/>
    <w:panose1 w:val="02010601030101010101"/>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MingLiU_HKSCS">
    <w:altName w:val="PMingLiU-ExtB"/>
    <w:panose1 w:val="02020500000000000000"/>
    <w:charset w:val="88"/>
    <w:family w:val="roman"/>
    <w:pitch w:val="default"/>
    <w:sig w:usb0="00000000" w:usb1="00000000" w:usb2="00000016" w:usb3="00000000" w:csb0="00100001" w:csb1="00000000"/>
  </w:font>
  <w:font w:name="MS Mincho">
    <w:altName w:val="Yu Gothic UI"/>
    <w:panose1 w:val="02020609040205080304"/>
    <w:charset w:val="80"/>
    <w:family w:val="modern"/>
    <w:pitch w:val="default"/>
    <w:sig w:usb0="00000000" w:usb1="00000000" w:usb2="00000012" w:usb3="00000000" w:csb0="4002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after="0" w:line="240" w:lineRule="auto"/>
                            <w:jc w:val="center"/>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LQ5sd4BAAC+AwAADgAAAGRycy9lMm9Eb2MueG1srVPBjtMwEL0j8Q+W&#10;7zTZg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e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EtDmx3gEAAL4DAAAOAAAAAAAA&#10;AAEAIAAAAB4BAABkcnMvZTJvRG9jLnhtbFBLBQYAAAAABgAGAFkBAABuBQAAAAA=&#10;">
              <v:fill on="f" focussize="0,0"/>
              <v:stroke on="f"/>
              <v:imagedata o:title=""/>
              <o:lock v:ext="edit" aspectratio="f"/>
              <v:textbox inset="0mm,0mm,0mm,0mm" style="mso-fit-shape-to-text:t;">
                <w:txbxContent>
                  <w:p>
                    <w:pPr>
                      <w:spacing w:after="0" w:line="240" w:lineRule="auto"/>
                      <w:jc w:val="cente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after="0" w:line="240" w:lineRule="auto"/>
                            <w:jc w:val="center"/>
                          </w:pPr>
                          <w:r>
                            <w:t xml:space="preserve">— </w:t>
                          </w:r>
                          <w:r>
                            <w:fldChar w:fldCharType="begin"/>
                          </w:r>
                          <w:r>
                            <w:instrText xml:space="preserve"> PAGE  \* MERGEFORMAT </w:instrText>
                          </w:r>
                          <w:r>
                            <w:fldChar w:fldCharType="separate"/>
                          </w:r>
                          <w:r>
                            <w:t>4</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Wh6UN4BAAC+AwAADgAAAGRycy9lMm9Eb2MueG1srVPBjtMwEL0j8Q+W&#10;7zTZSou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xaHpQ3gEAAL4DAAAOAAAAAAAA&#10;AAEAIAAAAB4BAABkcnMvZTJvRG9jLnhtbFBLBQYAAAAABgAGAFkBAABuBQAAAAA=&#10;">
              <v:fill on="f" focussize="0,0"/>
              <v:stroke on="f"/>
              <v:imagedata o:title=""/>
              <o:lock v:ext="edit" aspectratio="f"/>
              <v:textbox inset="0mm,0mm,0mm,0mm" style="mso-fit-shape-to-text:t;">
                <w:txbxContent>
                  <w:p>
                    <w:pPr>
                      <w:spacing w:after="0" w:line="240" w:lineRule="auto"/>
                      <w:jc w:val="center"/>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end"/>
    </w:r>
  </w:p>
  <w:p>
    <w:pPr>
      <w:pStyle w:val="13"/>
    </w:pPr>
  </w:p>
  <w:p/>
  <w:p/>
  <w:p/>
  <w:p/>
  <w:p/>
  <w:p/>
  <w:p/>
  <w:p/>
  <w:p/>
  <w:p/>
  <w:p/>
  <w:p/>
  <w:p/>
  <w:p/>
  <w:p/>
  <w:p/>
  <w:p/>
  <w:p/>
  <w:p/>
  <w:p/>
  <w:p/>
  <w:p/>
  <w:p/>
  <w:p/>
  <w:p/>
  <w:p/>
  <w:p/>
  <w:p/>
  <w:p/>
  <w:p/>
  <w:p/>
  <w:p/>
  <w:p/>
  <w:p/>
  <w:p/>
  <w:p/>
  <w:p/>
  <w:p/>
  <w:p/>
  <w:p/>
  <w:p/>
  <w:p/>
  <w:p/>
  <w:p/>
  <w:p/>
  <w:p/>
  <w:p/>
  <w:p/>
  <w:p/>
  <w:p/>
  <w:p/>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after="0" w:line="240" w:lineRule="auto"/>
                            <w:jc w:val="center"/>
                          </w:pPr>
                          <w:r>
                            <w:t xml:space="preserve">— </w:t>
                          </w:r>
                          <w:r>
                            <w:fldChar w:fldCharType="begin"/>
                          </w:r>
                          <w:r>
                            <w:instrText xml:space="preserve"> PAGE  \* MERGEFORMAT </w:instrText>
                          </w:r>
                          <w:r>
                            <w:fldChar w:fldCharType="separate"/>
                          </w:r>
                          <w:r>
                            <w:t>2</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8Kz6jdAQAAvgMAAA4AAAAAAAAA&#10;AQAgAAAAHgEAAGRycy9lMm9Eb2MueG1sUEsFBgAAAAAGAAYAWQEAAG0FAAAAAA==&#10;">
              <v:fill on="f" focussize="0,0"/>
              <v:stroke on="f"/>
              <v:imagedata o:title=""/>
              <o:lock v:ext="edit" aspectratio="f"/>
              <v:textbox inset="0mm,0mm,0mm,0mm" style="mso-fit-shape-to-text:t;">
                <w:txbxContent>
                  <w:p>
                    <w:pPr>
                      <w:spacing w:after="0" w:line="240" w:lineRule="auto"/>
                      <w:jc w:val="center"/>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 </w:t>
                          </w:r>
                          <w:r>
                            <w:fldChar w:fldCharType="begin"/>
                          </w:r>
                          <w:r>
                            <w:instrText xml:space="preserve"> PAGE  \* MERGEFORMAT </w:instrText>
                          </w:r>
                          <w:r>
                            <w:fldChar w:fldCharType="separate"/>
                          </w:r>
                          <w:r>
                            <w:t>2</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thet4BAAC+AwAADgAAAGRycy9lMm9Eb2MueG1srVPBjtMwEL0j8Q+W&#10;7zTZg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R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Mq2F63gEAAL4DAAAOAAAAAAAA&#10;AAEAIAAAAB4BAABkcnMvZTJvRG9jLnhtbFBLBQYAAAAABgAGAFkBAABuBQAAAAA=&#10;">
              <v:fill on="f" focussize="0,0"/>
              <v:stroke on="f"/>
              <v:imagedata o:title=""/>
              <o:lock v:ext="edit" aspectratio="f"/>
              <v:textbox inset="0mm,0mm,0mm,0mm" style="mso-fit-shape-to-text:t;">
                <w:txbxContent>
                  <w:p>
                    <w:pPr>
                      <w:pStyle w:val="1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p/>
  <w:p/>
  <w:p/>
  <w:p/>
  <w:p/>
  <w:p/>
  <w:p/>
  <w:p/>
  <w:p/>
  <w:p/>
  <w:p/>
  <w:p/>
  <w:p/>
  <w:p/>
  <w:p/>
  <w:p/>
  <w:p/>
  <w:p/>
  <w:p/>
  <w:p/>
  <w:p/>
  <w:p/>
  <w:p/>
  <w:p/>
  <w:p/>
  <w:p/>
  <w:p/>
  <w:p/>
  <w:p/>
  <w:p/>
  <w:p/>
  <w:p/>
  <w:p/>
  <w:p/>
  <w:p/>
  <w:p/>
  <w:p/>
  <w:p/>
  <w:p/>
  <w:p/>
  <w:p/>
  <w:p/>
  <w:p/>
  <w:p/>
  <w:p/>
  <w:p/>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E551E"/>
    <w:multiLevelType w:val="singleLevel"/>
    <w:tmpl w:val="9B6E551E"/>
    <w:lvl w:ilvl="0" w:tentative="0">
      <w:start w:val="1"/>
      <w:numFmt w:val="chineseCounting"/>
      <w:suff w:val="nothing"/>
      <w:lvlText w:val="%1、"/>
      <w:lvlJc w:val="left"/>
      <w:rPr>
        <w:rFonts w:hint="eastAsia"/>
      </w:rPr>
    </w:lvl>
  </w:abstractNum>
  <w:abstractNum w:abstractNumId="1">
    <w:nsid w:val="CCAC013E"/>
    <w:multiLevelType w:val="singleLevel"/>
    <w:tmpl w:val="CCAC013E"/>
    <w:lvl w:ilvl="0" w:tentative="0">
      <w:start w:val="6"/>
      <w:numFmt w:val="chineseCounting"/>
      <w:suff w:val="nothing"/>
      <w:lvlText w:val="%1、"/>
      <w:lvlJc w:val="left"/>
      <w:rPr>
        <w:rFonts w:hint="eastAsia"/>
      </w:rPr>
    </w:lvl>
  </w:abstractNum>
  <w:abstractNum w:abstractNumId="2">
    <w:nsid w:val="E5CA02DF"/>
    <w:multiLevelType w:val="singleLevel"/>
    <w:tmpl w:val="E5CA02DF"/>
    <w:lvl w:ilvl="0" w:tentative="0">
      <w:start w:val="1"/>
      <w:numFmt w:val="decimal"/>
      <w:pStyle w:val="7"/>
      <w:lvlText w:val="%1."/>
      <w:lvlJc w:val="left"/>
      <w:pPr>
        <w:tabs>
          <w:tab w:val="left" w:pos="780"/>
        </w:tabs>
        <w:ind w:left="7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4OGJhN2M0MjI4NDBmZTU4YWZiNGM3ZDcyOTY4NDAifQ=="/>
    <w:docVar w:name="KSO_WPS_MARK_KEY" w:val="6469b7c4-318f-40dc-adaf-3023be8743f5"/>
  </w:docVars>
  <w:rsids>
    <w:rsidRoot w:val="00000000"/>
    <w:rsid w:val="00B272A2"/>
    <w:rsid w:val="00E80370"/>
    <w:rsid w:val="01431893"/>
    <w:rsid w:val="01C32DF5"/>
    <w:rsid w:val="028E6956"/>
    <w:rsid w:val="02BF2C1C"/>
    <w:rsid w:val="0422247B"/>
    <w:rsid w:val="043C3543"/>
    <w:rsid w:val="04F17EE8"/>
    <w:rsid w:val="057B2068"/>
    <w:rsid w:val="05A74C5A"/>
    <w:rsid w:val="05B13426"/>
    <w:rsid w:val="05D83B97"/>
    <w:rsid w:val="06CF2E38"/>
    <w:rsid w:val="075C5D77"/>
    <w:rsid w:val="086709DD"/>
    <w:rsid w:val="08A05695"/>
    <w:rsid w:val="08B76B53"/>
    <w:rsid w:val="091C562E"/>
    <w:rsid w:val="0AB47E9D"/>
    <w:rsid w:val="0B3A30EF"/>
    <w:rsid w:val="0B472A2B"/>
    <w:rsid w:val="0B957346"/>
    <w:rsid w:val="0C4763C2"/>
    <w:rsid w:val="0CF5721C"/>
    <w:rsid w:val="0FBC0859"/>
    <w:rsid w:val="10E50428"/>
    <w:rsid w:val="10E8616A"/>
    <w:rsid w:val="114A472F"/>
    <w:rsid w:val="11C52008"/>
    <w:rsid w:val="12282CC2"/>
    <w:rsid w:val="13243CE1"/>
    <w:rsid w:val="13951544"/>
    <w:rsid w:val="13F5153C"/>
    <w:rsid w:val="143A0A8B"/>
    <w:rsid w:val="159E0259"/>
    <w:rsid w:val="160E07BD"/>
    <w:rsid w:val="16377742"/>
    <w:rsid w:val="16DE1BA1"/>
    <w:rsid w:val="18874ECB"/>
    <w:rsid w:val="198D5B01"/>
    <w:rsid w:val="1A2F0966"/>
    <w:rsid w:val="1A6774E6"/>
    <w:rsid w:val="1A8E2735"/>
    <w:rsid w:val="1B276D99"/>
    <w:rsid w:val="1BFC478D"/>
    <w:rsid w:val="1E2F53D8"/>
    <w:rsid w:val="1E756FC6"/>
    <w:rsid w:val="1F9F5241"/>
    <w:rsid w:val="1FCF6E73"/>
    <w:rsid w:val="20D66253"/>
    <w:rsid w:val="20EB4EDE"/>
    <w:rsid w:val="20F32CC2"/>
    <w:rsid w:val="21775182"/>
    <w:rsid w:val="219C6341"/>
    <w:rsid w:val="22521696"/>
    <w:rsid w:val="226B344A"/>
    <w:rsid w:val="23AE1645"/>
    <w:rsid w:val="23FB6E2D"/>
    <w:rsid w:val="24534DF9"/>
    <w:rsid w:val="248B6FA6"/>
    <w:rsid w:val="24D51E86"/>
    <w:rsid w:val="24EE7D9B"/>
    <w:rsid w:val="24F026B6"/>
    <w:rsid w:val="26820EEE"/>
    <w:rsid w:val="271E07C6"/>
    <w:rsid w:val="27297642"/>
    <w:rsid w:val="29032C29"/>
    <w:rsid w:val="2A5744DB"/>
    <w:rsid w:val="2B2C0E3C"/>
    <w:rsid w:val="2B6A5CA2"/>
    <w:rsid w:val="2BC4508F"/>
    <w:rsid w:val="2CF9440B"/>
    <w:rsid w:val="2E494294"/>
    <w:rsid w:val="2E8E43E5"/>
    <w:rsid w:val="30BF68EF"/>
    <w:rsid w:val="3103697D"/>
    <w:rsid w:val="311A3CC6"/>
    <w:rsid w:val="33235945"/>
    <w:rsid w:val="334427E9"/>
    <w:rsid w:val="338D69D1"/>
    <w:rsid w:val="34B63D06"/>
    <w:rsid w:val="357838DE"/>
    <w:rsid w:val="364A4935"/>
    <w:rsid w:val="367B0D63"/>
    <w:rsid w:val="37BC7885"/>
    <w:rsid w:val="38753E35"/>
    <w:rsid w:val="389C4947"/>
    <w:rsid w:val="38F512A1"/>
    <w:rsid w:val="3A383CB2"/>
    <w:rsid w:val="3A3D6FE7"/>
    <w:rsid w:val="3AA348DA"/>
    <w:rsid w:val="3AA840F1"/>
    <w:rsid w:val="3BBA2BCD"/>
    <w:rsid w:val="3BC94BB0"/>
    <w:rsid w:val="3BDC0701"/>
    <w:rsid w:val="3C203CB7"/>
    <w:rsid w:val="3C7C75E3"/>
    <w:rsid w:val="3CC86CCC"/>
    <w:rsid w:val="3DC47494"/>
    <w:rsid w:val="3E7F05AC"/>
    <w:rsid w:val="3EA10B6D"/>
    <w:rsid w:val="3EA6693C"/>
    <w:rsid w:val="3EF77AE6"/>
    <w:rsid w:val="3F764C84"/>
    <w:rsid w:val="409E0DFA"/>
    <w:rsid w:val="411A65D7"/>
    <w:rsid w:val="432B3B11"/>
    <w:rsid w:val="43DC6D23"/>
    <w:rsid w:val="440F51E1"/>
    <w:rsid w:val="44512F16"/>
    <w:rsid w:val="448B2315"/>
    <w:rsid w:val="44E328F5"/>
    <w:rsid w:val="45595953"/>
    <w:rsid w:val="46625A9C"/>
    <w:rsid w:val="46BC7948"/>
    <w:rsid w:val="47547694"/>
    <w:rsid w:val="47596E9F"/>
    <w:rsid w:val="47D6229D"/>
    <w:rsid w:val="4BF31414"/>
    <w:rsid w:val="4C194E4E"/>
    <w:rsid w:val="4CD05D73"/>
    <w:rsid w:val="4D477799"/>
    <w:rsid w:val="4D6761CB"/>
    <w:rsid w:val="4D7D0D8F"/>
    <w:rsid w:val="4D9041B3"/>
    <w:rsid w:val="4F3D39D2"/>
    <w:rsid w:val="4F5F0DCA"/>
    <w:rsid w:val="5003209D"/>
    <w:rsid w:val="5044466E"/>
    <w:rsid w:val="509264D2"/>
    <w:rsid w:val="50CC6933"/>
    <w:rsid w:val="515626A1"/>
    <w:rsid w:val="517364CA"/>
    <w:rsid w:val="518C1C1F"/>
    <w:rsid w:val="52293911"/>
    <w:rsid w:val="527414FE"/>
    <w:rsid w:val="528F23FD"/>
    <w:rsid w:val="52B20CA8"/>
    <w:rsid w:val="52D25D57"/>
    <w:rsid w:val="54616660"/>
    <w:rsid w:val="54AB2D04"/>
    <w:rsid w:val="553D53B5"/>
    <w:rsid w:val="55607637"/>
    <w:rsid w:val="55B703E4"/>
    <w:rsid w:val="55CC1183"/>
    <w:rsid w:val="55D43C17"/>
    <w:rsid w:val="578F227A"/>
    <w:rsid w:val="58E37945"/>
    <w:rsid w:val="591A4238"/>
    <w:rsid w:val="592B7F6F"/>
    <w:rsid w:val="598A113A"/>
    <w:rsid w:val="59C16B55"/>
    <w:rsid w:val="5A81543B"/>
    <w:rsid w:val="5AE91E90"/>
    <w:rsid w:val="5B1A64ED"/>
    <w:rsid w:val="5B266C40"/>
    <w:rsid w:val="5B5F2152"/>
    <w:rsid w:val="5B6F4A8B"/>
    <w:rsid w:val="5C3B671B"/>
    <w:rsid w:val="5C9D1184"/>
    <w:rsid w:val="5D31181C"/>
    <w:rsid w:val="5DA63D60"/>
    <w:rsid w:val="5E0031D5"/>
    <w:rsid w:val="5E7128C8"/>
    <w:rsid w:val="5EAE471D"/>
    <w:rsid w:val="5FA267D3"/>
    <w:rsid w:val="5FDB0843"/>
    <w:rsid w:val="629673D7"/>
    <w:rsid w:val="62970423"/>
    <w:rsid w:val="63ED4E73"/>
    <w:rsid w:val="648D270F"/>
    <w:rsid w:val="65C37EAD"/>
    <w:rsid w:val="66045767"/>
    <w:rsid w:val="67153012"/>
    <w:rsid w:val="67B65CC6"/>
    <w:rsid w:val="681A18DB"/>
    <w:rsid w:val="68476448"/>
    <w:rsid w:val="69F543AD"/>
    <w:rsid w:val="6D094044"/>
    <w:rsid w:val="6DEF55B7"/>
    <w:rsid w:val="6EB45CC4"/>
    <w:rsid w:val="6F7A5A8E"/>
    <w:rsid w:val="6F7F4719"/>
    <w:rsid w:val="6FF677BA"/>
    <w:rsid w:val="70967F6C"/>
    <w:rsid w:val="7245213A"/>
    <w:rsid w:val="73116800"/>
    <w:rsid w:val="74E219D2"/>
    <w:rsid w:val="75B50E95"/>
    <w:rsid w:val="75D457BF"/>
    <w:rsid w:val="76664EB3"/>
    <w:rsid w:val="767E397C"/>
    <w:rsid w:val="76830F93"/>
    <w:rsid w:val="775B081D"/>
    <w:rsid w:val="77B64A11"/>
    <w:rsid w:val="78B2790D"/>
    <w:rsid w:val="79441A00"/>
    <w:rsid w:val="794F0267"/>
    <w:rsid w:val="7987669E"/>
    <w:rsid w:val="79F13994"/>
    <w:rsid w:val="7B2014A6"/>
    <w:rsid w:val="7B4927AB"/>
    <w:rsid w:val="7B5B603A"/>
    <w:rsid w:val="7B8437E3"/>
    <w:rsid w:val="7BB0099E"/>
    <w:rsid w:val="7C0D776A"/>
    <w:rsid w:val="7C29438A"/>
    <w:rsid w:val="7C502871"/>
    <w:rsid w:val="7D3E77D4"/>
    <w:rsid w:val="7DA24FAD"/>
    <w:rsid w:val="7DFD5A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qFormat/>
    <w:uiPriority w:val="9"/>
    <w:pPr>
      <w:keepNext/>
      <w:keepLines/>
      <w:spacing w:before="260" w:after="260" w:line="416" w:lineRule="auto"/>
      <w:outlineLvl w:val="2"/>
    </w:pPr>
    <w:rPr>
      <w:sz w:val="32"/>
      <w:szCs w:val="32"/>
    </w:rPr>
  </w:style>
  <w:style w:type="paragraph" w:styleId="6">
    <w:name w:val="heading 5"/>
    <w:basedOn w:val="7"/>
    <w:next w:val="8"/>
    <w:qFormat/>
    <w:uiPriority w:val="9"/>
    <w:pPr>
      <w:keepNext/>
      <w:keepLines/>
      <w:tabs>
        <w:tab w:val="left" w:pos="780"/>
      </w:tabs>
      <w:spacing w:before="280" w:after="290" w:line="377" w:lineRule="auto"/>
      <w:ind w:firstLine="200" w:firstLineChars="200"/>
      <w:outlineLvl w:val="4"/>
    </w:pPr>
    <w:rPr>
      <w:rFonts w:ascii="Times New Roman" w:hAnsi="Times New Roman" w:eastAsia="仿宋_GB2312" w:cs="Times New Roman"/>
      <w:bCs/>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b/>
      <w:szCs w:val="24"/>
    </w:rPr>
  </w:style>
  <w:style w:type="paragraph" w:styleId="7">
    <w:name w:val="List Number 2"/>
    <w:basedOn w:val="1"/>
    <w:qFormat/>
    <w:uiPriority w:val="0"/>
    <w:pPr>
      <w:numPr>
        <w:ilvl w:val="0"/>
        <w:numId w:val="1"/>
      </w:numPr>
    </w:pPr>
  </w:style>
  <w:style w:type="paragraph" w:styleId="8">
    <w:name w:val="Normal (Web)"/>
    <w:basedOn w:val="1"/>
    <w:next w:val="9"/>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样式 标题 3 + (中文) 黑体 小四 非加粗 段前: 7.8 磅 段后: 0 磅 行距: 固定值 20 磅"/>
    <w:basedOn w:val="5"/>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0">
    <w:name w:val="annotation text"/>
    <w:basedOn w:val="1"/>
    <w:unhideWhenUsed/>
    <w:qFormat/>
    <w:uiPriority w:val="0"/>
    <w:pPr>
      <w:jc w:val="left"/>
    </w:pPr>
    <w:rPr>
      <w:rFonts w:ascii="Times New Roman" w:hAnsi="Times New Roman"/>
    </w:rPr>
  </w:style>
  <w:style w:type="paragraph" w:styleId="11">
    <w:name w:val="Block Text"/>
    <w:basedOn w:val="1"/>
    <w:next w:val="1"/>
    <w:qFormat/>
    <w:uiPriority w:val="99"/>
    <w:pPr>
      <w:spacing w:line="400" w:lineRule="atLeast"/>
      <w:ind w:left="280" w:right="134" w:rightChars="134" w:firstLine="497"/>
    </w:pPr>
    <w:rPr>
      <w:rFonts w:ascii="宋体" w:hAnsi="宋体" w:eastAsia="楷体_GB2312"/>
      <w:sz w:val="24"/>
      <w:szCs w:val="20"/>
    </w:rPr>
  </w:style>
  <w:style w:type="paragraph" w:styleId="12">
    <w:name w:val="Plain Text"/>
    <w:basedOn w:val="1"/>
    <w:unhideWhenUsed/>
    <w:qFormat/>
    <w:uiPriority w:val="99"/>
    <w:rPr>
      <w:rFonts w:ascii="宋体" w:hAnsi="Courier New" w:eastAsia="宋体" w:cs="Courier New"/>
      <w:szCs w:val="21"/>
    </w:r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420" w:leftChars="200"/>
    </w:pPr>
  </w:style>
  <w:style w:type="table" w:styleId="17">
    <w:name w:val="Table Grid"/>
    <w:basedOn w:val="16"/>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99"/>
  </w:style>
  <w:style w:type="character" w:styleId="21">
    <w:name w:val="Hyperlink"/>
    <w:unhideWhenUsed/>
    <w:qFormat/>
    <w:uiPriority w:val="99"/>
    <w:rPr>
      <w:color w:val="0000FF"/>
      <w:u w:val="single"/>
    </w:rPr>
  </w:style>
  <w:style w:type="paragraph" w:customStyle="1" w:styleId="22">
    <w:name w:val="Fließtext"/>
    <w:basedOn w:val="1"/>
    <w:qFormat/>
    <w:uiPriority w:val="99"/>
    <w:pPr>
      <w:overflowPunct w:val="0"/>
      <w:autoSpaceDE w:val="0"/>
      <w:autoSpaceDN w:val="0"/>
      <w:adjustRightInd w:val="0"/>
      <w:textAlignment w:val="baseline"/>
    </w:pPr>
    <w:rPr>
      <w:kern w:val="28"/>
      <w:szCs w:val="20"/>
    </w:rPr>
  </w:style>
  <w:style w:type="paragraph" w:customStyle="1" w:styleId="23">
    <w:name w:val="null3"/>
    <w:qFormat/>
    <w:uiPriority w:val="0"/>
    <w:rPr>
      <w:rFonts w:hint="eastAsia" w:ascii="Calibri" w:hAnsi="Calibri" w:eastAsia="宋体" w:cs="Times New Roman"/>
      <w:lang w:val="en-US" w:eastAsia="zh-CN" w:bidi="ar-SA"/>
    </w:rPr>
  </w:style>
  <w:style w:type="paragraph" w:customStyle="1" w:styleId="24">
    <w:name w:val="样式1"/>
    <w:basedOn w:val="1"/>
    <w:qFormat/>
    <w:uiPriority w:val="0"/>
    <w:pPr>
      <w:jc w:val="center"/>
    </w:pPr>
    <w:rPr>
      <w:rFonts w:eastAsia="方正大标宋简体"/>
      <w:sz w:val="52"/>
    </w:rPr>
  </w:style>
  <w:style w:type="paragraph" w:customStyle="1" w:styleId="25">
    <w:name w:val="Normal Indent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styleId="26">
    <w:name w:val="List Paragraph"/>
    <w:basedOn w:val="1"/>
    <w:qFormat/>
    <w:uiPriority w:val="34"/>
    <w:pPr>
      <w:ind w:firstLine="420" w:firstLineChars="200"/>
    </w:pPr>
  </w:style>
  <w:style w:type="table" w:customStyle="1" w:styleId="27">
    <w:name w:val="Table Normal"/>
    <w:unhideWhenUsed/>
    <w:qFormat/>
    <w:uiPriority w:val="0"/>
    <w:tblPr>
      <w:tblCellMar>
        <w:top w:w="0" w:type="dxa"/>
        <w:left w:w="0" w:type="dxa"/>
        <w:bottom w:w="0" w:type="dxa"/>
        <w:right w:w="0" w:type="dxa"/>
      </w:tblCellMar>
    </w:tblPr>
  </w:style>
  <w:style w:type="paragraph" w:customStyle="1" w:styleId="28">
    <w:name w:val="Table Text"/>
    <w:basedOn w:val="1"/>
    <w:semiHidden/>
    <w:qFormat/>
    <w:uiPriority w:val="0"/>
    <w:rPr>
      <w:rFonts w:ascii="宋体" w:hAnsi="宋体" w:eastAsia="宋体" w:cs="宋体"/>
      <w:sz w:val="19"/>
      <w:szCs w:val="19"/>
      <w:lang w:val="en-US" w:eastAsia="en-US" w:bidi="ar-SA"/>
    </w:rPr>
  </w:style>
  <w:style w:type="paragraph" w:customStyle="1" w:styleId="29">
    <w:name w:val="WPSOffice手动目录 1"/>
    <w:qFormat/>
    <w:uiPriority w:val="0"/>
    <w:rPr>
      <w:rFonts w:ascii="Calibri" w:hAnsi="Calibri" w:eastAsia="宋体" w:cs="Times New Roman"/>
      <w:lang w:val="en-US" w:eastAsia="zh-CN" w:bidi="ar-SA"/>
    </w:rPr>
  </w:style>
  <w:style w:type="paragraph" w:customStyle="1" w:styleId="30">
    <w:name w:val="WPSOffice手动目录 2"/>
    <w:qFormat/>
    <w:uiPriority w:val="0"/>
    <w:pPr>
      <w:ind w:left="200" w:leftChars="200"/>
    </w:pPr>
    <w:rPr>
      <w:rFonts w:ascii="Calibri" w:hAnsi="Calibri" w:eastAsia="宋体" w:cs="Times New Roman"/>
      <w:lang w:val="en-US" w:eastAsia="zh-CN" w:bidi="ar-SA"/>
    </w:rPr>
  </w:style>
  <w:style w:type="character" w:customStyle="1" w:styleId="31">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36466</Words>
  <Characters>39481</Characters>
  <Lines>0</Lines>
  <Paragraphs>0</Paragraphs>
  <TotalTime>2</TotalTime>
  <ScaleCrop>false</ScaleCrop>
  <LinksUpToDate>false</LinksUpToDate>
  <CharactersWithSpaces>42577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2024-11-06T06:59:00Z</dcterms:created>
  <dc:creator>Administrator</dc:creator>
  <cp:lastModifiedBy>admin</cp:lastModifiedBy>
  <cp:lastPrinted>2024-11-27T12:45:00Z</cp:lastPrinted>
  <dcterms:modified xsi:type="dcterms:W3CDTF">2024-11-29T06:45:35Z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4A511A729F494C398C701820AFD8FF55_13</vt:lpwstr>
  </property>
</Properties>
</file>