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outlineLvl w:val="9"/>
        <w:rPr>
          <w:rFonts w:hint="eastAsia" w:ascii="宋体" w:hAnsi="宋体" w:eastAsia="宋体" w:cs="宋体"/>
          <w:b/>
          <w:color w:val="auto"/>
          <w:sz w:val="24"/>
          <w:szCs w:val="24"/>
        </w:rPr>
      </w:pPr>
    </w:p>
    <w:p>
      <w:pPr>
        <w:pStyle w:val="3"/>
        <w:jc w:val="center"/>
        <w:rPr>
          <w:rFonts w:hint="eastAsia" w:ascii="宋体" w:hAnsi="宋体" w:cs="宋体"/>
          <w:b/>
          <w:color w:val="auto"/>
          <w:sz w:val="72"/>
          <w:szCs w:val="72"/>
        </w:rPr>
      </w:pPr>
      <w:bookmarkStart w:id="0" w:name="_Toc5043"/>
      <w:bookmarkStart w:id="1" w:name="_Toc29271"/>
      <w:r>
        <w:rPr>
          <w:rFonts w:hint="eastAsia" w:ascii="宋体" w:hAnsi="宋体" w:cs="宋体"/>
          <w:b/>
          <w:color w:val="auto"/>
          <w:sz w:val="72"/>
          <w:szCs w:val="72"/>
        </w:rPr>
        <w:t>竞争性磋商文件</w:t>
      </w:r>
      <w:bookmarkEnd w:id="0"/>
      <w:bookmarkEnd w:id="1"/>
    </w:p>
    <w:p>
      <w:pPr>
        <w:pStyle w:val="3"/>
        <w:jc w:val="center"/>
        <w:rPr>
          <w:rFonts w:hint="eastAsia" w:ascii="宋体" w:hAnsi="宋体" w:cs="宋体"/>
          <w:b/>
          <w:color w:val="auto"/>
          <w:sz w:val="72"/>
          <w:szCs w:val="72"/>
        </w:rPr>
      </w:pPr>
      <w:bookmarkStart w:id="2" w:name="_Toc32452"/>
      <w:bookmarkStart w:id="3" w:name="_Toc14781"/>
      <w:r>
        <w:rPr>
          <w:rFonts w:hint="eastAsia" w:ascii="宋体" w:hAnsi="宋体" w:cs="宋体"/>
          <w:b/>
          <w:color w:val="auto"/>
          <w:sz w:val="72"/>
          <w:szCs w:val="72"/>
        </w:rPr>
        <w:t>（商务部分）</w:t>
      </w:r>
      <w:bookmarkEnd w:id="2"/>
      <w:bookmarkEnd w:id="3"/>
    </w:p>
    <w:p>
      <w:pPr>
        <w:bidi w:val="0"/>
        <w:rPr>
          <w:rFonts w:hint="eastAsia" w:ascii="宋体" w:hAnsi="宋体" w:eastAsia="宋体" w:cs="宋体"/>
          <w:color w:val="auto"/>
          <w:sz w:val="24"/>
          <w:szCs w:val="24"/>
          <w:highlight w:val="none"/>
        </w:rPr>
      </w:pPr>
    </w:p>
    <w:p>
      <w:pPr>
        <w:pStyle w:val="12"/>
        <w:rPr>
          <w:rFonts w:hint="eastAsia" w:ascii="宋体" w:hAnsi="宋体" w:eastAsia="宋体" w:cs="宋体"/>
          <w:color w:val="auto"/>
          <w:sz w:val="24"/>
          <w:szCs w:val="24"/>
          <w:highlight w:val="none"/>
        </w:rPr>
      </w:pPr>
    </w:p>
    <w:p>
      <w:pPr>
        <w:bidi w:val="0"/>
        <w:rPr>
          <w:rFonts w:hint="eastAsia" w:ascii="宋体" w:hAnsi="宋体" w:eastAsia="宋体" w:cs="宋体"/>
          <w:color w:val="auto"/>
          <w:sz w:val="24"/>
          <w:szCs w:val="24"/>
          <w:highlight w:val="none"/>
        </w:rPr>
      </w:pPr>
    </w:p>
    <w:p>
      <w:pPr>
        <w:pStyle w:val="6"/>
        <w:numPr>
          <w:ilvl w:val="0"/>
          <w:numId w:val="0"/>
        </w:numPr>
        <w:ind w:leftChars="200"/>
        <w:rPr>
          <w:rFonts w:hint="eastAsia"/>
          <w:color w:val="auto"/>
        </w:rPr>
      </w:pPr>
    </w:p>
    <w:p>
      <w:pPr>
        <w:pStyle w:val="8"/>
        <w:rPr>
          <w:rFonts w:hint="eastAsia"/>
          <w:color w:val="auto"/>
        </w:rPr>
      </w:pPr>
    </w:p>
    <w:p>
      <w:pPr>
        <w:pStyle w:val="14"/>
        <w:ind w:firstLine="280" w:firstLineChars="100"/>
        <w:rPr>
          <w:rFonts w:hint="eastAsia" w:hAnsi="宋体" w:cs="宋体"/>
          <w:color w:val="auto"/>
          <w:kern w:val="0"/>
          <w:sz w:val="28"/>
          <w:szCs w:val="28"/>
          <w:u w:val="single"/>
          <w:lang w:eastAsia="zh-CN"/>
        </w:rPr>
      </w:pPr>
      <w:r>
        <w:rPr>
          <w:rFonts w:hint="eastAsia" w:ascii="宋体" w:hAnsi="宋体" w:eastAsia="宋体" w:cs="宋体"/>
          <w:color w:val="auto"/>
          <w:kern w:val="0"/>
          <w:sz w:val="28"/>
          <w:szCs w:val="28"/>
        </w:rPr>
        <w:t>项目名称：</w:t>
      </w:r>
      <w:r>
        <w:rPr>
          <w:rFonts w:hint="eastAsia" w:hAnsi="宋体" w:cs="宋体"/>
          <w:color w:val="auto"/>
          <w:kern w:val="0"/>
          <w:sz w:val="28"/>
          <w:szCs w:val="28"/>
          <w:u w:val="single"/>
          <w:lang w:eastAsia="zh-CN"/>
        </w:rPr>
        <w:t>国家税务总局南平市税务局12366热线服务外包采购项目</w:t>
      </w:r>
    </w:p>
    <w:p>
      <w:pPr>
        <w:pStyle w:val="14"/>
        <w:ind w:firstLine="1400" w:firstLineChars="500"/>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项目编号：</w:t>
      </w:r>
      <w:r>
        <w:rPr>
          <w:rFonts w:hint="eastAsia" w:hAnsi="宋体" w:cs="宋体"/>
          <w:color w:val="auto"/>
          <w:kern w:val="0"/>
          <w:sz w:val="28"/>
          <w:szCs w:val="28"/>
          <w:u w:val="single"/>
          <w:lang w:eastAsia="zh-CN"/>
        </w:rPr>
        <w:t>ZXWT-2025-09</w:t>
      </w:r>
    </w:p>
    <w:p>
      <w:pPr>
        <w:pStyle w:val="14"/>
        <w:ind w:firstLine="1400" w:firstLineChars="500"/>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采 购 人：</w:t>
      </w:r>
      <w:r>
        <w:rPr>
          <w:rFonts w:hint="eastAsia" w:hAnsi="宋体" w:cs="宋体"/>
          <w:color w:val="auto"/>
          <w:kern w:val="0"/>
          <w:sz w:val="28"/>
          <w:szCs w:val="28"/>
          <w:u w:val="single"/>
          <w:lang w:eastAsia="zh-CN"/>
        </w:rPr>
        <w:t>国家税务总局南平市税务局</w:t>
      </w:r>
    </w:p>
    <w:p>
      <w:pPr>
        <w:pStyle w:val="14"/>
        <w:ind w:firstLine="1400" w:firstLineChars="5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采购代理机构：</w:t>
      </w:r>
      <w:r>
        <w:rPr>
          <w:rFonts w:hint="eastAsia" w:ascii="宋体" w:hAnsi="宋体" w:eastAsia="宋体" w:cs="宋体"/>
          <w:color w:val="auto"/>
          <w:kern w:val="0"/>
          <w:sz w:val="28"/>
          <w:szCs w:val="28"/>
          <w:u w:val="single"/>
        </w:rPr>
        <w:t>福建省智信招标有限公司</w:t>
      </w:r>
    </w:p>
    <w:p>
      <w:pPr>
        <w:topLinePunct/>
        <w:autoSpaceDE w:val="0"/>
        <w:autoSpaceDN w:val="0"/>
        <w:spacing w:line="460" w:lineRule="exact"/>
        <w:rPr>
          <w:rFonts w:hint="eastAsia" w:ascii="宋体" w:hAnsi="宋体" w:eastAsia="宋体" w:cs="宋体"/>
          <w:b/>
          <w:color w:val="auto"/>
          <w:sz w:val="24"/>
          <w:szCs w:val="24"/>
          <w:highlight w:val="none"/>
        </w:rPr>
      </w:pPr>
    </w:p>
    <w:p>
      <w:pPr>
        <w:topLinePunct/>
        <w:autoSpaceDE w:val="0"/>
        <w:autoSpaceDN w:val="0"/>
        <w:spacing w:line="460" w:lineRule="exact"/>
        <w:jc w:val="center"/>
        <w:rPr>
          <w:rFonts w:hint="eastAsia" w:ascii="宋体" w:hAnsi="宋体" w:eastAsia="宋体" w:cs="宋体"/>
          <w:color w:val="auto"/>
          <w:sz w:val="24"/>
          <w:szCs w:val="24"/>
          <w:highlight w:val="none"/>
        </w:rPr>
      </w:pPr>
    </w:p>
    <w:p>
      <w:pPr>
        <w:pStyle w:val="6"/>
        <w:numPr>
          <w:ilvl w:val="0"/>
          <w:numId w:val="0"/>
        </w:numPr>
        <w:ind w:leftChars="200"/>
        <w:rPr>
          <w:rFonts w:hint="eastAsia"/>
          <w:color w:val="auto"/>
        </w:rPr>
      </w:pPr>
    </w:p>
    <w:p>
      <w:pPr>
        <w:pStyle w:val="9"/>
        <w:rPr>
          <w:rFonts w:hint="eastAsia"/>
          <w:color w:val="auto"/>
        </w:rPr>
      </w:pPr>
    </w:p>
    <w:p>
      <w:pPr>
        <w:topLinePunct/>
        <w:autoSpaceDE w:val="0"/>
        <w:autoSpaceDN w:val="0"/>
        <w:spacing w:line="160" w:lineRule="exact"/>
        <w:jc w:val="center"/>
        <w:rPr>
          <w:rFonts w:hint="eastAsia" w:ascii="宋体" w:hAnsi="宋体" w:eastAsia="宋体" w:cs="宋体"/>
          <w:color w:val="auto"/>
          <w:sz w:val="24"/>
          <w:szCs w:val="24"/>
          <w:highlight w:val="none"/>
        </w:rPr>
      </w:pPr>
    </w:p>
    <w:p>
      <w:pPr>
        <w:jc w:val="center"/>
        <w:rPr>
          <w:rFonts w:hint="eastAsia" w:hAnsi="宋体" w:cs="宋体"/>
          <w:color w:val="auto"/>
          <w:kern w:val="0"/>
          <w:sz w:val="28"/>
          <w:szCs w:val="28"/>
          <w:u w:val="none"/>
          <w:lang w:eastAsia="zh-CN"/>
        </w:rPr>
      </w:pPr>
      <w:r>
        <w:rPr>
          <w:rFonts w:hint="eastAsia" w:hAnsi="宋体" w:cs="宋体"/>
          <w:color w:val="auto"/>
          <w:kern w:val="0"/>
          <w:sz w:val="28"/>
          <w:szCs w:val="28"/>
          <w:u w:val="none"/>
          <w:lang w:eastAsia="zh-CN"/>
        </w:rPr>
        <w:t>国家税务总局南平市税务局</w:t>
      </w: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01</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20</w:t>
      </w:r>
      <w:r>
        <w:rPr>
          <w:rFonts w:hint="eastAsia" w:ascii="宋体" w:hAnsi="宋体" w:eastAsia="宋体" w:cs="宋体"/>
          <w:color w:val="auto"/>
          <w:sz w:val="28"/>
          <w:szCs w:val="28"/>
          <w:highlight w:val="none"/>
        </w:rPr>
        <w:t>日</w:t>
      </w: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sectPr>
          <w:footerReference r:id="rId3" w:type="default"/>
          <w:pgSz w:w="11906" w:h="16838"/>
          <w:pgMar w:top="1440" w:right="1531" w:bottom="1440" w:left="1531" w:header="851" w:footer="992" w:gutter="0"/>
          <w:pgNumType w:fmt="decimal"/>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b/>
          <w:bCs/>
          <w:color w:val="auto"/>
          <w:sz w:val="32"/>
          <w:szCs w:val="32"/>
        </w:rPr>
      </w:pPr>
      <w:r>
        <w:rPr>
          <w:rFonts w:ascii="宋体" w:hAnsi="宋体" w:eastAsia="宋体"/>
          <w:b/>
          <w:bCs/>
          <w:color w:val="auto"/>
          <w:sz w:val="32"/>
          <w:szCs w:val="32"/>
        </w:rPr>
        <w:t>目录</w:t>
      </w:r>
    </w:p>
    <w:p>
      <w:pPr>
        <w:pStyle w:val="19"/>
        <w:keepNext w:val="0"/>
        <w:keepLines w:val="0"/>
        <w:pageBreakBefore w:val="0"/>
        <w:widowControl w:val="0"/>
        <w:tabs>
          <w:tab w:val="right" w:leader="dot" w:pos="8402"/>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"1-2" \h \u </w:instrText>
      </w:r>
      <w:r>
        <w:rPr>
          <w:rFonts w:hint="eastAsia" w:ascii="宋体" w:hAnsi="宋体" w:eastAsia="宋体" w:cs="宋体"/>
          <w:color w:val="auto"/>
          <w:sz w:val="24"/>
          <w:szCs w:val="24"/>
        </w:rPr>
        <w:fldChar w:fldCharType="separate"/>
      </w:r>
    </w:p>
    <w:p>
      <w:pPr>
        <w:pStyle w:val="19"/>
        <w:keepNext w:val="0"/>
        <w:keepLines w:val="0"/>
        <w:pageBreakBefore w:val="0"/>
        <w:widowControl w:val="0"/>
        <w:tabs>
          <w:tab w:val="right" w:leader="dot" w:pos="8402"/>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_Toc12643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highlight w:val="none"/>
        </w:rPr>
        <w:t>第一章  磋商邀请</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_Toc12643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9"/>
        <w:keepNext w:val="0"/>
        <w:keepLines w:val="0"/>
        <w:pageBreakBefore w:val="0"/>
        <w:widowControl w:val="0"/>
        <w:tabs>
          <w:tab w:val="right" w:leader="dot" w:pos="8402"/>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_Toc5752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highlight w:val="none"/>
        </w:rPr>
        <w:t>第二章　供应商须知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_Toc5752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keepNext w:val="0"/>
        <w:keepLines w:val="0"/>
        <w:pageBreakBefore w:val="0"/>
        <w:widowControl w:val="0"/>
        <w:tabs>
          <w:tab w:val="right" w:leader="dot" w:pos="8402"/>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_Toc27846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highlight w:val="none"/>
        </w:rPr>
        <w:t>一、总则</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_Toc27846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keepNext w:val="0"/>
        <w:keepLines w:val="0"/>
        <w:pageBreakBefore w:val="0"/>
        <w:widowControl w:val="0"/>
        <w:tabs>
          <w:tab w:val="right" w:leader="dot" w:pos="8402"/>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_Toc9293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highlight w:val="none"/>
        </w:rPr>
        <w:t>二、采购文件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_Toc9293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keepNext w:val="0"/>
        <w:keepLines w:val="0"/>
        <w:pageBreakBefore w:val="0"/>
        <w:widowControl w:val="0"/>
        <w:tabs>
          <w:tab w:val="right" w:leader="dot" w:pos="8402"/>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_Toc18450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highlight w:val="none"/>
        </w:rPr>
        <w:t>三、响应文件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_Toc18450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keepNext w:val="0"/>
        <w:keepLines w:val="0"/>
        <w:pageBreakBefore w:val="0"/>
        <w:widowControl w:val="0"/>
        <w:tabs>
          <w:tab w:val="right" w:leader="dot" w:pos="8402"/>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_Toc20651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highlight w:val="none"/>
        </w:rPr>
        <w:t>四、响应文件递交</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_Toc20651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keepNext w:val="0"/>
        <w:keepLines w:val="0"/>
        <w:pageBreakBefore w:val="0"/>
        <w:widowControl w:val="0"/>
        <w:tabs>
          <w:tab w:val="right" w:leader="dot" w:pos="8402"/>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_Toc8791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highlight w:val="none"/>
        </w:rPr>
        <w:t>五、磋商与评审</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_Toc8791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keepNext w:val="0"/>
        <w:keepLines w:val="0"/>
        <w:pageBreakBefore w:val="0"/>
        <w:widowControl w:val="0"/>
        <w:tabs>
          <w:tab w:val="right" w:leader="dot" w:pos="8402"/>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_Toc21852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highlight w:val="none"/>
        </w:rPr>
        <w:t>六、成交和合同</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_Toc21852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keepNext w:val="0"/>
        <w:keepLines w:val="0"/>
        <w:pageBreakBefore w:val="0"/>
        <w:widowControl w:val="0"/>
        <w:tabs>
          <w:tab w:val="right" w:leader="dot" w:pos="8402"/>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_Toc17635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highlight w:val="none"/>
        </w:rPr>
        <w:t>七、询问和质疑</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_Toc17635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keepNext w:val="0"/>
        <w:keepLines w:val="0"/>
        <w:pageBreakBefore w:val="0"/>
        <w:widowControl w:val="0"/>
        <w:tabs>
          <w:tab w:val="right" w:leader="dot" w:pos="8402"/>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_Toc6779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highlight w:val="none"/>
        </w:rPr>
        <w:t>八、其他</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_Toc6779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9"/>
        <w:keepNext w:val="0"/>
        <w:keepLines w:val="0"/>
        <w:pageBreakBefore w:val="0"/>
        <w:widowControl w:val="0"/>
        <w:tabs>
          <w:tab w:val="right" w:leader="dot" w:pos="8402"/>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_Toc13151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highlight w:val="none"/>
        </w:rPr>
        <w:t>第三章  评审方法及标准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_Toc13151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9"/>
        <w:keepNext w:val="0"/>
        <w:keepLines w:val="0"/>
        <w:pageBreakBefore w:val="0"/>
        <w:widowControl w:val="0"/>
        <w:tabs>
          <w:tab w:val="right" w:leader="dot" w:pos="8402"/>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_Toc29753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highlight w:val="none"/>
        </w:rPr>
        <w:t>第四章  采购合同文本</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_Toc29753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9"/>
        <w:keepNext w:val="0"/>
        <w:keepLines w:val="0"/>
        <w:pageBreakBefore w:val="0"/>
        <w:widowControl w:val="0"/>
        <w:tabs>
          <w:tab w:val="right" w:leader="dot" w:pos="8402"/>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_Toc22952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highlight w:val="none"/>
        </w:rPr>
        <w:t>第五章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_Toc22952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9"/>
        <w:keepNext w:val="0"/>
        <w:keepLines w:val="0"/>
        <w:pageBreakBefore w:val="0"/>
        <w:widowControl w:val="0"/>
        <w:tabs>
          <w:tab w:val="right" w:leader="dot" w:pos="8402"/>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_Toc31314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highlight w:val="none"/>
        </w:rPr>
        <w:t>第六章  项目采购需求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_Toc31314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end"/>
      </w: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sectPr>
          <w:footerReference r:id="rId7" w:type="first"/>
          <w:footerReference r:id="rId5" w:type="default"/>
          <w:headerReference r:id="rId4" w:type="even"/>
          <w:footerReference r:id="rId6" w:type="even"/>
          <w:pgSz w:w="11906" w:h="16838"/>
          <w:pgMar w:top="1440" w:right="1752" w:bottom="1440" w:left="1752" w:header="851" w:footer="992" w:gutter="0"/>
          <w:pgNumType w:fmt="decimal"/>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28"/>
          <w:szCs w:val="28"/>
          <w:highlight w:val="none"/>
        </w:rPr>
      </w:pPr>
      <w:bookmarkStart w:id="4" w:name="_Toc12643"/>
      <w:bookmarkStart w:id="5" w:name="_Toc132880655"/>
      <w:r>
        <w:rPr>
          <w:rFonts w:hint="eastAsia" w:ascii="宋体" w:hAnsi="宋体" w:eastAsia="宋体" w:cs="宋体"/>
          <w:b/>
          <w:bCs/>
          <w:color w:val="auto"/>
          <w:sz w:val="28"/>
          <w:szCs w:val="28"/>
          <w:highlight w:val="none"/>
        </w:rPr>
        <w:t>第一章  磋商邀请</w:t>
      </w:r>
      <w:bookmarkEnd w:id="4"/>
      <w:bookmarkEnd w:id="5"/>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after="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eastAsia="zh-CN"/>
        </w:rPr>
        <w:t>国家税务总局南平市税务局12366热线服务外包采购项目</w:t>
      </w:r>
      <w:r>
        <w:rPr>
          <w:rFonts w:hint="eastAsia" w:ascii="宋体" w:hAnsi="宋体" w:eastAsia="宋体" w:cs="宋体"/>
          <w:color w:val="auto"/>
          <w:sz w:val="24"/>
          <w:szCs w:val="24"/>
          <w:highlight w:val="none"/>
        </w:rPr>
        <w:t>的潜在供应商应在</w:t>
      </w:r>
      <w:r>
        <w:rPr>
          <w:rFonts w:hint="eastAsia" w:ascii="宋体" w:hAnsi="宋体" w:eastAsia="宋体" w:cs="宋体"/>
          <w:color w:val="auto"/>
          <w:sz w:val="24"/>
          <w:szCs w:val="24"/>
          <w:highlight w:val="none"/>
          <w:u w:val="single"/>
        </w:rPr>
        <w:t>福建省智信招标有限公司（福建省福州市鼓楼区五四路159号世界金龙大厦</w:t>
      </w:r>
      <w:r>
        <w:rPr>
          <w:rFonts w:hint="eastAsia" w:ascii="宋体" w:hAnsi="宋体" w:cs="宋体"/>
          <w:color w:val="auto"/>
          <w:sz w:val="24"/>
          <w:szCs w:val="24"/>
          <w:highlight w:val="none"/>
          <w:u w:val="single"/>
          <w:lang w:val="en-US" w:eastAsia="zh-CN"/>
        </w:rPr>
        <w:t>第</w:t>
      </w:r>
      <w:r>
        <w:rPr>
          <w:rFonts w:hint="eastAsia" w:ascii="宋体" w:hAnsi="宋体" w:eastAsia="宋体" w:cs="宋体"/>
          <w:color w:val="auto"/>
          <w:sz w:val="24"/>
          <w:szCs w:val="24"/>
          <w:highlight w:val="none"/>
          <w:u w:val="single"/>
        </w:rPr>
        <w:t>14层A</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C1</w:t>
      </w:r>
      <w:r>
        <w:rPr>
          <w:rFonts w:hint="eastAsia" w:ascii="宋体" w:hAnsi="宋体" w:eastAsia="宋体" w:cs="宋体"/>
          <w:color w:val="auto"/>
          <w:sz w:val="24"/>
          <w:szCs w:val="24"/>
          <w:highlight w:val="none"/>
          <w:u w:val="single"/>
        </w:rPr>
        <w:t>单元）</w:t>
      </w:r>
      <w:r>
        <w:rPr>
          <w:rFonts w:hint="eastAsia" w:ascii="宋体" w:hAnsi="宋体" w:eastAsia="宋体" w:cs="宋体"/>
          <w:color w:val="auto"/>
          <w:sz w:val="24"/>
          <w:szCs w:val="24"/>
          <w:highlight w:val="none"/>
        </w:rPr>
        <w:t>获取采购文件，并于</w:t>
      </w:r>
      <w:r>
        <w:rPr>
          <w:rFonts w:hint="eastAsia" w:ascii="宋体" w:hAnsi="宋体" w:cs="宋体"/>
          <w:color w:val="auto"/>
          <w:sz w:val="24"/>
          <w:szCs w:val="24"/>
          <w:highlight w:val="none"/>
          <w:u w:val="single"/>
          <w:lang w:val="en-US" w:eastAsia="zh-CN"/>
        </w:rPr>
        <w:t>2025</w:t>
      </w:r>
      <w:r>
        <w:rPr>
          <w:rFonts w:hint="eastAsia" w:ascii="宋体" w:hAnsi="宋体" w:eastAsia="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2</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17</w:t>
      </w:r>
      <w:r>
        <w:rPr>
          <w:rFonts w:hint="eastAsia" w:ascii="宋体" w:hAnsi="宋体" w:eastAsia="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09</w:t>
      </w:r>
      <w:r>
        <w:rPr>
          <w:rFonts w:hint="eastAsia" w:ascii="宋体" w:hAnsi="宋体" w:eastAsia="宋体" w:cs="宋体"/>
          <w:bCs/>
          <w:color w:val="auto"/>
          <w:sz w:val="24"/>
          <w:szCs w:val="24"/>
          <w:highlight w:val="none"/>
          <w:u w:val="single"/>
        </w:rPr>
        <w:t>点</w:t>
      </w:r>
      <w:r>
        <w:rPr>
          <w:rFonts w:hint="eastAsia" w:ascii="宋体" w:hAnsi="宋体" w:cs="宋体"/>
          <w:bCs/>
          <w:color w:val="auto"/>
          <w:sz w:val="24"/>
          <w:szCs w:val="24"/>
          <w:highlight w:val="none"/>
          <w:u w:val="single"/>
          <w:lang w:val="en-US" w:eastAsia="zh-CN"/>
        </w:rPr>
        <w:t>00</w:t>
      </w:r>
      <w:r>
        <w:rPr>
          <w:rFonts w:hint="eastAsia" w:ascii="宋体" w:hAnsi="宋体" w:eastAsia="宋体" w:cs="宋体"/>
          <w:bCs/>
          <w:color w:val="auto"/>
          <w:sz w:val="24"/>
          <w:szCs w:val="24"/>
          <w:highlight w:val="none"/>
          <w:u w:val="single"/>
        </w:rPr>
        <w:t>分</w:t>
      </w:r>
      <w:r>
        <w:rPr>
          <w:rFonts w:hint="eastAsia" w:ascii="宋体" w:hAnsi="宋体" w:eastAsia="宋体" w:cs="宋体"/>
          <w:bCs/>
          <w:color w:val="auto"/>
          <w:sz w:val="24"/>
          <w:szCs w:val="24"/>
          <w:highlight w:val="none"/>
        </w:rPr>
        <w:t>（北京时间）前提交响应文件</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color w:val="auto"/>
          <w:sz w:val="24"/>
          <w:szCs w:val="24"/>
          <w:highlight w:val="none"/>
        </w:rPr>
      </w:pPr>
      <w:bookmarkStart w:id="6" w:name="_Toc16149"/>
      <w:bookmarkStart w:id="7" w:name="_Toc27898"/>
      <w:r>
        <w:rPr>
          <w:rFonts w:hint="eastAsia" w:ascii="宋体" w:hAnsi="宋体" w:eastAsia="宋体" w:cs="宋体"/>
          <w:b/>
          <w:bCs/>
          <w:color w:val="auto"/>
          <w:sz w:val="24"/>
          <w:szCs w:val="24"/>
          <w:highlight w:val="none"/>
        </w:rPr>
        <w:t>一、项目基本情况</w:t>
      </w:r>
      <w:bookmarkEnd w:id="6"/>
      <w:bookmarkEnd w:id="7"/>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eastAsia="zh-CN"/>
        </w:rPr>
        <w:t>ZXWT-2025-09</w:t>
      </w:r>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国家税务总局南平市税务局12366热线服务外包采购项目</w:t>
      </w:r>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采购方式：竞争性磋商</w:t>
      </w:r>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w:t>
      </w:r>
      <w:r>
        <w:rPr>
          <w:rFonts w:hint="eastAsia" w:ascii="宋体" w:hAnsi="宋体" w:cs="宋体"/>
          <w:color w:val="auto"/>
          <w:kern w:val="0"/>
          <w:sz w:val="24"/>
          <w:szCs w:val="24"/>
          <w:highlight w:val="none"/>
          <w:lang w:val="en-US" w:eastAsia="zh-CN" w:bidi="ar-SA"/>
        </w:rPr>
        <w:t>73</w:t>
      </w:r>
      <w:r>
        <w:rPr>
          <w:rFonts w:hint="eastAsia" w:ascii="宋体" w:hAnsi="宋体" w:eastAsia="宋体" w:cs="宋体"/>
          <w:color w:val="auto"/>
          <w:kern w:val="0"/>
          <w:sz w:val="24"/>
          <w:szCs w:val="24"/>
          <w:highlight w:val="none"/>
          <w:lang w:val="en-US" w:eastAsia="zh-CN" w:bidi="ar-SA"/>
        </w:rPr>
        <w:t>万元</w:t>
      </w:r>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r>
        <w:rPr>
          <w:rFonts w:hint="eastAsia" w:ascii="宋体" w:hAnsi="宋体" w:cs="宋体"/>
          <w:color w:val="auto"/>
          <w:kern w:val="0"/>
          <w:sz w:val="24"/>
          <w:szCs w:val="24"/>
          <w:highlight w:val="none"/>
          <w:lang w:val="en-US" w:eastAsia="zh-CN" w:bidi="ar-SA"/>
        </w:rPr>
        <w:t>73</w:t>
      </w:r>
      <w:r>
        <w:rPr>
          <w:rFonts w:hint="eastAsia" w:ascii="宋体" w:hAnsi="宋体" w:eastAsia="宋体" w:cs="宋体"/>
          <w:color w:val="auto"/>
          <w:kern w:val="0"/>
          <w:sz w:val="24"/>
          <w:szCs w:val="24"/>
          <w:highlight w:val="none"/>
          <w:lang w:val="en-US" w:eastAsia="zh-CN" w:bidi="ar-SA"/>
        </w:rPr>
        <w:t>万元</w:t>
      </w:r>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tbl>
      <w:tblPr>
        <w:tblStyle w:val="28"/>
        <w:tblW w:w="8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072"/>
        <w:gridCol w:w="1504"/>
        <w:gridCol w:w="912"/>
        <w:gridCol w:w="1263"/>
        <w:gridCol w:w="4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92" w:hRule="atLeast"/>
        </w:trPr>
        <w:tc>
          <w:tcPr>
            <w:tcW w:w="1072" w:type="dxa"/>
            <w:shd w:val="clear" w:color="auto" w:fill="FFFFFF"/>
            <w:noWrap w:val="0"/>
            <w:tcMar>
              <w:left w:w="108" w:type="dxa"/>
              <w:right w:w="108"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Fonts w:hint="default" w:ascii="宋体" w:hAnsi="宋体" w:eastAsia="宋体"/>
                <w:color w:val="auto"/>
                <w:lang w:val="en-US" w:eastAsia="zh-CN"/>
              </w:rPr>
            </w:pPr>
            <w:r>
              <w:rPr>
                <w:rFonts w:hint="eastAsia"/>
                <w:color w:val="auto"/>
                <w:lang w:val="en-US" w:eastAsia="zh-CN"/>
              </w:rPr>
              <w:t>采购包</w:t>
            </w:r>
          </w:p>
        </w:tc>
        <w:tc>
          <w:tcPr>
            <w:tcW w:w="1504" w:type="dxa"/>
            <w:shd w:val="clear" w:color="auto" w:fill="FFFFFF"/>
            <w:noWrap w:val="0"/>
            <w:tcMar>
              <w:left w:w="108" w:type="dxa"/>
              <w:right w:w="108"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Fonts w:hint="default" w:ascii="宋体" w:hAnsi="宋体" w:eastAsia="宋体"/>
                <w:color w:val="auto"/>
                <w:lang w:val="en-US" w:eastAsia="zh-CN"/>
              </w:rPr>
            </w:pPr>
            <w:r>
              <w:rPr>
                <w:rFonts w:hint="eastAsia"/>
                <w:color w:val="auto"/>
                <w:lang w:val="en-US" w:eastAsia="zh-CN"/>
              </w:rPr>
              <w:t>项目名称</w:t>
            </w:r>
          </w:p>
        </w:tc>
        <w:tc>
          <w:tcPr>
            <w:tcW w:w="912" w:type="dxa"/>
            <w:shd w:val="clear" w:color="auto" w:fill="FFFFFF"/>
            <w:noWrap w:val="0"/>
            <w:tcMar>
              <w:left w:w="108" w:type="dxa"/>
              <w:right w:w="108"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Fonts w:hint="default" w:ascii="宋体" w:hAnsi="宋体" w:eastAsia="宋体"/>
                <w:color w:val="auto"/>
                <w:lang w:val="en-US" w:eastAsia="zh-CN"/>
              </w:rPr>
            </w:pPr>
            <w:r>
              <w:rPr>
                <w:rFonts w:hint="eastAsia"/>
                <w:color w:val="auto"/>
                <w:lang w:val="en-US" w:eastAsia="zh-CN"/>
              </w:rPr>
              <w:t>服务期限</w:t>
            </w:r>
          </w:p>
        </w:tc>
        <w:tc>
          <w:tcPr>
            <w:tcW w:w="1263" w:type="dxa"/>
            <w:shd w:val="clear" w:color="auto" w:fill="FFFFFF"/>
            <w:noWrap w:val="0"/>
            <w:tcMar>
              <w:left w:w="108" w:type="dxa"/>
              <w:right w:w="108"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Fonts w:hint="default" w:ascii="宋体" w:hAnsi="宋体" w:eastAsia="宋体"/>
                <w:color w:val="auto"/>
                <w:lang w:val="en-US" w:eastAsia="zh-CN"/>
              </w:rPr>
            </w:pPr>
            <w:r>
              <w:rPr>
                <w:rFonts w:hint="eastAsia"/>
                <w:color w:val="auto"/>
                <w:lang w:val="en-US" w:eastAsia="zh-CN"/>
              </w:rPr>
              <w:t>预算金额（万元）</w:t>
            </w:r>
          </w:p>
        </w:tc>
        <w:tc>
          <w:tcPr>
            <w:tcW w:w="4204" w:type="dxa"/>
            <w:shd w:val="clear" w:color="auto" w:fill="FFFFFF"/>
            <w:noWrap w:val="0"/>
            <w:tcMar>
              <w:left w:w="108" w:type="dxa"/>
              <w:right w:w="108"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Fonts w:hint="eastAsia" w:ascii="宋体" w:hAnsi="宋体"/>
                <w:color w:val="auto"/>
              </w:rPr>
            </w:pPr>
            <w:r>
              <w:rPr>
                <w:rFonts w:hint="eastAsia" w:ascii="宋体" w:hAnsi="宋体"/>
                <w:color w:val="auto"/>
              </w:rPr>
              <w:t>简要</w:t>
            </w:r>
            <w:r>
              <w:rPr>
                <w:rFonts w:hint="eastAsia"/>
                <w:color w:val="auto"/>
                <w:lang w:val="en-US" w:eastAsia="zh-CN"/>
              </w:rPr>
              <w:t>技术</w:t>
            </w:r>
            <w:r>
              <w:rPr>
                <w:rFonts w:hint="eastAsia" w:ascii="宋体" w:hAnsi="宋体"/>
                <w:color w:val="auto"/>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31" w:hRule="atLeast"/>
        </w:trPr>
        <w:tc>
          <w:tcPr>
            <w:tcW w:w="1072" w:type="dxa"/>
            <w:shd w:val="clear" w:color="auto" w:fill="FFFFFF"/>
            <w:noWrap w:val="0"/>
            <w:tcMar>
              <w:left w:w="108" w:type="dxa"/>
              <w:right w:w="108"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Fonts w:hint="default" w:ascii="宋体" w:hAnsi="宋体" w:eastAsia="宋体"/>
                <w:color w:val="auto"/>
                <w:lang w:val="en-US" w:eastAsia="zh-CN"/>
              </w:rPr>
            </w:pPr>
            <w:r>
              <w:rPr>
                <w:rFonts w:hint="eastAsia"/>
                <w:color w:val="auto"/>
                <w:lang w:val="en-US" w:eastAsia="zh-CN"/>
              </w:rPr>
              <w:t>1</w:t>
            </w:r>
          </w:p>
        </w:tc>
        <w:tc>
          <w:tcPr>
            <w:tcW w:w="1504" w:type="dxa"/>
            <w:shd w:val="clear" w:color="auto" w:fill="FFFFFF"/>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宋体" w:hAnsi="宋体" w:eastAsia="宋体"/>
                <w:color w:val="auto"/>
                <w:lang w:val="en-US" w:eastAsia="zh-CN"/>
              </w:rPr>
            </w:pPr>
            <w:r>
              <w:rPr>
                <w:rFonts w:hint="eastAsia" w:ascii="宋体" w:hAnsi="宋体" w:cs="宋体"/>
                <w:color w:val="auto"/>
                <w:sz w:val="24"/>
                <w:szCs w:val="24"/>
                <w:highlight w:val="none"/>
                <w:lang w:eastAsia="zh-CN"/>
              </w:rPr>
              <w:t>国家税务总局南平市税务局12366热线服务外包采购项目</w:t>
            </w:r>
          </w:p>
        </w:tc>
        <w:tc>
          <w:tcPr>
            <w:tcW w:w="912" w:type="dxa"/>
            <w:shd w:val="clear" w:color="auto" w:fill="FFFFFF"/>
            <w:noWrap w:val="0"/>
            <w:tcMar>
              <w:left w:w="108" w:type="dxa"/>
              <w:right w:w="108"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Fonts w:hint="default" w:ascii="宋体" w:hAnsi="宋体" w:eastAsia="宋体"/>
                <w:color w:val="auto"/>
                <w:lang w:val="en-US" w:eastAsia="zh-CN"/>
              </w:rPr>
            </w:pPr>
            <w:r>
              <w:rPr>
                <w:rFonts w:hint="eastAsia"/>
                <w:color w:val="auto"/>
                <w:lang w:val="en-US" w:eastAsia="zh-CN"/>
              </w:rPr>
              <w:t>1年</w:t>
            </w:r>
          </w:p>
        </w:tc>
        <w:tc>
          <w:tcPr>
            <w:tcW w:w="1263" w:type="dxa"/>
            <w:shd w:val="clear" w:color="auto" w:fill="FFFFFF"/>
            <w:noWrap w:val="0"/>
            <w:tcMar>
              <w:left w:w="108" w:type="dxa"/>
              <w:right w:w="108"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Fonts w:hint="default" w:ascii="宋体" w:hAnsi="宋体" w:eastAsia="宋体"/>
                <w:color w:val="auto"/>
                <w:highlight w:val="cyan"/>
                <w:lang w:val="en-US" w:eastAsia="zh-CN"/>
              </w:rPr>
            </w:pPr>
            <w:r>
              <w:rPr>
                <w:rFonts w:hint="eastAsia" w:cs="宋体"/>
                <w:color w:val="auto"/>
                <w:sz w:val="24"/>
                <w:szCs w:val="24"/>
                <w:highlight w:val="none"/>
                <w:lang w:val="en-US" w:eastAsia="zh-CN"/>
              </w:rPr>
              <w:t>73</w:t>
            </w:r>
          </w:p>
        </w:tc>
        <w:tc>
          <w:tcPr>
            <w:tcW w:w="4204" w:type="dxa"/>
            <w:shd w:val="clear" w:color="auto" w:fill="FFFFFF"/>
            <w:noWrap w:val="0"/>
            <w:tcMar>
              <w:left w:w="108" w:type="dxa"/>
              <w:right w:w="108" w:type="dxa"/>
            </w:tcMar>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600" w:lineRule="exact"/>
              <w:textAlignment w:val="auto"/>
              <w:rPr>
                <w:rFonts w:hint="default" w:ascii="宋体" w:hAnsi="宋体" w:eastAsia="宋体"/>
                <w:color w:val="auto"/>
                <w:highlight w:val="none"/>
                <w:lang w:val="en-US" w:eastAsia="zh-CN"/>
              </w:rPr>
            </w:pPr>
            <w:bookmarkStart w:id="134" w:name="_GoBack"/>
            <w:r>
              <w:rPr>
                <w:rFonts w:hint="eastAsia" w:ascii="宋体" w:hAnsi="宋体" w:eastAsia="宋体" w:cs="宋体"/>
                <w:color w:val="auto"/>
                <w:kern w:val="0"/>
                <w:sz w:val="24"/>
                <w:szCs w:val="24"/>
                <w:lang w:val="en-US" w:eastAsia="zh-CN" w:bidi="ar-SA"/>
              </w:rPr>
              <w:t>国家税务总局南平市税务局纳税服务中心12366热线（以下简称“12366 中心”），以12345政务服务平台为依托的分中心模式运转、以省局12366热线平台为基础支撑、省市两级运行架构的热线服务模式，统一使用国家信息产业部核批的全国税务机关客服号 12366开展语音（包括自动语音咨询和人工坐席咨询）和网络咨询。人工坐席和网络咨询提供 7*24 小时服务，主要功能为：纳税咨询、投诉举报、办税指引、意见建议等</w:t>
            </w:r>
            <w:r>
              <w:rPr>
                <w:rFonts w:hint="eastAsia" w:ascii="宋体" w:hAnsi="宋体" w:cs="宋体"/>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具体详见磋商文件第六章“项目采购需求”</w:t>
            </w:r>
            <w:r>
              <w:rPr>
                <w:rFonts w:hint="eastAsia" w:ascii="宋体" w:hAnsi="宋体" w:cs="宋体"/>
                <w:color w:val="auto"/>
                <w:kern w:val="0"/>
                <w:sz w:val="24"/>
                <w:szCs w:val="24"/>
                <w:lang w:val="en-US" w:eastAsia="zh-CN" w:bidi="ar-SA"/>
              </w:rPr>
              <w:t>。</w:t>
            </w:r>
            <w:bookmarkEnd w:id="134"/>
          </w:p>
        </w:tc>
      </w:tr>
    </w:tbl>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合同履行期限：自合同生效之日起至合同约定的合同义务履行完毕。</w:t>
      </w:r>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本项目(不接受)联合体报价。</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color w:val="auto"/>
          <w:sz w:val="24"/>
          <w:szCs w:val="24"/>
          <w:highlight w:val="none"/>
        </w:rPr>
      </w:pPr>
      <w:bookmarkStart w:id="8" w:name="_Toc25153"/>
      <w:r>
        <w:rPr>
          <w:rFonts w:hint="eastAsia" w:ascii="宋体" w:hAnsi="宋体" w:eastAsia="宋体" w:cs="宋体"/>
          <w:b/>
          <w:bCs/>
          <w:color w:val="auto"/>
          <w:sz w:val="24"/>
          <w:szCs w:val="24"/>
          <w:highlight w:val="none"/>
        </w:rPr>
        <w:t>二、</w:t>
      </w: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的资格要求：</w:t>
      </w:r>
      <w:bookmarkEnd w:id="8"/>
    </w:p>
    <w:p>
      <w:pPr>
        <w:pStyle w:val="39"/>
        <w:keepNext w:val="0"/>
        <w:keepLines w:val="0"/>
        <w:pageBreakBefore w:val="0"/>
        <w:kinsoku/>
        <w:wordWrap/>
        <w:overflowPunct/>
        <w:topLinePunct w:val="0"/>
        <w:autoSpaceDE/>
        <w:autoSpaceDN/>
        <w:bidi w:val="0"/>
        <w:adjustRightInd/>
        <w:snapToGrid/>
        <w:spacing w:afterLines="0" w:line="440" w:lineRule="exact"/>
        <w:ind w:firstLine="640"/>
        <w:textAlignment w:val="auto"/>
        <w:rPr>
          <w:rFonts w:hint="eastAsia" w:ascii="宋体" w:hAnsi="宋体" w:eastAsia="宋体" w:cs="宋体"/>
          <w:color w:val="auto"/>
          <w:kern w:val="2"/>
          <w:sz w:val="24"/>
          <w:szCs w:val="24"/>
          <w:highlight w:val="none"/>
          <w:lang w:val="zh-CN" w:eastAsia="zh-CN" w:bidi="ar-SA"/>
        </w:rPr>
      </w:pPr>
      <w:bookmarkStart w:id="9" w:name="_Toc21862"/>
      <w:r>
        <w:rPr>
          <w:rFonts w:hint="eastAsia" w:ascii="宋体" w:hAnsi="宋体" w:eastAsia="宋体" w:cs="宋体"/>
          <w:color w:val="auto"/>
          <w:kern w:val="2"/>
          <w:sz w:val="24"/>
          <w:szCs w:val="24"/>
          <w:highlight w:val="none"/>
          <w:lang w:val="zh-CN" w:eastAsia="zh-CN" w:bidi="ar-SA"/>
        </w:rPr>
        <w:t>1.符合国家</w:t>
      </w:r>
      <w:r>
        <w:rPr>
          <w:rFonts w:hint="eastAsia" w:ascii="宋体" w:hAnsi="宋体" w:eastAsia="宋体" w:cs="宋体"/>
          <w:color w:val="auto"/>
          <w:kern w:val="2"/>
          <w:sz w:val="24"/>
          <w:szCs w:val="24"/>
          <w:highlight w:val="none"/>
          <w:lang w:val="en-US" w:eastAsia="zh-CN" w:bidi="ar-SA"/>
        </w:rPr>
        <w:t>有关</w:t>
      </w:r>
      <w:r>
        <w:rPr>
          <w:rFonts w:hint="eastAsia" w:ascii="宋体" w:hAnsi="宋体" w:eastAsia="宋体" w:cs="宋体"/>
          <w:color w:val="auto"/>
          <w:kern w:val="2"/>
          <w:sz w:val="24"/>
          <w:szCs w:val="24"/>
          <w:highlight w:val="none"/>
          <w:lang w:val="zh-CN" w:eastAsia="zh-CN" w:bidi="ar-SA"/>
        </w:rPr>
        <w:t>法律规定，在中国境内（指关境内）注册，同时满足本项目资质要求。</w:t>
      </w:r>
    </w:p>
    <w:p>
      <w:pPr>
        <w:pStyle w:val="39"/>
        <w:keepNext w:val="0"/>
        <w:keepLines w:val="0"/>
        <w:pageBreakBefore w:val="0"/>
        <w:kinsoku/>
        <w:wordWrap/>
        <w:overflowPunct/>
        <w:topLinePunct w:val="0"/>
        <w:autoSpaceDE/>
        <w:autoSpaceDN/>
        <w:bidi w:val="0"/>
        <w:adjustRightInd/>
        <w:snapToGrid/>
        <w:spacing w:afterLines="0" w:line="440" w:lineRule="exact"/>
        <w:ind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2.供应商须符合《中华人民共和国政府采购法》第二十二条规定的条件，并提供下列证明材料：</w:t>
      </w:r>
    </w:p>
    <w:p>
      <w:pPr>
        <w:pStyle w:val="39"/>
        <w:keepNext w:val="0"/>
        <w:keepLines w:val="0"/>
        <w:pageBreakBefore w:val="0"/>
        <w:kinsoku/>
        <w:wordWrap/>
        <w:overflowPunct/>
        <w:topLinePunct w:val="0"/>
        <w:autoSpaceDE/>
        <w:autoSpaceDN/>
        <w:bidi w:val="0"/>
        <w:adjustRightInd/>
        <w:snapToGrid/>
        <w:spacing w:afterLines="0" w:line="440" w:lineRule="exact"/>
        <w:ind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(1)法人或者其他组织的营业执照等证明文件；</w:t>
      </w:r>
    </w:p>
    <w:p>
      <w:pPr>
        <w:pStyle w:val="39"/>
        <w:keepNext w:val="0"/>
        <w:keepLines w:val="0"/>
        <w:pageBreakBefore w:val="0"/>
        <w:kinsoku/>
        <w:wordWrap/>
        <w:overflowPunct/>
        <w:topLinePunct w:val="0"/>
        <w:autoSpaceDE/>
        <w:autoSpaceDN/>
        <w:bidi w:val="0"/>
        <w:adjustRightInd/>
        <w:snapToGrid/>
        <w:spacing w:afterLines="0" w:line="440" w:lineRule="exact"/>
        <w:ind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(2)供应商的财务状况报告【提供经会计师事务所审计的2023年度的财务报告（须提供加盖会计师事务所公章及注册会计师签章的扫描件或复印件）；没有经审计的财务报告的，可以提供银行出具的资信证明】；</w:t>
      </w:r>
    </w:p>
    <w:p>
      <w:pPr>
        <w:pStyle w:val="39"/>
        <w:keepNext w:val="0"/>
        <w:keepLines w:val="0"/>
        <w:pageBreakBefore w:val="0"/>
        <w:kinsoku/>
        <w:wordWrap/>
        <w:overflowPunct/>
        <w:topLinePunct w:val="0"/>
        <w:autoSpaceDE/>
        <w:autoSpaceDN/>
        <w:bidi w:val="0"/>
        <w:adjustRightInd/>
        <w:snapToGrid/>
        <w:spacing w:afterLines="0" w:line="440" w:lineRule="exact"/>
        <w:ind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(3)供应商依法缴纳税收：2024年9月以来不少于1个月依法缴纳税收（不包括个人所得税）的相关材料；若为提交响应文件截止时间的当月成立的供应商，视同满足本项资格条件要求；</w:t>
      </w:r>
    </w:p>
    <w:p>
      <w:pPr>
        <w:pStyle w:val="39"/>
        <w:keepNext w:val="0"/>
        <w:keepLines w:val="0"/>
        <w:pageBreakBefore w:val="0"/>
        <w:kinsoku/>
        <w:wordWrap/>
        <w:overflowPunct/>
        <w:topLinePunct w:val="0"/>
        <w:autoSpaceDE/>
        <w:autoSpaceDN/>
        <w:bidi w:val="0"/>
        <w:adjustRightInd/>
        <w:snapToGrid/>
        <w:spacing w:afterLines="0" w:line="440" w:lineRule="exact"/>
        <w:ind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(4)供应商依法缴纳社会保障资金：2024年9月以来不少于1个月的依法缴纳社会保障资金的相关材料；若为提交响应文件截止时间的当月成立的供应商，视同满足本项资格条件要求；</w:t>
      </w:r>
    </w:p>
    <w:p>
      <w:pPr>
        <w:pStyle w:val="39"/>
        <w:keepNext w:val="0"/>
        <w:keepLines w:val="0"/>
        <w:pageBreakBefore w:val="0"/>
        <w:kinsoku/>
        <w:wordWrap/>
        <w:overflowPunct/>
        <w:topLinePunct w:val="0"/>
        <w:autoSpaceDE/>
        <w:autoSpaceDN/>
        <w:bidi w:val="0"/>
        <w:adjustRightInd/>
        <w:snapToGrid/>
        <w:spacing w:afterLines="0" w:line="440" w:lineRule="exact"/>
        <w:ind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(5)具备履行合同所必需的设备和专业技术能力的声明函：</w:t>
      </w:r>
    </w:p>
    <w:p>
      <w:pPr>
        <w:pStyle w:val="39"/>
        <w:keepNext w:val="0"/>
        <w:keepLines w:val="0"/>
        <w:pageBreakBefore w:val="0"/>
        <w:kinsoku/>
        <w:wordWrap/>
        <w:overflowPunct/>
        <w:topLinePunct w:val="0"/>
        <w:autoSpaceDE/>
        <w:autoSpaceDN/>
        <w:bidi w:val="0"/>
        <w:adjustRightInd/>
        <w:snapToGrid/>
        <w:spacing w:afterLines="0" w:line="440" w:lineRule="exact"/>
        <w:ind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(6)如由授权代表前来磋商，须提供授权委托书原件，否则无需提供；</w:t>
      </w:r>
    </w:p>
    <w:p>
      <w:pPr>
        <w:pStyle w:val="39"/>
        <w:keepNext w:val="0"/>
        <w:keepLines w:val="0"/>
        <w:pageBreakBefore w:val="0"/>
        <w:kinsoku/>
        <w:wordWrap/>
        <w:overflowPunct/>
        <w:topLinePunct w:val="0"/>
        <w:autoSpaceDE/>
        <w:autoSpaceDN/>
        <w:bidi w:val="0"/>
        <w:adjustRightInd/>
        <w:snapToGrid/>
        <w:spacing w:afterLines="0" w:line="440" w:lineRule="exact"/>
        <w:ind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(7)参加政府采购活动前三年内在经营活动中没有重大违法记录的书面声明；</w:t>
      </w:r>
    </w:p>
    <w:p>
      <w:pPr>
        <w:pStyle w:val="39"/>
        <w:keepNext w:val="0"/>
        <w:keepLines w:val="0"/>
        <w:pageBreakBefore w:val="0"/>
        <w:kinsoku/>
        <w:wordWrap/>
        <w:overflowPunct/>
        <w:topLinePunct w:val="0"/>
        <w:autoSpaceDE/>
        <w:autoSpaceDN/>
        <w:bidi w:val="0"/>
        <w:adjustRightInd/>
        <w:snapToGrid/>
        <w:spacing w:afterLines="0" w:line="440" w:lineRule="exact"/>
        <w:ind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(8)参加政府采购活动前三年内无行贿犯罪记录的书面声明；</w:t>
      </w:r>
    </w:p>
    <w:p>
      <w:pPr>
        <w:pStyle w:val="39"/>
        <w:keepNext w:val="0"/>
        <w:keepLines w:val="0"/>
        <w:pageBreakBefore w:val="0"/>
        <w:kinsoku/>
        <w:wordWrap/>
        <w:overflowPunct/>
        <w:topLinePunct w:val="0"/>
        <w:autoSpaceDE/>
        <w:autoSpaceDN/>
        <w:bidi w:val="0"/>
        <w:adjustRightInd/>
        <w:snapToGrid/>
        <w:spacing w:afterLines="0" w:line="440" w:lineRule="exact"/>
        <w:ind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被列入失信被执行人、重大税收违法案件当事人名单、政府采购严重违法失信行为记录名单及其他不符合《中华人民共和国政府采购法》第二十二条规定条件的供应商，不得参加本次磋商。若磋商小组通过：①“信用中国”网站（</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"qq://txfile/"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www.creditchina.gov.cn</w:t>
      </w:r>
      <w:r>
        <w:rPr>
          <w:rFonts w:hint="eastAsia" w:ascii="宋体" w:hAnsi="宋体" w:eastAsia="宋体" w:cs="宋体"/>
          <w:color w:val="auto"/>
          <w:kern w:val="2"/>
          <w:sz w:val="24"/>
          <w:szCs w:val="24"/>
          <w:highlight w:val="none"/>
          <w:lang w:val="en-US" w:eastAsia="zh-CN" w:bidi="ar-SA"/>
        </w:rPr>
        <w:fldChar w:fldCharType="end"/>
      </w:r>
      <w:r>
        <w:rPr>
          <w:rFonts w:hint="eastAsia" w:ascii="宋体" w:hAnsi="宋体" w:eastAsia="宋体" w:cs="宋体"/>
          <w:color w:val="auto"/>
          <w:kern w:val="2"/>
          <w:sz w:val="24"/>
          <w:szCs w:val="24"/>
          <w:highlight w:val="none"/>
          <w:lang w:val="en-US" w:eastAsia="zh-CN" w:bidi="ar-SA"/>
        </w:rPr>
        <w:t>）和②中国政府采购网（</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"qq://txfile/"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www.ccgp.gov.cn</w:t>
      </w:r>
      <w:r>
        <w:rPr>
          <w:rFonts w:hint="eastAsia" w:ascii="宋体" w:hAnsi="宋体" w:eastAsia="宋体" w:cs="宋体"/>
          <w:color w:val="auto"/>
          <w:kern w:val="2"/>
          <w:sz w:val="24"/>
          <w:szCs w:val="24"/>
          <w:highlight w:val="none"/>
          <w:lang w:val="en-US" w:eastAsia="zh-CN" w:bidi="ar-SA"/>
        </w:rPr>
        <w:fldChar w:fldCharType="end"/>
      </w:r>
      <w:r>
        <w:rPr>
          <w:rFonts w:hint="eastAsia" w:ascii="宋体" w:hAnsi="宋体" w:eastAsia="宋体" w:cs="宋体"/>
          <w:color w:val="auto"/>
          <w:kern w:val="2"/>
          <w:sz w:val="24"/>
          <w:szCs w:val="24"/>
          <w:highlight w:val="none"/>
          <w:lang w:val="en-US" w:eastAsia="zh-CN" w:bidi="ar-SA"/>
        </w:rPr>
        <w:t>）查询其上述信用记录的信用信息查询结果存在供应商拒绝参与政府采购活动相关信息的，其资格审查不合格。</w:t>
      </w:r>
    </w:p>
    <w:p>
      <w:pPr>
        <w:pStyle w:val="39"/>
        <w:keepNext w:val="0"/>
        <w:keepLines w:val="0"/>
        <w:pageBreakBefore w:val="0"/>
        <w:kinsoku/>
        <w:wordWrap/>
        <w:overflowPunct/>
        <w:topLinePunct w:val="0"/>
        <w:autoSpaceDE/>
        <w:autoSpaceDN/>
        <w:bidi w:val="0"/>
        <w:adjustRightInd/>
        <w:snapToGrid/>
        <w:spacing w:afterLines="0" w:line="440" w:lineRule="exact"/>
        <w:ind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①以上资格条件，各供应商须提供有效证明文件复印件，原件备查。②若为依法免税或不需要缴纳社会保障资金的供应商，应提供相应文件证明其依法免税或不需要缴纳社会保障资金。③针对资格（1）条款：供应商为企业、个体工商户的，可提供有效的营业执照复印件；供应商为事业单位的，可提供有效的事业单位法人证书复印件；供应商为社会团体的，可提供有效的社会团体法人登记证书复印件；供应商为非企业专业服务机构的，可提供有效的执业许可证等证明材料复印件；供应商为自然人的，可提供有效的自然人身份证件复印件；其他供应商应按照有关法律、法规和规章规定，提供有效的相应具体证照复印件。</w:t>
      </w:r>
    </w:p>
    <w:p>
      <w:pPr>
        <w:pStyle w:val="39"/>
        <w:keepNext w:val="0"/>
        <w:keepLines w:val="0"/>
        <w:pageBreakBefore w:val="0"/>
        <w:kinsoku/>
        <w:wordWrap/>
        <w:overflowPunct/>
        <w:topLinePunct w:val="0"/>
        <w:autoSpaceDE/>
        <w:autoSpaceDN/>
        <w:bidi w:val="0"/>
        <w:adjustRightInd/>
        <w:snapToGrid/>
        <w:spacing w:afterLines="0" w:line="440" w:lineRule="exact"/>
        <w:ind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3.落实政府采购政策需满足的资格要求：本项目不专门面向中小企业采购。</w:t>
      </w:r>
    </w:p>
    <w:p>
      <w:pPr>
        <w:pStyle w:val="39"/>
        <w:keepNext w:val="0"/>
        <w:keepLines w:val="0"/>
        <w:pageBreakBefore w:val="0"/>
        <w:kinsoku/>
        <w:wordWrap/>
        <w:overflowPunct/>
        <w:topLinePunct w:val="0"/>
        <w:autoSpaceDE/>
        <w:autoSpaceDN/>
        <w:bidi w:val="0"/>
        <w:adjustRightInd/>
        <w:snapToGrid/>
        <w:spacing w:afterLines="0" w:line="440" w:lineRule="exact"/>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4.本项目的特定资格要求：无。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5.本项目不接受联合体</w:t>
      </w:r>
      <w:r>
        <w:rPr>
          <w:rFonts w:hint="eastAsia" w:ascii="宋体" w:hAnsi="宋体" w:cs="宋体"/>
          <w:color w:val="auto"/>
          <w:kern w:val="2"/>
          <w:sz w:val="24"/>
          <w:szCs w:val="24"/>
          <w:highlight w:val="none"/>
          <w:lang w:val="en-US" w:eastAsia="zh-CN" w:bidi="ar-SA"/>
        </w:rPr>
        <w:t>报价</w:t>
      </w:r>
      <w:r>
        <w:rPr>
          <w:rFonts w:hint="eastAsia" w:ascii="宋体" w:hAnsi="宋体" w:eastAsia="宋体" w:cs="宋体"/>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三、获取采购文件</w:t>
      </w:r>
      <w:bookmarkEnd w:id="9"/>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时间：</w:t>
      </w:r>
      <w:r>
        <w:rPr>
          <w:rFonts w:hint="eastAsia" w:ascii="宋体" w:hAnsi="宋体" w:cs="宋体"/>
          <w:color w:val="auto"/>
          <w:sz w:val="24"/>
          <w:szCs w:val="24"/>
          <w:highlight w:val="none"/>
          <w:u w:val="none"/>
          <w:lang w:val="en-US" w:eastAsia="zh-CN"/>
        </w:rPr>
        <w:t>2025</w:t>
      </w:r>
      <w:r>
        <w:rPr>
          <w:rFonts w:hint="eastAsia" w:ascii="宋体" w:hAnsi="宋体" w:eastAsia="宋体" w:cs="宋体"/>
          <w:color w:val="auto"/>
          <w:sz w:val="24"/>
          <w:szCs w:val="24"/>
          <w:highlight w:val="none"/>
          <w:u w:val="none"/>
        </w:rPr>
        <w:t>年</w:t>
      </w:r>
      <w:r>
        <w:rPr>
          <w:rFonts w:hint="eastAsia" w:ascii="宋体" w:hAnsi="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月</w:t>
      </w:r>
      <w:r>
        <w:rPr>
          <w:rFonts w:hint="eastAsia" w:ascii="宋体" w:hAnsi="宋体" w:cs="宋体"/>
          <w:color w:val="auto"/>
          <w:sz w:val="24"/>
          <w:szCs w:val="24"/>
          <w:highlight w:val="none"/>
          <w:u w:val="none"/>
          <w:lang w:val="en-US" w:eastAsia="zh-CN"/>
        </w:rPr>
        <w:t>20</w:t>
      </w:r>
      <w:r>
        <w:rPr>
          <w:rFonts w:hint="eastAsia" w:ascii="宋体" w:hAnsi="宋体" w:eastAsia="宋体" w:cs="宋体"/>
          <w:color w:val="auto"/>
          <w:sz w:val="24"/>
          <w:szCs w:val="24"/>
          <w:highlight w:val="none"/>
          <w:u w:val="none"/>
        </w:rPr>
        <w:t>日至</w:t>
      </w:r>
      <w:r>
        <w:rPr>
          <w:rFonts w:hint="eastAsia" w:ascii="宋体" w:hAnsi="宋体" w:cs="宋体"/>
          <w:color w:val="auto"/>
          <w:sz w:val="24"/>
          <w:szCs w:val="24"/>
          <w:highlight w:val="none"/>
          <w:u w:val="none"/>
          <w:lang w:val="en-US" w:eastAsia="zh-CN"/>
        </w:rPr>
        <w:t>2025</w:t>
      </w:r>
      <w:r>
        <w:rPr>
          <w:rFonts w:hint="eastAsia" w:ascii="宋体" w:hAnsi="宋体" w:eastAsia="宋体" w:cs="宋体"/>
          <w:color w:val="auto"/>
          <w:sz w:val="24"/>
          <w:szCs w:val="24"/>
          <w:highlight w:val="none"/>
          <w:u w:val="none"/>
        </w:rPr>
        <w:t>年</w:t>
      </w:r>
      <w:r>
        <w:rPr>
          <w:rFonts w:hint="eastAsia" w:ascii="宋体" w:hAnsi="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月</w:t>
      </w:r>
      <w:r>
        <w:rPr>
          <w:rFonts w:hint="eastAsia" w:ascii="宋体" w:hAnsi="宋体" w:cs="宋体"/>
          <w:color w:val="auto"/>
          <w:sz w:val="24"/>
          <w:szCs w:val="24"/>
          <w:highlight w:val="none"/>
          <w:u w:val="none"/>
          <w:lang w:val="en-US" w:eastAsia="zh-CN"/>
        </w:rPr>
        <w:t>27</w:t>
      </w:r>
      <w:r>
        <w:rPr>
          <w:rFonts w:hint="eastAsia" w:ascii="宋体" w:hAnsi="宋体" w:eastAsia="宋体" w:cs="宋体"/>
          <w:color w:val="auto"/>
          <w:sz w:val="24"/>
          <w:szCs w:val="24"/>
          <w:highlight w:val="none"/>
          <w:u w:val="none"/>
        </w:rPr>
        <w:t>日</w:t>
      </w:r>
      <w:r>
        <w:rPr>
          <w:rFonts w:hint="eastAsia" w:ascii="宋体" w:hAnsi="宋体" w:eastAsia="宋体" w:cs="宋体"/>
          <w:iCs/>
          <w:color w:val="auto"/>
          <w:sz w:val="24"/>
          <w:szCs w:val="24"/>
          <w:highlight w:val="none"/>
          <w:u w:val="none"/>
        </w:rPr>
        <w:t>（</w:t>
      </w:r>
      <w:r>
        <w:rPr>
          <w:rFonts w:hint="eastAsia" w:ascii="宋体" w:hAnsi="宋体" w:eastAsia="宋体" w:cs="宋体"/>
          <w:color w:val="auto"/>
          <w:sz w:val="24"/>
          <w:szCs w:val="24"/>
          <w:highlight w:val="none"/>
          <w:u w:val="none"/>
        </w:rPr>
        <w:t>磋商文件的发售期限自开始之日起不得少于5个工作日），每天上午</w:t>
      </w:r>
      <w:r>
        <w:rPr>
          <w:rFonts w:hint="eastAsia" w:ascii="宋体" w:hAnsi="宋体" w:cs="宋体"/>
          <w:color w:val="auto"/>
          <w:sz w:val="24"/>
          <w:szCs w:val="24"/>
          <w:highlight w:val="none"/>
          <w:u w:val="none"/>
          <w:lang w:val="en-US" w:eastAsia="zh-CN"/>
        </w:rPr>
        <w:t>08：00</w:t>
      </w:r>
      <w:r>
        <w:rPr>
          <w:rFonts w:hint="eastAsia" w:ascii="宋体" w:hAnsi="宋体" w:eastAsia="宋体" w:cs="宋体"/>
          <w:color w:val="auto"/>
          <w:sz w:val="24"/>
          <w:szCs w:val="24"/>
          <w:highlight w:val="none"/>
          <w:u w:val="none"/>
        </w:rPr>
        <w:t>至</w:t>
      </w:r>
      <w:r>
        <w:rPr>
          <w:rFonts w:hint="eastAsia" w:ascii="宋体" w:hAnsi="宋体" w:cs="宋体"/>
          <w:color w:val="auto"/>
          <w:sz w:val="24"/>
          <w:szCs w:val="24"/>
          <w:highlight w:val="none"/>
          <w:u w:val="none"/>
          <w:lang w:val="en-US" w:eastAsia="zh-CN"/>
        </w:rPr>
        <w:t>12：00</w:t>
      </w:r>
      <w:r>
        <w:rPr>
          <w:rFonts w:hint="eastAsia" w:ascii="宋体" w:hAnsi="宋体" w:eastAsia="宋体" w:cs="宋体"/>
          <w:color w:val="auto"/>
          <w:sz w:val="24"/>
          <w:szCs w:val="24"/>
          <w:highlight w:val="none"/>
          <w:u w:val="none"/>
        </w:rPr>
        <w:t>，下午</w:t>
      </w:r>
      <w:r>
        <w:rPr>
          <w:rFonts w:hint="eastAsia" w:ascii="宋体" w:hAnsi="宋体" w:cs="宋体"/>
          <w:color w:val="auto"/>
          <w:sz w:val="24"/>
          <w:szCs w:val="24"/>
          <w:highlight w:val="none"/>
          <w:u w:val="none"/>
          <w:lang w:val="en-US" w:eastAsia="zh-CN"/>
        </w:rPr>
        <w:t>14：30</w:t>
      </w:r>
      <w:r>
        <w:rPr>
          <w:rFonts w:hint="eastAsia" w:ascii="宋体" w:hAnsi="宋体" w:eastAsia="宋体" w:cs="宋体"/>
          <w:color w:val="auto"/>
          <w:sz w:val="24"/>
          <w:szCs w:val="24"/>
          <w:highlight w:val="none"/>
          <w:u w:val="none"/>
        </w:rPr>
        <w:t>至</w:t>
      </w:r>
      <w:r>
        <w:rPr>
          <w:rFonts w:hint="eastAsia" w:ascii="宋体" w:hAnsi="宋体" w:cs="宋体"/>
          <w:color w:val="auto"/>
          <w:sz w:val="24"/>
          <w:szCs w:val="24"/>
          <w:highlight w:val="none"/>
          <w:u w:val="none"/>
          <w:lang w:val="en-US" w:eastAsia="zh-CN"/>
        </w:rPr>
        <w:t>17：30</w:t>
      </w:r>
      <w:r>
        <w:rPr>
          <w:rFonts w:hint="eastAsia" w:ascii="宋体" w:hAnsi="宋体" w:eastAsia="宋体" w:cs="宋体"/>
          <w:color w:val="auto"/>
          <w:sz w:val="24"/>
          <w:szCs w:val="24"/>
          <w:highlight w:val="none"/>
          <w:u w:val="none"/>
        </w:rPr>
        <w:t>（北京时间，法定节假日除外）</w:t>
      </w:r>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地点：福建省福州市鼓楼区五四路159号世界金龙大厦</w:t>
      </w:r>
      <w:r>
        <w:rPr>
          <w:rFonts w:hint="eastAsia" w:ascii="宋体" w:hAnsi="宋体" w:cs="宋体"/>
          <w:color w:val="auto"/>
          <w:sz w:val="24"/>
          <w:szCs w:val="24"/>
          <w:highlight w:val="none"/>
          <w:lang w:val="en-US" w:eastAsia="zh-CN"/>
        </w:rPr>
        <w:t>第</w:t>
      </w:r>
      <w:r>
        <w:rPr>
          <w:rFonts w:hint="eastAsia" w:ascii="宋体" w:hAnsi="宋体" w:eastAsia="宋体" w:cs="宋体"/>
          <w:color w:val="auto"/>
          <w:sz w:val="24"/>
          <w:szCs w:val="24"/>
          <w:highlight w:val="none"/>
        </w:rPr>
        <w:t>14层A</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C1</w:t>
      </w:r>
      <w:r>
        <w:rPr>
          <w:rFonts w:hint="eastAsia" w:ascii="宋体" w:hAnsi="宋体" w:eastAsia="宋体" w:cs="宋体"/>
          <w:color w:val="auto"/>
          <w:sz w:val="24"/>
          <w:szCs w:val="24"/>
          <w:highlight w:val="none"/>
        </w:rPr>
        <w:t>单元</w:t>
      </w:r>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方式：直接至我司办理的，须至我司填写《获取招标（采购）文件登记表》；通过邮件方式获取磋商文件者须按照本公司《获取招标（采购）文件登记表》格式（下载网址：http://www.fjzxzb.com/newshow.aspx?NewsID=7）填写清楚并加盖公章发送至本公司邮箱（zhixin04@126.com)，我公司将磋商文件发送至贵公司邮箱。未办理报名手续的不予以书面变更通知并不受理其参加本项目的磋商活动。</w:t>
      </w:r>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售价：￥0.0 元（人民币）</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color w:val="auto"/>
          <w:sz w:val="24"/>
          <w:szCs w:val="24"/>
          <w:highlight w:val="none"/>
        </w:rPr>
      </w:pPr>
      <w:bookmarkStart w:id="10" w:name="_Toc24999"/>
      <w:r>
        <w:rPr>
          <w:rFonts w:hint="eastAsia" w:ascii="宋体" w:hAnsi="宋体" w:eastAsia="宋体" w:cs="宋体"/>
          <w:b/>
          <w:bCs/>
          <w:color w:val="auto"/>
          <w:sz w:val="24"/>
          <w:szCs w:val="24"/>
          <w:highlight w:val="none"/>
        </w:rPr>
        <w:t>四、响应文件提交</w:t>
      </w:r>
      <w:bookmarkEnd w:id="10"/>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截止时间：</w:t>
      </w:r>
      <w:r>
        <w:rPr>
          <w:rFonts w:hint="eastAsia" w:ascii="宋体" w:hAnsi="宋体" w:cs="宋体"/>
          <w:color w:val="auto"/>
          <w:sz w:val="24"/>
          <w:szCs w:val="24"/>
          <w:highlight w:val="none"/>
          <w:u w:val="none"/>
          <w:lang w:val="en-US" w:eastAsia="zh-CN"/>
        </w:rPr>
        <w:t>2025</w:t>
      </w:r>
      <w:r>
        <w:rPr>
          <w:rFonts w:hint="eastAsia" w:ascii="宋体" w:hAnsi="宋体" w:eastAsia="宋体" w:cs="宋体"/>
          <w:bCs/>
          <w:color w:val="auto"/>
          <w:sz w:val="24"/>
          <w:szCs w:val="24"/>
          <w:highlight w:val="none"/>
          <w:u w:val="none"/>
        </w:rPr>
        <w:t>年</w:t>
      </w:r>
      <w:r>
        <w:rPr>
          <w:rFonts w:hint="eastAsia" w:ascii="宋体" w:hAnsi="宋体" w:cs="宋体"/>
          <w:bCs/>
          <w:color w:val="auto"/>
          <w:sz w:val="24"/>
          <w:szCs w:val="24"/>
          <w:highlight w:val="none"/>
          <w:u w:val="none"/>
          <w:lang w:val="en-US" w:eastAsia="zh-CN"/>
        </w:rPr>
        <w:t>2</w:t>
      </w:r>
      <w:r>
        <w:rPr>
          <w:rFonts w:hint="eastAsia" w:ascii="宋体" w:hAnsi="宋体" w:eastAsia="宋体" w:cs="宋体"/>
          <w:bCs/>
          <w:color w:val="auto"/>
          <w:sz w:val="24"/>
          <w:szCs w:val="24"/>
          <w:highlight w:val="none"/>
          <w:u w:val="none"/>
        </w:rPr>
        <w:t>月</w:t>
      </w:r>
      <w:r>
        <w:rPr>
          <w:rFonts w:hint="eastAsia" w:ascii="宋体" w:hAnsi="宋体" w:cs="宋体"/>
          <w:bCs/>
          <w:color w:val="auto"/>
          <w:sz w:val="24"/>
          <w:szCs w:val="24"/>
          <w:highlight w:val="none"/>
          <w:u w:val="none"/>
          <w:lang w:val="en-US" w:eastAsia="zh-CN"/>
        </w:rPr>
        <w:t>17</w:t>
      </w:r>
      <w:r>
        <w:rPr>
          <w:rFonts w:hint="eastAsia" w:ascii="宋体" w:hAnsi="宋体" w:eastAsia="宋体" w:cs="宋体"/>
          <w:bCs/>
          <w:color w:val="auto"/>
          <w:sz w:val="24"/>
          <w:szCs w:val="24"/>
          <w:highlight w:val="none"/>
          <w:u w:val="none"/>
        </w:rPr>
        <w:t>日</w:t>
      </w:r>
      <w:r>
        <w:rPr>
          <w:rFonts w:hint="eastAsia" w:ascii="宋体" w:hAnsi="宋体" w:cs="宋体"/>
          <w:bCs/>
          <w:color w:val="auto"/>
          <w:sz w:val="24"/>
          <w:szCs w:val="24"/>
          <w:highlight w:val="none"/>
          <w:u w:val="none"/>
          <w:lang w:val="en-US" w:eastAsia="zh-CN"/>
        </w:rPr>
        <w:t xml:space="preserve">09 </w:t>
      </w:r>
      <w:r>
        <w:rPr>
          <w:rFonts w:hint="eastAsia" w:ascii="宋体" w:hAnsi="宋体" w:eastAsia="宋体" w:cs="宋体"/>
          <w:bCs/>
          <w:color w:val="auto"/>
          <w:sz w:val="24"/>
          <w:szCs w:val="24"/>
          <w:highlight w:val="none"/>
          <w:u w:val="none"/>
        </w:rPr>
        <w:t>点</w:t>
      </w:r>
      <w:r>
        <w:rPr>
          <w:rFonts w:hint="eastAsia" w:ascii="宋体" w:hAnsi="宋体" w:cs="宋体"/>
          <w:bCs/>
          <w:color w:val="auto"/>
          <w:sz w:val="24"/>
          <w:szCs w:val="24"/>
          <w:highlight w:val="none"/>
          <w:u w:val="none"/>
          <w:lang w:val="en-US" w:eastAsia="zh-CN"/>
        </w:rPr>
        <w:t>00</w:t>
      </w:r>
      <w:r>
        <w:rPr>
          <w:rFonts w:hint="eastAsia" w:ascii="宋体" w:hAnsi="宋体" w:eastAsia="宋体" w:cs="宋体"/>
          <w:bCs/>
          <w:color w:val="auto"/>
          <w:sz w:val="24"/>
          <w:szCs w:val="24"/>
          <w:highlight w:val="none"/>
          <w:u w:val="none"/>
        </w:rPr>
        <w:t>分</w:t>
      </w:r>
      <w:r>
        <w:rPr>
          <w:rFonts w:hint="eastAsia" w:ascii="宋体" w:hAnsi="宋体" w:eastAsia="宋体" w:cs="宋体"/>
          <w:bCs/>
          <w:color w:val="auto"/>
          <w:sz w:val="24"/>
          <w:szCs w:val="24"/>
          <w:highlight w:val="none"/>
        </w:rPr>
        <w:t>（北京时间）</w:t>
      </w:r>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en-US" w:eastAsia="zh-CN"/>
        </w:rPr>
        <w:t>南平市建阳区潭城街道黄花山路29-30号(军分区门口)二层开标厅</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color w:val="auto"/>
          <w:sz w:val="24"/>
          <w:szCs w:val="24"/>
          <w:highlight w:val="none"/>
        </w:rPr>
      </w:pPr>
      <w:bookmarkStart w:id="11" w:name="_Toc22727"/>
      <w:r>
        <w:rPr>
          <w:rFonts w:hint="eastAsia" w:ascii="宋体" w:hAnsi="宋体" w:eastAsia="宋体" w:cs="宋体"/>
          <w:b/>
          <w:bCs/>
          <w:color w:val="auto"/>
          <w:sz w:val="24"/>
          <w:szCs w:val="24"/>
          <w:highlight w:val="none"/>
        </w:rPr>
        <w:t>五、开启</w:t>
      </w:r>
      <w:bookmarkEnd w:id="11"/>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u w:val="none"/>
          <w:lang w:val="en-US" w:eastAsia="zh-CN"/>
        </w:rPr>
        <w:t>2025</w:t>
      </w:r>
      <w:r>
        <w:rPr>
          <w:rFonts w:hint="eastAsia" w:ascii="宋体" w:hAnsi="宋体" w:eastAsia="宋体" w:cs="宋体"/>
          <w:bCs/>
          <w:color w:val="auto"/>
          <w:sz w:val="24"/>
          <w:szCs w:val="24"/>
          <w:highlight w:val="none"/>
          <w:u w:val="none"/>
        </w:rPr>
        <w:t>年</w:t>
      </w:r>
      <w:r>
        <w:rPr>
          <w:rFonts w:hint="eastAsia" w:ascii="宋体" w:hAnsi="宋体" w:cs="宋体"/>
          <w:bCs/>
          <w:color w:val="auto"/>
          <w:sz w:val="24"/>
          <w:szCs w:val="24"/>
          <w:highlight w:val="none"/>
          <w:u w:val="none"/>
          <w:lang w:val="en-US" w:eastAsia="zh-CN"/>
        </w:rPr>
        <w:t>2</w:t>
      </w:r>
      <w:r>
        <w:rPr>
          <w:rFonts w:hint="eastAsia" w:ascii="宋体" w:hAnsi="宋体" w:eastAsia="宋体" w:cs="宋体"/>
          <w:bCs/>
          <w:color w:val="auto"/>
          <w:sz w:val="24"/>
          <w:szCs w:val="24"/>
          <w:highlight w:val="none"/>
          <w:u w:val="none"/>
        </w:rPr>
        <w:t>月</w:t>
      </w:r>
      <w:r>
        <w:rPr>
          <w:rFonts w:hint="eastAsia" w:ascii="宋体" w:hAnsi="宋体" w:cs="宋体"/>
          <w:bCs/>
          <w:color w:val="auto"/>
          <w:sz w:val="24"/>
          <w:szCs w:val="24"/>
          <w:highlight w:val="none"/>
          <w:u w:val="none"/>
          <w:lang w:val="en-US" w:eastAsia="zh-CN"/>
        </w:rPr>
        <w:t>17</w:t>
      </w:r>
      <w:r>
        <w:rPr>
          <w:rFonts w:hint="eastAsia" w:ascii="宋体" w:hAnsi="宋体" w:eastAsia="宋体" w:cs="宋体"/>
          <w:bCs/>
          <w:color w:val="auto"/>
          <w:sz w:val="24"/>
          <w:szCs w:val="24"/>
          <w:highlight w:val="none"/>
          <w:u w:val="none"/>
        </w:rPr>
        <w:t>日</w:t>
      </w:r>
      <w:r>
        <w:rPr>
          <w:rFonts w:hint="eastAsia" w:ascii="宋体" w:hAnsi="宋体" w:cs="宋体"/>
          <w:bCs/>
          <w:color w:val="auto"/>
          <w:sz w:val="24"/>
          <w:szCs w:val="24"/>
          <w:highlight w:val="none"/>
          <w:u w:val="none"/>
          <w:lang w:val="en-US" w:eastAsia="zh-CN"/>
        </w:rPr>
        <w:t xml:space="preserve">09 </w:t>
      </w:r>
      <w:r>
        <w:rPr>
          <w:rFonts w:hint="eastAsia" w:ascii="宋体" w:hAnsi="宋体" w:eastAsia="宋体" w:cs="宋体"/>
          <w:bCs/>
          <w:color w:val="auto"/>
          <w:sz w:val="24"/>
          <w:szCs w:val="24"/>
          <w:highlight w:val="none"/>
          <w:u w:val="none"/>
        </w:rPr>
        <w:t>点</w:t>
      </w:r>
      <w:r>
        <w:rPr>
          <w:rFonts w:hint="eastAsia" w:ascii="宋体" w:hAnsi="宋体" w:cs="宋体"/>
          <w:bCs/>
          <w:color w:val="auto"/>
          <w:sz w:val="24"/>
          <w:szCs w:val="24"/>
          <w:highlight w:val="none"/>
          <w:u w:val="none"/>
          <w:lang w:val="en-US" w:eastAsia="zh-CN"/>
        </w:rPr>
        <w:t>00</w:t>
      </w:r>
      <w:r>
        <w:rPr>
          <w:rFonts w:hint="eastAsia" w:ascii="宋体" w:hAnsi="宋体" w:eastAsia="宋体" w:cs="宋体"/>
          <w:bCs/>
          <w:color w:val="auto"/>
          <w:sz w:val="24"/>
          <w:szCs w:val="24"/>
          <w:highlight w:val="none"/>
          <w:u w:val="none"/>
        </w:rPr>
        <w:t>分</w:t>
      </w:r>
      <w:r>
        <w:rPr>
          <w:rFonts w:hint="eastAsia" w:ascii="宋体" w:hAnsi="宋体" w:eastAsia="宋体" w:cs="宋体"/>
          <w:bCs/>
          <w:color w:val="auto"/>
          <w:sz w:val="24"/>
          <w:szCs w:val="24"/>
          <w:highlight w:val="none"/>
        </w:rPr>
        <w:t>（北京时间）</w:t>
      </w:r>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en-US" w:eastAsia="zh-CN"/>
        </w:rPr>
        <w:t>南平市建阳区潭城街道黄花山路29-30号(军分区门口)二层开标厅</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color w:val="auto"/>
          <w:sz w:val="24"/>
          <w:szCs w:val="24"/>
          <w:highlight w:val="none"/>
        </w:rPr>
      </w:pPr>
      <w:bookmarkStart w:id="12" w:name="_Toc30955"/>
      <w:r>
        <w:rPr>
          <w:rFonts w:hint="eastAsia" w:ascii="宋体" w:hAnsi="宋体" w:eastAsia="宋体" w:cs="宋体"/>
          <w:b/>
          <w:bCs/>
          <w:color w:val="auto"/>
          <w:sz w:val="24"/>
          <w:szCs w:val="24"/>
          <w:highlight w:val="none"/>
        </w:rPr>
        <w:t>六、公告期限</w:t>
      </w:r>
      <w:bookmarkEnd w:id="12"/>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自本公告发布之日起3个工作日。</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color w:val="auto"/>
          <w:sz w:val="24"/>
          <w:szCs w:val="24"/>
          <w:highlight w:val="none"/>
          <w:u w:val="none"/>
          <w:lang w:val="en-US" w:eastAsia="zh-CN"/>
        </w:rPr>
      </w:pPr>
      <w:bookmarkStart w:id="13" w:name="_Toc15463"/>
      <w:r>
        <w:rPr>
          <w:rFonts w:hint="eastAsia" w:ascii="宋体" w:hAnsi="宋体" w:eastAsia="宋体" w:cs="宋体"/>
          <w:b/>
          <w:bCs/>
          <w:color w:val="auto"/>
          <w:sz w:val="24"/>
          <w:szCs w:val="24"/>
          <w:highlight w:val="none"/>
        </w:rPr>
        <w:t>七、其他补充事宜</w:t>
      </w:r>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u w:val="none"/>
          <w:lang w:val="en-US" w:eastAsia="zh-CN"/>
        </w:rPr>
        <w:t>无</w:t>
      </w:r>
      <w:bookmarkEnd w:id="13"/>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color w:val="auto"/>
          <w:sz w:val="24"/>
          <w:szCs w:val="24"/>
          <w:highlight w:val="none"/>
        </w:rPr>
      </w:pPr>
      <w:bookmarkStart w:id="14" w:name="_Toc10471"/>
      <w:r>
        <w:rPr>
          <w:rFonts w:hint="eastAsia" w:ascii="宋体" w:hAnsi="宋体" w:eastAsia="宋体" w:cs="宋体"/>
          <w:b/>
          <w:bCs/>
          <w:color w:val="auto"/>
          <w:sz w:val="24"/>
          <w:szCs w:val="24"/>
          <w:highlight w:val="none"/>
        </w:rPr>
        <w:t>八、凡对本次采购提出询问，请按以下方式联系。</w:t>
      </w:r>
      <w:bookmarkEnd w:id="14"/>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采购</w:t>
      </w:r>
      <w:r>
        <w:rPr>
          <w:rFonts w:hint="eastAsia" w:ascii="宋体" w:hAnsi="宋体" w:eastAsia="宋体" w:cs="宋体"/>
          <w:bCs/>
          <w:color w:val="auto"/>
          <w:sz w:val="24"/>
          <w:szCs w:val="24"/>
          <w:highlight w:val="none"/>
        </w:rPr>
        <w:t>人信息</w:t>
      </w:r>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名    称：</w:t>
      </w:r>
      <w:r>
        <w:rPr>
          <w:rFonts w:hint="eastAsia" w:ascii="宋体" w:hAnsi="宋体" w:cs="宋体"/>
          <w:color w:val="auto"/>
          <w:sz w:val="24"/>
          <w:szCs w:val="24"/>
          <w:highlight w:val="none"/>
          <w:u w:val="none"/>
          <w:lang w:eastAsia="zh-CN"/>
        </w:rPr>
        <w:t>国家税务总局南平市税务局</w:t>
      </w:r>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地    址：</w:t>
      </w:r>
      <w:r>
        <w:rPr>
          <w:rFonts w:hint="eastAsia" w:ascii="宋体" w:hAnsi="宋体" w:cs="宋体"/>
          <w:color w:val="auto"/>
          <w:kern w:val="0"/>
          <w:sz w:val="24"/>
          <w:highlight w:val="none"/>
        </w:rPr>
        <w:t>南平市建阳区朱熹大道379号武夷国际新城天玺32#</w:t>
      </w:r>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cs="宋体"/>
          <w:color w:val="auto"/>
          <w:sz w:val="24"/>
          <w:highlight w:val="none"/>
        </w:rPr>
      </w:pPr>
      <w:r>
        <w:rPr>
          <w:rFonts w:hint="eastAsia" w:ascii="宋体" w:hAnsi="宋体" w:eastAsia="宋体" w:cs="宋体"/>
          <w:color w:val="auto"/>
          <w:sz w:val="24"/>
          <w:szCs w:val="24"/>
          <w:highlight w:val="none"/>
          <w:u w:val="none"/>
        </w:rPr>
        <w:t>联系方式：</w:t>
      </w:r>
      <w:r>
        <w:rPr>
          <w:rFonts w:hint="eastAsia" w:ascii="宋体" w:hAnsi="宋体" w:cs="宋体"/>
          <w:color w:val="auto"/>
          <w:sz w:val="24"/>
          <w:highlight w:val="none"/>
          <w:lang w:val="en-US" w:eastAsia="zh-CN"/>
        </w:rPr>
        <w:t>柯女士</w:t>
      </w:r>
      <w:r>
        <w:rPr>
          <w:rFonts w:hint="eastAsia" w:ascii="宋体" w:hAnsi="宋体" w:cs="宋体"/>
          <w:color w:val="auto"/>
          <w:sz w:val="24"/>
          <w:highlight w:val="none"/>
        </w:rPr>
        <w:t>/</w:t>
      </w:r>
      <w:r>
        <w:rPr>
          <w:rFonts w:hint="eastAsia" w:ascii="宋体" w:hAnsi="宋体" w:cs="宋体"/>
          <w:color w:val="auto"/>
          <w:kern w:val="0"/>
          <w:sz w:val="24"/>
          <w:highlight w:val="none"/>
        </w:rPr>
        <w:t>0599-8871233</w:t>
      </w:r>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rPr>
        <w:t>2.采购代理机构信息</w:t>
      </w:r>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名    称：福建省智信招标有限公司</w:t>
      </w:r>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地　　址：福建省福州市鼓楼区五四路159号世界金龙大厦第14层A、C1单元</w:t>
      </w:r>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联系方式：</w:t>
      </w:r>
      <w:r>
        <w:rPr>
          <w:rFonts w:hint="eastAsia" w:ascii="宋体" w:hAnsi="宋体" w:cs="宋体"/>
          <w:color w:val="auto"/>
          <w:sz w:val="24"/>
          <w:szCs w:val="24"/>
          <w:highlight w:val="none"/>
          <w:u w:val="none"/>
          <w:lang w:val="en-US" w:eastAsia="zh-CN"/>
        </w:rPr>
        <w:t>王凯霞、张博艺、王小敏/</w:t>
      </w:r>
      <w:r>
        <w:rPr>
          <w:rFonts w:hint="eastAsia" w:ascii="宋体" w:hAnsi="宋体" w:eastAsia="宋体" w:cs="宋体"/>
          <w:color w:val="auto"/>
          <w:sz w:val="24"/>
          <w:szCs w:val="24"/>
          <w:highlight w:val="none"/>
          <w:u w:val="none"/>
        </w:rPr>
        <w:t>0591-88318332、87530730、87616211转80</w:t>
      </w:r>
      <w:r>
        <w:rPr>
          <w:rFonts w:hint="eastAsia" w:ascii="宋体" w:hAnsi="宋体" w:cs="宋体"/>
          <w:color w:val="auto"/>
          <w:sz w:val="24"/>
          <w:szCs w:val="24"/>
          <w:highlight w:val="none"/>
          <w:u w:val="none"/>
          <w:lang w:val="en-US" w:eastAsia="zh-CN"/>
        </w:rPr>
        <w:t>3</w:t>
      </w:r>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rPr>
        <w:t>3.项目联系方式</w:t>
      </w:r>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项目联系人：</w:t>
      </w:r>
      <w:r>
        <w:rPr>
          <w:rFonts w:hint="eastAsia" w:ascii="宋体" w:hAnsi="宋体" w:cs="宋体"/>
          <w:color w:val="auto"/>
          <w:sz w:val="24"/>
          <w:szCs w:val="24"/>
          <w:highlight w:val="none"/>
          <w:u w:val="none"/>
          <w:lang w:eastAsia="zh-CN"/>
        </w:rPr>
        <w:t>王凯霞、张博艺、王小敏</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电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　 话：0591-88318332、87530730、87616211转80</w:t>
      </w:r>
      <w:r>
        <w:rPr>
          <w:rFonts w:hint="eastAsia" w:ascii="宋体" w:hAnsi="宋体" w:cs="宋体"/>
          <w:color w:val="auto"/>
          <w:sz w:val="24"/>
          <w:szCs w:val="24"/>
          <w:highlight w:val="none"/>
          <w:u w:val="none"/>
          <w:lang w:val="en-US" w:eastAsia="zh-CN"/>
        </w:rPr>
        <w:t>3</w:t>
      </w:r>
    </w:p>
    <w:p>
      <w:pPr>
        <w:rPr>
          <w:rFonts w:hint="eastAsia" w:ascii="宋体" w:hAnsi="宋体" w:eastAsia="宋体" w:cs="宋体"/>
          <w:color w:val="auto"/>
          <w:sz w:val="24"/>
          <w:szCs w:val="24"/>
          <w:highlight w:val="none"/>
        </w:rPr>
        <w:sectPr>
          <w:pgSz w:w="11906" w:h="16838"/>
          <w:pgMar w:top="1440" w:right="1587" w:bottom="1440" w:left="1587" w:header="851" w:footer="992" w:gutter="0"/>
          <w:pgNumType w:fmt="decimal"/>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28"/>
          <w:szCs w:val="28"/>
          <w:highlight w:val="none"/>
        </w:rPr>
      </w:pPr>
      <w:bookmarkStart w:id="15" w:name="_Toc132880656"/>
      <w:bookmarkStart w:id="16" w:name="_Toc5752"/>
      <w:r>
        <w:rPr>
          <w:rFonts w:hint="eastAsia" w:ascii="宋体" w:hAnsi="宋体" w:eastAsia="宋体" w:cs="宋体"/>
          <w:b/>
          <w:bCs/>
          <w:color w:val="auto"/>
          <w:sz w:val="28"/>
          <w:szCs w:val="28"/>
          <w:highlight w:val="none"/>
        </w:rPr>
        <w:t>第二章　供应商须知</w:t>
      </w:r>
      <w:bookmarkEnd w:id="15"/>
      <w:bookmarkEnd w:id="16"/>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highlight w:val="none"/>
        </w:rPr>
      </w:pPr>
      <w:bookmarkStart w:id="17" w:name="_Toc132880657"/>
      <w:r>
        <w:rPr>
          <w:rFonts w:hint="eastAsia" w:ascii="宋体" w:hAnsi="宋体" w:eastAsia="宋体" w:cs="宋体"/>
          <w:b/>
          <w:bCs/>
          <w:color w:val="auto"/>
          <w:sz w:val="28"/>
          <w:szCs w:val="28"/>
          <w:highlight w:val="none"/>
        </w:rPr>
        <w:t>供应商须知前附表</w:t>
      </w:r>
      <w:bookmarkEnd w:id="17"/>
    </w:p>
    <w:tbl>
      <w:tblPr>
        <w:tblStyle w:val="28"/>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64"/>
        <w:gridCol w:w="990"/>
        <w:gridCol w:w="5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 号</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类  别</w:t>
            </w:r>
          </w:p>
        </w:tc>
        <w:tc>
          <w:tcPr>
            <w:tcW w:w="61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6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项目名称、编号、预算及最高限价</w:t>
            </w:r>
          </w:p>
        </w:tc>
        <w:tc>
          <w:tcPr>
            <w:tcW w:w="61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adjustRightInd w:val="0"/>
              <w:snapToGrid w:val="0"/>
              <w:spacing w:line="390" w:lineRule="exact"/>
              <w:jc w:val="left"/>
              <w:textAlignment w:val="auto"/>
              <w:rPr>
                <w:rFonts w:hint="eastAsia" w:ascii="宋体" w:hAnsi="宋体" w:eastAsia="宋体" w:cs="宋体"/>
                <w:b/>
                <w:color w:val="auto"/>
                <w:sz w:val="24"/>
                <w:szCs w:val="24"/>
                <w:highlight w:val="none"/>
                <w:u w:val="none"/>
                <w:lang w:eastAsia="zh-CN"/>
              </w:rPr>
            </w:pPr>
            <w:r>
              <w:rPr>
                <w:rFonts w:hint="eastAsia" w:ascii="宋体" w:hAnsi="宋体" w:eastAsia="宋体" w:cs="宋体"/>
                <w:color w:val="auto"/>
                <w:sz w:val="24"/>
                <w:szCs w:val="24"/>
                <w:highlight w:val="none"/>
                <w:u w:val="none"/>
              </w:rPr>
              <w:t>项目名称：</w:t>
            </w:r>
            <w:r>
              <w:rPr>
                <w:rFonts w:hint="eastAsia" w:ascii="宋体" w:hAnsi="宋体" w:cs="宋体"/>
                <w:color w:val="auto"/>
                <w:sz w:val="24"/>
                <w:szCs w:val="24"/>
                <w:highlight w:val="none"/>
                <w:u w:val="none"/>
                <w:lang w:eastAsia="zh-CN"/>
              </w:rPr>
              <w:t>国家税务总局南平市税务局12366热线服务外包采购项目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tcBorders>
              <w:left w:val="single" w:color="auto" w:sz="4" w:space="0"/>
              <w:right w:val="single" w:color="auto" w:sz="4" w:space="0"/>
            </w:tcBorders>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p>
        </w:tc>
        <w:tc>
          <w:tcPr>
            <w:tcW w:w="1964" w:type="dxa"/>
            <w:vMerge w:val="continue"/>
            <w:tcBorders>
              <w:left w:val="single" w:color="auto" w:sz="4" w:space="0"/>
              <w:right w:val="single" w:color="auto" w:sz="4" w:space="0"/>
            </w:tcBorders>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p>
        </w:tc>
        <w:tc>
          <w:tcPr>
            <w:tcW w:w="61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adjustRightInd w:val="0"/>
              <w:snapToGrid w:val="0"/>
              <w:spacing w:line="390" w:lineRule="exact"/>
              <w:jc w:val="left"/>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项目编号：</w:t>
            </w:r>
            <w:r>
              <w:rPr>
                <w:rFonts w:hint="eastAsia" w:ascii="宋体" w:hAnsi="宋体" w:cs="宋体"/>
                <w:color w:val="auto"/>
                <w:sz w:val="24"/>
                <w:szCs w:val="24"/>
                <w:highlight w:val="none"/>
                <w:u w:val="none"/>
                <w:lang w:eastAsia="zh-CN"/>
              </w:rPr>
              <w:t>ZXWT-2025-09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tcBorders>
              <w:left w:val="single" w:color="auto" w:sz="4" w:space="0"/>
              <w:right w:val="single" w:color="auto" w:sz="4" w:space="0"/>
            </w:tcBorders>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p>
        </w:tc>
        <w:tc>
          <w:tcPr>
            <w:tcW w:w="1964" w:type="dxa"/>
            <w:vMerge w:val="continue"/>
            <w:tcBorders>
              <w:left w:val="single" w:color="auto" w:sz="4" w:space="0"/>
              <w:right w:val="single" w:color="auto" w:sz="4" w:space="0"/>
            </w:tcBorders>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p>
        </w:tc>
        <w:tc>
          <w:tcPr>
            <w:tcW w:w="61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adjustRightInd w:val="0"/>
              <w:snapToGrid w:val="0"/>
              <w:spacing w:line="390" w:lineRule="exact"/>
              <w:jc w:val="lef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项目预算：</w:t>
            </w:r>
            <w:r>
              <w:rPr>
                <w:rFonts w:hint="eastAsia" w:ascii="宋体" w:hAnsi="宋体" w:cs="宋体"/>
                <w:color w:val="auto"/>
                <w:kern w:val="0"/>
                <w:sz w:val="24"/>
                <w:szCs w:val="24"/>
                <w:highlight w:val="none"/>
                <w:lang w:val="en-US" w:eastAsia="zh-CN" w:bidi="ar-SA"/>
              </w:rPr>
              <w:t>73</w:t>
            </w:r>
            <w:r>
              <w:rPr>
                <w:rFonts w:hint="eastAsia" w:ascii="宋体" w:hAnsi="宋体" w:eastAsia="宋体" w:cs="宋体"/>
                <w:color w:val="auto"/>
                <w:kern w:val="0"/>
                <w:sz w:val="24"/>
                <w:szCs w:val="24"/>
                <w:highlight w:val="none"/>
                <w:lang w:val="en-US" w:eastAsia="zh-CN"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tcBorders>
              <w:left w:val="single" w:color="auto" w:sz="4" w:space="0"/>
              <w:right w:val="single" w:color="auto" w:sz="4" w:space="0"/>
            </w:tcBorders>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p>
        </w:tc>
        <w:tc>
          <w:tcPr>
            <w:tcW w:w="1964" w:type="dxa"/>
            <w:vMerge w:val="continue"/>
            <w:tcBorders>
              <w:left w:val="single" w:color="auto" w:sz="4" w:space="0"/>
              <w:right w:val="single" w:color="auto" w:sz="4" w:space="0"/>
            </w:tcBorders>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p>
        </w:tc>
        <w:tc>
          <w:tcPr>
            <w:tcW w:w="61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adjustRightInd w:val="0"/>
              <w:snapToGrid w:val="0"/>
              <w:spacing w:line="390" w:lineRule="exact"/>
              <w:jc w:val="left"/>
              <w:textAlignment w:val="auto"/>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项目最高限价：73万元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tc>
        <w:tc>
          <w:tcPr>
            <w:tcW w:w="61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adjustRightInd w:val="0"/>
              <w:snapToGrid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详见《采购文件（技术部分）》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项目属性和类别</w:t>
            </w:r>
          </w:p>
        </w:tc>
        <w:tc>
          <w:tcPr>
            <w:tcW w:w="61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adjustRightInd w:val="0"/>
              <w:snapToGrid w:val="0"/>
              <w:spacing w:line="39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项目属性：</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bidi w:val="0"/>
              <w:adjustRightInd w:val="0"/>
              <w:snapToGrid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项目类别：</w:t>
            </w:r>
            <w:r>
              <w:rPr>
                <w:rFonts w:hint="eastAsia" w:ascii="宋体" w:hAnsi="宋体" w:eastAsia="宋体" w:cs="宋体"/>
                <w:color w:val="auto"/>
                <w:sz w:val="24"/>
                <w:szCs w:val="24"/>
                <w:highlight w:val="none"/>
              </w:rPr>
              <w:t>非信息化项目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61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90" w:lineRule="exact"/>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名称：</w:t>
            </w:r>
            <w:r>
              <w:rPr>
                <w:rFonts w:hint="eastAsia" w:ascii="宋体" w:hAnsi="宋体" w:eastAsia="宋体" w:cs="宋体"/>
                <w:color w:val="auto"/>
                <w:sz w:val="24"/>
                <w:szCs w:val="24"/>
                <w:highlight w:val="none"/>
                <w:u w:val="none"/>
                <w:lang w:eastAsia="zh-CN"/>
              </w:rPr>
              <w:t>国家税务总局南平市税务局</w:t>
            </w:r>
          </w:p>
          <w:p>
            <w:pPr>
              <w:keepNext w:val="0"/>
              <w:keepLines w:val="0"/>
              <w:pageBreakBefore w:val="0"/>
              <w:widowControl w:val="0"/>
              <w:kinsoku/>
              <w:wordWrap/>
              <w:overflowPunct/>
              <w:topLinePunct w:val="0"/>
              <w:autoSpaceDE/>
              <w:autoSpaceDN/>
              <w:bidi w:val="0"/>
              <w:adjustRightInd/>
              <w:snapToGrid/>
              <w:spacing w:after="0" w:line="390" w:lineRule="exact"/>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地址：</w:t>
            </w:r>
            <w:r>
              <w:rPr>
                <w:rFonts w:hint="eastAsia" w:ascii="宋体" w:hAnsi="宋体" w:cs="宋体"/>
                <w:color w:val="auto"/>
                <w:kern w:val="0"/>
                <w:sz w:val="24"/>
                <w:highlight w:val="none"/>
              </w:rPr>
              <w:t>南平市建阳区朱熹大道379号武夷国际新城天玺32#</w:t>
            </w:r>
            <w:r>
              <w:rPr>
                <w:rFonts w:hint="eastAsia" w:ascii="宋体" w:hAnsi="宋体" w:eastAsia="宋体" w:cs="宋体"/>
                <w:color w:val="auto"/>
                <w:sz w:val="24"/>
                <w:szCs w:val="24"/>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u w:val="none"/>
              </w:rPr>
              <w:t>联系方式：</w:t>
            </w:r>
            <w:r>
              <w:rPr>
                <w:rFonts w:hint="eastAsia" w:ascii="宋体" w:hAnsi="宋体" w:cs="宋体"/>
                <w:color w:val="auto"/>
                <w:sz w:val="24"/>
                <w:highlight w:val="none"/>
                <w:lang w:val="en-US" w:eastAsia="zh-CN"/>
              </w:rPr>
              <w:t>柯女士</w:t>
            </w:r>
            <w:r>
              <w:rPr>
                <w:rFonts w:hint="eastAsia" w:ascii="宋体" w:hAnsi="宋体" w:cs="宋体"/>
                <w:color w:val="auto"/>
                <w:sz w:val="24"/>
                <w:highlight w:val="none"/>
              </w:rPr>
              <w:t>/</w:t>
            </w:r>
            <w:r>
              <w:rPr>
                <w:rFonts w:hint="eastAsia" w:ascii="宋体" w:hAnsi="宋体" w:cs="宋体"/>
                <w:color w:val="auto"/>
                <w:kern w:val="0"/>
                <w:sz w:val="24"/>
                <w:highlight w:val="none"/>
              </w:rPr>
              <w:t>0599-8871233</w:t>
            </w:r>
            <w:r>
              <w:rPr>
                <w:rFonts w:hint="eastAsia" w:ascii="宋体" w:hAnsi="宋体" w:cs="宋体"/>
                <w:color w:val="auto"/>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tc>
        <w:tc>
          <w:tcPr>
            <w:tcW w:w="61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90" w:lineRule="exac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名称：福建省智信招标有限公司</w:t>
            </w:r>
          </w:p>
          <w:p>
            <w:pPr>
              <w:keepNext w:val="0"/>
              <w:keepLines w:val="0"/>
              <w:pageBreakBefore w:val="0"/>
              <w:widowControl w:val="0"/>
              <w:kinsoku/>
              <w:wordWrap/>
              <w:overflowPunct/>
              <w:topLinePunct w:val="0"/>
              <w:autoSpaceDE/>
              <w:autoSpaceDN/>
              <w:bidi w:val="0"/>
              <w:adjustRightInd/>
              <w:snapToGrid/>
              <w:spacing w:after="0" w:line="390" w:lineRule="exac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地址：福建省福州市鼓楼区五四路159号世界金龙大厦第14层A、C1单元</w:t>
            </w:r>
          </w:p>
          <w:p>
            <w:pPr>
              <w:keepNext w:val="0"/>
              <w:keepLines w:val="0"/>
              <w:pageBreakBefore w:val="0"/>
              <w:widowControl w:val="0"/>
              <w:kinsoku/>
              <w:wordWrap/>
              <w:overflowPunct/>
              <w:topLinePunct w:val="0"/>
              <w:autoSpaceDE/>
              <w:autoSpaceDN/>
              <w:bidi w:val="0"/>
              <w:adjustRightInd/>
              <w:snapToGrid/>
              <w:spacing w:after="0" w:line="390" w:lineRule="exact"/>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联系方式：</w:t>
            </w:r>
            <w:r>
              <w:rPr>
                <w:rFonts w:hint="eastAsia" w:ascii="宋体" w:hAnsi="宋体" w:eastAsia="宋体" w:cs="宋体"/>
                <w:color w:val="auto"/>
                <w:sz w:val="24"/>
                <w:szCs w:val="24"/>
                <w:highlight w:val="none"/>
                <w:u w:val="none"/>
                <w:lang w:val="en-US" w:eastAsia="zh-CN"/>
              </w:rPr>
              <w:t>王凯霞、张博艺、王小敏/</w:t>
            </w:r>
            <w:r>
              <w:rPr>
                <w:rFonts w:hint="eastAsia" w:ascii="宋体" w:hAnsi="宋体" w:eastAsia="宋体" w:cs="宋体"/>
                <w:color w:val="auto"/>
                <w:sz w:val="24"/>
                <w:szCs w:val="24"/>
                <w:highlight w:val="none"/>
                <w:u w:val="none"/>
              </w:rPr>
              <w:t>0591-88318332、87530730、87616211转80</w:t>
            </w:r>
            <w:r>
              <w:rPr>
                <w:rFonts w:hint="eastAsia" w:ascii="宋体" w:hAnsi="宋体" w:eastAsia="宋体" w:cs="宋体"/>
                <w:color w:val="auto"/>
                <w:sz w:val="24"/>
                <w:szCs w:val="24"/>
                <w:highlight w:val="none"/>
                <w:u w:val="none"/>
                <w:lang w:val="en-US" w:eastAsia="zh-CN"/>
              </w:rPr>
              <w:t>3</w:t>
            </w:r>
          </w:p>
          <w:p>
            <w:pPr>
              <w:keepNext w:val="0"/>
              <w:keepLines w:val="0"/>
              <w:pageBreakBefore w:val="0"/>
              <w:kinsoku/>
              <w:wordWrap/>
              <w:overflowPunct/>
              <w:bidi w:val="0"/>
              <w:adjustRightInd w:val="0"/>
              <w:snapToGrid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邮箱：</w:t>
            </w:r>
            <w:r>
              <w:rPr>
                <w:rFonts w:hint="eastAsia" w:ascii="宋体" w:hAnsi="宋体" w:eastAsia="宋体" w:cs="宋体"/>
                <w:color w:val="auto"/>
                <w:sz w:val="24"/>
                <w:szCs w:val="24"/>
                <w:highlight w:val="none"/>
                <w:lang w:val="en-US" w:eastAsia="zh-CN"/>
              </w:rPr>
              <w:t>zhixin01@126.com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供应商产生方法</w:t>
            </w:r>
          </w:p>
        </w:tc>
        <w:tc>
          <w:tcPr>
            <w:tcW w:w="61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adjustRightInd w:val="0"/>
              <w:snapToGrid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公告</w:t>
            </w:r>
          </w:p>
          <w:p>
            <w:pPr>
              <w:keepNext w:val="0"/>
              <w:keepLines w:val="0"/>
              <w:pageBreakBefore w:val="0"/>
              <w:kinsoku/>
              <w:wordWrap/>
              <w:overflowPunct/>
              <w:bidi w:val="0"/>
              <w:adjustRightInd w:val="0"/>
              <w:snapToGrid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供应商库抽取</w:t>
            </w:r>
          </w:p>
          <w:p>
            <w:pPr>
              <w:keepNext w:val="0"/>
              <w:keepLines w:val="0"/>
              <w:pageBreakBefore w:val="0"/>
              <w:kinsoku/>
              <w:wordWrap/>
              <w:overflowPunct/>
              <w:bidi w:val="0"/>
              <w:adjustRightInd w:val="0"/>
              <w:snapToGrid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专家和采购人推荐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符合要求供应商家数</w:t>
            </w:r>
          </w:p>
        </w:tc>
        <w:tc>
          <w:tcPr>
            <w:tcW w:w="61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adjustRightInd w:val="0"/>
              <w:snapToGrid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是否允许符合要求的供应商只有2家时可以继续进行采购活动：</w:t>
            </w:r>
          </w:p>
          <w:p>
            <w:pPr>
              <w:keepNext w:val="0"/>
              <w:keepLines w:val="0"/>
              <w:pageBreakBefore w:val="0"/>
              <w:kinsoku/>
              <w:wordWrap/>
              <w:overflowPunct/>
              <w:bidi w:val="0"/>
              <w:adjustRightInd w:val="0"/>
              <w:snapToGrid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否 </w:t>
            </w:r>
          </w:p>
          <w:p>
            <w:pPr>
              <w:keepNext w:val="0"/>
              <w:keepLines w:val="0"/>
              <w:pageBreakBefore w:val="0"/>
              <w:kinsoku/>
              <w:wordWrap/>
              <w:overflowPunct/>
              <w:bidi w:val="0"/>
              <w:adjustRightInd w:val="0"/>
              <w:snapToGrid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□是，[本项目属于</w:t>
            </w:r>
            <w:r>
              <w:rPr>
                <w:rFonts w:hint="eastAsia" w:ascii="宋体" w:hAnsi="宋体" w:eastAsia="宋体" w:cs="宋体"/>
                <w:i/>
                <w:color w:val="auto"/>
                <w:sz w:val="24"/>
                <w:szCs w:val="24"/>
                <w:highlight w:val="none"/>
                <w:u w:val="single"/>
              </w:rPr>
              <w:t>①采用竞争性磋商采购方式组织实施的市场竞争不充分的科研项目、需要扶持的科技成果转化项目；②政府购买服务项目(含政府和社会资本合作项目</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供应商资格要求</w:t>
            </w:r>
          </w:p>
        </w:tc>
        <w:tc>
          <w:tcPr>
            <w:tcW w:w="61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9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具体详见第一章磋商邀请</w:t>
            </w:r>
            <w:r>
              <w:rPr>
                <w:rFonts w:hint="eastAsia" w:ascii="宋体" w:hAnsi="宋体" w:eastAsia="宋体" w:cs="宋体"/>
                <w:color w:val="auto"/>
                <w:sz w:val="24"/>
                <w:szCs w:val="24"/>
                <w:highlight w:val="none"/>
                <w:lang w:val="en-US" w:eastAsia="zh-CN"/>
              </w:rPr>
              <w:t>“二、</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的资格要求”要求。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autoSpaceDE w:val="0"/>
              <w:autoSpaceDN w:val="0"/>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是否接受联合体磋商</w:t>
            </w:r>
          </w:p>
        </w:tc>
        <w:tc>
          <w:tcPr>
            <w:tcW w:w="61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adjustRightInd w:val="0"/>
              <w:snapToGrid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autoSpaceDE w:val="0"/>
              <w:autoSpaceDN w:val="0"/>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采购标的对应的中小企业划分标准所属行业</w:t>
            </w:r>
          </w:p>
        </w:tc>
        <w:tc>
          <w:tcPr>
            <w:tcW w:w="61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享受扶持政策获得政府采购项目的，小微企业不得将合同分包给大中型企业，中型企业不得将合同分包给大型企业。本项目</w:t>
            </w:r>
            <w:r>
              <w:rPr>
                <w:rFonts w:hint="eastAsia" w:ascii="宋体" w:hAnsi="宋体" w:eastAsia="宋体" w:cs="宋体"/>
                <w:color w:val="auto"/>
                <w:sz w:val="24"/>
                <w:szCs w:val="24"/>
                <w:highlight w:val="none"/>
                <w:lang w:val="en-US" w:eastAsia="zh-CN"/>
              </w:rPr>
              <w:t>为服务类项目，对应的中小企业划分标准所属行业为“</w:t>
            </w:r>
            <w:r>
              <w:rPr>
                <w:rFonts w:hint="eastAsia" w:ascii="宋体" w:hAnsi="宋体" w:eastAsia="宋体" w:cs="宋体"/>
                <w:b/>
                <w:bCs/>
                <w:color w:val="auto"/>
                <w:kern w:val="2"/>
                <w:sz w:val="24"/>
                <w:szCs w:val="24"/>
                <w:highlight w:val="none"/>
                <w:lang w:val="en-US" w:eastAsia="zh-CN" w:bidi="ar"/>
              </w:rPr>
              <w:t>软件和信息技术服务业</w:t>
            </w:r>
            <w:r>
              <w:rPr>
                <w:rFonts w:hint="eastAsia" w:ascii="宋体" w:hAnsi="宋体" w:eastAsia="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autoSpaceDE w:val="0"/>
              <w:autoSpaceDN w:val="0"/>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非主体、非关键性工作分包</w:t>
            </w:r>
          </w:p>
        </w:tc>
        <w:tc>
          <w:tcPr>
            <w:tcW w:w="61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adjustRightInd w:val="0"/>
              <w:snapToGrid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是否允许供应商将本项目的非主体、非关键性工作进行分包：</w:t>
            </w:r>
          </w:p>
          <w:p>
            <w:pPr>
              <w:keepNext w:val="0"/>
              <w:keepLines w:val="0"/>
              <w:pageBreakBefore w:val="0"/>
              <w:kinsoku/>
              <w:wordWrap/>
              <w:overflowPunct/>
              <w:bidi w:val="0"/>
              <w:adjustRightInd w:val="0"/>
              <w:snapToGrid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p>
            <w:pPr>
              <w:keepNext w:val="0"/>
              <w:keepLines w:val="0"/>
              <w:pageBreakBefore w:val="0"/>
              <w:kinsoku/>
              <w:wordWrap/>
              <w:overflowPunct/>
              <w:bidi w:val="0"/>
              <w:adjustRightInd w:val="0"/>
              <w:snapToGrid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不允许</w:t>
            </w:r>
          </w:p>
          <w:p>
            <w:pPr>
              <w:keepNext w:val="0"/>
              <w:keepLines w:val="0"/>
              <w:pageBreakBefore w:val="0"/>
              <w:kinsoku/>
              <w:wordWrap/>
              <w:overflowPunct/>
              <w:bidi w:val="0"/>
              <w:adjustRightInd w:val="0"/>
              <w:snapToGrid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w:t>
            </w:r>
            <w:r>
              <w:rPr>
                <w:rFonts w:hint="eastAsia" w:ascii="宋体" w:hAnsi="宋体" w:eastAsia="宋体" w:cs="宋体"/>
                <w:i/>
                <w:color w:val="auto"/>
                <w:sz w:val="24"/>
                <w:szCs w:val="24"/>
                <w:highlight w:val="none"/>
                <w:u w:val="single"/>
              </w:rPr>
              <w:t>（写明可以分包履行的具体内容、金额或者比例）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964" w:type="dxa"/>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核心产品</w:t>
            </w:r>
          </w:p>
        </w:tc>
        <w:tc>
          <w:tcPr>
            <w:tcW w:w="619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left"/>
              <w:textAlignment w:val="auto"/>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u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964" w:type="dxa"/>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采购进口产品</w:t>
            </w:r>
          </w:p>
        </w:tc>
        <w:tc>
          <w:tcPr>
            <w:tcW w:w="6197" w:type="dxa"/>
            <w:gridSpan w:val="2"/>
            <w:noWrap w:val="0"/>
            <w:vAlign w:val="center"/>
          </w:tcPr>
          <w:p>
            <w:pPr>
              <w:keepNext w:val="0"/>
              <w:keepLines w:val="0"/>
              <w:pageBreakBefore w:val="0"/>
              <w:kinsoku/>
              <w:wordWrap/>
              <w:overflowPunct/>
              <w:bidi w:val="0"/>
              <w:adjustRightInd w:val="0"/>
              <w:snapToGrid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本采购项目拒绝进口产品参加磋商</w:t>
            </w:r>
          </w:p>
          <w:p>
            <w:pPr>
              <w:keepNext w:val="0"/>
              <w:keepLines w:val="0"/>
              <w:pageBreakBefore w:val="0"/>
              <w:kinsoku/>
              <w:wordWrap/>
              <w:overflowPunct/>
              <w:bidi w:val="0"/>
              <w:adjustRightInd w:val="0"/>
              <w:snapToGrid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本采购项目已经财政部审核同意购买进口产品</w:t>
            </w:r>
          </w:p>
          <w:p>
            <w:pPr>
              <w:keepNext w:val="0"/>
              <w:keepLines w:val="0"/>
              <w:pageBreakBefore w:val="0"/>
              <w:kinsoku/>
              <w:wordWrap/>
              <w:overflowPunct/>
              <w:bidi w:val="0"/>
              <w:adjustRightInd w:val="0"/>
              <w:snapToGrid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964" w:type="dxa"/>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信息发布媒体</w:t>
            </w:r>
          </w:p>
        </w:tc>
        <w:tc>
          <w:tcPr>
            <w:tcW w:w="6197" w:type="dxa"/>
            <w:gridSpan w:val="2"/>
            <w:noWrap w:val="0"/>
            <w:vAlign w:val="center"/>
          </w:tcPr>
          <w:p>
            <w:pPr>
              <w:keepNext w:val="0"/>
              <w:keepLines w:val="0"/>
              <w:pageBreakBefore w:val="0"/>
              <w:kinsoku/>
              <w:wordWrap/>
              <w:overflowPunct/>
              <w:bidi w:val="0"/>
              <w:adjustRightInd w:val="0"/>
              <w:snapToGrid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val="en-US" w:eastAsia="zh-CN"/>
              </w:rPr>
              <w:t>国家税务总局南平市税务局网站</w:t>
            </w:r>
            <w:r>
              <w:rPr>
                <w:rFonts w:hint="eastAsia" w:ascii="宋体" w:hAnsi="宋体" w:eastAsia="宋体" w:cs="宋体"/>
                <w:bCs/>
                <w:color w:val="auto"/>
                <w:sz w:val="24"/>
                <w:szCs w:val="24"/>
                <w:highlight w:val="none"/>
              </w:rPr>
              <w:t>http://fujian.chinatax.gov.cn/npsswj/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964" w:type="dxa"/>
            <w:noWrap w:val="0"/>
            <w:vAlign w:val="center"/>
          </w:tcPr>
          <w:p>
            <w:pPr>
              <w:keepNext w:val="0"/>
              <w:keepLines w:val="0"/>
              <w:pageBreakBefore w:val="0"/>
              <w:kinsoku/>
              <w:wordWrap/>
              <w:overflowPunct/>
              <w:topLinePunct/>
              <w:autoSpaceDE w:val="0"/>
              <w:autoSpaceDN w:val="0"/>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获取采购文件</w:t>
            </w:r>
          </w:p>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时间、地点和</w:t>
            </w:r>
          </w:p>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方式等</w:t>
            </w:r>
          </w:p>
        </w:tc>
        <w:tc>
          <w:tcPr>
            <w:tcW w:w="6197" w:type="dxa"/>
            <w:gridSpan w:val="2"/>
            <w:noWrap w:val="0"/>
            <w:vAlign w:val="center"/>
          </w:tcPr>
          <w:p>
            <w:pPr>
              <w:keepNext w:val="0"/>
              <w:keepLines w:val="0"/>
              <w:pageBreakBefore w:val="0"/>
              <w:kinsoku/>
              <w:wordWrap/>
              <w:overflowPunct/>
              <w:bidi w:val="0"/>
              <w:adjustRightInd w:val="0"/>
              <w:snapToGrid w:val="0"/>
              <w:spacing w:line="390" w:lineRule="exact"/>
              <w:textAlignment w:val="auto"/>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时间：</w:t>
            </w:r>
            <w:r>
              <w:rPr>
                <w:rFonts w:hint="eastAsia" w:ascii="宋体" w:hAnsi="宋体" w:cs="宋体"/>
                <w:color w:val="auto"/>
                <w:sz w:val="24"/>
                <w:szCs w:val="24"/>
                <w:highlight w:val="none"/>
                <w:u w:val="none"/>
                <w:lang w:val="en-US" w:eastAsia="zh-CN"/>
              </w:rPr>
              <w:t>2025</w:t>
            </w:r>
            <w:r>
              <w:rPr>
                <w:rFonts w:hint="eastAsia" w:ascii="宋体" w:hAnsi="宋体" w:eastAsia="宋体" w:cs="宋体"/>
                <w:color w:val="auto"/>
                <w:sz w:val="24"/>
                <w:szCs w:val="24"/>
                <w:highlight w:val="none"/>
                <w:u w:val="none"/>
              </w:rPr>
              <w:t>年</w:t>
            </w:r>
            <w:r>
              <w:rPr>
                <w:rFonts w:hint="eastAsia" w:ascii="宋体" w:hAnsi="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月</w:t>
            </w:r>
            <w:r>
              <w:rPr>
                <w:rFonts w:hint="eastAsia" w:ascii="宋体" w:hAnsi="宋体" w:cs="宋体"/>
                <w:color w:val="auto"/>
                <w:sz w:val="24"/>
                <w:szCs w:val="24"/>
                <w:highlight w:val="none"/>
                <w:u w:val="none"/>
                <w:lang w:val="en-US" w:eastAsia="zh-CN"/>
              </w:rPr>
              <w:t xml:space="preserve"> 20</w:t>
            </w:r>
            <w:r>
              <w:rPr>
                <w:rFonts w:hint="eastAsia" w:ascii="宋体" w:hAnsi="宋体" w:eastAsia="宋体" w:cs="宋体"/>
                <w:color w:val="auto"/>
                <w:sz w:val="24"/>
                <w:szCs w:val="24"/>
                <w:highlight w:val="none"/>
                <w:u w:val="none"/>
              </w:rPr>
              <w:t>日至</w:t>
            </w:r>
            <w:r>
              <w:rPr>
                <w:rFonts w:hint="eastAsia" w:ascii="宋体" w:hAnsi="宋体" w:cs="宋体"/>
                <w:color w:val="auto"/>
                <w:sz w:val="24"/>
                <w:szCs w:val="24"/>
                <w:highlight w:val="none"/>
                <w:u w:val="none"/>
                <w:lang w:val="en-US" w:eastAsia="zh-CN"/>
              </w:rPr>
              <w:t>2025</w:t>
            </w:r>
            <w:r>
              <w:rPr>
                <w:rFonts w:hint="eastAsia" w:ascii="宋体" w:hAnsi="宋体" w:eastAsia="宋体" w:cs="宋体"/>
                <w:color w:val="auto"/>
                <w:sz w:val="24"/>
                <w:szCs w:val="24"/>
                <w:highlight w:val="none"/>
                <w:u w:val="none"/>
              </w:rPr>
              <w:t>年</w:t>
            </w:r>
            <w:r>
              <w:rPr>
                <w:rFonts w:hint="eastAsia" w:ascii="宋体" w:hAnsi="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月</w:t>
            </w:r>
            <w:r>
              <w:rPr>
                <w:rFonts w:hint="eastAsia" w:ascii="宋体" w:hAnsi="宋体" w:cs="宋体"/>
                <w:color w:val="auto"/>
                <w:sz w:val="24"/>
                <w:szCs w:val="24"/>
                <w:highlight w:val="none"/>
                <w:u w:val="none"/>
                <w:lang w:val="en-US" w:eastAsia="zh-CN"/>
              </w:rPr>
              <w:t>27</w:t>
            </w:r>
            <w:r>
              <w:rPr>
                <w:rFonts w:hint="eastAsia" w:ascii="宋体" w:hAnsi="宋体" w:eastAsia="宋体" w:cs="宋体"/>
                <w:color w:val="auto"/>
                <w:sz w:val="24"/>
                <w:szCs w:val="24"/>
                <w:highlight w:val="none"/>
                <w:u w:val="none"/>
              </w:rPr>
              <w:t>日</w:t>
            </w:r>
            <w:r>
              <w:rPr>
                <w:rFonts w:hint="eastAsia" w:ascii="宋体" w:hAnsi="宋体" w:eastAsia="宋体" w:cs="宋体"/>
                <w:bCs/>
                <w:color w:val="auto"/>
                <w:sz w:val="24"/>
                <w:szCs w:val="24"/>
                <w:highlight w:val="none"/>
              </w:rPr>
              <w:t>每天上午</w:t>
            </w:r>
            <w:r>
              <w:rPr>
                <w:rFonts w:hint="eastAsia" w:ascii="宋体" w:hAnsi="宋体" w:eastAsia="宋体" w:cs="宋体"/>
                <w:bCs/>
                <w:color w:val="auto"/>
                <w:sz w:val="24"/>
                <w:szCs w:val="24"/>
                <w:highlight w:val="none"/>
                <w:lang w:val="en-US" w:eastAsia="zh-CN"/>
              </w:rPr>
              <w:t>08：00</w:t>
            </w:r>
            <w:r>
              <w:rPr>
                <w:rFonts w:hint="eastAsia" w:ascii="宋体" w:hAnsi="宋体" w:eastAsia="宋体" w:cs="宋体"/>
                <w:bCs/>
                <w:color w:val="auto"/>
                <w:sz w:val="24"/>
                <w:szCs w:val="24"/>
                <w:highlight w:val="none"/>
              </w:rPr>
              <w:t>至</w:t>
            </w:r>
            <w:r>
              <w:rPr>
                <w:rFonts w:hint="eastAsia" w:ascii="宋体" w:hAnsi="宋体" w:eastAsia="宋体" w:cs="宋体"/>
                <w:bCs/>
                <w:color w:val="auto"/>
                <w:sz w:val="24"/>
                <w:szCs w:val="24"/>
                <w:highlight w:val="none"/>
                <w:lang w:val="en-US" w:eastAsia="zh-CN"/>
              </w:rPr>
              <w:t>12：00</w:t>
            </w:r>
            <w:r>
              <w:rPr>
                <w:rFonts w:hint="eastAsia" w:ascii="宋体" w:hAnsi="宋体" w:eastAsia="宋体" w:cs="宋体"/>
                <w:bCs/>
                <w:color w:val="auto"/>
                <w:sz w:val="24"/>
                <w:szCs w:val="24"/>
                <w:highlight w:val="none"/>
              </w:rPr>
              <w:t>，下午</w:t>
            </w:r>
            <w:r>
              <w:rPr>
                <w:rFonts w:hint="eastAsia" w:ascii="宋体" w:hAnsi="宋体" w:eastAsia="宋体" w:cs="宋体"/>
                <w:bCs/>
                <w:color w:val="auto"/>
                <w:sz w:val="24"/>
                <w:szCs w:val="24"/>
                <w:highlight w:val="none"/>
                <w:lang w:val="en-US" w:eastAsia="zh-CN"/>
              </w:rPr>
              <w:t>14：30</w:t>
            </w:r>
            <w:r>
              <w:rPr>
                <w:rFonts w:hint="eastAsia" w:ascii="宋体" w:hAnsi="宋体" w:eastAsia="宋体" w:cs="宋体"/>
                <w:bCs/>
                <w:color w:val="auto"/>
                <w:sz w:val="24"/>
                <w:szCs w:val="24"/>
                <w:highlight w:val="none"/>
              </w:rPr>
              <w:t>至</w:t>
            </w:r>
            <w:r>
              <w:rPr>
                <w:rFonts w:hint="eastAsia" w:ascii="宋体" w:hAnsi="宋体" w:eastAsia="宋体" w:cs="宋体"/>
                <w:bCs/>
                <w:color w:val="auto"/>
                <w:sz w:val="24"/>
                <w:szCs w:val="24"/>
                <w:highlight w:val="none"/>
                <w:lang w:val="en-US" w:eastAsia="zh-CN"/>
              </w:rPr>
              <w:t>17：30</w:t>
            </w:r>
            <w:r>
              <w:rPr>
                <w:rFonts w:hint="eastAsia" w:ascii="宋体" w:hAnsi="宋体" w:eastAsia="宋体" w:cs="宋体"/>
                <w:bCs/>
                <w:color w:val="auto"/>
                <w:sz w:val="24"/>
                <w:szCs w:val="24"/>
                <w:highlight w:val="none"/>
              </w:rPr>
              <w:t>（北京时间，法定节假日除外）</w:t>
            </w:r>
          </w:p>
          <w:p>
            <w:pPr>
              <w:keepNext w:val="0"/>
              <w:keepLines w:val="0"/>
              <w:pageBreakBefore w:val="0"/>
              <w:kinsoku/>
              <w:wordWrap/>
              <w:overflowPunct/>
              <w:bidi w:val="0"/>
              <w:adjustRightInd w:val="0"/>
              <w:snapToGrid w:val="0"/>
              <w:spacing w:line="39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地点：</w:t>
            </w:r>
            <w:r>
              <w:rPr>
                <w:rFonts w:hint="eastAsia" w:ascii="宋体" w:hAnsi="宋体" w:eastAsia="宋体" w:cs="宋体"/>
                <w:color w:val="auto"/>
                <w:sz w:val="24"/>
                <w:szCs w:val="24"/>
                <w:highlight w:val="none"/>
              </w:rPr>
              <w:t>福建省福州市鼓楼区五四路159号世界金龙大厦</w:t>
            </w:r>
            <w:r>
              <w:rPr>
                <w:rFonts w:hint="eastAsia" w:ascii="宋体" w:hAnsi="宋体" w:cs="宋体"/>
                <w:color w:val="auto"/>
                <w:sz w:val="24"/>
                <w:szCs w:val="24"/>
                <w:highlight w:val="none"/>
                <w:lang w:val="en-US" w:eastAsia="zh-CN"/>
              </w:rPr>
              <w:t>第</w:t>
            </w:r>
            <w:r>
              <w:rPr>
                <w:rFonts w:hint="eastAsia" w:ascii="宋体" w:hAnsi="宋体" w:eastAsia="宋体" w:cs="宋体"/>
                <w:color w:val="auto"/>
                <w:sz w:val="24"/>
                <w:szCs w:val="24"/>
                <w:highlight w:val="none"/>
              </w:rPr>
              <w:t>14层A</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C1</w:t>
            </w:r>
            <w:r>
              <w:rPr>
                <w:rFonts w:hint="eastAsia" w:ascii="宋体" w:hAnsi="宋体" w:eastAsia="宋体" w:cs="宋体"/>
                <w:color w:val="auto"/>
                <w:sz w:val="24"/>
                <w:szCs w:val="24"/>
                <w:highlight w:val="none"/>
              </w:rPr>
              <w:t>单元</w:t>
            </w:r>
          </w:p>
          <w:p>
            <w:pPr>
              <w:keepNext w:val="0"/>
              <w:keepLines w:val="0"/>
              <w:pageBreakBefore w:val="0"/>
              <w:kinsoku/>
              <w:wordWrap/>
              <w:overflowPunct/>
              <w:bidi w:val="0"/>
              <w:adjustRightInd w:val="0"/>
              <w:snapToGrid w:val="0"/>
              <w:spacing w:line="39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方式：</w:t>
            </w:r>
            <w:r>
              <w:rPr>
                <w:rFonts w:hint="eastAsia" w:ascii="宋体" w:hAnsi="宋体" w:eastAsia="宋体" w:cs="宋体"/>
                <w:color w:val="auto"/>
                <w:sz w:val="24"/>
                <w:szCs w:val="24"/>
                <w:highlight w:val="none"/>
              </w:rPr>
              <w:t>直接至我司办理的，须至我司填写《获取招标（采购）文件登记表》；通过邮件方式获取磋商文件者须按照本公司《获取招标（采购）文件登记表》格式（下载网址：http://www.fjzxzb.com/newshow.aspx?NewsID=7）填写清楚并加盖公章发送至本公司邮箱（zhixin04@126.com)，我公司将磋商文件发送至贵公司邮箱。未办理报名手续的不予以书面变更通知并不受理其参加本项目的磋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964" w:type="dxa"/>
            <w:noWrap w:val="0"/>
            <w:vAlign w:val="center"/>
          </w:tcPr>
          <w:p>
            <w:pPr>
              <w:keepNext w:val="0"/>
              <w:keepLines w:val="0"/>
              <w:pageBreakBefore w:val="0"/>
              <w:kinsoku/>
              <w:wordWrap/>
              <w:overflowPunct/>
              <w:topLinePunct/>
              <w:autoSpaceDE w:val="0"/>
              <w:autoSpaceDN w:val="0"/>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现场考察或召开磋商前答疑会</w:t>
            </w:r>
          </w:p>
        </w:tc>
        <w:tc>
          <w:tcPr>
            <w:tcW w:w="6197" w:type="dxa"/>
            <w:gridSpan w:val="2"/>
            <w:noWrap w:val="0"/>
            <w:vAlign w:val="center"/>
          </w:tcPr>
          <w:p>
            <w:pPr>
              <w:keepNext w:val="0"/>
              <w:keepLines w:val="0"/>
              <w:pageBreakBefore w:val="0"/>
              <w:numPr>
                <w:ilvl w:val="0"/>
                <w:numId w:val="0"/>
              </w:numPr>
              <w:tabs>
                <w:tab w:val="left" w:pos="0"/>
                <w:tab w:val="left" w:pos="420"/>
              </w:tabs>
              <w:kinsoku/>
              <w:wordWrap/>
              <w:overflowPunct/>
              <w:bidi w:val="0"/>
              <w:adjustRightInd w:val="0"/>
              <w:snapToGrid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不组织现场考察/召开磋商前答疑会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964" w:type="dxa"/>
            <w:noWrap w:val="0"/>
            <w:vAlign w:val="center"/>
          </w:tcPr>
          <w:p>
            <w:pPr>
              <w:keepNext w:val="0"/>
              <w:keepLines w:val="0"/>
              <w:pageBreakBefore w:val="0"/>
              <w:kinsoku/>
              <w:wordWrap/>
              <w:overflowPunct/>
              <w:topLinePunct/>
              <w:autoSpaceDE w:val="0"/>
              <w:autoSpaceDN w:val="0"/>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w:t>
            </w:r>
          </w:p>
        </w:tc>
        <w:tc>
          <w:tcPr>
            <w:tcW w:w="6197" w:type="dxa"/>
            <w:gridSpan w:val="2"/>
            <w:noWrap w:val="0"/>
            <w:vAlign w:val="center"/>
          </w:tcPr>
          <w:p>
            <w:pPr>
              <w:keepNext w:val="0"/>
              <w:keepLines w:val="0"/>
              <w:pageBreakBefore w:val="0"/>
              <w:kinsoku/>
              <w:wordWrap/>
              <w:overflowPunct/>
              <w:bidi w:val="0"/>
              <w:adjustRightInd w:val="0"/>
              <w:snapToGrid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8" w:hRule="atLeast"/>
          <w:jc w:val="center"/>
        </w:trPr>
        <w:tc>
          <w:tcPr>
            <w:tcW w:w="816" w:type="dxa"/>
            <w:vMerge w:val="restart"/>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1964" w:type="dxa"/>
            <w:vMerge w:val="restart"/>
            <w:noWrap w:val="0"/>
            <w:vAlign w:val="center"/>
          </w:tcPr>
          <w:p>
            <w:pPr>
              <w:keepNext w:val="0"/>
              <w:keepLines w:val="0"/>
              <w:pageBreakBefore w:val="0"/>
              <w:kinsoku/>
              <w:wordWrap/>
              <w:overflowPunct/>
              <w:topLinePunct/>
              <w:autoSpaceDE w:val="0"/>
              <w:autoSpaceDN w:val="0"/>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响应文件组成</w:t>
            </w:r>
          </w:p>
        </w:tc>
        <w:tc>
          <w:tcPr>
            <w:tcW w:w="990" w:type="dxa"/>
            <w:vMerge w:val="restart"/>
            <w:noWrap w:val="0"/>
            <w:vAlign w:val="center"/>
          </w:tcPr>
          <w:p>
            <w:pPr>
              <w:keepNext w:val="0"/>
              <w:keepLines w:val="0"/>
              <w:pageBreakBefore w:val="0"/>
              <w:kinsoku/>
              <w:wordWrap/>
              <w:overflowPunct/>
              <w:topLinePunct/>
              <w:autoSpaceDE w:val="0"/>
              <w:autoSpaceDN w:val="0"/>
              <w:bidi w:val="0"/>
              <w:adjustRightInd w:val="0"/>
              <w:snapToGrid w:val="0"/>
              <w:spacing w:line="39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商务部</w:t>
            </w:r>
            <w:r>
              <w:rPr>
                <w:rFonts w:hint="eastAsia" w:ascii="宋体" w:hAnsi="宋体" w:eastAsia="宋体" w:cs="宋体"/>
                <w:bCs/>
                <w:color w:val="auto"/>
                <w:sz w:val="24"/>
                <w:szCs w:val="24"/>
                <w:highlight w:val="none"/>
              </w:rPr>
              <w:t>分</w:t>
            </w:r>
          </w:p>
        </w:tc>
        <w:tc>
          <w:tcPr>
            <w:tcW w:w="5207" w:type="dxa"/>
            <w:noWrap w:val="0"/>
            <w:vAlign w:val="center"/>
          </w:tcPr>
          <w:p>
            <w:pPr>
              <w:keepNext w:val="0"/>
              <w:keepLines w:val="0"/>
              <w:pageBreakBefore w:val="0"/>
              <w:widowControl/>
              <w:tabs>
                <w:tab w:val="left" w:pos="0"/>
                <w:tab w:val="left" w:pos="420"/>
              </w:tabs>
              <w:kinsoku/>
              <w:wordWrap/>
              <w:overflowPunct/>
              <w:bidi w:val="0"/>
              <w:adjustRightInd w:val="0"/>
              <w:snapToGrid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一、资格证明文件：</w:t>
            </w:r>
          </w:p>
          <w:p>
            <w:pPr>
              <w:keepNext w:val="0"/>
              <w:keepLines w:val="0"/>
              <w:pageBreakBefore w:val="0"/>
              <w:kinsoku/>
              <w:wordWrap/>
              <w:overflowPunct/>
              <w:bidi w:val="0"/>
              <w:adjustRightInd w:val="0"/>
              <w:snapToGrid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1.★合格有效的营业执照复印件；</w:t>
            </w:r>
          </w:p>
          <w:p>
            <w:pPr>
              <w:keepNext w:val="0"/>
              <w:keepLines w:val="0"/>
              <w:pageBreakBefore w:val="0"/>
              <w:kinsoku/>
              <w:wordWrap/>
              <w:overflowPunct/>
              <w:bidi w:val="0"/>
              <w:adjustRightInd w:val="0"/>
              <w:snapToGrid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2.★财务状况报告：</w:t>
            </w:r>
            <w:r>
              <w:rPr>
                <w:rFonts w:hint="eastAsia" w:ascii="宋体" w:hAnsi="宋体" w:eastAsia="宋体" w:cs="宋体"/>
                <w:snapToGrid w:val="0"/>
                <w:color w:val="auto"/>
                <w:sz w:val="24"/>
                <w:szCs w:val="24"/>
              </w:rPr>
              <w:t>经会计师事务所审计的2023年度的财务报告（须提供加盖会计师事务所公章及注册会计师签章的扫描件或复印件）</w:t>
            </w:r>
            <w:r>
              <w:rPr>
                <w:rFonts w:hint="eastAsia" w:ascii="宋体" w:hAnsi="宋体" w:eastAsia="宋体" w:cs="宋体"/>
                <w:snapToGrid w:val="0"/>
                <w:color w:val="auto"/>
                <w:sz w:val="24"/>
                <w:szCs w:val="24"/>
                <w:lang w:eastAsia="zh-CN"/>
              </w:rPr>
              <w:t>，</w:t>
            </w:r>
            <w:r>
              <w:rPr>
                <w:rFonts w:hint="eastAsia" w:ascii="宋体" w:hAnsi="宋体" w:eastAsia="宋体" w:cs="宋体"/>
                <w:snapToGrid w:val="0"/>
                <w:color w:val="auto"/>
                <w:sz w:val="24"/>
                <w:szCs w:val="24"/>
              </w:rPr>
              <w:t>没有经审计的财务报告的，可以提供银行出具的资信证明</w:t>
            </w:r>
            <w:r>
              <w:rPr>
                <w:rFonts w:hint="eastAsia" w:ascii="宋体" w:hAnsi="宋体" w:eastAsia="宋体" w:cs="宋体"/>
                <w:color w:val="auto"/>
                <w:sz w:val="24"/>
                <w:szCs w:val="24"/>
                <w:highlight w:val="none"/>
              </w:rPr>
              <w:t>；</w:t>
            </w:r>
          </w:p>
          <w:p>
            <w:pPr>
              <w:keepNext w:val="0"/>
              <w:keepLines w:val="0"/>
              <w:pageBreakBefore w:val="0"/>
              <w:kinsoku/>
              <w:wordWrap/>
              <w:overflowPunct/>
              <w:bidi w:val="0"/>
              <w:adjustRightInd w:val="0"/>
              <w:snapToGrid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3.★依法缴纳税收：2024年0</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月以来不少于1个月依法缴纳税收（不包括个人所得税）的相关材料，</w:t>
            </w:r>
            <w:r>
              <w:rPr>
                <w:rFonts w:hint="eastAsia" w:ascii="宋体" w:hAnsi="宋体" w:eastAsia="宋体" w:cs="宋体"/>
                <w:snapToGrid w:val="0"/>
                <w:color w:val="auto"/>
                <w:sz w:val="24"/>
                <w:szCs w:val="24"/>
              </w:rPr>
              <w:t>若为</w:t>
            </w:r>
            <w:r>
              <w:rPr>
                <w:rFonts w:hint="eastAsia" w:ascii="宋体" w:hAnsi="宋体" w:eastAsia="宋体" w:cs="宋体"/>
                <w:snapToGrid w:val="0"/>
                <w:color w:val="auto"/>
                <w:sz w:val="24"/>
                <w:szCs w:val="24"/>
                <w:lang w:val="en-US" w:eastAsia="zh-CN"/>
              </w:rPr>
              <w:t>提交响应文件</w:t>
            </w:r>
            <w:r>
              <w:rPr>
                <w:rFonts w:hint="eastAsia" w:ascii="宋体" w:hAnsi="宋体" w:eastAsia="宋体" w:cs="宋体"/>
                <w:snapToGrid w:val="0"/>
                <w:color w:val="auto"/>
                <w:sz w:val="24"/>
                <w:szCs w:val="24"/>
              </w:rPr>
              <w:t>截止时间的当月成立的</w:t>
            </w:r>
            <w:r>
              <w:rPr>
                <w:rFonts w:hint="eastAsia" w:ascii="宋体" w:hAnsi="宋体" w:eastAsia="宋体" w:cs="宋体"/>
                <w:snapToGrid w:val="0"/>
                <w:color w:val="auto"/>
                <w:sz w:val="24"/>
                <w:szCs w:val="24"/>
                <w:lang w:val="en-US" w:eastAsia="zh-CN"/>
              </w:rPr>
              <w:t>供应商</w:t>
            </w:r>
            <w:r>
              <w:rPr>
                <w:rFonts w:hint="eastAsia" w:ascii="宋体" w:hAnsi="宋体" w:eastAsia="宋体" w:cs="宋体"/>
                <w:snapToGrid w:val="0"/>
                <w:color w:val="auto"/>
                <w:sz w:val="24"/>
                <w:szCs w:val="24"/>
              </w:rPr>
              <w:t>，视同满足本项资格条件要求</w:t>
            </w:r>
            <w:r>
              <w:rPr>
                <w:rFonts w:hint="eastAsia" w:ascii="宋体" w:hAnsi="宋体" w:eastAsia="宋体" w:cs="宋体"/>
                <w:color w:val="auto"/>
                <w:sz w:val="24"/>
                <w:szCs w:val="24"/>
                <w:highlight w:val="none"/>
              </w:rPr>
              <w:t>；</w:t>
            </w:r>
          </w:p>
          <w:p>
            <w:pPr>
              <w:keepNext w:val="0"/>
              <w:keepLines w:val="0"/>
              <w:pageBreakBefore w:val="0"/>
              <w:kinsoku/>
              <w:wordWrap/>
              <w:overflowPunct/>
              <w:bidi w:val="0"/>
              <w:adjustRightInd w:val="0"/>
              <w:snapToGrid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4.★社会保障资金：2024年0</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月以来不少于1个月的依法缴纳社会保障资金的相关材料，</w:t>
            </w:r>
            <w:r>
              <w:rPr>
                <w:rFonts w:hint="eastAsia" w:ascii="宋体" w:hAnsi="宋体" w:eastAsia="宋体" w:cs="宋体"/>
                <w:snapToGrid w:val="0"/>
                <w:color w:val="auto"/>
                <w:sz w:val="24"/>
                <w:szCs w:val="24"/>
              </w:rPr>
              <w:t>若为</w:t>
            </w:r>
            <w:r>
              <w:rPr>
                <w:rFonts w:hint="eastAsia" w:ascii="宋体" w:hAnsi="宋体" w:eastAsia="宋体" w:cs="宋体"/>
                <w:snapToGrid w:val="0"/>
                <w:color w:val="auto"/>
                <w:sz w:val="24"/>
                <w:szCs w:val="24"/>
                <w:lang w:val="en-US" w:eastAsia="zh-CN"/>
              </w:rPr>
              <w:t>提交响应文件</w:t>
            </w:r>
            <w:r>
              <w:rPr>
                <w:rFonts w:hint="eastAsia" w:ascii="宋体" w:hAnsi="宋体" w:eastAsia="宋体" w:cs="宋体"/>
                <w:snapToGrid w:val="0"/>
                <w:color w:val="auto"/>
                <w:sz w:val="24"/>
                <w:szCs w:val="24"/>
              </w:rPr>
              <w:t>截止时间的当月成立的</w:t>
            </w:r>
            <w:r>
              <w:rPr>
                <w:rFonts w:hint="eastAsia" w:ascii="宋体" w:hAnsi="宋体" w:eastAsia="宋体" w:cs="宋体"/>
                <w:snapToGrid w:val="0"/>
                <w:color w:val="auto"/>
                <w:sz w:val="24"/>
                <w:szCs w:val="24"/>
                <w:lang w:val="en-US" w:eastAsia="zh-CN"/>
              </w:rPr>
              <w:t>供应商</w:t>
            </w:r>
            <w:r>
              <w:rPr>
                <w:rFonts w:hint="eastAsia" w:ascii="宋体" w:hAnsi="宋体" w:eastAsia="宋体" w:cs="宋体"/>
                <w:snapToGrid w:val="0"/>
                <w:color w:val="auto"/>
                <w:sz w:val="24"/>
                <w:szCs w:val="24"/>
              </w:rPr>
              <w:t>，视同满足本项资格条件要求</w:t>
            </w:r>
            <w:r>
              <w:rPr>
                <w:rFonts w:hint="eastAsia" w:ascii="宋体" w:hAnsi="宋体" w:eastAsia="宋体" w:cs="宋体"/>
                <w:color w:val="auto"/>
                <w:sz w:val="24"/>
                <w:szCs w:val="24"/>
                <w:highlight w:val="none"/>
              </w:rPr>
              <w:t>；</w:t>
            </w:r>
          </w:p>
          <w:p>
            <w:pPr>
              <w:keepNext w:val="0"/>
              <w:keepLines w:val="0"/>
              <w:pageBreakBefore w:val="0"/>
              <w:kinsoku/>
              <w:wordWrap/>
              <w:overflowPunct/>
              <w:bidi w:val="0"/>
              <w:adjustRightInd w:val="0"/>
              <w:snapToGrid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5.★具备履行合同所必需的设备和专业技术能力的</w:t>
            </w:r>
            <w:r>
              <w:rPr>
                <w:rFonts w:hint="eastAsia" w:ascii="宋体" w:hAnsi="宋体" w:cs="宋体"/>
                <w:color w:val="auto"/>
                <w:sz w:val="24"/>
                <w:szCs w:val="24"/>
                <w:highlight w:val="none"/>
                <w:lang w:val="en-US" w:eastAsia="zh-CN"/>
              </w:rPr>
              <w:t>声明函</w:t>
            </w:r>
            <w:r>
              <w:rPr>
                <w:rFonts w:hint="eastAsia" w:ascii="宋体" w:hAnsi="宋体" w:eastAsia="宋体" w:cs="宋体"/>
                <w:color w:val="auto"/>
                <w:sz w:val="24"/>
                <w:szCs w:val="24"/>
                <w:highlight w:val="none"/>
              </w:rPr>
              <w:t>；</w:t>
            </w:r>
          </w:p>
          <w:p>
            <w:pPr>
              <w:keepNext w:val="0"/>
              <w:keepLines w:val="0"/>
              <w:pageBreakBefore w:val="0"/>
              <w:kinsoku/>
              <w:wordWrap/>
              <w:overflowPunct/>
              <w:bidi w:val="0"/>
              <w:adjustRightInd w:val="0"/>
              <w:snapToGrid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snapToGrid w:val="0"/>
                <w:color w:val="auto"/>
                <w:sz w:val="24"/>
                <w:szCs w:val="24"/>
              </w:rPr>
              <w:t>参加政府采购活动前</w:t>
            </w:r>
            <w:r>
              <w:rPr>
                <w:rFonts w:hint="eastAsia" w:ascii="宋体" w:hAnsi="宋体" w:eastAsia="宋体" w:cs="宋体"/>
                <w:snapToGrid w:val="0"/>
                <w:color w:val="auto"/>
                <w:sz w:val="24"/>
                <w:szCs w:val="24"/>
                <w:lang w:val="en-US" w:eastAsia="zh-CN"/>
              </w:rPr>
              <w:t>三</w:t>
            </w:r>
            <w:r>
              <w:rPr>
                <w:rFonts w:hint="eastAsia" w:ascii="宋体" w:hAnsi="宋体" w:eastAsia="宋体" w:cs="宋体"/>
                <w:snapToGrid w:val="0"/>
                <w:color w:val="auto"/>
                <w:sz w:val="24"/>
                <w:szCs w:val="24"/>
              </w:rPr>
              <w:t>年内在经营活动中没有重大违法记录的书面声明</w:t>
            </w:r>
            <w:r>
              <w:rPr>
                <w:rFonts w:hint="eastAsia" w:ascii="宋体" w:hAnsi="宋体" w:eastAsia="宋体" w:cs="宋体"/>
                <w:color w:val="auto"/>
                <w:sz w:val="24"/>
                <w:szCs w:val="24"/>
                <w:highlight w:val="none"/>
              </w:rPr>
              <w:t>；</w:t>
            </w:r>
          </w:p>
          <w:p>
            <w:pPr>
              <w:keepNext w:val="0"/>
              <w:keepLines w:val="0"/>
              <w:pageBreakBefore w:val="0"/>
              <w:kinsoku/>
              <w:wordWrap/>
              <w:overflowPunct/>
              <w:bidi w:val="0"/>
              <w:adjustRightInd w:val="0"/>
              <w:snapToGrid w:val="0"/>
              <w:spacing w:line="390" w:lineRule="exact"/>
              <w:jc w:val="left"/>
              <w:textAlignment w:val="auto"/>
              <w:rPr>
                <w:rFonts w:hint="eastAsia"/>
                <w:color w:val="auto"/>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snapToGrid w:val="0"/>
                <w:color w:val="auto"/>
                <w:sz w:val="24"/>
                <w:szCs w:val="24"/>
              </w:rPr>
              <w:t>参加政府采购活动前</w:t>
            </w:r>
            <w:r>
              <w:rPr>
                <w:rFonts w:hint="eastAsia" w:ascii="宋体" w:hAnsi="宋体" w:eastAsia="宋体" w:cs="宋体"/>
                <w:snapToGrid w:val="0"/>
                <w:color w:val="auto"/>
                <w:sz w:val="24"/>
                <w:szCs w:val="24"/>
                <w:lang w:val="en-US" w:eastAsia="zh-CN"/>
              </w:rPr>
              <w:t>三</w:t>
            </w:r>
            <w:r>
              <w:rPr>
                <w:rFonts w:hint="eastAsia" w:ascii="宋体" w:hAnsi="宋体" w:eastAsia="宋体" w:cs="宋体"/>
                <w:snapToGrid w:val="0"/>
                <w:color w:val="auto"/>
                <w:sz w:val="24"/>
                <w:szCs w:val="24"/>
              </w:rPr>
              <w:t>年内无行贿犯罪记录的书面声明</w:t>
            </w:r>
            <w:r>
              <w:rPr>
                <w:rFonts w:hint="eastAsia" w:ascii="宋体" w:hAnsi="宋体" w:eastAsia="宋体" w:cs="宋体"/>
                <w:color w:val="auto"/>
                <w:sz w:val="24"/>
                <w:szCs w:val="24"/>
                <w:highlight w:val="none"/>
              </w:rPr>
              <w:t>；</w:t>
            </w:r>
          </w:p>
          <w:p>
            <w:pPr>
              <w:keepNext w:val="0"/>
              <w:keepLines w:val="0"/>
              <w:pageBreakBefore w:val="0"/>
              <w:kinsoku/>
              <w:wordWrap/>
              <w:overflowPunct/>
              <w:bidi w:val="0"/>
              <w:adjustRightInd w:val="0"/>
              <w:snapToGrid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lang w:val="en-US" w:eastAsia="zh-CN"/>
              </w:rPr>
              <w:t>其他要求：见第一章 磋商邀请“二、供应商的资格要求</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b/>
                <w:color w:val="auto"/>
                <w:sz w:val="24"/>
                <w:szCs w:val="24"/>
                <w:highlight w:val="none"/>
              </w:rPr>
            </w:pPr>
          </w:p>
        </w:tc>
        <w:tc>
          <w:tcPr>
            <w:tcW w:w="1964" w:type="dxa"/>
            <w:vMerge w:val="continue"/>
            <w:noWrap w:val="0"/>
            <w:vAlign w:val="center"/>
          </w:tcPr>
          <w:p>
            <w:pPr>
              <w:keepNext w:val="0"/>
              <w:keepLines w:val="0"/>
              <w:pageBreakBefore w:val="0"/>
              <w:kinsoku/>
              <w:wordWrap/>
              <w:overflowPunct/>
              <w:topLinePunct/>
              <w:autoSpaceDE w:val="0"/>
              <w:autoSpaceDN w:val="0"/>
              <w:bidi w:val="0"/>
              <w:adjustRightInd w:val="0"/>
              <w:snapToGrid w:val="0"/>
              <w:spacing w:line="390" w:lineRule="exact"/>
              <w:jc w:val="center"/>
              <w:textAlignment w:val="auto"/>
              <w:rPr>
                <w:rFonts w:hint="eastAsia" w:ascii="宋体" w:hAnsi="宋体" w:eastAsia="宋体" w:cs="宋体"/>
                <w:b/>
                <w:color w:val="auto"/>
                <w:sz w:val="24"/>
                <w:szCs w:val="24"/>
                <w:highlight w:val="none"/>
              </w:rPr>
            </w:pPr>
          </w:p>
        </w:tc>
        <w:tc>
          <w:tcPr>
            <w:tcW w:w="990" w:type="dxa"/>
            <w:vMerge w:val="continue"/>
            <w:noWrap w:val="0"/>
            <w:vAlign w:val="center"/>
          </w:tcPr>
          <w:p>
            <w:pPr>
              <w:keepNext w:val="0"/>
              <w:keepLines w:val="0"/>
              <w:pageBreakBefore w:val="0"/>
              <w:kinsoku/>
              <w:wordWrap/>
              <w:overflowPunct/>
              <w:topLinePunct/>
              <w:autoSpaceDE w:val="0"/>
              <w:autoSpaceDN w:val="0"/>
              <w:bidi w:val="0"/>
              <w:adjustRightInd w:val="0"/>
              <w:snapToGrid w:val="0"/>
              <w:spacing w:line="390" w:lineRule="exact"/>
              <w:textAlignment w:val="auto"/>
              <w:rPr>
                <w:rFonts w:hint="eastAsia" w:ascii="宋体" w:hAnsi="宋体" w:eastAsia="宋体" w:cs="宋体"/>
                <w:b/>
                <w:bCs/>
                <w:color w:val="auto"/>
                <w:sz w:val="24"/>
                <w:szCs w:val="24"/>
                <w:highlight w:val="none"/>
              </w:rPr>
            </w:pPr>
          </w:p>
        </w:tc>
        <w:tc>
          <w:tcPr>
            <w:tcW w:w="5207" w:type="dxa"/>
            <w:noWrap w:val="0"/>
            <w:vAlign w:val="center"/>
          </w:tcPr>
          <w:p>
            <w:pPr>
              <w:keepNext w:val="0"/>
              <w:keepLines w:val="0"/>
              <w:pageBreakBefore w:val="0"/>
              <w:kinsoku/>
              <w:wordWrap/>
              <w:overflowPunct/>
              <w:bidi w:val="0"/>
              <w:adjustRightInd w:val="0"/>
              <w:snapToGrid w:val="0"/>
              <w:spacing w:line="39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eastAsia="宋体" w:cs="宋体"/>
                <w:b/>
                <w:color w:val="auto"/>
                <w:sz w:val="24"/>
                <w:szCs w:val="24"/>
                <w:highlight w:val="none"/>
              </w:rPr>
              <w:t>报价一览表</w:t>
            </w:r>
            <w:r>
              <w:rPr>
                <w:rFonts w:hint="eastAsia" w:ascii="宋体" w:hAnsi="宋体" w:eastAsia="宋体" w:cs="宋体"/>
                <w:b/>
                <w:bCs/>
                <w:color w:val="auto"/>
                <w:sz w:val="24"/>
                <w:szCs w:val="24"/>
                <w:highlight w:val="none"/>
              </w:rPr>
              <w:t>：</w:t>
            </w:r>
          </w:p>
          <w:p>
            <w:pPr>
              <w:keepNext w:val="0"/>
              <w:keepLines w:val="0"/>
              <w:pageBreakBefore w:val="0"/>
              <w:kinsoku/>
              <w:wordWrap/>
              <w:overflowPunct/>
              <w:bidi w:val="0"/>
              <w:adjustRightInd w:val="0"/>
              <w:snapToGrid w:val="0"/>
              <w:spacing w:line="39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1.★磋商报价表</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b/>
                <w:color w:val="auto"/>
                <w:sz w:val="24"/>
                <w:szCs w:val="24"/>
                <w:highlight w:val="none"/>
              </w:rPr>
            </w:pPr>
          </w:p>
        </w:tc>
        <w:tc>
          <w:tcPr>
            <w:tcW w:w="1964" w:type="dxa"/>
            <w:vMerge w:val="continue"/>
            <w:noWrap w:val="0"/>
            <w:vAlign w:val="center"/>
          </w:tcPr>
          <w:p>
            <w:pPr>
              <w:keepNext w:val="0"/>
              <w:keepLines w:val="0"/>
              <w:pageBreakBefore w:val="0"/>
              <w:kinsoku/>
              <w:wordWrap/>
              <w:overflowPunct/>
              <w:topLinePunct/>
              <w:autoSpaceDE w:val="0"/>
              <w:autoSpaceDN w:val="0"/>
              <w:bidi w:val="0"/>
              <w:adjustRightInd w:val="0"/>
              <w:snapToGrid w:val="0"/>
              <w:spacing w:line="390" w:lineRule="exact"/>
              <w:jc w:val="center"/>
              <w:textAlignment w:val="auto"/>
              <w:rPr>
                <w:rFonts w:hint="eastAsia" w:ascii="宋体" w:hAnsi="宋体" w:eastAsia="宋体" w:cs="宋体"/>
                <w:b/>
                <w:color w:val="auto"/>
                <w:sz w:val="24"/>
                <w:szCs w:val="24"/>
                <w:highlight w:val="none"/>
              </w:rPr>
            </w:pPr>
          </w:p>
        </w:tc>
        <w:tc>
          <w:tcPr>
            <w:tcW w:w="990" w:type="dxa"/>
            <w:vMerge w:val="continue"/>
            <w:noWrap w:val="0"/>
            <w:vAlign w:val="center"/>
          </w:tcPr>
          <w:p>
            <w:pPr>
              <w:keepNext w:val="0"/>
              <w:keepLines w:val="0"/>
              <w:pageBreakBefore w:val="0"/>
              <w:kinsoku/>
              <w:wordWrap/>
              <w:overflowPunct/>
              <w:topLinePunct/>
              <w:autoSpaceDE w:val="0"/>
              <w:autoSpaceDN w:val="0"/>
              <w:bidi w:val="0"/>
              <w:adjustRightInd w:val="0"/>
              <w:snapToGrid w:val="0"/>
              <w:spacing w:line="390" w:lineRule="exact"/>
              <w:textAlignment w:val="auto"/>
              <w:rPr>
                <w:rFonts w:hint="eastAsia" w:ascii="宋体" w:hAnsi="宋体" w:eastAsia="宋体" w:cs="宋体"/>
                <w:b/>
                <w:bCs/>
                <w:color w:val="auto"/>
                <w:sz w:val="24"/>
                <w:szCs w:val="24"/>
                <w:highlight w:val="none"/>
              </w:rPr>
            </w:pPr>
          </w:p>
        </w:tc>
        <w:tc>
          <w:tcPr>
            <w:tcW w:w="5207" w:type="dxa"/>
            <w:noWrap w:val="0"/>
            <w:vAlign w:val="center"/>
          </w:tcPr>
          <w:p>
            <w:pPr>
              <w:keepNext w:val="0"/>
              <w:keepLines w:val="0"/>
              <w:pageBreakBefore w:val="0"/>
              <w:widowControl/>
              <w:shd w:val="clear" w:color="auto" w:fill="FFFFFF"/>
              <w:tabs>
                <w:tab w:val="left" w:pos="475"/>
                <w:tab w:val="left" w:pos="617"/>
              </w:tabs>
              <w:kinsoku/>
              <w:wordWrap/>
              <w:overflowPunct/>
              <w:bidi w:val="0"/>
              <w:adjustRightInd w:val="0"/>
              <w:snapToGrid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三、其他文件及资料：</w:t>
            </w:r>
          </w:p>
          <w:p>
            <w:pPr>
              <w:keepNext w:val="0"/>
              <w:keepLines w:val="0"/>
              <w:pageBreakBefore w:val="0"/>
              <w:kinsoku/>
              <w:wordWrap/>
              <w:overflowPunct/>
              <w:bidi w:val="0"/>
              <w:adjustRightInd w:val="0"/>
              <w:snapToGrid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1.★授权委托书（</w:t>
            </w:r>
            <w:r>
              <w:rPr>
                <w:rFonts w:hint="eastAsia" w:ascii="宋体" w:hAnsi="宋体" w:eastAsia="宋体" w:cs="宋体"/>
                <w:i/>
                <w:color w:val="auto"/>
                <w:sz w:val="24"/>
                <w:szCs w:val="24"/>
                <w:highlight w:val="none"/>
              </w:rPr>
              <w:t>参考响应文件格式1</w:t>
            </w:r>
            <w:r>
              <w:rPr>
                <w:rFonts w:hint="eastAsia" w:ascii="宋体" w:hAnsi="宋体" w:eastAsia="宋体" w:cs="宋体"/>
                <w:color w:val="auto"/>
                <w:sz w:val="24"/>
                <w:szCs w:val="24"/>
                <w:highlight w:val="none"/>
              </w:rPr>
              <w:t>）；</w:t>
            </w:r>
          </w:p>
          <w:p>
            <w:pPr>
              <w:keepNext w:val="0"/>
              <w:keepLines w:val="0"/>
              <w:pageBreakBefore w:val="0"/>
              <w:kinsoku/>
              <w:wordWrap/>
              <w:overflowPunct/>
              <w:bidi w:val="0"/>
              <w:adjustRightInd w:val="0"/>
              <w:snapToGrid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2.★磋商响应函（</w:t>
            </w:r>
            <w:r>
              <w:rPr>
                <w:rFonts w:hint="eastAsia" w:ascii="宋体" w:hAnsi="宋体" w:eastAsia="宋体" w:cs="宋体"/>
                <w:i/>
                <w:color w:val="auto"/>
                <w:sz w:val="24"/>
                <w:szCs w:val="24"/>
                <w:highlight w:val="none"/>
              </w:rPr>
              <w:t>参考响应文件格式2</w:t>
            </w:r>
            <w:r>
              <w:rPr>
                <w:rFonts w:hint="eastAsia" w:ascii="宋体" w:hAnsi="宋体" w:eastAsia="宋体" w:cs="宋体"/>
                <w:color w:val="auto"/>
                <w:sz w:val="24"/>
                <w:szCs w:val="24"/>
                <w:highlight w:val="none"/>
              </w:rPr>
              <w:t>）；</w:t>
            </w:r>
          </w:p>
          <w:p>
            <w:pPr>
              <w:keepNext w:val="0"/>
              <w:keepLines w:val="0"/>
              <w:pageBreakBefore w:val="0"/>
              <w:kinsoku/>
              <w:wordWrap/>
              <w:overflowPunct/>
              <w:bidi w:val="0"/>
              <w:adjustRightInd w:val="0"/>
              <w:snapToGrid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3.商务条款偏离表；</w:t>
            </w:r>
          </w:p>
          <w:p>
            <w:pPr>
              <w:keepNext w:val="0"/>
              <w:keepLines w:val="0"/>
              <w:pageBreakBefore w:val="0"/>
              <w:kinsoku/>
              <w:wordWrap/>
              <w:overflowPunct/>
              <w:bidi w:val="0"/>
              <w:adjustRightInd w:val="0"/>
              <w:snapToGrid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.中小企业声明函</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监狱企业证明文件[监狱企业参加政府采购活动的，应提交省级</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rPr>
              <w:t>以上监狱管理局、戒毒管理局（含新疆生产建设兵团）出具的证明文件]</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残疾人福利性单位声明函（残疾人福利性单位参加政府采购活动的，应提交此函）；</w:t>
            </w:r>
          </w:p>
          <w:p>
            <w:pPr>
              <w:keepNext w:val="0"/>
              <w:keepLines w:val="0"/>
              <w:pageBreakBefore w:val="0"/>
              <w:kinsoku/>
              <w:wordWrap/>
              <w:overflowPunct/>
              <w:bidi w:val="0"/>
              <w:adjustRightInd w:val="0"/>
              <w:snapToGrid w:val="0"/>
              <w:spacing w:line="390" w:lineRule="exact"/>
              <w:jc w:val="left"/>
              <w:textAlignment w:val="auto"/>
              <w:rPr>
                <w:rFonts w:hint="eastAsia" w:ascii="宋体" w:hAnsi="宋体" w:eastAsia="宋体" w:cs="宋体"/>
                <w:bCs/>
                <w:color w:val="auto"/>
                <w:sz w:val="24"/>
                <w:szCs w:val="24"/>
                <w:highlight w:val="none"/>
                <w:lang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.供应商认为需要提供的其它说明和资料</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p>
        </w:tc>
        <w:tc>
          <w:tcPr>
            <w:tcW w:w="1964" w:type="dxa"/>
            <w:vMerge w:val="continue"/>
            <w:noWrap w:val="0"/>
            <w:vAlign w:val="center"/>
          </w:tcPr>
          <w:p>
            <w:pPr>
              <w:keepNext w:val="0"/>
              <w:keepLines w:val="0"/>
              <w:pageBreakBefore w:val="0"/>
              <w:kinsoku/>
              <w:wordWrap/>
              <w:overflowPunct/>
              <w:topLinePunct/>
              <w:autoSpaceDE w:val="0"/>
              <w:autoSpaceDN w:val="0"/>
              <w:bidi w:val="0"/>
              <w:adjustRightInd w:val="0"/>
              <w:snapToGrid w:val="0"/>
              <w:spacing w:line="390" w:lineRule="exact"/>
              <w:jc w:val="center"/>
              <w:textAlignment w:val="auto"/>
              <w:rPr>
                <w:rFonts w:hint="eastAsia" w:ascii="宋体" w:hAnsi="宋体" w:eastAsia="宋体" w:cs="宋体"/>
                <w:color w:val="auto"/>
                <w:sz w:val="24"/>
                <w:szCs w:val="24"/>
                <w:highlight w:val="none"/>
              </w:rPr>
            </w:pPr>
          </w:p>
        </w:tc>
        <w:tc>
          <w:tcPr>
            <w:tcW w:w="990" w:type="dxa"/>
            <w:noWrap w:val="0"/>
            <w:vAlign w:val="center"/>
          </w:tcPr>
          <w:p>
            <w:pPr>
              <w:keepNext w:val="0"/>
              <w:keepLines w:val="0"/>
              <w:pageBreakBefore w:val="0"/>
              <w:kinsoku/>
              <w:wordWrap/>
              <w:overflowPunct/>
              <w:topLinePunct/>
              <w:autoSpaceDE w:val="0"/>
              <w:autoSpaceDN w:val="0"/>
              <w:bidi w:val="0"/>
              <w:adjustRightInd w:val="0"/>
              <w:snapToGrid w:val="0"/>
              <w:spacing w:line="39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技术部分</w:t>
            </w:r>
          </w:p>
        </w:tc>
        <w:tc>
          <w:tcPr>
            <w:tcW w:w="5207" w:type="dxa"/>
            <w:noWrap w:val="0"/>
            <w:vAlign w:val="center"/>
          </w:tcPr>
          <w:p>
            <w:pPr>
              <w:keepNext w:val="0"/>
              <w:keepLines w:val="0"/>
              <w:pageBreakBefore w:val="0"/>
              <w:kinsoku/>
              <w:wordWrap/>
              <w:overflowPunct/>
              <w:bidi w:val="0"/>
              <w:adjustRightInd w:val="0"/>
              <w:snapToGrid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★1.技术条款偏离表；</w:t>
            </w:r>
          </w:p>
          <w:p>
            <w:pPr>
              <w:keepNext w:val="0"/>
              <w:keepLines w:val="0"/>
              <w:pageBreakBefore w:val="0"/>
              <w:kinsoku/>
              <w:wordWrap/>
              <w:overflowPunct/>
              <w:bidi w:val="0"/>
              <w:adjustRightInd w:val="0"/>
              <w:snapToGrid w:val="0"/>
              <w:spacing w:line="39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2.服务方案、实施方案及技术方案；</w:t>
            </w:r>
          </w:p>
          <w:p>
            <w:pPr>
              <w:keepNext w:val="0"/>
              <w:keepLines w:val="0"/>
              <w:pageBreakBefore w:val="0"/>
              <w:kinsoku/>
              <w:wordWrap/>
              <w:overflowPunct/>
              <w:bidi w:val="0"/>
              <w:adjustRightInd w:val="0"/>
              <w:snapToGrid w:val="0"/>
              <w:spacing w:line="39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3.供应商认为需要提供的其它说明和资料</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6" w:type="dxa"/>
            <w:vMerge w:val="continue"/>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b/>
                <w:color w:val="auto"/>
                <w:sz w:val="24"/>
                <w:szCs w:val="24"/>
                <w:highlight w:val="none"/>
              </w:rPr>
            </w:pPr>
          </w:p>
        </w:tc>
        <w:tc>
          <w:tcPr>
            <w:tcW w:w="1964" w:type="dxa"/>
            <w:vMerge w:val="continue"/>
            <w:noWrap w:val="0"/>
            <w:vAlign w:val="center"/>
          </w:tcPr>
          <w:p>
            <w:pPr>
              <w:keepNext w:val="0"/>
              <w:keepLines w:val="0"/>
              <w:pageBreakBefore w:val="0"/>
              <w:kinsoku/>
              <w:wordWrap/>
              <w:overflowPunct/>
              <w:topLinePunct/>
              <w:autoSpaceDE w:val="0"/>
              <w:autoSpaceDN w:val="0"/>
              <w:bidi w:val="0"/>
              <w:adjustRightInd w:val="0"/>
              <w:snapToGrid w:val="0"/>
              <w:spacing w:line="390" w:lineRule="exact"/>
              <w:jc w:val="center"/>
              <w:textAlignment w:val="auto"/>
              <w:rPr>
                <w:rFonts w:hint="eastAsia" w:ascii="宋体" w:hAnsi="宋体" w:eastAsia="宋体" w:cs="宋体"/>
                <w:b/>
                <w:color w:val="auto"/>
                <w:sz w:val="24"/>
                <w:szCs w:val="24"/>
                <w:highlight w:val="none"/>
              </w:rPr>
            </w:pPr>
          </w:p>
        </w:tc>
        <w:tc>
          <w:tcPr>
            <w:tcW w:w="6197" w:type="dxa"/>
            <w:gridSpan w:val="2"/>
            <w:noWrap w:val="0"/>
            <w:vAlign w:val="center"/>
          </w:tcPr>
          <w:p>
            <w:pPr>
              <w:keepNext w:val="0"/>
              <w:keepLines w:val="0"/>
              <w:pageBreakBefore w:val="0"/>
              <w:kinsoku/>
              <w:wordWrap/>
              <w:overflowPunct/>
              <w:bidi w:val="0"/>
              <w:adjustRightInd w:val="0"/>
              <w:snapToGrid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cs="宋体"/>
                <w:b/>
                <w:color w:val="auto"/>
                <w:sz w:val="24"/>
                <w:szCs w:val="24"/>
                <w:highlight w:val="none"/>
                <w:lang w:val="en-US" w:eastAsia="zh-CN"/>
              </w:rPr>
              <w:t>注：</w:t>
            </w:r>
            <w:r>
              <w:rPr>
                <w:rFonts w:hint="eastAsia" w:ascii="宋体" w:hAnsi="宋体" w:eastAsia="宋体" w:cs="宋体"/>
                <w:b/>
                <w:color w:val="auto"/>
                <w:sz w:val="24"/>
                <w:szCs w:val="24"/>
                <w:highlight w:val="none"/>
              </w:rPr>
              <w:t>以上带★的文件及资料未提供或提供的无效，则响应无效。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1964" w:type="dxa"/>
            <w:noWrap w:val="0"/>
            <w:vAlign w:val="center"/>
          </w:tcPr>
          <w:p>
            <w:pPr>
              <w:keepNext w:val="0"/>
              <w:keepLines w:val="0"/>
              <w:pageBreakBefore w:val="0"/>
              <w:kinsoku/>
              <w:wordWrap/>
              <w:overflowPunct/>
              <w:topLinePunct/>
              <w:autoSpaceDE w:val="0"/>
              <w:autoSpaceDN w:val="0"/>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磋商响应有效期</w:t>
            </w:r>
          </w:p>
        </w:tc>
        <w:tc>
          <w:tcPr>
            <w:tcW w:w="6197" w:type="dxa"/>
            <w:gridSpan w:val="2"/>
            <w:noWrap w:val="0"/>
            <w:vAlign w:val="center"/>
          </w:tcPr>
          <w:p>
            <w:pPr>
              <w:keepNext w:val="0"/>
              <w:keepLines w:val="0"/>
              <w:pageBreakBefore w:val="0"/>
              <w:kinsoku/>
              <w:wordWrap/>
              <w:overflowPunct/>
              <w:topLinePunct/>
              <w:autoSpaceDE w:val="0"/>
              <w:autoSpaceDN w:val="0"/>
              <w:bidi w:val="0"/>
              <w:adjustRightInd w:val="0"/>
              <w:snapToGrid w:val="0"/>
              <w:spacing w:line="39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从提交响应文件的截止之日起计算</w:t>
            </w:r>
            <w:r>
              <w:rPr>
                <w:rFonts w:hint="eastAsia" w:ascii="宋体" w:hAnsi="宋体" w:cs="宋体"/>
                <w:color w:val="auto"/>
                <w:sz w:val="24"/>
                <w:szCs w:val="24"/>
                <w:highlight w:val="none"/>
                <w:u w:val="single"/>
                <w:lang w:val="en-US" w:eastAsia="zh-CN"/>
              </w:rPr>
              <w:t>90</w:t>
            </w:r>
            <w:r>
              <w:rPr>
                <w:rFonts w:hint="eastAsia" w:ascii="宋体" w:hAnsi="宋体" w:eastAsia="宋体" w:cs="宋体"/>
                <w:color w:val="auto"/>
                <w:sz w:val="24"/>
                <w:szCs w:val="24"/>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964" w:type="dxa"/>
            <w:noWrap w:val="0"/>
            <w:vAlign w:val="center"/>
          </w:tcPr>
          <w:p>
            <w:pPr>
              <w:keepNext w:val="0"/>
              <w:keepLines w:val="0"/>
              <w:pageBreakBefore w:val="0"/>
              <w:kinsoku/>
              <w:wordWrap/>
              <w:overflowPunct/>
              <w:topLinePunct/>
              <w:autoSpaceDE w:val="0"/>
              <w:autoSpaceDN w:val="0"/>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提交响应文件方式、截止时间、地点</w:t>
            </w:r>
          </w:p>
        </w:tc>
        <w:tc>
          <w:tcPr>
            <w:tcW w:w="6197" w:type="dxa"/>
            <w:gridSpan w:val="2"/>
            <w:noWrap w:val="0"/>
            <w:vAlign w:val="center"/>
          </w:tcPr>
          <w:p>
            <w:pPr>
              <w:keepNext w:val="0"/>
              <w:keepLines w:val="0"/>
              <w:pageBreakBefore w:val="0"/>
              <w:kinsoku/>
              <w:wordWrap/>
              <w:overflowPunct/>
              <w:topLinePunct/>
              <w:autoSpaceDE w:val="0"/>
              <w:autoSpaceDN w:val="0"/>
              <w:bidi w:val="0"/>
              <w:adjustRightInd w:val="0"/>
              <w:snapToGrid w:val="0"/>
              <w:spacing w:line="390" w:lineRule="exact"/>
              <w:textAlignment w:val="auto"/>
              <w:rPr>
                <w:rFonts w:hint="eastAsia" w:ascii="宋体" w:hAnsi="宋体" w:eastAsia="宋体" w:cs="宋体"/>
                <w:color w:val="auto"/>
                <w:sz w:val="24"/>
                <w:szCs w:val="24"/>
                <w:highlight w:val="none"/>
                <w:u w:val="none"/>
              </w:rPr>
            </w:pPr>
            <w:r>
              <w:rPr>
                <w:rFonts w:hint="eastAsia" w:ascii="宋体" w:hAnsi="宋体" w:eastAsia="宋体" w:cs="宋体"/>
                <w:b/>
                <w:color w:val="auto"/>
                <w:sz w:val="24"/>
                <w:szCs w:val="24"/>
                <w:highlight w:val="none"/>
              </w:rPr>
              <w:t>提交方式：</w:t>
            </w:r>
            <w:r>
              <w:rPr>
                <w:rFonts w:hint="eastAsia" w:ascii="宋体" w:hAnsi="宋体" w:eastAsia="宋体" w:cs="宋体"/>
                <w:color w:val="auto"/>
                <w:sz w:val="24"/>
                <w:szCs w:val="24"/>
                <w:highlight w:val="none"/>
                <w:u w:val="none"/>
              </w:rPr>
              <w:t>纸质文件提交</w:t>
            </w:r>
          </w:p>
          <w:p>
            <w:pPr>
              <w:keepNext w:val="0"/>
              <w:keepLines w:val="0"/>
              <w:pageBreakBefore w:val="0"/>
              <w:kinsoku/>
              <w:wordWrap/>
              <w:overflowPunct/>
              <w:topLinePunct/>
              <w:autoSpaceDE w:val="0"/>
              <w:autoSpaceDN w:val="0"/>
              <w:bidi w:val="0"/>
              <w:adjustRightInd w:val="0"/>
              <w:snapToGrid w:val="0"/>
              <w:spacing w:line="390" w:lineRule="exact"/>
              <w:textAlignment w:val="auto"/>
              <w:rPr>
                <w:rFonts w:hint="eastAsia" w:ascii="宋体" w:hAnsi="宋体" w:eastAsia="宋体" w:cs="宋体"/>
                <w:bCs/>
                <w:color w:val="auto"/>
                <w:sz w:val="24"/>
                <w:szCs w:val="24"/>
                <w:highlight w:val="none"/>
                <w:u w:val="none"/>
              </w:rPr>
            </w:pPr>
            <w:r>
              <w:rPr>
                <w:rFonts w:hint="eastAsia" w:ascii="宋体" w:hAnsi="宋体" w:eastAsia="宋体" w:cs="宋体"/>
                <w:b/>
                <w:color w:val="auto"/>
                <w:sz w:val="24"/>
                <w:szCs w:val="24"/>
                <w:highlight w:val="none"/>
              </w:rPr>
              <w:t>提交响应文件截止时间：</w:t>
            </w:r>
            <w:r>
              <w:rPr>
                <w:rFonts w:hint="eastAsia" w:ascii="宋体" w:hAnsi="宋体" w:cs="宋体"/>
                <w:color w:val="auto"/>
                <w:sz w:val="24"/>
                <w:szCs w:val="24"/>
                <w:highlight w:val="none"/>
                <w:u w:val="none"/>
                <w:lang w:val="en-US" w:eastAsia="zh-CN"/>
              </w:rPr>
              <w:t>2025</w:t>
            </w:r>
            <w:r>
              <w:rPr>
                <w:rFonts w:hint="eastAsia" w:ascii="宋体" w:hAnsi="宋体" w:eastAsia="宋体" w:cs="宋体"/>
                <w:bCs/>
                <w:color w:val="auto"/>
                <w:sz w:val="24"/>
                <w:szCs w:val="24"/>
                <w:highlight w:val="none"/>
                <w:u w:val="none"/>
              </w:rPr>
              <w:t>年</w:t>
            </w:r>
            <w:r>
              <w:rPr>
                <w:rFonts w:hint="eastAsia" w:ascii="宋体" w:hAnsi="宋体" w:cs="宋体"/>
                <w:bCs/>
                <w:color w:val="auto"/>
                <w:sz w:val="24"/>
                <w:szCs w:val="24"/>
                <w:highlight w:val="none"/>
                <w:u w:val="none"/>
                <w:lang w:val="en-US" w:eastAsia="zh-CN"/>
              </w:rPr>
              <w:t>2</w:t>
            </w:r>
            <w:r>
              <w:rPr>
                <w:rFonts w:hint="eastAsia" w:ascii="宋体" w:hAnsi="宋体" w:eastAsia="宋体" w:cs="宋体"/>
                <w:bCs/>
                <w:color w:val="auto"/>
                <w:sz w:val="24"/>
                <w:szCs w:val="24"/>
                <w:highlight w:val="none"/>
                <w:u w:val="none"/>
              </w:rPr>
              <w:t>月</w:t>
            </w:r>
            <w:r>
              <w:rPr>
                <w:rFonts w:hint="eastAsia" w:ascii="宋体" w:hAnsi="宋体" w:cs="宋体"/>
                <w:bCs/>
                <w:color w:val="auto"/>
                <w:sz w:val="24"/>
                <w:szCs w:val="24"/>
                <w:highlight w:val="none"/>
                <w:u w:val="none"/>
                <w:lang w:val="en-US" w:eastAsia="zh-CN"/>
              </w:rPr>
              <w:t>17</w:t>
            </w:r>
            <w:r>
              <w:rPr>
                <w:rFonts w:hint="eastAsia" w:ascii="宋体" w:hAnsi="宋体" w:eastAsia="宋体" w:cs="宋体"/>
                <w:bCs/>
                <w:color w:val="auto"/>
                <w:sz w:val="24"/>
                <w:szCs w:val="24"/>
                <w:highlight w:val="none"/>
                <w:u w:val="none"/>
              </w:rPr>
              <w:t>日</w:t>
            </w:r>
            <w:r>
              <w:rPr>
                <w:rFonts w:hint="eastAsia" w:ascii="宋体" w:hAnsi="宋体" w:cs="宋体"/>
                <w:bCs/>
                <w:color w:val="auto"/>
                <w:sz w:val="24"/>
                <w:szCs w:val="24"/>
                <w:highlight w:val="none"/>
                <w:u w:val="none"/>
                <w:lang w:val="en-US" w:eastAsia="zh-CN"/>
              </w:rPr>
              <w:t>09</w:t>
            </w:r>
            <w:r>
              <w:rPr>
                <w:rFonts w:hint="eastAsia" w:ascii="宋体" w:hAnsi="宋体" w:eastAsia="宋体" w:cs="宋体"/>
                <w:bCs/>
                <w:color w:val="auto"/>
                <w:sz w:val="24"/>
                <w:szCs w:val="24"/>
                <w:highlight w:val="none"/>
                <w:u w:val="none"/>
              </w:rPr>
              <w:t>点</w:t>
            </w:r>
            <w:r>
              <w:rPr>
                <w:rFonts w:hint="eastAsia" w:ascii="宋体" w:hAnsi="宋体" w:cs="宋体"/>
                <w:bCs/>
                <w:color w:val="auto"/>
                <w:sz w:val="24"/>
                <w:szCs w:val="24"/>
                <w:highlight w:val="none"/>
                <w:u w:val="none"/>
                <w:lang w:val="en-US" w:eastAsia="zh-CN"/>
              </w:rPr>
              <w:t>00</w:t>
            </w:r>
            <w:r>
              <w:rPr>
                <w:rFonts w:hint="eastAsia" w:ascii="宋体" w:hAnsi="宋体" w:eastAsia="宋体" w:cs="宋体"/>
                <w:bCs/>
                <w:color w:val="auto"/>
                <w:sz w:val="24"/>
                <w:szCs w:val="24"/>
                <w:highlight w:val="none"/>
                <w:u w:val="none"/>
              </w:rPr>
              <w:t>分</w:t>
            </w:r>
            <w:r>
              <w:rPr>
                <w:rFonts w:hint="eastAsia" w:ascii="宋体" w:hAnsi="宋体" w:eastAsia="宋体" w:cs="宋体"/>
                <w:bCs/>
                <w:color w:val="auto"/>
                <w:sz w:val="24"/>
                <w:szCs w:val="24"/>
                <w:highlight w:val="none"/>
                <w:u w:val="none"/>
                <w:lang w:val="en-US" w:eastAsia="zh-CN"/>
              </w:rPr>
              <w:t>（北京时间）</w:t>
            </w:r>
          </w:p>
          <w:p>
            <w:pPr>
              <w:keepNext w:val="0"/>
              <w:keepLines w:val="0"/>
              <w:pageBreakBefore w:val="0"/>
              <w:kinsoku/>
              <w:wordWrap/>
              <w:overflowPunct/>
              <w:topLinePunct/>
              <w:autoSpaceDE w:val="0"/>
              <w:autoSpaceDN w:val="0"/>
              <w:bidi w:val="0"/>
              <w:adjustRightInd w:val="0"/>
              <w:snapToGrid w:val="0"/>
              <w:spacing w:line="390" w:lineRule="exact"/>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地点：</w:t>
            </w:r>
            <w:r>
              <w:rPr>
                <w:rFonts w:hint="eastAsia" w:ascii="宋体" w:hAnsi="宋体" w:eastAsia="宋体" w:cs="宋体"/>
                <w:color w:val="auto"/>
                <w:sz w:val="24"/>
                <w:szCs w:val="24"/>
                <w:highlight w:val="none"/>
                <w:u w:val="none"/>
                <w:lang w:val="en-US" w:eastAsia="zh-CN"/>
              </w:rPr>
              <w:t>南平市建阳区潭城街道黄花山路29-30号(军分区门口)二层开标厅</w:t>
            </w:r>
          </w:p>
          <w:p>
            <w:pPr>
              <w:keepNext w:val="0"/>
              <w:keepLines w:val="0"/>
              <w:pageBreakBefore w:val="0"/>
              <w:kinsoku/>
              <w:wordWrap/>
              <w:overflowPunct/>
              <w:topLinePunct/>
              <w:autoSpaceDE w:val="0"/>
              <w:autoSpaceDN w:val="0"/>
              <w:bidi w:val="0"/>
              <w:adjustRightInd w:val="0"/>
              <w:snapToGrid w:val="0"/>
              <w:spacing w:line="390" w:lineRule="exact"/>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联系电话：</w:t>
            </w:r>
            <w:r>
              <w:rPr>
                <w:rFonts w:hint="eastAsia" w:ascii="宋体" w:hAnsi="宋体" w:eastAsia="宋体" w:cs="宋体"/>
                <w:b w:val="0"/>
                <w:bCs/>
                <w:color w:val="auto"/>
                <w:sz w:val="24"/>
                <w:szCs w:val="24"/>
                <w:highlight w:val="none"/>
                <w:u w:val="none"/>
              </w:rPr>
              <w:t>0591-88318332、87530730、87616211转80</w:t>
            </w:r>
            <w:r>
              <w:rPr>
                <w:rFonts w:hint="eastAsia" w:ascii="宋体" w:hAnsi="宋体" w:cs="宋体"/>
                <w:b w:val="0"/>
                <w:bCs/>
                <w:color w:val="auto"/>
                <w:sz w:val="24"/>
                <w:szCs w:val="24"/>
                <w:highlight w:val="none"/>
                <w:u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1964" w:type="dxa"/>
            <w:noWrap w:val="0"/>
            <w:vAlign w:val="center"/>
          </w:tcPr>
          <w:p>
            <w:pPr>
              <w:keepNext w:val="0"/>
              <w:keepLines w:val="0"/>
              <w:pageBreakBefore w:val="0"/>
              <w:kinsoku/>
              <w:wordWrap/>
              <w:overflowPunct/>
              <w:topLinePunct/>
              <w:autoSpaceDE w:val="0"/>
              <w:autoSpaceDN w:val="0"/>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响应文件开启时间和地点</w:t>
            </w:r>
          </w:p>
        </w:tc>
        <w:tc>
          <w:tcPr>
            <w:tcW w:w="6197" w:type="dxa"/>
            <w:gridSpan w:val="2"/>
            <w:noWrap w:val="0"/>
            <w:vAlign w:val="center"/>
          </w:tcPr>
          <w:p>
            <w:pPr>
              <w:keepNext w:val="0"/>
              <w:keepLines w:val="0"/>
              <w:pageBreakBefore w:val="0"/>
              <w:kinsoku/>
              <w:wordWrap/>
              <w:overflowPunct/>
              <w:topLinePunct/>
              <w:autoSpaceDE w:val="0"/>
              <w:autoSpaceDN w:val="0"/>
              <w:bidi w:val="0"/>
              <w:adjustRightInd w:val="0"/>
              <w:snapToGrid w:val="0"/>
              <w:spacing w:line="390" w:lineRule="exact"/>
              <w:textAlignment w:val="auto"/>
              <w:rPr>
                <w:rFonts w:hint="default" w:ascii="宋体" w:hAnsi="宋体" w:eastAsia="宋体" w:cs="宋体"/>
                <w:color w:val="auto"/>
                <w:sz w:val="24"/>
                <w:szCs w:val="24"/>
                <w:highlight w:val="none"/>
                <w:lang w:val="en-US"/>
              </w:rPr>
            </w:pPr>
            <w:r>
              <w:rPr>
                <w:rFonts w:hint="eastAsia" w:ascii="宋体" w:hAnsi="宋体" w:eastAsia="宋体" w:cs="宋体"/>
                <w:b/>
                <w:color w:val="auto"/>
                <w:sz w:val="24"/>
                <w:szCs w:val="24"/>
                <w:highlight w:val="none"/>
              </w:rPr>
              <w:t>时间：</w:t>
            </w:r>
            <w:r>
              <w:rPr>
                <w:rFonts w:hint="eastAsia" w:ascii="宋体" w:hAnsi="宋体" w:cs="宋体"/>
                <w:color w:val="auto"/>
                <w:sz w:val="24"/>
                <w:szCs w:val="24"/>
                <w:highlight w:val="none"/>
                <w:u w:val="none"/>
                <w:lang w:val="en-US" w:eastAsia="zh-CN"/>
              </w:rPr>
              <w:t>2025</w:t>
            </w:r>
            <w:r>
              <w:rPr>
                <w:rFonts w:hint="eastAsia" w:ascii="宋体" w:hAnsi="宋体" w:eastAsia="宋体" w:cs="宋体"/>
                <w:bCs/>
                <w:color w:val="auto"/>
                <w:sz w:val="24"/>
                <w:szCs w:val="24"/>
                <w:highlight w:val="none"/>
                <w:u w:val="none"/>
              </w:rPr>
              <w:t>年</w:t>
            </w:r>
            <w:r>
              <w:rPr>
                <w:rFonts w:hint="eastAsia" w:ascii="宋体" w:hAnsi="宋体" w:cs="宋体"/>
                <w:bCs/>
                <w:color w:val="auto"/>
                <w:sz w:val="24"/>
                <w:szCs w:val="24"/>
                <w:highlight w:val="none"/>
                <w:u w:val="none"/>
                <w:lang w:val="en-US" w:eastAsia="zh-CN"/>
              </w:rPr>
              <w:t>2</w:t>
            </w:r>
            <w:r>
              <w:rPr>
                <w:rFonts w:hint="eastAsia" w:ascii="宋体" w:hAnsi="宋体" w:eastAsia="宋体" w:cs="宋体"/>
                <w:bCs/>
                <w:color w:val="auto"/>
                <w:sz w:val="24"/>
                <w:szCs w:val="24"/>
                <w:highlight w:val="none"/>
                <w:u w:val="none"/>
              </w:rPr>
              <w:t>月</w:t>
            </w:r>
            <w:r>
              <w:rPr>
                <w:rFonts w:hint="eastAsia" w:ascii="宋体" w:hAnsi="宋体" w:cs="宋体"/>
                <w:bCs/>
                <w:color w:val="auto"/>
                <w:sz w:val="24"/>
                <w:szCs w:val="24"/>
                <w:highlight w:val="none"/>
                <w:u w:val="none"/>
                <w:lang w:val="en-US" w:eastAsia="zh-CN"/>
              </w:rPr>
              <w:t>17</w:t>
            </w:r>
            <w:r>
              <w:rPr>
                <w:rFonts w:hint="eastAsia" w:ascii="宋体" w:hAnsi="宋体" w:eastAsia="宋体" w:cs="宋体"/>
                <w:bCs/>
                <w:color w:val="auto"/>
                <w:sz w:val="24"/>
                <w:szCs w:val="24"/>
                <w:highlight w:val="none"/>
                <w:u w:val="none"/>
              </w:rPr>
              <w:t>日</w:t>
            </w:r>
            <w:r>
              <w:rPr>
                <w:rFonts w:hint="eastAsia" w:ascii="宋体" w:hAnsi="宋体" w:cs="宋体"/>
                <w:bCs/>
                <w:color w:val="auto"/>
                <w:sz w:val="24"/>
                <w:szCs w:val="24"/>
                <w:highlight w:val="none"/>
                <w:u w:val="none"/>
                <w:lang w:val="en-US" w:eastAsia="zh-CN"/>
              </w:rPr>
              <w:t>09</w:t>
            </w:r>
            <w:r>
              <w:rPr>
                <w:rFonts w:hint="eastAsia" w:ascii="宋体" w:hAnsi="宋体" w:eastAsia="宋体" w:cs="宋体"/>
                <w:bCs/>
                <w:color w:val="auto"/>
                <w:sz w:val="24"/>
                <w:szCs w:val="24"/>
                <w:highlight w:val="none"/>
                <w:u w:val="none"/>
              </w:rPr>
              <w:t>点</w:t>
            </w:r>
            <w:r>
              <w:rPr>
                <w:rFonts w:hint="eastAsia" w:ascii="宋体" w:hAnsi="宋体" w:cs="宋体"/>
                <w:bCs/>
                <w:color w:val="auto"/>
                <w:sz w:val="24"/>
                <w:szCs w:val="24"/>
                <w:highlight w:val="none"/>
                <w:u w:val="none"/>
                <w:lang w:val="en-US" w:eastAsia="zh-CN"/>
              </w:rPr>
              <w:t>00</w:t>
            </w:r>
            <w:r>
              <w:rPr>
                <w:rFonts w:hint="eastAsia" w:ascii="宋体" w:hAnsi="宋体" w:eastAsia="宋体" w:cs="宋体"/>
                <w:bCs/>
                <w:color w:val="auto"/>
                <w:sz w:val="24"/>
                <w:szCs w:val="24"/>
                <w:highlight w:val="none"/>
                <w:u w:val="none"/>
              </w:rPr>
              <w:t>分</w:t>
            </w:r>
            <w:r>
              <w:rPr>
                <w:rFonts w:hint="eastAsia" w:ascii="宋体" w:hAnsi="宋体" w:eastAsia="宋体" w:cs="宋体"/>
                <w:bCs/>
                <w:color w:val="auto"/>
                <w:sz w:val="24"/>
                <w:szCs w:val="24"/>
                <w:highlight w:val="none"/>
                <w:u w:val="none"/>
                <w:lang w:val="en-US" w:eastAsia="zh-CN"/>
              </w:rPr>
              <w:t>（北京时间）</w:t>
            </w:r>
          </w:p>
          <w:p>
            <w:pPr>
              <w:keepNext w:val="0"/>
              <w:keepLines w:val="0"/>
              <w:pageBreakBefore w:val="0"/>
              <w:kinsoku/>
              <w:wordWrap/>
              <w:overflowPunct/>
              <w:topLinePunct/>
              <w:autoSpaceDE w:val="0"/>
              <w:autoSpaceDN w:val="0"/>
              <w:bidi w:val="0"/>
              <w:adjustRightInd w:val="0"/>
              <w:snapToGrid w:val="0"/>
              <w:spacing w:line="39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地点：</w:t>
            </w:r>
            <w:r>
              <w:rPr>
                <w:rFonts w:hint="eastAsia" w:ascii="宋体" w:hAnsi="宋体" w:eastAsia="宋体" w:cs="宋体"/>
                <w:color w:val="auto"/>
                <w:sz w:val="24"/>
                <w:szCs w:val="24"/>
                <w:highlight w:val="none"/>
                <w:u w:val="none"/>
                <w:lang w:val="en-US" w:eastAsia="zh-CN"/>
              </w:rPr>
              <w:t>南平市建阳区潭城街道黄花山路29-30号(军分区门口)二层开标厅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1964" w:type="dxa"/>
            <w:noWrap w:val="0"/>
            <w:vAlign w:val="center"/>
          </w:tcPr>
          <w:p>
            <w:pPr>
              <w:keepNext w:val="0"/>
              <w:keepLines w:val="0"/>
              <w:pageBreakBefore w:val="0"/>
              <w:tabs>
                <w:tab w:val="left" w:pos="1875"/>
              </w:tabs>
              <w:kinsoku/>
              <w:wordWrap/>
              <w:overflowPunct/>
              <w:bidi w:val="0"/>
              <w:adjustRightInd w:val="0"/>
              <w:snapToGrid w:val="0"/>
              <w:spacing w:line="39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磋商保证金</w:t>
            </w:r>
          </w:p>
        </w:tc>
        <w:tc>
          <w:tcPr>
            <w:tcW w:w="6197" w:type="dxa"/>
            <w:gridSpan w:val="2"/>
            <w:noWrap w:val="0"/>
            <w:vAlign w:val="center"/>
          </w:tcPr>
          <w:p>
            <w:pPr>
              <w:keepNext w:val="0"/>
              <w:keepLines w:val="0"/>
              <w:pageBreakBefore w:val="0"/>
              <w:kinsoku/>
              <w:wordWrap/>
              <w:overflowPunct/>
              <w:topLinePunct/>
              <w:autoSpaceDE w:val="0"/>
              <w:autoSpaceDN w:val="0"/>
              <w:bidi w:val="0"/>
              <w:adjustRightInd w:val="0"/>
              <w:snapToGrid w:val="0"/>
              <w:spacing w:line="39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不</w:t>
            </w:r>
            <w:r>
              <w:rPr>
                <w:rFonts w:hint="eastAsia" w:ascii="宋体" w:hAnsi="宋体" w:eastAsia="宋体" w:cs="宋体"/>
                <w:b w:val="0"/>
                <w:bCs w:val="0"/>
                <w:color w:val="auto"/>
                <w:sz w:val="24"/>
                <w:szCs w:val="24"/>
                <w:highlight w:val="none"/>
              </w:rPr>
              <w:t>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1964" w:type="dxa"/>
            <w:noWrap w:val="0"/>
            <w:vAlign w:val="center"/>
          </w:tcPr>
          <w:p>
            <w:pPr>
              <w:keepNext w:val="0"/>
              <w:keepLines w:val="0"/>
              <w:pageBreakBefore w:val="0"/>
              <w:tabs>
                <w:tab w:val="left" w:pos="1875"/>
              </w:tabs>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不予退还磋商保证金的情形</w:t>
            </w:r>
          </w:p>
        </w:tc>
        <w:tc>
          <w:tcPr>
            <w:tcW w:w="6197" w:type="dxa"/>
            <w:gridSpan w:val="2"/>
            <w:noWrap w:val="0"/>
            <w:vAlign w:val="center"/>
          </w:tcPr>
          <w:p>
            <w:pPr>
              <w:keepNext w:val="0"/>
              <w:keepLines w:val="0"/>
              <w:pageBreakBefore w:val="0"/>
              <w:kinsoku/>
              <w:wordWrap/>
              <w:overflowPunct/>
              <w:topLinePunct/>
              <w:autoSpaceDE w:val="0"/>
              <w:autoSpaceDN w:val="0"/>
              <w:bidi w:val="0"/>
              <w:adjustRightInd w:val="0"/>
              <w:snapToGrid w:val="0"/>
              <w:spacing w:line="39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有下列情形之一的，磋商保证金将不予退还：</w:t>
            </w:r>
          </w:p>
          <w:p>
            <w:pPr>
              <w:keepNext w:val="0"/>
              <w:keepLines w:val="0"/>
              <w:pageBreakBefore w:val="0"/>
              <w:kinsoku/>
              <w:wordWrap/>
              <w:overflowPunct/>
              <w:topLinePunct/>
              <w:autoSpaceDE w:val="0"/>
              <w:autoSpaceDN w:val="0"/>
              <w:bidi w:val="0"/>
              <w:adjustRightInd w:val="0"/>
              <w:snapToGrid w:val="0"/>
              <w:spacing w:line="39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（1）供应商在提交响应文件截止时间后撤回响应文件的；</w:t>
            </w:r>
          </w:p>
          <w:p>
            <w:pPr>
              <w:keepNext w:val="0"/>
              <w:keepLines w:val="0"/>
              <w:pageBreakBefore w:val="0"/>
              <w:kinsoku/>
              <w:wordWrap/>
              <w:overflowPunct/>
              <w:topLinePunct/>
              <w:autoSpaceDE w:val="0"/>
              <w:autoSpaceDN w:val="0"/>
              <w:bidi w:val="0"/>
              <w:adjustRightInd w:val="0"/>
              <w:snapToGrid w:val="0"/>
              <w:spacing w:line="39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（2）供应商在响应文件中提供虚假材料的；</w:t>
            </w:r>
          </w:p>
          <w:p>
            <w:pPr>
              <w:keepNext w:val="0"/>
              <w:keepLines w:val="0"/>
              <w:pageBreakBefore w:val="0"/>
              <w:kinsoku/>
              <w:wordWrap/>
              <w:overflowPunct/>
              <w:topLinePunct/>
              <w:autoSpaceDE w:val="0"/>
              <w:autoSpaceDN w:val="0"/>
              <w:bidi w:val="0"/>
              <w:adjustRightInd w:val="0"/>
              <w:snapToGrid w:val="0"/>
              <w:spacing w:line="39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（3）除因不可抗力或磋商文件认可的情形以外，成交供应商不与采购人签订合同的；</w:t>
            </w:r>
          </w:p>
          <w:p>
            <w:pPr>
              <w:keepNext w:val="0"/>
              <w:keepLines w:val="0"/>
              <w:pageBreakBefore w:val="0"/>
              <w:kinsoku/>
              <w:wordWrap/>
              <w:overflowPunct/>
              <w:topLinePunct/>
              <w:autoSpaceDE w:val="0"/>
              <w:autoSpaceDN w:val="0"/>
              <w:bidi w:val="0"/>
              <w:adjustRightInd w:val="0"/>
              <w:snapToGrid w:val="0"/>
              <w:spacing w:line="39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（4）供应商与采购人、其他供应商或者采购代理机构恶意串通的； </w:t>
            </w:r>
          </w:p>
          <w:p>
            <w:pPr>
              <w:keepNext w:val="0"/>
              <w:keepLines w:val="0"/>
              <w:pageBreakBefore w:val="0"/>
              <w:kinsoku/>
              <w:wordWrap/>
              <w:overflowPunct/>
              <w:topLinePunct/>
              <w:autoSpaceDE w:val="0"/>
              <w:autoSpaceDN w:val="0"/>
              <w:bidi w:val="0"/>
              <w:adjustRightInd w:val="0"/>
              <w:snapToGrid w:val="0"/>
              <w:spacing w:line="39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（5）其他不予退还磋商保证金的情形：</w:t>
            </w:r>
            <w:r>
              <w:rPr>
                <w:rFonts w:hint="eastAsia" w:ascii="宋体" w:hAnsi="宋体" w:cs="宋体"/>
                <w:color w:val="auto"/>
                <w:sz w:val="24"/>
                <w:szCs w:val="24"/>
                <w:highlight w:val="none"/>
                <w:u w:val="none"/>
                <w:lang w:val="en-US" w:eastAsia="zh-CN"/>
              </w:rPr>
              <w:t>无</w:t>
            </w:r>
            <w:r>
              <w:rPr>
                <w:rFonts w:hint="eastAsia" w:ascii="宋体" w:hAnsi="宋体" w:eastAsia="宋体" w:cs="宋体"/>
                <w:color w:val="auto"/>
                <w:sz w:val="24"/>
                <w:szCs w:val="24"/>
                <w:highlight w:val="none"/>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1964" w:type="dxa"/>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信用记录审查</w:t>
            </w:r>
          </w:p>
        </w:tc>
        <w:tc>
          <w:tcPr>
            <w:tcW w:w="6197" w:type="dxa"/>
            <w:gridSpan w:val="2"/>
            <w:noWrap w:val="0"/>
            <w:vAlign w:val="center"/>
          </w:tcPr>
          <w:p>
            <w:pPr>
              <w:keepNext w:val="0"/>
              <w:keepLines w:val="0"/>
              <w:pageBreakBefore w:val="0"/>
              <w:kinsoku/>
              <w:wordWrap/>
              <w:overflowPunct/>
              <w:bidi w:val="0"/>
              <w:adjustRightInd w:val="0"/>
              <w:snapToGrid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关于在政府采购活动中查询及使用信用记录有关问题的通知》（财库〔2016〕125号）规定，磋商小组将通过“信用中国”网站（www.creditchina.gov.cn）、中国政府采购网（www.ccgp.gov.cn），对供应商截止到提交响应文件截止时间的信用记录进行审查，对列入失信被执行人、重大税收违法案件当事人名单、政府采购严重违法失信行为记录名单及其他不符合《中华人民共和国政府采购法》第二十二条规定条件的供应商，其磋商响应将被拒绝。</w:t>
            </w:r>
          </w:p>
          <w:p>
            <w:pPr>
              <w:keepNext w:val="0"/>
              <w:keepLines w:val="0"/>
              <w:pageBreakBefore w:val="0"/>
              <w:kinsoku/>
              <w:wordWrap/>
              <w:overflowPunct/>
              <w:bidi w:val="0"/>
              <w:adjustRightInd w:val="0"/>
              <w:snapToGrid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本次查询的信用记录仅限于本项目使用，查询结果将留存在采购档案中。</w:t>
            </w:r>
          </w:p>
          <w:p>
            <w:pPr>
              <w:keepNext w:val="0"/>
              <w:keepLines w:val="0"/>
              <w:pageBreakBefore w:val="0"/>
              <w:kinsoku/>
              <w:wordWrap/>
              <w:overflowPunct/>
              <w:bidi w:val="0"/>
              <w:adjustRightInd w:val="0"/>
              <w:snapToGrid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在上述指定网站不能查询信用信息的供应商，应提供相关证明材料（原件加盖公章）。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1964" w:type="dxa"/>
            <w:noWrap w:val="0"/>
            <w:vAlign w:val="center"/>
          </w:tcPr>
          <w:p>
            <w:pPr>
              <w:keepNext w:val="0"/>
              <w:keepLines w:val="0"/>
              <w:pageBreakBefore w:val="0"/>
              <w:kinsoku/>
              <w:wordWrap/>
              <w:overflowPunct/>
              <w:topLinePunct/>
              <w:autoSpaceDE w:val="0"/>
              <w:autoSpaceDN w:val="0"/>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支持中小型</w:t>
            </w:r>
          </w:p>
          <w:p>
            <w:pPr>
              <w:keepNext w:val="0"/>
              <w:keepLines w:val="0"/>
              <w:pageBreakBefore w:val="0"/>
              <w:kinsoku/>
              <w:wordWrap/>
              <w:overflowPunct/>
              <w:topLinePunct/>
              <w:autoSpaceDE w:val="0"/>
              <w:autoSpaceDN w:val="0"/>
              <w:bidi w:val="0"/>
              <w:adjustRightInd w:val="0"/>
              <w:snapToGrid w:val="0"/>
              <w:spacing w:line="39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企业发展</w:t>
            </w:r>
          </w:p>
        </w:tc>
        <w:tc>
          <w:tcPr>
            <w:tcW w:w="6197" w:type="dxa"/>
            <w:gridSpan w:val="2"/>
            <w:noWrap w:val="0"/>
            <w:vAlign w:val="center"/>
          </w:tcPr>
          <w:p>
            <w:pPr>
              <w:keepNext w:val="0"/>
              <w:keepLines w:val="0"/>
              <w:pageBreakBefore w:val="0"/>
              <w:kinsoku/>
              <w:wordWrap/>
              <w:overflowPunct/>
              <w:bidi w:val="0"/>
              <w:adjustRightInd w:val="0"/>
              <w:snapToGrid w:val="0"/>
              <w:spacing w:line="39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根据《政府采购促进中小型企业发展管理办法》（财库〔2020〕46号），鼓励中小企业参加本项目采购活动。</w:t>
            </w:r>
          </w:p>
          <w:p>
            <w:pPr>
              <w:keepNext w:val="0"/>
              <w:keepLines w:val="0"/>
              <w:pageBreakBefore w:val="0"/>
              <w:kinsoku/>
              <w:wordWrap/>
              <w:overflowPunct/>
              <w:bidi w:val="0"/>
              <w:adjustRightInd w:val="0"/>
              <w:snapToGrid w:val="0"/>
              <w:spacing w:line="39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在货物采购项目中，</w:t>
            </w:r>
            <w:r>
              <w:rPr>
                <w:rFonts w:hint="eastAsia" w:ascii="宋体" w:hAnsi="宋体" w:eastAsia="宋体" w:cs="宋体"/>
                <w:color w:val="auto"/>
                <w:sz w:val="24"/>
                <w:szCs w:val="24"/>
                <w:highlight w:val="none"/>
              </w:rPr>
              <w:t>满足所有标的均由中小企业制造，即所有标的均由中小企业生产且使用该中小企业商号或者注册商标的，可享受中小企业扶持政策。</w:t>
            </w:r>
          </w:p>
          <w:p>
            <w:pPr>
              <w:keepNext w:val="0"/>
              <w:keepLines w:val="0"/>
              <w:pageBreakBefore w:val="0"/>
              <w:kinsoku/>
              <w:wordWrap/>
              <w:overflowPunct/>
              <w:bidi w:val="0"/>
              <w:adjustRightInd w:val="0"/>
              <w:snapToGrid w:val="0"/>
              <w:spacing w:line="39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在服务采购项目中，</w:t>
            </w:r>
            <w:r>
              <w:rPr>
                <w:rFonts w:hint="eastAsia" w:ascii="宋体" w:hAnsi="宋体" w:eastAsia="宋体" w:cs="宋体"/>
                <w:color w:val="auto"/>
                <w:sz w:val="24"/>
                <w:szCs w:val="24"/>
                <w:highlight w:val="none"/>
              </w:rPr>
              <w:t>满足服务由中小企业承接，即提供服务的人员为中小企业依照《中华人民共和国劳动合同法》订立劳动合同的从业人员的，可享受中小企业扶持政策。</w:t>
            </w:r>
          </w:p>
          <w:p>
            <w:pPr>
              <w:keepNext w:val="0"/>
              <w:keepLines w:val="0"/>
              <w:pageBreakBefore w:val="0"/>
              <w:widowControl w:val="0"/>
              <w:kinsoku/>
              <w:wordWrap/>
              <w:overflowPunct/>
              <w:topLinePunct w:val="0"/>
              <w:autoSpaceDE/>
              <w:autoSpaceDN/>
              <w:bidi w:val="0"/>
              <w:adjustRightInd w:val="0"/>
              <w:snapToGrid/>
              <w:spacing w:line="39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在工程采购项目中，</w:t>
            </w:r>
            <w:r>
              <w:rPr>
                <w:rFonts w:hint="eastAsia" w:ascii="宋体" w:hAnsi="宋体" w:eastAsia="宋体" w:cs="宋体"/>
                <w:color w:val="auto"/>
                <w:sz w:val="24"/>
                <w:szCs w:val="24"/>
                <w:highlight w:val="none"/>
              </w:rPr>
              <w:t>满足工程由中小企业承建，即工程施工单位为中小企业，可享受中小企业扶持政策。</w:t>
            </w:r>
          </w:p>
          <w:p>
            <w:pPr>
              <w:keepNext w:val="0"/>
              <w:keepLines w:val="0"/>
              <w:pageBreakBefore w:val="0"/>
              <w:widowControl w:val="0"/>
              <w:kinsoku/>
              <w:wordWrap/>
              <w:overflowPunct/>
              <w:topLinePunct w:val="0"/>
              <w:autoSpaceDE/>
              <w:autoSpaceDN/>
              <w:bidi w:val="0"/>
              <w:adjustRightInd w:val="0"/>
              <w:snapToGrid/>
              <w:spacing w:line="39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p>
          <w:p>
            <w:pPr>
              <w:keepNext w:val="0"/>
              <w:keepLines w:val="0"/>
              <w:pageBreakBefore w:val="0"/>
              <w:kinsoku/>
              <w:wordWrap/>
              <w:overflowPunct/>
              <w:bidi w:val="0"/>
              <w:adjustRightInd w:val="0"/>
              <w:snapToGrid w:val="0"/>
              <w:spacing w:line="39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采购包1：</w:t>
            </w:r>
          </w:p>
          <w:p>
            <w:pPr>
              <w:keepNext w:val="0"/>
              <w:keepLines w:val="0"/>
              <w:pageBreakBefore w:val="0"/>
              <w:kinsoku/>
              <w:wordWrap/>
              <w:overflowPunct/>
              <w:bidi w:val="0"/>
              <w:adjustRightInd w:val="0"/>
              <w:snapToGrid w:val="0"/>
              <w:spacing w:line="39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专门面向中小企业采购项目。</w:t>
            </w:r>
          </w:p>
          <w:p>
            <w:pPr>
              <w:keepNext w:val="0"/>
              <w:keepLines w:val="0"/>
              <w:pageBreakBefore w:val="0"/>
              <w:kinsoku/>
              <w:wordWrap/>
              <w:overflowPunct/>
              <w:bidi w:val="0"/>
              <w:adjustRightInd w:val="0"/>
              <w:snapToGrid w:val="0"/>
              <w:spacing w:line="39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□预留份额面向中小企业采购项目（说明：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kinsoku/>
              <w:wordWrap/>
              <w:overflowPunct/>
              <w:bidi w:val="0"/>
              <w:adjustRightInd w:val="0"/>
              <w:snapToGrid w:val="0"/>
              <w:spacing w:line="39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非专门面向中小企业采购项目。对小型和微型企业的报价给予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1964" w:type="dxa"/>
            <w:noWrap w:val="0"/>
            <w:vAlign w:val="center"/>
          </w:tcPr>
          <w:p>
            <w:pPr>
              <w:keepNext w:val="0"/>
              <w:keepLines w:val="0"/>
              <w:pageBreakBefore w:val="0"/>
              <w:kinsoku/>
              <w:wordWrap/>
              <w:overflowPunct/>
              <w:topLinePunct/>
              <w:autoSpaceDE w:val="0"/>
              <w:autoSpaceDN w:val="0"/>
              <w:bidi w:val="0"/>
              <w:adjustRightInd w:val="0"/>
              <w:snapToGrid w:val="0"/>
              <w:spacing w:line="39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支持监狱企业发展</w:t>
            </w:r>
          </w:p>
        </w:tc>
        <w:tc>
          <w:tcPr>
            <w:tcW w:w="6197" w:type="dxa"/>
            <w:gridSpan w:val="2"/>
            <w:noWrap w:val="0"/>
            <w:vAlign w:val="center"/>
          </w:tcPr>
          <w:p>
            <w:pPr>
              <w:keepNext w:val="0"/>
              <w:keepLines w:val="0"/>
              <w:pageBreakBefore w:val="0"/>
              <w:kinsoku/>
              <w:wordWrap/>
              <w:overflowPunct/>
              <w:bidi w:val="0"/>
              <w:spacing w:line="39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根据《关于政府采购支持监狱企业发展有关问题的通知》（财库〔2014〕68号），监狱企业视同小型、微型企业，按照</w:t>
            </w:r>
            <w:r>
              <w:rPr>
                <w:rFonts w:hint="eastAsia" w:ascii="宋体" w:hAnsi="宋体" w:cs="宋体"/>
                <w:b/>
                <w:bCs/>
                <w:color w:val="auto"/>
                <w:sz w:val="24"/>
                <w:szCs w:val="24"/>
                <w:highlight w:val="none"/>
                <w:lang w:val="en-US" w:eastAsia="zh-CN"/>
              </w:rPr>
              <w:t>供应商须知前附表第25项</w:t>
            </w:r>
            <w:r>
              <w:rPr>
                <w:rFonts w:hint="eastAsia" w:ascii="宋体" w:hAnsi="宋体" w:cs="宋体"/>
                <w:color w:val="auto"/>
                <w:sz w:val="24"/>
                <w:szCs w:val="24"/>
                <w:highlight w:val="none"/>
                <w:lang w:val="en-US" w:eastAsia="zh-CN"/>
              </w:rPr>
              <w:t>享受价格扣除政策。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1964" w:type="dxa"/>
            <w:noWrap w:val="0"/>
            <w:vAlign w:val="center"/>
          </w:tcPr>
          <w:p>
            <w:pPr>
              <w:keepNext w:val="0"/>
              <w:keepLines w:val="0"/>
              <w:pageBreakBefore w:val="0"/>
              <w:kinsoku/>
              <w:wordWrap/>
              <w:overflowPunct/>
              <w:topLinePunct/>
              <w:autoSpaceDE w:val="0"/>
              <w:autoSpaceDN w:val="0"/>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促进残疾人</w:t>
            </w:r>
          </w:p>
          <w:p>
            <w:pPr>
              <w:keepNext w:val="0"/>
              <w:keepLines w:val="0"/>
              <w:pageBreakBefore w:val="0"/>
              <w:kinsoku/>
              <w:wordWrap/>
              <w:overflowPunct/>
              <w:topLinePunct/>
              <w:autoSpaceDE w:val="0"/>
              <w:autoSpaceDN w:val="0"/>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就业</w:t>
            </w:r>
          </w:p>
        </w:tc>
        <w:tc>
          <w:tcPr>
            <w:tcW w:w="6197" w:type="dxa"/>
            <w:gridSpan w:val="2"/>
            <w:noWrap w:val="0"/>
            <w:vAlign w:val="center"/>
          </w:tcPr>
          <w:p>
            <w:pPr>
              <w:keepNext w:val="0"/>
              <w:keepLines w:val="0"/>
              <w:pageBreakBefore w:val="0"/>
              <w:kinsoku/>
              <w:wordWrap/>
              <w:overflowPunct/>
              <w:bidi w:val="0"/>
              <w:spacing w:line="39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根据《关于促进残疾人就业政府采购政策的通知》（财库〔2017〕141号），残疾人福利性单位视同小型、微型企业，按照</w:t>
            </w:r>
            <w:r>
              <w:rPr>
                <w:rFonts w:hint="eastAsia" w:ascii="宋体" w:hAnsi="宋体" w:cs="宋体"/>
                <w:b/>
                <w:bCs/>
                <w:color w:val="auto"/>
                <w:sz w:val="24"/>
                <w:szCs w:val="24"/>
                <w:highlight w:val="none"/>
                <w:lang w:val="en-US" w:eastAsia="zh-CN"/>
              </w:rPr>
              <w:t>供应商须知前附表第25项</w:t>
            </w:r>
            <w:r>
              <w:rPr>
                <w:rFonts w:hint="eastAsia" w:ascii="宋体" w:hAnsi="宋体" w:cs="宋体"/>
                <w:color w:val="auto"/>
                <w:sz w:val="24"/>
                <w:szCs w:val="24"/>
                <w:highlight w:val="none"/>
                <w:lang w:val="en-US" w:eastAsia="zh-CN"/>
              </w:rPr>
              <w:t>享受价格扣除政策。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restart"/>
            <w:noWrap w:val="0"/>
            <w:vAlign w:val="center"/>
          </w:tcPr>
          <w:p>
            <w:pPr>
              <w:keepNext w:val="0"/>
              <w:keepLines w:val="0"/>
              <w:pageBreakBefore w:val="0"/>
              <w:kinsoku/>
              <w:wordWrap/>
              <w:overflowPunct/>
              <w:topLinePunct/>
              <w:autoSpaceDE w:val="0"/>
              <w:autoSpaceDN w:val="0"/>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p>
        </w:tc>
        <w:tc>
          <w:tcPr>
            <w:tcW w:w="1964" w:type="dxa"/>
            <w:vMerge w:val="restart"/>
            <w:noWrap w:val="0"/>
            <w:vAlign w:val="center"/>
          </w:tcPr>
          <w:p>
            <w:pPr>
              <w:keepNext w:val="0"/>
              <w:keepLines w:val="0"/>
              <w:pageBreakBefore w:val="0"/>
              <w:kinsoku/>
              <w:wordWrap/>
              <w:overflowPunct/>
              <w:topLinePunct/>
              <w:autoSpaceDE w:val="0"/>
              <w:autoSpaceDN w:val="0"/>
              <w:bidi w:val="0"/>
              <w:adjustRightInd w:val="0"/>
              <w:snapToGrid w:val="0"/>
              <w:spacing w:line="39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其他法律法规强制性规定或扶持政策</w:t>
            </w:r>
          </w:p>
        </w:tc>
        <w:tc>
          <w:tcPr>
            <w:tcW w:w="6197" w:type="dxa"/>
            <w:gridSpan w:val="2"/>
            <w:noWrap w:val="0"/>
            <w:vAlign w:val="center"/>
          </w:tcPr>
          <w:p>
            <w:pPr>
              <w:keepNext w:val="0"/>
              <w:keepLines w:val="0"/>
              <w:pageBreakBefore w:val="0"/>
              <w:kinsoku/>
              <w:wordWrap/>
              <w:overflowPunct/>
              <w:bidi w:val="0"/>
              <w:spacing w:line="390" w:lineRule="exact"/>
              <w:textAlignment w:val="auto"/>
              <w:rPr>
                <w:rFonts w:hint="eastAsia" w:ascii="宋体" w:hAnsi="宋体" w:eastAsia="宋体" w:cs="宋体"/>
                <w:b/>
                <w:bCs/>
                <w:color w:val="auto"/>
                <w:kern w:val="2"/>
                <w:sz w:val="24"/>
                <w:szCs w:val="24"/>
                <w:highlight w:val="none"/>
                <w:u w:val="single"/>
                <w:lang w:val="en-US" w:eastAsia="zh-CN" w:bidi="ar-SA"/>
              </w:rPr>
            </w:pPr>
            <w:r>
              <w:rPr>
                <w:rFonts w:hint="eastAsia" w:ascii="宋体" w:hAnsi="宋体" w:cs="宋体"/>
                <w:color w:val="auto"/>
                <w:sz w:val="24"/>
                <w:szCs w:val="24"/>
                <w:highlight w:val="none"/>
                <w:lang w:val="en-US" w:eastAsia="zh-CN"/>
              </w:rPr>
              <w:t>采购包1：</w:t>
            </w:r>
            <w:r>
              <w:rPr>
                <w:rFonts w:hint="eastAsia" w:ascii="宋体" w:hAnsi="宋体" w:eastAsia="宋体" w:cs="宋体"/>
                <w:color w:val="auto"/>
                <w:sz w:val="24"/>
                <w:szCs w:val="24"/>
                <w:highlight w:val="none"/>
              </w:rPr>
              <w:t>本</w:t>
            </w:r>
            <w:r>
              <w:rPr>
                <w:rFonts w:hint="eastAsia" w:ascii="宋体" w:hAnsi="宋体" w:cs="宋体"/>
                <w:color w:val="auto"/>
                <w:sz w:val="24"/>
                <w:szCs w:val="24"/>
                <w:highlight w:val="none"/>
                <w:lang w:val="en-US" w:eastAsia="zh-CN"/>
              </w:rPr>
              <w:t>采购包</w:t>
            </w:r>
            <w:r>
              <w:rPr>
                <w:rFonts w:hint="eastAsia" w:ascii="宋体" w:hAnsi="宋体" w:eastAsia="宋体" w:cs="宋体"/>
                <w:color w:val="auto"/>
                <w:sz w:val="24"/>
                <w:szCs w:val="24"/>
                <w:highlight w:val="none"/>
              </w:rPr>
              <w:t>中强制采购节能产品的货物名称：</w:t>
            </w:r>
            <w:r>
              <w:rPr>
                <w:rFonts w:hint="eastAsia" w:ascii="宋体" w:hAnsi="宋体" w:eastAsia="宋体" w:cs="宋体"/>
                <w:b/>
                <w:bCs/>
                <w:color w:val="auto"/>
                <w:kern w:val="2"/>
                <w:sz w:val="24"/>
                <w:szCs w:val="24"/>
                <w:highlight w:val="none"/>
                <w:u w:val="single"/>
                <w:lang w:val="en-US" w:eastAsia="zh-CN" w:bidi="ar-SA"/>
              </w:rPr>
              <w:t>无。</w:t>
            </w:r>
          </w:p>
          <w:p>
            <w:pPr>
              <w:keepNext w:val="0"/>
              <w:keepLines w:val="0"/>
              <w:pageBreakBefore w:val="0"/>
              <w:kinsoku/>
              <w:wordWrap/>
              <w:overflowPunct/>
              <w:bidi w:val="0"/>
              <w:spacing w:line="39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注：供应商所投上述产品必须具有节能产品认证证书，并提供依据国家确定的认证机构出具的、处于有效期之内的节能产品认证证书复印件，否则响应无效。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noWrap w:val="0"/>
            <w:vAlign w:val="center"/>
          </w:tcPr>
          <w:p>
            <w:pPr>
              <w:keepNext w:val="0"/>
              <w:keepLines w:val="0"/>
              <w:pageBreakBefore w:val="0"/>
              <w:kinsoku/>
              <w:wordWrap/>
              <w:overflowPunct/>
              <w:topLinePunct/>
              <w:autoSpaceDE w:val="0"/>
              <w:autoSpaceDN w:val="0"/>
              <w:bidi w:val="0"/>
              <w:adjustRightInd w:val="0"/>
              <w:snapToGrid w:val="0"/>
              <w:spacing w:line="390" w:lineRule="exact"/>
              <w:jc w:val="center"/>
              <w:textAlignment w:val="auto"/>
              <w:rPr>
                <w:rFonts w:hint="eastAsia" w:ascii="宋体" w:hAnsi="宋体" w:eastAsia="宋体" w:cs="宋体"/>
                <w:color w:val="auto"/>
                <w:sz w:val="24"/>
                <w:szCs w:val="24"/>
                <w:highlight w:val="none"/>
              </w:rPr>
            </w:pPr>
          </w:p>
        </w:tc>
        <w:tc>
          <w:tcPr>
            <w:tcW w:w="1964" w:type="dxa"/>
            <w:vMerge w:val="continue"/>
            <w:noWrap w:val="0"/>
            <w:vAlign w:val="center"/>
          </w:tcPr>
          <w:p>
            <w:pPr>
              <w:keepNext w:val="0"/>
              <w:keepLines w:val="0"/>
              <w:pageBreakBefore w:val="0"/>
              <w:kinsoku/>
              <w:wordWrap/>
              <w:overflowPunct/>
              <w:topLinePunct/>
              <w:autoSpaceDE w:val="0"/>
              <w:autoSpaceDN w:val="0"/>
              <w:bidi w:val="0"/>
              <w:adjustRightInd w:val="0"/>
              <w:snapToGrid w:val="0"/>
              <w:spacing w:line="390" w:lineRule="exact"/>
              <w:jc w:val="center"/>
              <w:textAlignment w:val="auto"/>
              <w:rPr>
                <w:rFonts w:hint="eastAsia" w:ascii="宋体" w:hAnsi="宋体" w:eastAsia="宋体" w:cs="宋体"/>
                <w:color w:val="auto"/>
                <w:sz w:val="24"/>
                <w:szCs w:val="24"/>
                <w:highlight w:val="none"/>
              </w:rPr>
            </w:pPr>
          </w:p>
        </w:tc>
        <w:tc>
          <w:tcPr>
            <w:tcW w:w="6197" w:type="dxa"/>
            <w:gridSpan w:val="2"/>
            <w:noWrap w:val="0"/>
            <w:vAlign w:val="center"/>
          </w:tcPr>
          <w:p>
            <w:pPr>
              <w:keepNext w:val="0"/>
              <w:keepLines w:val="0"/>
              <w:pageBreakBefore w:val="0"/>
              <w:kinsoku/>
              <w:wordWrap/>
              <w:overflowPunct/>
              <w:bidi w:val="0"/>
              <w:spacing w:line="39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本项目中采购信息安全产品的货物名称：</w:t>
            </w:r>
            <w:r>
              <w:rPr>
                <w:rFonts w:hint="eastAsia" w:ascii="宋体" w:hAnsi="宋体" w:cs="宋体"/>
                <w:color w:val="auto"/>
                <w:sz w:val="24"/>
                <w:szCs w:val="24"/>
                <w:highlight w:val="none"/>
                <w:u w:val="single"/>
                <w:lang w:val="en-US" w:eastAsia="zh-CN"/>
              </w:rPr>
              <w:t>无</w:t>
            </w:r>
          </w:p>
          <w:p>
            <w:pPr>
              <w:keepNext w:val="0"/>
              <w:keepLines w:val="0"/>
              <w:pageBreakBefore w:val="0"/>
              <w:kinsoku/>
              <w:wordWrap/>
              <w:overflowPunct/>
              <w:topLinePunct/>
              <w:autoSpaceDE w:val="0"/>
              <w:autoSpaceDN w:val="0"/>
              <w:bidi w:val="0"/>
              <w:adjustRightInd w:val="0"/>
              <w:snapToGrid w:val="0"/>
              <w:spacing w:line="39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注：供应商所投上述产品需为国家认证的信息安全产品，并提供由中国网络安全审查技术与认证中心（原中国信息安全认证中心）按国家标准认证颁发的有效认证证书复印件，否则响应无效。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noWrap w:val="0"/>
            <w:vAlign w:val="center"/>
          </w:tcPr>
          <w:p>
            <w:pPr>
              <w:keepNext w:val="0"/>
              <w:keepLines w:val="0"/>
              <w:pageBreakBefore w:val="0"/>
              <w:kinsoku/>
              <w:wordWrap/>
              <w:overflowPunct/>
              <w:topLinePunct/>
              <w:autoSpaceDE w:val="0"/>
              <w:autoSpaceDN w:val="0"/>
              <w:bidi w:val="0"/>
              <w:adjustRightInd w:val="0"/>
              <w:snapToGrid w:val="0"/>
              <w:spacing w:line="390" w:lineRule="exact"/>
              <w:jc w:val="center"/>
              <w:textAlignment w:val="auto"/>
              <w:rPr>
                <w:rFonts w:hint="eastAsia" w:ascii="宋体" w:hAnsi="宋体" w:eastAsia="宋体" w:cs="宋体"/>
                <w:color w:val="auto"/>
                <w:sz w:val="24"/>
                <w:szCs w:val="24"/>
                <w:highlight w:val="none"/>
              </w:rPr>
            </w:pPr>
          </w:p>
        </w:tc>
        <w:tc>
          <w:tcPr>
            <w:tcW w:w="1964" w:type="dxa"/>
            <w:vMerge w:val="continue"/>
            <w:noWrap w:val="0"/>
            <w:vAlign w:val="center"/>
          </w:tcPr>
          <w:p>
            <w:pPr>
              <w:keepNext w:val="0"/>
              <w:keepLines w:val="0"/>
              <w:pageBreakBefore w:val="0"/>
              <w:kinsoku/>
              <w:wordWrap/>
              <w:overflowPunct/>
              <w:topLinePunct/>
              <w:autoSpaceDE w:val="0"/>
              <w:autoSpaceDN w:val="0"/>
              <w:bidi w:val="0"/>
              <w:adjustRightInd w:val="0"/>
              <w:snapToGrid w:val="0"/>
              <w:spacing w:line="390" w:lineRule="exact"/>
              <w:jc w:val="center"/>
              <w:textAlignment w:val="auto"/>
              <w:rPr>
                <w:rFonts w:hint="eastAsia" w:ascii="宋体" w:hAnsi="宋体" w:eastAsia="宋体" w:cs="宋体"/>
                <w:color w:val="auto"/>
                <w:sz w:val="24"/>
                <w:szCs w:val="24"/>
                <w:highlight w:val="none"/>
              </w:rPr>
            </w:pPr>
          </w:p>
        </w:tc>
        <w:tc>
          <w:tcPr>
            <w:tcW w:w="6197" w:type="dxa"/>
            <w:gridSpan w:val="2"/>
            <w:noWrap w:val="0"/>
            <w:vAlign w:val="center"/>
          </w:tcPr>
          <w:p>
            <w:pPr>
              <w:keepNext w:val="0"/>
              <w:keepLines w:val="0"/>
              <w:pageBreakBefore w:val="0"/>
              <w:kinsoku/>
              <w:wordWrap/>
              <w:overflowPunct/>
              <w:topLinePunct/>
              <w:autoSpaceDE w:val="0"/>
              <w:autoSpaceDN w:val="0"/>
              <w:bidi w:val="0"/>
              <w:adjustRightInd w:val="0"/>
              <w:snapToGrid w:val="0"/>
              <w:spacing w:line="39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其他法律法规强制性规定或扶持政策：</w:t>
            </w:r>
            <w:r>
              <w:rPr>
                <w:rFonts w:hint="eastAsia" w:ascii="宋体" w:hAnsi="宋体" w:cs="宋体"/>
                <w:color w:val="auto"/>
                <w:sz w:val="24"/>
                <w:szCs w:val="24"/>
                <w:highlight w:val="none"/>
                <w:u w:val="singl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p>
        </w:tc>
        <w:tc>
          <w:tcPr>
            <w:tcW w:w="1964" w:type="dxa"/>
            <w:noWrap w:val="0"/>
            <w:vAlign w:val="center"/>
          </w:tcPr>
          <w:p>
            <w:pPr>
              <w:keepNext w:val="0"/>
              <w:keepLines w:val="0"/>
              <w:pageBreakBefore w:val="0"/>
              <w:tabs>
                <w:tab w:val="left" w:pos="1875"/>
              </w:tabs>
              <w:kinsoku/>
              <w:wordWrap/>
              <w:overflowPunct/>
              <w:bidi w:val="0"/>
              <w:adjustRightInd w:val="0"/>
              <w:snapToGrid w:val="0"/>
              <w:spacing w:line="39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评审方法及分值</w:t>
            </w:r>
          </w:p>
        </w:tc>
        <w:tc>
          <w:tcPr>
            <w:tcW w:w="6197" w:type="dxa"/>
            <w:gridSpan w:val="2"/>
            <w:noWrap w:val="0"/>
            <w:vAlign w:val="center"/>
          </w:tcPr>
          <w:p>
            <w:pPr>
              <w:keepNext w:val="0"/>
              <w:keepLines w:val="0"/>
              <w:pageBreakBefore w:val="0"/>
              <w:kinsoku/>
              <w:wordWrap/>
              <w:overflowPunct/>
              <w:bidi w:val="0"/>
              <w:adjustRightInd w:val="0"/>
              <w:snapToGrid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详见采购文件商务部分第三章。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1964" w:type="dxa"/>
            <w:noWrap w:val="0"/>
            <w:vAlign w:val="center"/>
          </w:tcPr>
          <w:p>
            <w:pPr>
              <w:keepNext w:val="0"/>
              <w:keepLines w:val="0"/>
              <w:pageBreakBefore w:val="0"/>
              <w:kinsoku/>
              <w:wordWrap/>
              <w:overflowPunct/>
              <w:topLinePunct/>
              <w:autoSpaceDE w:val="0"/>
              <w:autoSpaceDN w:val="0"/>
              <w:bidi w:val="0"/>
              <w:adjustRightInd w:val="0"/>
              <w:snapToGrid w:val="0"/>
              <w:spacing w:line="39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履约保证金</w:t>
            </w:r>
          </w:p>
        </w:tc>
        <w:tc>
          <w:tcPr>
            <w:tcW w:w="6197" w:type="dxa"/>
            <w:gridSpan w:val="2"/>
            <w:noWrap w:val="0"/>
            <w:vAlign w:val="center"/>
          </w:tcPr>
          <w:p>
            <w:pPr>
              <w:keepNext w:val="0"/>
              <w:keepLines w:val="0"/>
              <w:pageBreakBefore w:val="0"/>
              <w:widowControl w:val="0"/>
              <w:kinsoku/>
              <w:wordWrap/>
              <w:overflowPunct/>
              <w:bidi w:val="0"/>
              <w:adjustRightInd w:val="0"/>
              <w:snapToGrid w:val="0"/>
              <w:spacing w:after="0" w:line="400" w:lineRule="exact"/>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不要求提供</w:t>
            </w:r>
          </w:p>
          <w:p>
            <w:pPr>
              <w:keepNext w:val="0"/>
              <w:keepLines w:val="0"/>
              <w:pageBreakBefore w:val="0"/>
              <w:widowControl w:val="0"/>
              <w:kinsoku/>
              <w:wordWrap/>
              <w:overflowPunct/>
              <w:topLinePunct/>
              <w:autoSpaceDE w:val="0"/>
              <w:autoSpaceDN w:val="0"/>
              <w:bidi w:val="0"/>
              <w:adjustRightInd w:val="0"/>
              <w:snapToGrid w:val="0"/>
              <w:spacing w:after="0" w:line="400" w:lineRule="exact"/>
              <w:textAlignment w:val="auto"/>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本采购项目履约保证金为合同金额的</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，提交方式为银行电汇、金融机构或担保机构出具的保函。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1964" w:type="dxa"/>
            <w:noWrap w:val="0"/>
            <w:vAlign w:val="center"/>
          </w:tcPr>
          <w:p>
            <w:pPr>
              <w:keepNext w:val="0"/>
              <w:keepLines w:val="0"/>
              <w:pageBreakBefore w:val="0"/>
              <w:kinsoku/>
              <w:wordWrap/>
              <w:overflowPunct/>
              <w:topLinePunct/>
              <w:autoSpaceDE w:val="0"/>
              <w:autoSpaceDN w:val="0"/>
              <w:bidi w:val="0"/>
              <w:adjustRightInd w:val="0"/>
              <w:snapToGrid w:val="0"/>
              <w:spacing w:line="39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接收质疑的方式、部门、电话和通讯地址</w:t>
            </w:r>
          </w:p>
        </w:tc>
        <w:tc>
          <w:tcPr>
            <w:tcW w:w="6197" w:type="dxa"/>
            <w:gridSpan w:val="2"/>
            <w:noWrap w:val="0"/>
            <w:vAlign w:val="center"/>
          </w:tcPr>
          <w:p>
            <w:pPr>
              <w:keepNext w:val="0"/>
              <w:keepLines w:val="0"/>
              <w:pageBreakBefore w:val="0"/>
              <w:kinsoku/>
              <w:wordWrap/>
              <w:overflowPunct/>
              <w:bidi w:val="0"/>
              <w:spacing w:line="39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w:t>
            </w:r>
          </w:p>
          <w:p>
            <w:pPr>
              <w:keepNext w:val="0"/>
              <w:keepLines w:val="0"/>
              <w:pageBreakBefore w:val="0"/>
              <w:kinsoku/>
              <w:wordWrap/>
              <w:overflowPunct/>
              <w:bidi w:val="0"/>
              <w:spacing w:line="39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（1）接收质疑函的方式：</w:t>
            </w:r>
            <w:r>
              <w:rPr>
                <w:rFonts w:hint="eastAsia" w:ascii="宋体" w:hAnsi="宋体" w:eastAsia="宋体" w:cs="宋体"/>
                <w:color w:val="auto"/>
                <w:sz w:val="24"/>
                <w:szCs w:val="24"/>
                <w:highlight w:val="none"/>
                <w:u w:val="single"/>
              </w:rPr>
              <w:t>书面形式</w:t>
            </w:r>
          </w:p>
          <w:p>
            <w:pPr>
              <w:keepNext w:val="0"/>
              <w:keepLines w:val="0"/>
              <w:pageBreakBefore w:val="0"/>
              <w:kinsoku/>
              <w:wordWrap/>
              <w:overflowPunct/>
              <w:bidi w:val="0"/>
              <w:spacing w:line="39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（2）联系部门：</w:t>
            </w:r>
            <w:r>
              <w:rPr>
                <w:rFonts w:hint="eastAsia" w:ascii="宋体" w:hAnsi="宋体" w:eastAsia="宋体" w:cs="宋体"/>
                <w:color w:val="auto"/>
                <w:sz w:val="24"/>
                <w:szCs w:val="24"/>
                <w:highlight w:val="none"/>
                <w:u w:val="single"/>
              </w:rPr>
              <w:t>福建省智信招标有限公司</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lang w:eastAsia="zh-CN"/>
              </w:rPr>
              <w:t>国家税务总局南平市税务局</w:t>
            </w:r>
          </w:p>
          <w:p>
            <w:pPr>
              <w:keepNext w:val="0"/>
              <w:keepLines w:val="0"/>
              <w:pageBreakBefore w:val="0"/>
              <w:kinsoku/>
              <w:wordWrap/>
              <w:overflowPunct/>
              <w:bidi w:val="0"/>
              <w:spacing w:line="390" w:lineRule="exac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（3）联系电话：</w:t>
            </w:r>
            <w:r>
              <w:rPr>
                <w:rFonts w:hint="eastAsia" w:ascii="宋体" w:hAnsi="宋体" w:eastAsia="宋体" w:cs="宋体"/>
                <w:color w:val="auto"/>
                <w:sz w:val="24"/>
                <w:szCs w:val="24"/>
                <w:highlight w:val="none"/>
                <w:u w:val="single"/>
              </w:rPr>
              <w:t>0591-88318332、87530730、87616211转80</w:t>
            </w:r>
            <w:r>
              <w:rPr>
                <w:rFonts w:hint="eastAsia" w:ascii="宋体" w:hAnsi="宋体" w:cs="宋体"/>
                <w:color w:val="auto"/>
                <w:sz w:val="24"/>
                <w:szCs w:val="24"/>
                <w:highlight w:val="none"/>
                <w:u w:val="single"/>
                <w:lang w:val="en-US" w:eastAsia="zh-CN"/>
              </w:rPr>
              <w:t>3</w:t>
            </w:r>
          </w:p>
          <w:p>
            <w:pPr>
              <w:keepNext w:val="0"/>
              <w:keepLines w:val="0"/>
              <w:pageBreakBefore w:val="0"/>
              <w:kinsoku/>
              <w:wordWrap/>
              <w:overflowPunct/>
              <w:bidi w:val="0"/>
              <w:spacing w:line="390" w:lineRule="exact"/>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（4）通讯地址：</w:t>
            </w:r>
            <w:r>
              <w:rPr>
                <w:rFonts w:hint="eastAsia" w:ascii="宋体" w:hAnsi="宋体" w:eastAsia="宋体" w:cs="宋体"/>
                <w:color w:val="auto"/>
                <w:sz w:val="24"/>
                <w:szCs w:val="24"/>
                <w:highlight w:val="none"/>
                <w:u w:val="single"/>
              </w:rPr>
              <w:t>福建省福州市鼓楼区五四路159号世界金龙大厦</w:t>
            </w:r>
            <w:r>
              <w:rPr>
                <w:rFonts w:hint="eastAsia" w:ascii="宋体" w:hAnsi="宋体" w:cs="宋体"/>
                <w:color w:val="auto"/>
                <w:sz w:val="24"/>
                <w:szCs w:val="24"/>
                <w:highlight w:val="none"/>
                <w:u w:val="single"/>
                <w:lang w:val="en-US" w:eastAsia="zh-CN"/>
              </w:rPr>
              <w:t>第</w:t>
            </w:r>
            <w:r>
              <w:rPr>
                <w:rFonts w:hint="eastAsia" w:ascii="宋体" w:hAnsi="宋体" w:eastAsia="宋体" w:cs="宋体"/>
                <w:color w:val="auto"/>
                <w:sz w:val="24"/>
                <w:szCs w:val="24"/>
                <w:highlight w:val="none"/>
                <w:u w:val="single"/>
              </w:rPr>
              <w:t>14层A</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C1</w:t>
            </w:r>
            <w:r>
              <w:rPr>
                <w:rFonts w:hint="eastAsia" w:ascii="宋体" w:hAnsi="宋体" w:eastAsia="宋体" w:cs="宋体"/>
                <w:color w:val="auto"/>
                <w:sz w:val="24"/>
                <w:szCs w:val="24"/>
                <w:highlight w:val="none"/>
                <w:u w:val="single"/>
              </w:rPr>
              <w:t>单元</w:t>
            </w:r>
            <w:r>
              <w:rPr>
                <w:rFonts w:hint="eastAsia" w:ascii="宋体" w:hAnsi="宋体" w:cs="宋体"/>
                <w:color w:val="auto"/>
                <w:sz w:val="24"/>
                <w:szCs w:val="24"/>
                <w:highlight w:val="none"/>
                <w:u w:val="single"/>
                <w:lang w:val="en-US" w:eastAsia="zh-CN"/>
              </w:rPr>
              <w:t>福建省智信招标有限公司</w:t>
            </w:r>
          </w:p>
          <w:p>
            <w:pPr>
              <w:keepNext w:val="0"/>
              <w:keepLines w:val="0"/>
              <w:pageBreakBefore w:val="0"/>
              <w:kinsoku/>
              <w:wordWrap/>
              <w:overflowPunct/>
              <w:bidi w:val="0"/>
              <w:spacing w:line="39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（5）电子邮箱：</w:t>
            </w:r>
            <w:r>
              <w:rPr>
                <w:rFonts w:hint="eastAsia" w:ascii="宋体" w:hAnsi="宋体" w:cs="宋体"/>
                <w:color w:val="auto"/>
                <w:sz w:val="24"/>
                <w:szCs w:val="24"/>
                <w:highlight w:val="none"/>
                <w:u w:val="single"/>
                <w:lang w:val="en-US" w:eastAsia="zh-CN"/>
              </w:rPr>
              <w:t>zhixin01@126.com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1964" w:type="dxa"/>
            <w:noWrap w:val="0"/>
            <w:vAlign w:val="center"/>
          </w:tcPr>
          <w:p>
            <w:pPr>
              <w:keepNext w:val="0"/>
              <w:keepLines w:val="0"/>
              <w:pageBreakBefore w:val="0"/>
              <w:kinsoku/>
              <w:wordWrap/>
              <w:overflowPunct/>
              <w:topLinePunct/>
              <w:autoSpaceDE w:val="0"/>
              <w:autoSpaceDN w:val="0"/>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需提交的响应文件份数</w:t>
            </w:r>
          </w:p>
        </w:tc>
        <w:tc>
          <w:tcPr>
            <w:tcW w:w="6197" w:type="dxa"/>
            <w:gridSpan w:val="2"/>
            <w:noWrap w:val="0"/>
            <w:vAlign w:val="center"/>
          </w:tcPr>
          <w:p>
            <w:pPr>
              <w:keepNext w:val="0"/>
              <w:keepLines w:val="0"/>
              <w:pageBreakBefore w:val="0"/>
              <w:kinsoku/>
              <w:wordWrap/>
              <w:overflowPunct/>
              <w:bidi w:val="0"/>
              <w:spacing w:line="39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需提交的响应文件份数：</w:t>
            </w:r>
          </w:p>
          <w:p>
            <w:pPr>
              <w:keepNext w:val="0"/>
              <w:keepLines w:val="0"/>
              <w:pageBreakBefore w:val="0"/>
              <w:kinsoku/>
              <w:wordWrap/>
              <w:overflowPunct/>
              <w:bidi w:val="0"/>
              <w:spacing w:line="39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（1）正本</w:t>
            </w:r>
            <w:r>
              <w:rPr>
                <w:rFonts w:hint="eastAsia" w:ascii="宋体" w:hAnsi="宋体" w:eastAsia="宋体" w:cs="宋体"/>
                <w:b/>
                <w:bCs/>
                <w:color w:val="auto"/>
                <w:sz w:val="24"/>
                <w:szCs w:val="24"/>
                <w:highlight w:val="none"/>
                <w:u w:val="single"/>
              </w:rPr>
              <w:t>1</w:t>
            </w:r>
            <w:r>
              <w:rPr>
                <w:rFonts w:hint="eastAsia" w:ascii="宋体" w:hAnsi="宋体" w:eastAsia="宋体" w:cs="宋体"/>
                <w:b/>
                <w:bCs/>
                <w:color w:val="auto"/>
                <w:sz w:val="24"/>
                <w:szCs w:val="24"/>
                <w:highlight w:val="none"/>
              </w:rPr>
              <w:t>份、副本</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3</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份。</w:t>
            </w:r>
          </w:p>
          <w:p>
            <w:pPr>
              <w:keepNext w:val="0"/>
              <w:keepLines w:val="0"/>
              <w:pageBreakBefore w:val="0"/>
              <w:kinsoku/>
              <w:wordWrap/>
              <w:overflowPunct/>
              <w:bidi w:val="0"/>
              <w:spacing w:line="39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（2）电子文件</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1</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份（</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 xml:space="preserve">扫描件 </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Word）。采用光盘或U盘刻录提交。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c>
          <w:tcPr>
            <w:tcW w:w="1964" w:type="dxa"/>
            <w:noWrap w:val="0"/>
            <w:vAlign w:val="center"/>
          </w:tcPr>
          <w:p>
            <w:pPr>
              <w:keepNext w:val="0"/>
              <w:keepLines w:val="0"/>
              <w:pageBreakBefore w:val="0"/>
              <w:kinsoku/>
              <w:wordWrap/>
              <w:overflowPunct/>
              <w:topLinePunct/>
              <w:autoSpaceDE w:val="0"/>
              <w:autoSpaceDN w:val="0"/>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代理费用</w:t>
            </w:r>
          </w:p>
        </w:tc>
        <w:tc>
          <w:tcPr>
            <w:tcW w:w="6197" w:type="dxa"/>
            <w:gridSpan w:val="2"/>
            <w:noWrap w:val="0"/>
            <w:vAlign w:val="center"/>
          </w:tcPr>
          <w:p>
            <w:pPr>
              <w:keepNext w:val="0"/>
              <w:keepLines w:val="0"/>
              <w:pageBreakBefore w:val="0"/>
              <w:kinsoku/>
              <w:wordWrap/>
              <w:overflowPunct/>
              <w:bidi w:val="0"/>
              <w:spacing w:line="39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代理费用：</w:t>
            </w:r>
          </w:p>
          <w:p>
            <w:pPr>
              <w:keepNext w:val="0"/>
              <w:keepLines w:val="0"/>
              <w:pageBreakBefore w:val="0"/>
              <w:kinsoku/>
              <w:wordWrap/>
              <w:overflowPunct/>
              <w:bidi w:val="0"/>
              <w:spacing w:line="39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（1）本项目代理费用由</w:t>
            </w:r>
            <w:r>
              <w:rPr>
                <w:rFonts w:hint="eastAsia" w:ascii="宋体" w:hAnsi="宋体" w:eastAsia="宋体" w:cs="宋体"/>
                <w:color w:val="auto"/>
                <w:sz w:val="24"/>
                <w:szCs w:val="24"/>
                <w:highlight w:val="none"/>
                <w:u w:val="single"/>
              </w:rPr>
              <w:t>成交供应商</w:t>
            </w:r>
            <w:r>
              <w:rPr>
                <w:rFonts w:hint="eastAsia" w:ascii="宋体" w:hAnsi="宋体" w:eastAsia="宋体" w:cs="宋体"/>
                <w:color w:val="auto"/>
                <w:sz w:val="24"/>
                <w:szCs w:val="24"/>
                <w:highlight w:val="none"/>
              </w:rPr>
              <w:t>支付。</w:t>
            </w:r>
          </w:p>
          <w:p>
            <w:pPr>
              <w:keepNext w:val="0"/>
              <w:keepLines w:val="0"/>
              <w:pageBreakBefore w:val="0"/>
              <w:kinsoku/>
              <w:wordWrap/>
              <w:overflowPunct/>
              <w:bidi w:val="0"/>
              <w:spacing w:line="39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（2）代理费用收取方式及标准：</w:t>
            </w:r>
          </w:p>
          <w:p>
            <w:pPr>
              <w:keepNext w:val="0"/>
              <w:keepLines w:val="0"/>
              <w:pageBreakBefore w:val="0"/>
              <w:kinsoku/>
              <w:wordWrap/>
              <w:overflowPunct/>
              <w:bidi w:val="0"/>
              <w:spacing w:line="39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以</w:t>
            </w:r>
            <w:r>
              <w:rPr>
                <w:rFonts w:hint="eastAsia" w:ascii="宋体" w:hAnsi="宋体" w:cs="宋体"/>
                <w:color w:val="auto"/>
                <w:sz w:val="24"/>
                <w:szCs w:val="24"/>
                <w:highlight w:val="none"/>
                <w:u w:val="none"/>
                <w:lang w:val="en-US" w:eastAsia="zh-CN"/>
              </w:rPr>
              <w:t>成交</w:t>
            </w:r>
            <w:r>
              <w:rPr>
                <w:rFonts w:hint="eastAsia" w:ascii="宋体" w:hAnsi="宋体" w:eastAsia="宋体" w:cs="宋体"/>
                <w:color w:val="auto"/>
                <w:sz w:val="24"/>
                <w:szCs w:val="24"/>
                <w:highlight w:val="none"/>
                <w:u w:val="none"/>
              </w:rPr>
              <w:t>金额为基数</w:t>
            </w:r>
            <w:r>
              <w:rPr>
                <w:rFonts w:hint="eastAsia" w:ascii="宋体" w:hAnsi="宋体" w:cs="宋体"/>
                <w:color w:val="auto"/>
                <w:sz w:val="24"/>
                <w:szCs w:val="24"/>
                <w:highlight w:val="none"/>
                <w:u w:val="none"/>
                <w:lang w:val="en-US" w:eastAsia="zh-CN"/>
              </w:rPr>
              <w:t>按下列标准进行</w:t>
            </w:r>
            <w:r>
              <w:rPr>
                <w:rFonts w:hint="eastAsia" w:ascii="宋体" w:hAnsi="宋体" w:eastAsia="宋体" w:cs="宋体"/>
                <w:color w:val="auto"/>
                <w:sz w:val="24"/>
                <w:szCs w:val="24"/>
                <w:highlight w:val="none"/>
                <w:u w:val="none"/>
              </w:rPr>
              <w:t>计算，向</w:t>
            </w:r>
            <w:r>
              <w:rPr>
                <w:rFonts w:hint="eastAsia" w:ascii="宋体" w:hAnsi="宋体" w:cs="宋体"/>
                <w:color w:val="auto"/>
                <w:sz w:val="24"/>
                <w:szCs w:val="24"/>
                <w:highlight w:val="none"/>
                <w:u w:val="none"/>
                <w:lang w:val="en-US" w:eastAsia="zh-CN"/>
              </w:rPr>
              <w:t>成交供应商</w:t>
            </w:r>
            <w:r>
              <w:rPr>
                <w:rFonts w:hint="eastAsia" w:ascii="宋体" w:hAnsi="宋体" w:eastAsia="宋体" w:cs="宋体"/>
                <w:color w:val="auto"/>
                <w:sz w:val="24"/>
                <w:szCs w:val="24"/>
                <w:highlight w:val="none"/>
                <w:u w:val="none"/>
              </w:rPr>
              <w:t>收取，</w:t>
            </w:r>
            <w:r>
              <w:rPr>
                <w:rFonts w:hint="eastAsia" w:ascii="宋体" w:hAnsi="宋体" w:cs="宋体"/>
                <w:color w:val="auto"/>
                <w:sz w:val="24"/>
                <w:szCs w:val="24"/>
                <w:highlight w:val="none"/>
                <w:u w:val="none"/>
                <w:lang w:val="en-US" w:eastAsia="zh-CN"/>
              </w:rPr>
              <w:t>成交供应商</w:t>
            </w:r>
            <w:r>
              <w:rPr>
                <w:rFonts w:hint="eastAsia" w:ascii="宋体" w:hAnsi="宋体" w:eastAsia="宋体" w:cs="宋体"/>
                <w:color w:val="auto"/>
                <w:sz w:val="24"/>
                <w:szCs w:val="24"/>
                <w:highlight w:val="none"/>
                <w:u w:val="none"/>
              </w:rPr>
              <w:t>应以转</w:t>
            </w:r>
            <w:r>
              <w:rPr>
                <w:rFonts w:hint="eastAsia" w:ascii="宋体" w:hAnsi="宋体" w:cs="宋体"/>
                <w:color w:val="auto"/>
                <w:sz w:val="24"/>
                <w:szCs w:val="24"/>
                <w:highlight w:val="none"/>
                <w:u w:val="none"/>
                <w:lang w:val="en-US" w:eastAsia="zh-CN"/>
              </w:rPr>
              <w:t>账</w:t>
            </w:r>
            <w:r>
              <w:rPr>
                <w:rFonts w:hint="eastAsia" w:ascii="宋体" w:hAnsi="宋体" w:eastAsia="宋体" w:cs="宋体"/>
                <w:color w:val="auto"/>
                <w:sz w:val="24"/>
                <w:szCs w:val="24"/>
                <w:highlight w:val="none"/>
                <w:u w:val="none"/>
              </w:rPr>
              <w:t>或电汇等付款方式一次性向采购代理机构缴纳招标代理服务费。</w:t>
            </w:r>
          </w:p>
          <w:p>
            <w:pPr>
              <w:keepNext w:val="0"/>
              <w:keepLines w:val="0"/>
              <w:pageBreakBefore w:val="0"/>
              <w:kinsoku/>
              <w:wordWrap/>
              <w:overflowPunct/>
              <w:bidi w:val="0"/>
              <w:spacing w:line="39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附：招标代理服务费收费标准：100万元以下按</w:t>
            </w:r>
            <w:r>
              <w:rPr>
                <w:rFonts w:hint="eastAsia" w:ascii="宋体" w:hAnsi="宋体" w:cs="宋体"/>
                <w:color w:val="auto"/>
                <w:sz w:val="24"/>
                <w:szCs w:val="24"/>
                <w:highlight w:val="none"/>
                <w:u w:val="none"/>
                <w:lang w:val="en-US" w:eastAsia="zh-CN"/>
              </w:rPr>
              <w:t>1.0</w:t>
            </w:r>
            <w:r>
              <w:rPr>
                <w:rFonts w:hint="eastAsia" w:ascii="宋体" w:hAnsi="宋体" w:eastAsia="宋体" w:cs="宋体"/>
                <w:color w:val="auto"/>
                <w:sz w:val="24"/>
                <w:szCs w:val="24"/>
                <w:highlight w:val="none"/>
                <w:u w:val="none"/>
              </w:rPr>
              <w:t>%计算收取。</w:t>
            </w:r>
          </w:p>
          <w:p>
            <w:pPr>
              <w:keepNext w:val="0"/>
              <w:keepLines w:val="0"/>
              <w:pageBreakBefore w:val="0"/>
              <w:kinsoku/>
              <w:wordWrap/>
              <w:overflowPunct/>
              <w:bidi w:val="0"/>
              <w:spacing w:line="390" w:lineRule="exact"/>
              <w:textAlignment w:val="auto"/>
              <w:rPr>
                <w:rFonts w:hint="eastAsia" w:ascii="宋体" w:hAnsi="宋体" w:cs="宋体"/>
                <w:b/>
                <w:bCs/>
                <w:color w:val="auto"/>
                <w:sz w:val="24"/>
                <w:szCs w:val="24"/>
                <w:highlight w:val="none"/>
                <w:u w:val="none"/>
                <w:lang w:val="en-US" w:eastAsia="zh-CN"/>
              </w:rPr>
            </w:pPr>
            <w:r>
              <w:rPr>
                <w:rFonts w:hint="eastAsia" w:ascii="宋体" w:hAnsi="宋体" w:cs="宋体"/>
                <w:b/>
                <w:bCs/>
                <w:color w:val="auto"/>
                <w:sz w:val="24"/>
                <w:szCs w:val="24"/>
                <w:highlight w:val="none"/>
                <w:u w:val="none"/>
                <w:lang w:val="en-US" w:eastAsia="zh-CN"/>
              </w:rPr>
              <w:t>注：</w:t>
            </w:r>
          </w:p>
          <w:p>
            <w:pPr>
              <w:keepNext w:val="0"/>
              <w:keepLines w:val="0"/>
              <w:pageBreakBefore w:val="0"/>
              <w:kinsoku/>
              <w:wordWrap/>
              <w:overflowPunct/>
              <w:bidi w:val="0"/>
              <w:spacing w:line="390" w:lineRule="exac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收款人</w:t>
            </w:r>
            <w:r>
              <w:rPr>
                <w:rFonts w:hint="eastAsia" w:ascii="宋体" w:hAnsi="宋体" w:eastAsia="宋体" w:cs="宋体"/>
                <w:color w:val="auto"/>
                <w:sz w:val="24"/>
                <w:szCs w:val="24"/>
                <w:highlight w:val="none"/>
                <w:u w:val="none"/>
                <w:lang w:val="en-US" w:eastAsia="zh-CN"/>
              </w:rPr>
              <w:t>信息</w:t>
            </w:r>
          </w:p>
          <w:p>
            <w:pPr>
              <w:keepNext w:val="0"/>
              <w:keepLines w:val="0"/>
              <w:pageBreakBefore w:val="0"/>
              <w:kinsoku/>
              <w:wordWrap/>
              <w:overflowPunct/>
              <w:bidi w:val="0"/>
              <w:spacing w:line="390" w:lineRule="exac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开户名：福建省智信招标有限公司</w:t>
            </w:r>
          </w:p>
          <w:p>
            <w:pPr>
              <w:keepNext w:val="0"/>
              <w:keepLines w:val="0"/>
              <w:pageBreakBefore w:val="0"/>
              <w:kinsoku/>
              <w:wordWrap/>
              <w:overflowPunct/>
              <w:bidi w:val="0"/>
              <w:spacing w:line="390" w:lineRule="exac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开户行：中国光大银行福州市杨桥支行</w:t>
            </w:r>
          </w:p>
          <w:p>
            <w:pPr>
              <w:keepNext w:val="0"/>
              <w:keepLines w:val="0"/>
              <w:pageBreakBefore w:val="0"/>
              <w:kinsoku/>
              <w:wordWrap/>
              <w:overflowPunct/>
              <w:bidi w:val="0"/>
              <w:spacing w:line="39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 xml:space="preserve">账号：087739120100304037933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16" w:type="dxa"/>
            <w:noWrap w:val="0"/>
            <w:vAlign w:val="center"/>
          </w:tcPr>
          <w:p>
            <w:pPr>
              <w:keepNext w:val="0"/>
              <w:keepLines w:val="0"/>
              <w:pageBreakBefore w:val="0"/>
              <w:kinsoku/>
              <w:wordWrap/>
              <w:overflowPunct/>
              <w:topLinePunct/>
              <w:autoSpaceDE w:val="0"/>
              <w:autoSpaceDN w:val="0"/>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p>
        </w:tc>
        <w:tc>
          <w:tcPr>
            <w:tcW w:w="1964" w:type="dxa"/>
            <w:noWrap w:val="0"/>
            <w:vAlign w:val="center"/>
          </w:tcPr>
          <w:p>
            <w:pPr>
              <w:keepNext w:val="0"/>
              <w:keepLines w:val="0"/>
              <w:pageBreakBefore w:val="0"/>
              <w:kinsoku/>
              <w:wordWrap/>
              <w:overflowPunct/>
              <w:bidi w:val="0"/>
              <w:adjustRightInd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其他补充事项</w:t>
            </w:r>
          </w:p>
        </w:tc>
        <w:tc>
          <w:tcPr>
            <w:tcW w:w="6197" w:type="dxa"/>
            <w:gridSpan w:val="2"/>
            <w:noWrap w:val="0"/>
            <w:vAlign w:val="center"/>
          </w:tcPr>
          <w:p>
            <w:pPr>
              <w:keepNext w:val="0"/>
              <w:keepLines w:val="0"/>
              <w:pageBreakBefore w:val="0"/>
              <w:kinsoku/>
              <w:wordWrap/>
              <w:overflowPunct/>
              <w:bidi w:val="0"/>
              <w:spacing w:line="39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其他补充事项：</w:t>
            </w:r>
          </w:p>
          <w:p>
            <w:pPr>
              <w:keepNext w:val="0"/>
              <w:keepLines w:val="0"/>
              <w:pageBreakBefore w:val="0"/>
              <w:kinsoku/>
              <w:wordWrap/>
              <w:overflowPunct/>
              <w:bidi w:val="0"/>
              <w:spacing w:line="39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本项目不为线上采购项目，采购文件中关于“线上采购项目”等有关表述，均不适用于本项目。（若有矛盾，以此为准</w:t>
            </w:r>
            <w:r>
              <w:rPr>
                <w:rFonts w:hint="eastAsia" w:ascii="宋体" w:hAnsi="宋体" w:eastAsia="宋体" w:cs="宋体"/>
                <w:color w:val="auto"/>
                <w:sz w:val="24"/>
                <w:szCs w:val="24"/>
                <w:highlight w:val="none"/>
                <w:lang w:val="en-US" w:eastAsia="zh-CN"/>
              </w:rPr>
              <w:t>。）</w:t>
            </w:r>
          </w:p>
          <w:p>
            <w:pPr>
              <w:keepNext w:val="0"/>
              <w:keepLines w:val="0"/>
              <w:pageBreakBefore w:val="0"/>
              <w:kinsoku/>
              <w:wordWrap/>
              <w:overflowPunct/>
              <w:bidi w:val="0"/>
              <w:spacing w:line="390" w:lineRule="exact"/>
              <w:textAlignment w:val="auto"/>
              <w:rPr>
                <w:rFonts w:hint="default"/>
                <w:color w:val="auto"/>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项目非依法进行的政府采购项目。采购人根据内控制度，同时参照政府采购（含相关规定）程序规范本次采购活动。采购文件中关于“政府采购”的有关表述，仅出于表述参照政府采购程序过程的目的。在适用法律上不受政府采购相关法律法规限制，遵从本采购文件有关规定。</w:t>
            </w:r>
          </w:p>
        </w:tc>
      </w:tr>
    </w:tbl>
    <w:p>
      <w:pPr>
        <w:spacing w:after="0" w:line="240" w:lineRule="auto"/>
        <w:rPr>
          <w:rFonts w:hint="eastAsia" w:ascii="宋体" w:hAnsi="宋体" w:eastAsia="宋体" w:cs="宋体"/>
          <w:color w:val="auto"/>
          <w:sz w:val="24"/>
          <w:szCs w:val="24"/>
          <w:highlight w:val="none"/>
        </w:rPr>
        <w:sectPr>
          <w:pgSz w:w="11906" w:h="16838"/>
          <w:pgMar w:top="1440" w:right="1752" w:bottom="1440" w:left="1752" w:header="851" w:footer="992" w:gutter="0"/>
          <w:pgNumType w:fmt="decimal"/>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outlineLvl w:val="1"/>
        <w:rPr>
          <w:rFonts w:hint="eastAsia" w:ascii="宋体" w:hAnsi="宋体" w:eastAsia="宋体" w:cs="宋体"/>
          <w:b/>
          <w:bCs/>
          <w:color w:val="auto"/>
          <w:sz w:val="24"/>
          <w:szCs w:val="24"/>
          <w:highlight w:val="none"/>
        </w:rPr>
      </w:pPr>
      <w:bookmarkStart w:id="18" w:name="_Toc27846"/>
      <w:bookmarkStart w:id="19" w:name="_Toc132880658"/>
      <w:r>
        <w:rPr>
          <w:rFonts w:hint="eastAsia" w:ascii="宋体" w:hAnsi="宋体" w:eastAsia="宋体" w:cs="宋体"/>
          <w:b/>
          <w:bCs/>
          <w:color w:val="auto"/>
          <w:sz w:val="24"/>
          <w:szCs w:val="24"/>
          <w:highlight w:val="none"/>
        </w:rPr>
        <w:t>一、总则</w:t>
      </w:r>
      <w:bookmarkEnd w:id="18"/>
      <w:bookmarkEnd w:id="19"/>
    </w:p>
    <w:p>
      <w:pPr>
        <w:keepNext w:val="0"/>
        <w:keepLines w:val="0"/>
        <w:pageBreakBefore w:val="0"/>
        <w:kinsoku/>
        <w:wordWrap/>
        <w:topLinePunct/>
        <w:autoSpaceDE w:val="0"/>
        <w:autoSpaceDN w:val="0"/>
        <w:bidi w:val="0"/>
        <w:adjustRightInd w:val="0"/>
        <w:snapToGrid w:val="0"/>
        <w:spacing w:after="0" w:line="42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1.预算资金及来源</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本项目已经</w:t>
      </w:r>
      <w:r>
        <w:rPr>
          <w:rFonts w:hint="eastAsia" w:ascii="宋体" w:hAnsi="宋体" w:cs="宋体"/>
          <w:b/>
          <w:color w:val="auto"/>
          <w:sz w:val="24"/>
          <w:szCs w:val="24"/>
          <w:highlight w:val="none"/>
          <w:u w:val="single"/>
          <w:lang w:eastAsia="zh-CN"/>
        </w:rPr>
        <w:t>国家税务总局南平市税务局</w:t>
      </w:r>
      <w:r>
        <w:rPr>
          <w:rFonts w:hint="eastAsia" w:ascii="宋体" w:hAnsi="宋体" w:eastAsia="宋体" w:cs="宋体"/>
          <w:color w:val="auto"/>
          <w:sz w:val="24"/>
          <w:szCs w:val="24"/>
          <w:highlight w:val="none"/>
        </w:rPr>
        <w:t>批准立项。</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本项目预算资金见</w:t>
      </w:r>
      <w:r>
        <w:rPr>
          <w:rFonts w:hint="eastAsia" w:ascii="宋体" w:hAnsi="宋体" w:eastAsia="宋体" w:cs="宋体"/>
          <w:b/>
          <w:bCs/>
          <w:color w:val="auto"/>
          <w:sz w:val="24"/>
          <w:szCs w:val="24"/>
          <w:highlight w:val="none"/>
        </w:rPr>
        <w:t>供应商须知前附表</w:t>
      </w:r>
      <w:r>
        <w:rPr>
          <w:rFonts w:hint="eastAsia" w:ascii="宋体" w:hAnsi="宋体" w:eastAsia="宋体" w:cs="宋体"/>
          <w:color w:val="auto"/>
          <w:sz w:val="24"/>
          <w:szCs w:val="24"/>
          <w:highlight w:val="none"/>
        </w:rPr>
        <w:t>，已列入</w:t>
      </w:r>
      <w:r>
        <w:rPr>
          <w:rFonts w:hint="eastAsia" w:ascii="宋体" w:hAnsi="宋体" w:cs="宋体"/>
          <w:b/>
          <w:color w:val="auto"/>
          <w:sz w:val="24"/>
          <w:szCs w:val="24"/>
          <w:highlight w:val="none"/>
          <w:u w:val="single"/>
          <w:lang w:eastAsia="zh-CN"/>
        </w:rPr>
        <w:t>国家税务总局南平市税务局</w:t>
      </w:r>
      <w:r>
        <w:rPr>
          <w:rFonts w:hint="eastAsia" w:ascii="宋体" w:hAnsi="宋体" w:eastAsia="宋体" w:cs="宋体"/>
          <w:color w:val="auto"/>
          <w:sz w:val="24"/>
          <w:szCs w:val="24"/>
          <w:highlight w:val="none"/>
        </w:rPr>
        <w:t>预算。</w:t>
      </w:r>
    </w:p>
    <w:p>
      <w:pPr>
        <w:keepNext w:val="0"/>
        <w:keepLines w:val="0"/>
        <w:pageBreakBefore w:val="0"/>
        <w:numPr>
          <w:ilvl w:val="0"/>
          <w:numId w:val="0"/>
        </w:numPr>
        <w:kinsoku/>
        <w:wordWrap/>
        <w:topLinePunct/>
        <w:autoSpaceDE w:val="0"/>
        <w:autoSpaceDN w:val="0"/>
        <w:bidi w:val="0"/>
        <w:adjustRightInd w:val="0"/>
        <w:snapToGrid w:val="0"/>
        <w:spacing w:after="0" w:line="42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2.合格的产品和服务（工程）</w:t>
      </w:r>
    </w:p>
    <w:p>
      <w:pPr>
        <w:keepNext w:val="0"/>
        <w:keepLines w:val="0"/>
        <w:pageBreakBefore w:val="0"/>
        <w:tabs>
          <w:tab w:val="left" w:pos="2160"/>
        </w:tabs>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本项目所涉及的所有产品和服务（工程）均应来自中国境内（指关境内），合同金额的支付也仅限于这些产品和服务（工程）。</w:t>
      </w:r>
    </w:p>
    <w:p>
      <w:pPr>
        <w:keepNext w:val="0"/>
        <w:keepLines w:val="0"/>
        <w:pageBreakBefore w:val="0"/>
        <w:tabs>
          <w:tab w:val="left" w:pos="2160"/>
        </w:tabs>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合格的产品和服务（工程），即</w:t>
      </w:r>
      <w:r>
        <w:rPr>
          <w:rFonts w:hint="eastAsia" w:ascii="宋体" w:hAnsi="宋体" w:eastAsia="宋体" w:cs="宋体"/>
          <w:b/>
          <w:bCs/>
          <w:color w:val="auto"/>
          <w:sz w:val="24"/>
          <w:szCs w:val="24"/>
          <w:highlight w:val="none"/>
        </w:rPr>
        <w:t>采购需求</w:t>
      </w:r>
      <w:r>
        <w:rPr>
          <w:rFonts w:hint="eastAsia" w:ascii="宋体" w:hAnsi="宋体" w:eastAsia="宋体" w:cs="宋体"/>
          <w:color w:val="auto"/>
          <w:sz w:val="24"/>
          <w:szCs w:val="24"/>
          <w:highlight w:val="none"/>
        </w:rPr>
        <w:t>见</w:t>
      </w:r>
      <w:r>
        <w:rPr>
          <w:rFonts w:hint="eastAsia" w:ascii="宋体" w:hAnsi="宋体" w:eastAsia="宋体" w:cs="宋体"/>
          <w:b/>
          <w:color w:val="auto"/>
          <w:sz w:val="24"/>
          <w:szCs w:val="24"/>
          <w:highlight w:val="none"/>
        </w:rPr>
        <w:t>采购文件（技术部分）。</w:t>
      </w:r>
    </w:p>
    <w:p>
      <w:pPr>
        <w:keepNext w:val="0"/>
        <w:keepLines w:val="0"/>
        <w:pageBreakBefore w:val="0"/>
        <w:kinsoku/>
        <w:wordWrap/>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供应商应保证所提供的产品及服务（工程）免受第三方提出侵犯其知识产权（专利权、商标权、工业设计权及使用权）的请求及起诉。</w:t>
      </w:r>
    </w:p>
    <w:p>
      <w:pPr>
        <w:keepNext w:val="0"/>
        <w:keepLines w:val="0"/>
        <w:pageBreakBefore w:val="0"/>
        <w:numPr>
          <w:ilvl w:val="0"/>
          <w:numId w:val="0"/>
        </w:numPr>
        <w:kinsoku/>
        <w:wordWrap/>
        <w:topLinePunct/>
        <w:autoSpaceDE w:val="0"/>
        <w:autoSpaceDN w:val="0"/>
        <w:bidi w:val="0"/>
        <w:adjustRightInd w:val="0"/>
        <w:snapToGrid w:val="0"/>
        <w:spacing w:after="0" w:line="42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3.合格的供应商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3.1一般规定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3.1.1供应商应遵守《政府采购法》及其实施条例、《政府采购竞争性磋商采购方式管理暂行办法》、《政府采购质疑和投诉办法》及有关政府采购的规定，同时还应遵守有关法律、法规和规章的强制性规定。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3.1.2供应商的资格要求及本项目的特定资格要求见</w:t>
      </w:r>
      <w:r>
        <w:rPr>
          <w:rFonts w:hint="eastAsia" w:ascii="宋体" w:hAnsi="宋体" w:eastAsia="宋体" w:cs="宋体"/>
          <w:b/>
          <w:bCs/>
          <w:color w:val="auto"/>
          <w:sz w:val="24"/>
          <w:szCs w:val="24"/>
          <w:highlight w:val="none"/>
        </w:rPr>
        <w:t>供应商须知前附</w:t>
      </w:r>
      <w:r>
        <w:rPr>
          <w:rFonts w:hint="eastAsia" w:ascii="宋体" w:hAnsi="宋体" w:eastAsia="宋体" w:cs="宋体"/>
          <w:color w:val="auto"/>
          <w:sz w:val="24"/>
          <w:szCs w:val="24"/>
          <w:highlight w:val="none"/>
        </w:rPr>
        <w:t>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3.1.3资格条件中所称“重大违法记录”，是指供应商因违法经营受到刑事处罚或者责令停产停业、吊销许可证或者执照、较大数额罚款等行政处罚。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供应商在参加政府采购活动前3年内因违法经营被禁止在一定期限内参加政府采购活动，期限届满的，可以参加政府采购活动。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“较大数额罚款”认定为200万元以上的罚款，法律、行政法规以及国务院有关部门明确规定相关领域“较大数额罚款”标准高于200万元的，从其规定。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3.1.4信用记录要求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将通过“信用中国”网站（www.creditchina.gov.cn）、中国政府采购网（www.ccgp.gov.cn）等渠道查询供应商的信用记录，并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3.2联合体</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3.2.1若本项目接受联合体，则两个以上的自然人、法人或者其他组织可以组成一个联合体，以一个供应商的身份共同参加政府采购。</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3.2.2以联合体形式参加磋商的，联合体各方应按第二章要求提供资格条件材料。</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3.2.4联合体应当提交联合协议，载明联合体各方承担的工作和义务。</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3.2.5联合体各方应当共同与采购人签订采购合同，就采购合同约定的事项对采购人承担连带责任。</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3.2.6以联合体形式参加政府采购活动的，联合体各方不得再单独参加或者与其他供应商另外组成联合体参加同一合同项下的政府采购活动。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3.3禁止规定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3.3.1单位负责人为同一人或者存在直接控股、管理关系的不同供应商，不得参加同一采购包的政府采购活动。否则响应均无效。</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3.3.2除单一来源采购项目外，为采购项目提供整体设计、规范编制或者项目管理、监理、检测等服务的供应商，不得再参加该采购项目的其他采购活动。否则响应无效。</w:t>
      </w:r>
    </w:p>
    <w:p>
      <w:pPr>
        <w:keepNext w:val="0"/>
        <w:keepLines w:val="0"/>
        <w:pageBreakBefore w:val="0"/>
        <w:numPr>
          <w:ilvl w:val="0"/>
          <w:numId w:val="0"/>
        </w:numPr>
        <w:kinsoku/>
        <w:wordWrap/>
        <w:topLinePunct/>
        <w:autoSpaceDE w:val="0"/>
        <w:autoSpaceDN w:val="0"/>
        <w:bidi w:val="0"/>
        <w:adjustRightInd w:val="0"/>
        <w:snapToGrid w:val="0"/>
        <w:spacing w:after="0" w:line="42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4.磋商响应费用</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供应商应承担所有与编写、提交响应文件有关的费用，不论磋商的结果如何，采购人在任何情况下均无义务和责任承担这些费用。</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outlineLvl w:val="1"/>
        <w:rPr>
          <w:rFonts w:hint="eastAsia" w:ascii="宋体" w:hAnsi="宋体" w:eastAsia="宋体" w:cs="宋体"/>
          <w:b/>
          <w:bCs/>
          <w:color w:val="auto"/>
          <w:sz w:val="24"/>
          <w:szCs w:val="24"/>
          <w:highlight w:val="none"/>
        </w:rPr>
      </w:pPr>
      <w:bookmarkStart w:id="20" w:name="_Toc132880659"/>
      <w:bookmarkStart w:id="21" w:name="_Toc9293"/>
      <w:r>
        <w:rPr>
          <w:rFonts w:hint="eastAsia" w:ascii="宋体" w:hAnsi="宋体" w:eastAsia="宋体" w:cs="宋体"/>
          <w:b/>
          <w:bCs/>
          <w:color w:val="auto"/>
          <w:sz w:val="24"/>
          <w:szCs w:val="24"/>
          <w:highlight w:val="none"/>
        </w:rPr>
        <w:t>二、采购文件</w:t>
      </w:r>
      <w:bookmarkEnd w:id="20"/>
      <w:bookmarkEnd w:id="21"/>
    </w:p>
    <w:p>
      <w:pPr>
        <w:keepNext w:val="0"/>
        <w:keepLines w:val="0"/>
        <w:pageBreakBefore w:val="0"/>
        <w:kinsoku/>
        <w:wordWrap/>
        <w:topLinePunct/>
        <w:autoSpaceDE w:val="0"/>
        <w:autoSpaceDN w:val="0"/>
        <w:bidi w:val="0"/>
        <w:adjustRightInd w:val="0"/>
        <w:snapToGrid w:val="0"/>
        <w:spacing w:after="0" w:line="42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5.采购文件构成</w:t>
      </w:r>
    </w:p>
    <w:p>
      <w:pPr>
        <w:keepNext w:val="0"/>
        <w:keepLines w:val="0"/>
        <w:pageBreakBefore w:val="0"/>
        <w:kinsoku/>
        <w:wordWrap/>
        <w:topLinePunct/>
        <w:autoSpaceDE w:val="0"/>
        <w:autoSpaceDN w:val="0"/>
        <w:bidi w:val="0"/>
        <w:adjustRightInd w:val="0"/>
        <w:snapToGrid w:val="0"/>
        <w:spacing w:after="0" w:line="42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第一部分 商务部分</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（1）磋商邀请</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（2）供应商须知</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（3）评审方法及标准</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（4）政府采购合同文本</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（5）响应文件格式</w:t>
      </w:r>
    </w:p>
    <w:p>
      <w:pPr>
        <w:keepNext w:val="0"/>
        <w:keepLines w:val="0"/>
        <w:pageBreakBefore w:val="0"/>
        <w:kinsoku/>
        <w:wordWrap/>
        <w:topLinePunct/>
        <w:autoSpaceDE w:val="0"/>
        <w:autoSpaceDN w:val="0"/>
        <w:bidi w:val="0"/>
        <w:adjustRightInd w:val="0"/>
        <w:snapToGrid w:val="0"/>
        <w:spacing w:after="0" w:line="42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第二部分 技术部分</w:t>
      </w:r>
    </w:p>
    <w:p>
      <w:pPr>
        <w:keepNext w:val="0"/>
        <w:keepLines w:val="0"/>
        <w:pageBreakBefore w:val="0"/>
        <w:kinsoku/>
        <w:wordWrap/>
        <w:topLinePunct/>
        <w:autoSpaceDE w:val="0"/>
        <w:autoSpaceDN w:val="0"/>
        <w:bidi w:val="0"/>
        <w:adjustRightInd w:val="0"/>
        <w:snapToGrid w:val="0"/>
        <w:spacing w:after="0" w:line="420" w:lineRule="exact"/>
        <w:ind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6.采购文件询问、澄清或修改</w:t>
      </w:r>
    </w:p>
    <w:p>
      <w:pPr>
        <w:keepNext w:val="0"/>
        <w:keepLines w:val="0"/>
        <w:pageBreakBefore w:val="0"/>
        <w:widowControl/>
        <w:kinsoku/>
        <w:wordWrap/>
        <w:topLinePunct/>
        <w:autoSpaceDE w:val="0"/>
        <w:autoSpaceDN w:val="0"/>
        <w:bidi w:val="0"/>
        <w:adjustRightInd w:val="0"/>
        <w:snapToGrid w:val="0"/>
        <w:spacing w:after="0" w:line="420" w:lineRule="exact"/>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6.1 供应商对采购文件如有疑问的，可以向采购人或者采购代理机构提出询问，采购人或者采购代理机构应当在3个工作日内作出答复</w:t>
      </w:r>
      <w:r>
        <w:rPr>
          <w:rFonts w:hint="eastAsia" w:ascii="宋体" w:hAnsi="宋体" w:eastAsia="宋体" w:cs="宋体"/>
          <w:bCs/>
          <w:color w:val="auto"/>
          <w:sz w:val="24"/>
          <w:szCs w:val="24"/>
          <w:highlight w:val="none"/>
        </w:rPr>
        <w:t>，但答复的内容不得涉及商业秘密。</w:t>
      </w:r>
      <w:r>
        <w:rPr>
          <w:rFonts w:hint="eastAsia" w:ascii="宋体" w:hAnsi="宋体" w:eastAsia="宋体" w:cs="宋体"/>
          <w:color w:val="auto"/>
          <w:sz w:val="24"/>
          <w:szCs w:val="24"/>
          <w:highlight w:val="none"/>
        </w:rPr>
        <w:t>如有必要，采购人或者采购代理机构可对采购文件进行澄清或者修改。</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提交首次响应文件截止之日前，采购人、采购代理机构或者磋商小组可以对已发出的磋商文件进行必要的澄清或者修改。</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 澄清或者修改将在原公告发布媒体上发布更正公告，并以书面形式通知所有获取磋商文件的供应商。</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6.5澄清或者修改的内容作为磋商文件的组成部分。</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outlineLvl w:val="1"/>
        <w:rPr>
          <w:rFonts w:hint="eastAsia" w:ascii="宋体" w:hAnsi="宋体" w:eastAsia="宋体" w:cs="宋体"/>
          <w:b/>
          <w:bCs/>
          <w:color w:val="auto"/>
          <w:sz w:val="24"/>
          <w:szCs w:val="24"/>
          <w:highlight w:val="none"/>
        </w:rPr>
      </w:pPr>
      <w:bookmarkStart w:id="22" w:name="_Toc132880660"/>
      <w:bookmarkStart w:id="23" w:name="_Toc18450"/>
      <w:r>
        <w:rPr>
          <w:rFonts w:hint="eastAsia" w:ascii="宋体" w:hAnsi="宋体" w:eastAsia="宋体" w:cs="宋体"/>
          <w:b/>
          <w:bCs/>
          <w:color w:val="auto"/>
          <w:sz w:val="24"/>
          <w:szCs w:val="24"/>
          <w:highlight w:val="none"/>
        </w:rPr>
        <w:t>三、响应文件</w:t>
      </w:r>
      <w:bookmarkEnd w:id="22"/>
      <w:bookmarkEnd w:id="23"/>
    </w:p>
    <w:p>
      <w:pPr>
        <w:keepNext w:val="0"/>
        <w:keepLines w:val="0"/>
        <w:pageBreakBefore w:val="0"/>
        <w:kinsoku/>
        <w:wordWrap/>
        <w:topLinePunct/>
        <w:autoSpaceDE w:val="0"/>
        <w:autoSpaceDN w:val="0"/>
        <w:bidi w:val="0"/>
        <w:adjustRightInd w:val="0"/>
        <w:snapToGrid w:val="0"/>
        <w:spacing w:after="0" w:line="42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响应文件编制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7.1响应文件的编制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7.1.1供应商应先仔细阅读采购文件的全部内容后，再进行响应文件的编制。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7.1.2响应文件应满足采购文件提出的实质性要求和条件，并保证其所提交的全部资料是不可割离且真实、有效、准确、完整和不具有任何误导性的，否则造成不利后果由供应商承担责任。</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7.2响应文件的语言</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7.2.1除采购文件另有规定外，响应文件应使用中文文本并使用中文简化字，若有不同文本，以中文简化字文本为准。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7.2.2响应文件提供的全部资料中，若属于非中文描述的，应同时提供中文简化字译本。</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7.2.3除在采购文件的要求中另有规定外，响应文件计量单位应使用中华人民共和国法定计量单位。</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7.3供应商制作响应文件前须提前办理数字证书和电子签章，办理方式和注意事项详见网站《供应商操作手册》。供应商在国家税务总局集中采购中心网站（https://swcg.chinatax.gov.cn） “下载中心”下载并安装“供应商投标工具”，使用投标工具编制响应文件。（</w:t>
      </w:r>
      <w:r>
        <w:rPr>
          <w:rFonts w:hint="eastAsia" w:ascii="宋体" w:hAnsi="宋体" w:cs="宋体"/>
          <w:color w:val="auto"/>
          <w:sz w:val="24"/>
          <w:szCs w:val="24"/>
          <w:highlight w:val="none"/>
          <w:lang w:val="en-US" w:eastAsia="zh-CN"/>
        </w:rPr>
        <w:t>本项目不</w:t>
      </w:r>
      <w:r>
        <w:rPr>
          <w:rFonts w:hint="eastAsia" w:ascii="宋体" w:hAnsi="宋体" w:eastAsia="宋体" w:cs="宋体"/>
          <w:color w:val="auto"/>
          <w:sz w:val="24"/>
          <w:szCs w:val="24"/>
          <w:highlight w:val="none"/>
        </w:rPr>
        <w:t>适用）</w:t>
      </w:r>
    </w:p>
    <w:p>
      <w:pPr>
        <w:keepNext w:val="0"/>
        <w:keepLines w:val="0"/>
        <w:pageBreakBefore w:val="0"/>
        <w:kinsoku/>
        <w:wordWrap/>
        <w:topLinePunct/>
        <w:autoSpaceDE w:val="0"/>
        <w:autoSpaceDN w:val="0"/>
        <w:bidi w:val="0"/>
        <w:adjustRightInd w:val="0"/>
        <w:snapToGrid w:val="0"/>
        <w:spacing w:after="0" w:line="42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8.响应文件的组成</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响应文件包括商务部分和技术部分。</w:t>
      </w:r>
    </w:p>
    <w:p>
      <w:pPr>
        <w:keepNext w:val="0"/>
        <w:keepLines w:val="0"/>
        <w:pageBreakBefore w:val="0"/>
        <w:kinsoku/>
        <w:wordWrap/>
        <w:topLinePunct/>
        <w:autoSpaceDE w:val="0"/>
        <w:autoSpaceDN w:val="0"/>
        <w:bidi w:val="0"/>
        <w:adjustRightInd w:val="0"/>
        <w:snapToGrid w:val="0"/>
        <w:spacing w:after="0" w:line="420" w:lineRule="exact"/>
        <w:ind w:firstLine="489" w:firstLineChars="2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响应文件</w:t>
      </w:r>
      <w:r>
        <w:rPr>
          <w:rFonts w:hint="eastAsia" w:ascii="宋体" w:hAnsi="宋体" w:eastAsia="宋体" w:cs="宋体"/>
          <w:b/>
          <w:bCs/>
          <w:color w:val="auto"/>
          <w:sz w:val="24"/>
          <w:szCs w:val="24"/>
          <w:highlight w:val="none"/>
        </w:rPr>
        <w:t>商务部分</w:t>
      </w:r>
      <w:r>
        <w:rPr>
          <w:rFonts w:hint="eastAsia" w:ascii="宋体" w:hAnsi="宋体" w:eastAsia="宋体" w:cs="宋体"/>
          <w:color w:val="auto"/>
          <w:sz w:val="24"/>
          <w:szCs w:val="24"/>
          <w:highlight w:val="none"/>
        </w:rPr>
        <w:t>主要包括的文件和资料：</w:t>
      </w:r>
    </w:p>
    <w:p>
      <w:pPr>
        <w:keepNext w:val="0"/>
        <w:keepLines w:val="0"/>
        <w:pageBreakBefore w:val="0"/>
        <w:kinsoku/>
        <w:wordWrap/>
        <w:topLinePunct/>
        <w:autoSpaceDE w:val="0"/>
        <w:autoSpaceDN w:val="0"/>
        <w:bidi w:val="0"/>
        <w:adjustRightInd w:val="0"/>
        <w:snapToGrid w:val="0"/>
        <w:spacing w:after="0" w:line="420" w:lineRule="exact"/>
        <w:ind w:firstLine="489" w:firstLineChars="2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8.2.1 资格证明文件，见</w:t>
      </w:r>
      <w:r>
        <w:rPr>
          <w:rFonts w:hint="eastAsia" w:ascii="宋体" w:hAnsi="宋体" w:eastAsia="宋体" w:cs="宋体"/>
          <w:b/>
          <w:color w:val="auto"/>
          <w:sz w:val="24"/>
          <w:szCs w:val="24"/>
          <w:highlight w:val="none"/>
        </w:rPr>
        <w:t>供应商须知前附表。</w:t>
      </w:r>
    </w:p>
    <w:p>
      <w:pPr>
        <w:keepNext w:val="0"/>
        <w:keepLines w:val="0"/>
        <w:pageBreakBefore w:val="0"/>
        <w:kinsoku/>
        <w:wordWrap/>
        <w:overflowPunct w:val="0"/>
        <w:autoSpaceDE w:val="0"/>
        <w:autoSpaceDN w:val="0"/>
        <w:bidi w:val="0"/>
        <w:adjustRightInd w:val="0"/>
        <w:snapToGrid w:val="0"/>
        <w:spacing w:after="0" w:line="420" w:lineRule="exact"/>
        <w:ind w:firstLine="487" w:firstLineChars="20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8.2.2 其他文件及资料，见</w:t>
      </w:r>
      <w:r>
        <w:rPr>
          <w:rFonts w:hint="eastAsia" w:ascii="宋体" w:hAnsi="宋体" w:eastAsia="宋体" w:cs="宋体"/>
          <w:b/>
          <w:color w:val="auto"/>
          <w:sz w:val="24"/>
          <w:szCs w:val="24"/>
          <w:highlight w:val="none"/>
        </w:rPr>
        <w:t>供应商须知前附表。</w:t>
      </w:r>
    </w:p>
    <w:p>
      <w:pPr>
        <w:keepNext w:val="0"/>
        <w:keepLines w:val="0"/>
        <w:pageBreakBefore w:val="0"/>
        <w:kinsoku/>
        <w:wordWrap/>
        <w:overflowPunct w:val="0"/>
        <w:autoSpaceDE w:val="0"/>
        <w:autoSpaceDN w:val="0"/>
        <w:bidi w:val="0"/>
        <w:adjustRightInd w:val="0"/>
        <w:snapToGrid w:val="0"/>
        <w:spacing w:after="0" w:line="420" w:lineRule="exact"/>
        <w:ind w:firstLine="487" w:firstLineChars="20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 响应文件</w:t>
      </w:r>
      <w:r>
        <w:rPr>
          <w:rFonts w:hint="eastAsia" w:ascii="宋体" w:hAnsi="宋体" w:eastAsia="宋体" w:cs="宋体"/>
          <w:b/>
          <w:bCs/>
          <w:color w:val="auto"/>
          <w:sz w:val="24"/>
          <w:szCs w:val="24"/>
          <w:highlight w:val="none"/>
        </w:rPr>
        <w:t>技术部分</w:t>
      </w:r>
      <w:r>
        <w:rPr>
          <w:rFonts w:hint="eastAsia" w:ascii="宋体" w:hAnsi="宋体" w:eastAsia="宋体" w:cs="宋体"/>
          <w:color w:val="auto"/>
          <w:sz w:val="24"/>
          <w:szCs w:val="24"/>
          <w:highlight w:val="none"/>
        </w:rPr>
        <w:t>主要包括的文件及资料，见</w:t>
      </w:r>
      <w:r>
        <w:rPr>
          <w:rFonts w:hint="eastAsia" w:ascii="宋体" w:hAnsi="宋体" w:eastAsia="宋体" w:cs="宋体"/>
          <w:b/>
          <w:color w:val="auto"/>
          <w:sz w:val="24"/>
          <w:szCs w:val="24"/>
          <w:highlight w:val="none"/>
        </w:rPr>
        <w:t>供应商须知前附表。</w:t>
      </w:r>
    </w:p>
    <w:p>
      <w:pPr>
        <w:keepNext w:val="0"/>
        <w:keepLines w:val="0"/>
        <w:pageBreakBefore w:val="0"/>
        <w:kinsoku/>
        <w:wordWrap/>
        <w:overflowPunct w:val="0"/>
        <w:autoSpaceDE w:val="0"/>
        <w:autoSpaceDN w:val="0"/>
        <w:bidi w:val="0"/>
        <w:adjustRightInd w:val="0"/>
        <w:snapToGrid w:val="0"/>
        <w:spacing w:after="0" w:line="420" w:lineRule="exact"/>
        <w:ind w:firstLine="487" w:firstLineChars="20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 证明资料如标明有效期的，必须在有效期内。</w:t>
      </w:r>
    </w:p>
    <w:p>
      <w:pPr>
        <w:keepNext w:val="0"/>
        <w:keepLines w:val="0"/>
        <w:pageBreakBefore w:val="0"/>
        <w:kinsoku/>
        <w:wordWrap/>
        <w:topLinePunct/>
        <w:autoSpaceDE w:val="0"/>
        <w:autoSpaceDN w:val="0"/>
        <w:bidi w:val="0"/>
        <w:adjustRightInd w:val="0"/>
        <w:snapToGrid w:val="0"/>
        <w:spacing w:after="0" w:line="42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9.报价要求</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除采购文件另有规定外，应以人民币报价。</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本项目不接受任何形式的赠送、“零”报价和折扣报价。</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本项目以磋商总报价为依据计算价格分。磋商总报价应包括采购文件中要求供应商承担所有工作内容的全部费用。</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 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响应处理。</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 最低报价不能作为成交的保证。</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9.6 供应商的报价不得超过采购项目预算。</w:t>
      </w:r>
    </w:p>
    <w:p>
      <w:pPr>
        <w:keepNext w:val="0"/>
        <w:keepLines w:val="0"/>
        <w:pageBreakBefore w:val="0"/>
        <w:kinsoku/>
        <w:wordWrap/>
        <w:topLinePunct/>
        <w:autoSpaceDE w:val="0"/>
        <w:autoSpaceDN w:val="0"/>
        <w:bidi w:val="0"/>
        <w:adjustRightInd w:val="0"/>
        <w:snapToGrid w:val="0"/>
        <w:spacing w:after="0" w:line="42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10.响应文件的书写、密封、签署、盖章</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10.1书写</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10.1.1响应文件应使用不能擦去的墨料或墨水打印、书写。</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10.1.2响应文件内容应没有涂改或行间插字。若有前述改动，在改动处应由单位负责人（授权代表）签字确认或加盖供应商的单位公章或校正章。</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10.2密封</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10.2.1响应文件应胶装或装订成册，避免材料散装、脱落。</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10.2.2响应文件应使用不透明的牛皮纸或档案袋等材料密封包装，并在外包装封面注明“正本”或“副本”，以及项目编号、项目名称、开标时间等信息，避免响应文件被误拆或提前拆封。响应文件正本应按上述要求制作。副本可按上述要求制作，也可用正本的完整复印件，并与正本保持一致（若不一致，以正本为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10.3签署、盖章</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10.3.1响应文件中要求签字处应由供应商的单位负责人（授权代表）签字或加盖个人印章。</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10.3.2响应文件必须按照采购文件给出文件格式的签署要求进行签署。</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10.3.3供应商在</w:t>
      </w:r>
      <w:r>
        <w:rPr>
          <w:rFonts w:hint="eastAsia" w:ascii="宋体" w:hAnsi="宋体" w:eastAsia="宋体" w:cs="宋体"/>
          <w:b/>
          <w:bCs/>
          <w:color w:val="auto"/>
          <w:sz w:val="24"/>
          <w:szCs w:val="24"/>
          <w:highlight w:val="none"/>
        </w:rPr>
        <w:t>“磋商响应函”“法定代表人授权委托书”</w:t>
      </w:r>
      <w:r>
        <w:rPr>
          <w:rFonts w:hint="eastAsia" w:ascii="宋体" w:hAnsi="宋体" w:eastAsia="宋体" w:cs="宋体"/>
          <w:color w:val="auto"/>
          <w:sz w:val="24"/>
          <w:szCs w:val="24"/>
          <w:highlight w:val="none"/>
        </w:rPr>
        <w:t>上应当按格式要求加盖与供应商名称全称一致的标准公章，并按照采购文件第五章响应文件格式中的相应格式文件要求签署全名或加盖名章。</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10.3.4响应文件中的“盖章”指加盖供应商的“公章”，而非“合同专用章”、“投标专用章”等其他非公章。</w:t>
      </w:r>
    </w:p>
    <w:p>
      <w:pPr>
        <w:keepNext w:val="0"/>
        <w:keepLines w:val="0"/>
        <w:pageBreakBefore w:val="0"/>
        <w:kinsoku/>
        <w:wordWrap/>
        <w:topLinePunct/>
        <w:autoSpaceDE w:val="0"/>
        <w:autoSpaceDN w:val="0"/>
        <w:bidi w:val="0"/>
        <w:adjustRightInd w:val="0"/>
        <w:snapToGrid w:val="0"/>
        <w:spacing w:after="0" w:line="42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响应有效期</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响应有效期见</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在此期间，响应文件对供应商具有法律约束力，以保证采购人或者采购代理机构有足够的时间完成磋商、评审、定标以及签订合同。响应文件中承诺的响应有效期应当不少于采购文件中载明的响应有效期，否则作为无效响应处理。</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特殊情况下，在原响应有效期期满之前，采购人或者采购代理机构可征得供应商同意延长响应有效期。</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outlineLvl w:val="1"/>
        <w:rPr>
          <w:rFonts w:hint="eastAsia" w:ascii="宋体" w:hAnsi="宋体" w:eastAsia="宋体" w:cs="宋体"/>
          <w:b/>
          <w:bCs/>
          <w:color w:val="auto"/>
          <w:sz w:val="24"/>
          <w:szCs w:val="24"/>
          <w:highlight w:val="none"/>
        </w:rPr>
      </w:pPr>
      <w:bookmarkStart w:id="24" w:name="_Toc132880661"/>
      <w:bookmarkStart w:id="25" w:name="_Toc20651"/>
      <w:r>
        <w:rPr>
          <w:rFonts w:hint="eastAsia" w:ascii="宋体" w:hAnsi="宋体" w:eastAsia="宋体" w:cs="宋体"/>
          <w:b/>
          <w:bCs/>
          <w:color w:val="auto"/>
          <w:sz w:val="24"/>
          <w:szCs w:val="24"/>
          <w:highlight w:val="none"/>
        </w:rPr>
        <w:t>四、响应文件递交</w:t>
      </w:r>
      <w:bookmarkEnd w:id="24"/>
      <w:bookmarkEnd w:id="25"/>
    </w:p>
    <w:p>
      <w:pPr>
        <w:keepNext w:val="0"/>
        <w:keepLines w:val="0"/>
        <w:pageBreakBefore w:val="0"/>
        <w:kinsoku/>
        <w:wordWrap/>
        <w:topLinePunct/>
        <w:autoSpaceDE w:val="0"/>
        <w:autoSpaceDN w:val="0"/>
        <w:bidi w:val="0"/>
        <w:adjustRightInd w:val="0"/>
        <w:snapToGrid w:val="0"/>
        <w:spacing w:after="0" w:line="42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响应文件递交</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供应商应当在</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要求提交响应文件截止时间前，根据《供应商须知前附表》载明方式提交响应文件。提交响应文件截止时间后，提交响应文件的将被拒绝。</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线上采购项目应登录评审管理系统并使用投标工具加密上传响应文件。除上述方式之外，不接受供应商以纸质文件以及其他任何方式提交的响应文件。供应商应充分考虑网络传输时间等因素，合理安排上传时间。提交响应文件截止时间后，评审管理系统不提供响应文件上传功能。供应商未完成响应文件上传的，磋商响应将被拒绝。</w:t>
      </w:r>
    </w:p>
    <w:p>
      <w:pPr>
        <w:keepNext w:val="0"/>
        <w:keepLines w:val="0"/>
        <w:pageBreakBefore w:val="0"/>
        <w:kinsoku/>
        <w:wordWrap/>
        <w:topLinePunct/>
        <w:autoSpaceDE w:val="0"/>
        <w:autoSpaceDN w:val="0"/>
        <w:bidi w:val="0"/>
        <w:adjustRightInd w:val="0"/>
        <w:snapToGrid w:val="0"/>
        <w:spacing w:after="0" w:line="42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响应文件补充、修改或撤回</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供应商在提交响应文件截止时间前，可以对所提交的响应文件进行补充、修改或者撤回，并书面通知采购人、采购代理机构。补充、修改的内容应当按照采购文件要求签署、盖章、密封后，作为响应文件的组成部分。</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线上采购项目，供应商在提交响应文件截止时间前，可以登录评审管理系统对所提交的响应文件进行撤回、补充、修改、重新提交。补充、修改的内容应当按照采购文件要求签署、盖章。</w:t>
      </w:r>
    </w:p>
    <w:p>
      <w:pPr>
        <w:keepNext w:val="0"/>
        <w:keepLines w:val="0"/>
        <w:pageBreakBefore w:val="0"/>
        <w:widowControl/>
        <w:kinsoku/>
        <w:wordWrap/>
        <w:topLinePunct/>
        <w:autoSpaceDE w:val="0"/>
        <w:autoSpaceDN w:val="0"/>
        <w:bidi w:val="0"/>
        <w:adjustRightInd w:val="0"/>
        <w:snapToGrid w:val="0"/>
        <w:spacing w:after="0" w:line="4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提交响应文件截止时间后，不支持对已提交的响应文件作任何补充、修改或者撤回。</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outlineLvl w:val="1"/>
        <w:rPr>
          <w:rFonts w:hint="eastAsia" w:ascii="宋体" w:hAnsi="宋体" w:eastAsia="宋体" w:cs="宋体"/>
          <w:b/>
          <w:bCs/>
          <w:color w:val="auto"/>
          <w:sz w:val="24"/>
          <w:szCs w:val="24"/>
          <w:highlight w:val="none"/>
        </w:rPr>
      </w:pPr>
      <w:bookmarkStart w:id="26" w:name="_Toc132880662"/>
      <w:bookmarkStart w:id="27" w:name="_Toc8791"/>
      <w:r>
        <w:rPr>
          <w:rFonts w:hint="eastAsia" w:ascii="宋体" w:hAnsi="宋体" w:eastAsia="宋体" w:cs="宋体"/>
          <w:b/>
          <w:bCs/>
          <w:color w:val="auto"/>
          <w:sz w:val="24"/>
          <w:szCs w:val="24"/>
          <w:highlight w:val="none"/>
        </w:rPr>
        <w:t>五、磋商与评审</w:t>
      </w:r>
      <w:bookmarkEnd w:id="26"/>
      <w:bookmarkEnd w:id="27"/>
    </w:p>
    <w:p>
      <w:pPr>
        <w:keepNext w:val="0"/>
        <w:keepLines w:val="0"/>
        <w:pageBreakBefore w:val="0"/>
        <w:kinsoku/>
        <w:wordWrap/>
        <w:topLinePunct/>
        <w:autoSpaceDE w:val="0"/>
        <w:autoSpaceDN w:val="0"/>
        <w:bidi w:val="0"/>
        <w:adjustRightInd w:val="0"/>
        <w:snapToGrid w:val="0"/>
        <w:spacing w:after="0" w:line="42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14.磋商小组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磋商与评审由依法组建的磋商小组负责，磋商小组由采购人代表和评审专家组成。</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评审专家应当遵守评审工作纪律，不得泄露评审情况和评审中获悉的商业秘密。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磋商小组成员应当按照客观、公正、审慎的原则，根据磋商文件规定的评审程序、评审方法和评审标准进行独立评审。</w:t>
      </w:r>
    </w:p>
    <w:p>
      <w:pPr>
        <w:keepNext w:val="0"/>
        <w:keepLines w:val="0"/>
        <w:pageBreakBefore w:val="0"/>
        <w:kinsoku/>
        <w:wordWrap/>
        <w:topLinePunct/>
        <w:autoSpaceDE w:val="0"/>
        <w:autoSpaceDN w:val="0"/>
        <w:bidi w:val="0"/>
        <w:adjustRightInd w:val="0"/>
        <w:snapToGrid w:val="0"/>
        <w:spacing w:after="0" w:line="42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15.初步审查</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 磋商小组应当对供应商提交的首次响应文件进行初步审查，包括响应文件的有效性、完整性、符合性。除可变动的技术、服务要求以及合同草案条款外，首次提交的响应文件有下列情况之一，其响应文件无效，磋商小组应当告知有关供应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(1)供应商未按照磋商文件规定提交磋商保证金的；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(2)未按照磋商文件规定要求密封、签署、盖章的；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(3)响应有效期不足的；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(4)供应商不满足磋商文件供应商资格条件或未按照磋商文件规定提供资格证明材料的；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(5)响应文件不满足磋商文件实质性条款的。响应文件是否实质性响应磋商文件，由磋商小组依据磋商文件规定、供应商响应文件及磋商情况认定；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(6)供应商存在失信记录的：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失信记录是指，通过“信用中国”网站(www.creditchina.gov.cn)、中国政府采购网(www.ccgp.gov.cn)查询相关主体信用记录，列入失信被执行人、重大税收违法案件当事人名单、政府采购严重违法失信行为记录名单及其他不符合《政府采购法》第二十二条规定条件的情况。失信情况查询详见供应商须知前附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(7)其他不符合法律、规章、规范性文件和磋商文件规定的。</w:t>
      </w:r>
    </w:p>
    <w:p>
      <w:pPr>
        <w:keepNext w:val="0"/>
        <w:keepLines w:val="0"/>
        <w:pageBreakBefore w:val="0"/>
        <w:kinsoku/>
        <w:wordWrap/>
        <w:topLinePunct/>
        <w:autoSpaceDE w:val="0"/>
        <w:autoSpaceDN w:val="0"/>
        <w:bidi w:val="0"/>
        <w:adjustRightInd w:val="0"/>
        <w:snapToGrid w:val="0"/>
        <w:spacing w:after="0" w:line="42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16.澄清</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磋商小组在对响应文件(包括首次响应文件、重新提交的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供应商的澄清、说明或者更正应当采用书面形式，由其法定代表人或其授权代表签字，供应商的澄清、说明或者更正不得超出磋商文件的范围或者改变响应文件的实质性内容。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16.3关于响应描述（即响应文件中描述的内容）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（1）响应描述前后不一致且不涉及证明材料的：按照本节第16.1条、16.2条规定执行。</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（2）响应描述与证明材料不一致或多份证明材料之间不一致的：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①磋商小组将要求供应商进行书面澄清，无法澄清的将按照不利于供应商的内容进行评审。</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②供应商按照要求进行澄清的，采购人以澄清内容为准进行验收；供应商未按照要求进行澄清的，采购人以响应描述或证明材料中有利于采购人的内容进行验收。供应商应对证明材料的真实性、有效性承担责任。</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成交供应商的响应描述存在前后不一致、与证明材料不一致或多份证明材料之间不一致情形之一但在磋商中未能发现，则采购人将以响应描述或证明材料中有利于采购人的内容进行验收，成交供应商应自行承担由此产生的风险及费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除磋商小组要求供应商做出的澄清、说明或者补正以外，磋商小组不接受供应商的任何询问、说明、更改及文件。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 供应商的澄清必须在规定的时间内提交。</w:t>
      </w:r>
    </w:p>
    <w:p>
      <w:pPr>
        <w:keepNext w:val="0"/>
        <w:keepLines w:val="0"/>
        <w:pageBreakBefore w:val="0"/>
        <w:kinsoku/>
        <w:wordWrap/>
        <w:topLinePunct/>
        <w:autoSpaceDE w:val="0"/>
        <w:autoSpaceDN w:val="0"/>
        <w:bidi w:val="0"/>
        <w:adjustRightInd w:val="0"/>
        <w:snapToGrid w:val="0"/>
        <w:spacing w:after="0" w:line="42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17.磋商</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初审结束后，磋商小组所有成员集中与单一供应商分别进行磋商，并给予所有参加磋商的供应商平等的磋商机会。供应商应派其法定代表人或授权代表参加磋商。</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磋商过程中，磋商小组可以根据磋商文件和磋商情况实质性变动采购需求中的技术、服务要求以及合同草案条款，但不得变动磋商文件中的其他内容。实质性变动的内容，须经采购人代表确认。</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　对磋商文件作出的实质性变动是磋商文件的有效组成部分，磋商小组应当及时以书面形式同时通知所有参加磋商的供应商。</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　磋商文件不能详细列明采购标的技术、服务要求，需经磋商由供应商提供最终设计方案或解决方案的，磋商结束后，磋商小组应当按照少数服从多数的原则投票推荐3家以上供应商的设计方案或者解决方案。</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17.6　磋商小组应当根据实际情况与供应商进行磋商，并确定磋商的轮次。</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17.7　已提交响应文件的供应商，在提交最后报价之前，可以根据磋商情况退出磋商。采购人或采购代理机构应当退还退出磋商的供应商的磋商保证金。</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17.8　磋商结束后，供应商按照磋商小组要求重新提交的响应文件，不满足磋商文件及变动后的技术、服务要求以及合同草案条款的实质性要求的，将视为无效响应文件。</w:t>
      </w:r>
    </w:p>
    <w:p>
      <w:pPr>
        <w:keepNext w:val="0"/>
        <w:keepLines w:val="0"/>
        <w:pageBreakBefore w:val="0"/>
        <w:kinsoku/>
        <w:wordWrap/>
        <w:topLinePunct/>
        <w:autoSpaceDE w:val="0"/>
        <w:autoSpaceDN w:val="0"/>
        <w:bidi w:val="0"/>
        <w:adjustRightInd w:val="0"/>
        <w:snapToGrid w:val="0"/>
        <w:spacing w:after="0" w:line="42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18.最后报价</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磋商结束后，磋商小组应当要求所有实质性响应的供应商在规定时间内提交最后报价，提交最后报价的供应商不得少于3家。（符合</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规定的允许符合要求的供应商只有2家时可以继续进行采购活动的情形，提交最后报价的供应商可以为2家）。</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　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最后报价是供应商响应文件的有效组成部分。如磋商小组没有对磋商文件作实质性变动或增加新的需求，最后报价不得高于首轮报价。</w:t>
      </w:r>
    </w:p>
    <w:p>
      <w:pPr>
        <w:keepNext w:val="0"/>
        <w:keepLines w:val="0"/>
        <w:pageBreakBefore w:val="0"/>
        <w:kinsoku/>
        <w:wordWrap/>
        <w:topLinePunct/>
        <w:autoSpaceDE w:val="0"/>
        <w:autoSpaceDN w:val="0"/>
        <w:bidi w:val="0"/>
        <w:adjustRightInd w:val="0"/>
        <w:snapToGrid w:val="0"/>
        <w:spacing w:after="0" w:line="42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19.最后报价评审</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最后报价计算错误修正的原则</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(1)最后报价的大写金额和小写金额不一致的，以大写金额为准。</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(2)总价金额与按分项报价汇总金额不一致的，以分项报价金额计算结果为准。</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(3)分项报价金额小数点有明显错位的，应以总价为准，并修改分项报价。</w:t>
      </w:r>
    </w:p>
    <w:p>
      <w:pPr>
        <w:keepNext w:val="0"/>
        <w:keepLines w:val="0"/>
        <w:pageBreakBefore w:val="0"/>
        <w:kinsoku/>
        <w:wordWrap/>
        <w:overflowPunct w:val="0"/>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(4)同时出现两种以上不一致的，按照前款规定的顺序修正。 </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(5)如果供应商不接受对其错误的更正，其最后报价将被视为无效报价或确定为无效响应。</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最后报价的价格扣除原则</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落实政府采购政策进行价格调整的规则详见第三章第2.3条。</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　磋商报价得分：以供应商的最后报价作为价格评分依据。供应商的评审价为按上述条款修正并给予价格扣除优惠后的价格。</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价格评分统一采用低价优先法计算，即满足磋商文件要求且价格最低的评审价为评审基准价，其价格分为满分。其他供应商的价格分统一按照下列公式计算：</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磋商报价得分=（磋商基准价/最后磋商报价）×价格满分值</w:t>
      </w:r>
    </w:p>
    <w:p>
      <w:pPr>
        <w:keepNext w:val="0"/>
        <w:keepLines w:val="0"/>
        <w:pageBreakBefore w:val="0"/>
        <w:kinsoku/>
        <w:wordWrap/>
        <w:topLinePunct/>
        <w:autoSpaceDE w:val="0"/>
        <w:autoSpaceDN w:val="0"/>
        <w:bidi w:val="0"/>
        <w:adjustRightInd w:val="0"/>
        <w:snapToGrid w:val="0"/>
        <w:spacing w:after="0" w:line="42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20.综合评审</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　经磋商确定最终采购需求和提交最后报价的供应商后，由磋商小组采用综合评分法对提交最后报价的供应商的响应文件和最后报价进行综合评分。</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　评审办法及标准见第三章。</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评审时，磋商小组成员应当独立对每个有效响应的文件进行评价、打分，然后汇总每个供应商每项评分因素的得分。</w:t>
      </w:r>
    </w:p>
    <w:p>
      <w:pPr>
        <w:keepNext w:val="0"/>
        <w:keepLines w:val="0"/>
        <w:pageBreakBefore w:val="0"/>
        <w:kinsoku/>
        <w:wordWrap/>
        <w:topLinePunct/>
        <w:autoSpaceDE w:val="0"/>
        <w:autoSpaceDN w:val="0"/>
        <w:bidi w:val="0"/>
        <w:adjustRightInd w:val="0"/>
        <w:snapToGrid w:val="0"/>
        <w:spacing w:after="0" w:line="42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21.提出成交供应商</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磋商小组应当按照综合评分由高到低的顺序提出3名以上成交候选供应商，并编写评审报告。（符合</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规定的允许符合要求的供应商只有2家时可以继续进行采购活动的情形，推荐的成交候选供应商可以为2家）</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w:t>
      </w:r>
      <w:r>
        <w:rPr>
          <w:rFonts w:hint="eastAsia" w:ascii="宋体" w:hAnsi="宋体" w:eastAsia="宋体" w:cs="宋体"/>
          <w:color w:val="auto"/>
          <w:sz w:val="24"/>
          <w:szCs w:val="24"/>
          <w:highlight w:val="none"/>
          <w:u w:val="single"/>
        </w:rPr>
        <w:t>评审得分相同的，按照最后报价由低到高的顺序推荐。评审得分且最后报价相同的，按照技术指标</w:t>
      </w:r>
      <w:r>
        <w:rPr>
          <w:rFonts w:hint="eastAsia" w:ascii="宋体" w:hAnsi="宋体" w:cs="宋体"/>
          <w:color w:val="auto"/>
          <w:sz w:val="24"/>
          <w:szCs w:val="24"/>
          <w:highlight w:val="none"/>
          <w:u w:val="single"/>
          <w:lang w:eastAsia="zh-CN"/>
        </w:rPr>
        <w:t>得分由高到低</w:t>
      </w:r>
      <w:r>
        <w:rPr>
          <w:rFonts w:hint="eastAsia" w:ascii="宋体" w:hAnsi="宋体" w:eastAsia="宋体" w:cs="宋体"/>
          <w:color w:val="auto"/>
          <w:sz w:val="24"/>
          <w:szCs w:val="24"/>
          <w:highlight w:val="none"/>
          <w:u w:val="single"/>
        </w:rPr>
        <w:t>顺序推荐</w:t>
      </w:r>
      <w:r>
        <w:rPr>
          <w:rFonts w:hint="eastAsia" w:ascii="宋体" w:hAnsi="宋体" w:eastAsia="宋体" w:cs="宋体"/>
          <w:color w:val="auto"/>
          <w:sz w:val="24"/>
          <w:szCs w:val="24"/>
          <w:highlight w:val="none"/>
        </w:rPr>
        <w:t>。</w:t>
      </w:r>
    </w:p>
    <w:p>
      <w:pPr>
        <w:keepNext w:val="0"/>
        <w:keepLines w:val="0"/>
        <w:pageBreakBefore w:val="0"/>
        <w:kinsoku/>
        <w:wordWrap/>
        <w:topLinePunct/>
        <w:autoSpaceDE w:val="0"/>
        <w:autoSpaceDN w:val="0"/>
        <w:bidi w:val="0"/>
        <w:adjustRightInd w:val="0"/>
        <w:snapToGrid w:val="0"/>
        <w:spacing w:after="0" w:line="42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22.磋商终止</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出现下列情形之一的，采购人或者采购代理机构应当终止竞争性磋商采购活动，在财政部指定的媒体上发布项目终止公告并说明原因，重新开展采购活动：</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(1)因情况变化，不再符合规定的竞争性磋商采购方式适用情形的；</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(2)出现影响采购公正的违法、违规行为的；</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(3)在采购过程中符合竞争要求的供应商或者报价未超过采购预算的供应商不足3家的，或者提交最后报价的供应商少于3家的；（符合</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 xml:space="preserve">规定的允许符合要求的供应商只有2家时可以继续进行采购活动的情形，符合竞争要求的供应商或者报价未超过采购预算的供应商或者提交最后报价的供应商不足2家的；） </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(4)因重大变故，采购任务取消的。</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outlineLvl w:val="1"/>
        <w:rPr>
          <w:rFonts w:hint="eastAsia" w:ascii="宋体" w:hAnsi="宋体" w:eastAsia="宋体" w:cs="宋体"/>
          <w:b/>
          <w:bCs/>
          <w:color w:val="auto"/>
          <w:sz w:val="24"/>
          <w:szCs w:val="24"/>
          <w:highlight w:val="none"/>
        </w:rPr>
      </w:pPr>
      <w:bookmarkStart w:id="28" w:name="_Toc132880663"/>
      <w:bookmarkStart w:id="29" w:name="_Toc21852"/>
      <w:r>
        <w:rPr>
          <w:rFonts w:hint="eastAsia" w:ascii="宋体" w:hAnsi="宋体" w:eastAsia="宋体" w:cs="宋体"/>
          <w:b/>
          <w:bCs/>
          <w:color w:val="auto"/>
          <w:sz w:val="24"/>
          <w:szCs w:val="24"/>
          <w:highlight w:val="none"/>
        </w:rPr>
        <w:t>六、成交和合同</w:t>
      </w:r>
      <w:bookmarkEnd w:id="28"/>
      <w:bookmarkEnd w:id="29"/>
    </w:p>
    <w:p>
      <w:pPr>
        <w:keepNext w:val="0"/>
        <w:keepLines w:val="0"/>
        <w:pageBreakBefore w:val="0"/>
        <w:kinsoku/>
        <w:wordWrap/>
        <w:topLinePunct/>
        <w:autoSpaceDE w:val="0"/>
        <w:autoSpaceDN w:val="0"/>
        <w:bidi w:val="0"/>
        <w:adjustRightInd w:val="0"/>
        <w:snapToGrid w:val="0"/>
        <w:spacing w:after="0" w:line="42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成交</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23.1采购代理机构应当在评审结束后2个工作日内将评审报告送采购人确认。</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23.3 采购人或者采购代理机构应当在成交供应商确定后2个工作日内，在</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规定的媒体上公告成交结果，并将磋商文件随成交结果同时公告。</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23.4 在公告成交结果的同时，采购人或者采购代理机构应当向成交供应商发出成交通知书。</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23.5 成交通知书对采购人和成交供应商具有同等法律效力。</w:t>
      </w:r>
    </w:p>
    <w:p>
      <w:pPr>
        <w:keepNext w:val="0"/>
        <w:keepLines w:val="0"/>
        <w:pageBreakBefore w:val="0"/>
        <w:kinsoku/>
        <w:wordWrap/>
        <w:topLinePunct/>
        <w:autoSpaceDE w:val="0"/>
        <w:autoSpaceDN w:val="0"/>
        <w:bidi w:val="0"/>
        <w:adjustRightInd w:val="0"/>
        <w:snapToGrid w:val="0"/>
        <w:spacing w:after="0" w:line="42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24</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签订合同</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采购人与成交供应商应当在成交通知书发出之日起30日内，按照磋商文件确定的合同文本以及采购标的、规格型号、采购金额、采购数量、技术和服务要求等事项签订政府采购合同。</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 成交供应商拒绝签订政府采购合同的，采购人可以按照本章第23.2条规定的原则确定其他供应商作为成交供应商并签订政府采购合同，也可以重新开展采购活动。拒绝签订政府采购合同的成交供应商不得参加对该项目重新开展的采购活动。</w:t>
      </w:r>
    </w:p>
    <w:p>
      <w:pPr>
        <w:keepNext w:val="0"/>
        <w:keepLines w:val="0"/>
        <w:pageBreakBefore w:val="0"/>
        <w:kinsoku/>
        <w:wordWrap/>
        <w:topLinePunct/>
        <w:autoSpaceDE w:val="0"/>
        <w:autoSpaceDN w:val="0"/>
        <w:bidi w:val="0"/>
        <w:adjustRightInd w:val="0"/>
        <w:snapToGrid w:val="0"/>
        <w:spacing w:after="0" w:line="42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25</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履约保证金</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25.1成交供应商按照</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的规定，在签订采购合同前，向采购人提交履约保证金。联合体成交的，履约保证金以联合体各方或联合体中牵头人的名义提交。</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25.2成交供应商没有按照</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的规定提交履约保证金的，视为放弃成交资格，其磋商保证金不予退还。</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outlineLvl w:val="1"/>
        <w:rPr>
          <w:rFonts w:hint="eastAsia" w:ascii="宋体" w:hAnsi="宋体" w:eastAsia="宋体" w:cs="宋体"/>
          <w:b/>
          <w:bCs/>
          <w:color w:val="auto"/>
          <w:sz w:val="24"/>
          <w:szCs w:val="24"/>
          <w:highlight w:val="none"/>
        </w:rPr>
      </w:pPr>
      <w:bookmarkStart w:id="30" w:name="_Toc132880664"/>
      <w:bookmarkStart w:id="31" w:name="_Toc17635"/>
      <w:r>
        <w:rPr>
          <w:rFonts w:hint="eastAsia" w:ascii="宋体" w:hAnsi="宋体" w:eastAsia="宋体" w:cs="宋体"/>
          <w:b/>
          <w:bCs/>
          <w:color w:val="auto"/>
          <w:sz w:val="24"/>
          <w:szCs w:val="24"/>
          <w:highlight w:val="none"/>
        </w:rPr>
        <w:t>七、询问和质疑</w:t>
      </w:r>
      <w:bookmarkEnd w:id="30"/>
      <w:bookmarkEnd w:id="31"/>
    </w:p>
    <w:p>
      <w:pPr>
        <w:keepNext w:val="0"/>
        <w:keepLines w:val="0"/>
        <w:pageBreakBefore w:val="0"/>
        <w:kinsoku/>
        <w:wordWrap/>
        <w:topLinePunct/>
        <w:autoSpaceDE w:val="0"/>
        <w:autoSpaceDN w:val="0"/>
        <w:bidi w:val="0"/>
        <w:adjustRightInd w:val="0"/>
        <w:snapToGrid w:val="0"/>
        <w:spacing w:after="0" w:line="42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26. 询问</w:t>
      </w:r>
    </w:p>
    <w:p>
      <w:pPr>
        <w:keepNext w:val="0"/>
        <w:keepLines w:val="0"/>
        <w:pageBreakBefore w:val="0"/>
        <w:kinsoku/>
        <w:wordWrap/>
        <w:topLinePunct/>
        <w:autoSpaceDE w:val="0"/>
        <w:autoSpaceDN w:val="0"/>
        <w:bidi w:val="0"/>
        <w:adjustRightInd w:val="0"/>
        <w:snapToGrid w:val="0"/>
        <w:spacing w:after="0" w:line="4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26.1潜在供应商、供应商对政府采购活动事项有疑问的，可以向采购人或者采购代理机构提出询问，采购人或者采购代理机构应当在3个工作日内对依法提出的询问作出答复，但答复的内容不得涉及商业秘密。</w:t>
      </w:r>
    </w:p>
    <w:p>
      <w:pPr>
        <w:keepNext w:val="0"/>
        <w:keepLines w:val="0"/>
        <w:pageBreakBefore w:val="0"/>
        <w:kinsoku/>
        <w:wordWrap/>
        <w:topLinePunct/>
        <w:autoSpaceDE w:val="0"/>
        <w:autoSpaceDN w:val="0"/>
        <w:bidi w:val="0"/>
        <w:adjustRightInd w:val="0"/>
        <w:snapToGrid w:val="0"/>
        <w:spacing w:after="0" w:line="42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27</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质疑</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潜在供应商、供应商（统称质疑人）认为采购文件、采购过程和成交结果使自己的权益受到损害的，可以在知道或者应知其权益受到损害之日起7个工作日内以书面形式向采购人或者采购代理机构提出质疑。联系部门、联系电话、通讯地址、电子邮箱</w:t>
      </w:r>
      <w:r>
        <w:rPr>
          <w:rFonts w:hint="eastAsia" w:ascii="宋体" w:hAnsi="宋体" w:eastAsia="宋体" w:cs="宋体"/>
          <w:b/>
          <w:bCs/>
          <w:color w:val="auto"/>
          <w:sz w:val="24"/>
          <w:szCs w:val="24"/>
          <w:highlight w:val="none"/>
        </w:rPr>
        <w:t>见</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27.2在法定质疑期内，针对同一采购程序环节的质疑应一次性提出。</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27.3质疑人应知其权益受到损害之日，是指： </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（1）对可以质疑的采购文件提出质疑的，为收到采购文件之日或者采购文件公告期限届满之日；</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（2）对采购过程提出质疑的，为各采购程序环节结束之日；</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（3）对成交结果提出质疑的，为成交结果公告期限届满之日。</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27.4质疑应当有明确的请求和必要的证明材料。供应商为自然人的，应当由本人签字；供应商为法人或者其他组织的，应当由法定代表人、主要负责人，或者其授权代表签字或者签章，并加盖公章。</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27.5 采购人或者代理机构应当在收到供应商的质疑函后7个工作日内，对质疑内容作出答复，</w:t>
      </w:r>
      <w:r>
        <w:rPr>
          <w:rFonts w:hint="eastAsia" w:ascii="宋体" w:hAnsi="宋体" w:eastAsia="宋体" w:cs="宋体"/>
          <w:bCs/>
          <w:color w:val="auto"/>
          <w:sz w:val="24"/>
          <w:szCs w:val="24"/>
          <w:highlight w:val="none"/>
        </w:rPr>
        <w:t>书面形式</w:t>
      </w:r>
      <w:r>
        <w:rPr>
          <w:rFonts w:hint="eastAsia" w:ascii="宋体" w:hAnsi="宋体" w:eastAsia="宋体" w:cs="宋体"/>
          <w:color w:val="auto"/>
          <w:sz w:val="24"/>
          <w:szCs w:val="24"/>
          <w:highlight w:val="none"/>
        </w:rPr>
        <w:t>通知质疑供应商和其他有关供应商，但答复内容不得涉及商业秘密。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27.6质疑人对采购人、采购代理机构的答复不满意或者采购人、采购代理机构未在规定的时间内作出答复的，可以在答复期满后15个工作日内向同级人民政府财政部门投诉。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27.7投诉应当有明确的请求和必要的证明材料。投诉的事项不得超出已质疑事项的范围。</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outlineLvl w:val="1"/>
        <w:rPr>
          <w:rFonts w:hint="eastAsia" w:ascii="宋体" w:hAnsi="宋体" w:eastAsia="宋体" w:cs="宋体"/>
          <w:b/>
          <w:bCs/>
          <w:color w:val="auto"/>
          <w:sz w:val="24"/>
          <w:szCs w:val="24"/>
          <w:highlight w:val="none"/>
        </w:rPr>
      </w:pPr>
      <w:bookmarkStart w:id="32" w:name="_Toc132880665"/>
      <w:bookmarkStart w:id="33" w:name="_Toc6779"/>
      <w:r>
        <w:rPr>
          <w:rFonts w:hint="eastAsia" w:ascii="宋体" w:hAnsi="宋体" w:eastAsia="宋体" w:cs="宋体"/>
          <w:b/>
          <w:bCs/>
          <w:color w:val="auto"/>
          <w:sz w:val="24"/>
          <w:szCs w:val="24"/>
          <w:highlight w:val="none"/>
        </w:rPr>
        <w:t>八、其他</w:t>
      </w:r>
      <w:bookmarkEnd w:id="32"/>
      <w:bookmarkEnd w:id="33"/>
    </w:p>
    <w:p>
      <w:pPr>
        <w:keepNext w:val="0"/>
        <w:keepLines w:val="0"/>
        <w:pageBreakBefore w:val="0"/>
        <w:kinsoku/>
        <w:wordWrap/>
        <w:topLinePunct/>
        <w:autoSpaceDE w:val="0"/>
        <w:autoSpaceDN w:val="0"/>
        <w:bidi w:val="0"/>
        <w:adjustRightInd w:val="0"/>
        <w:snapToGrid w:val="0"/>
        <w:spacing w:after="0" w:line="42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28</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保密</w:t>
      </w:r>
    </w:p>
    <w:p>
      <w:pPr>
        <w:keepNext w:val="0"/>
        <w:keepLines w:val="0"/>
        <w:pageBreakBefore w:val="0"/>
        <w:widowControl/>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28.1采购人、采购代理机构应当按照政府采购法和本办法的规定组织开展竞争性磋商，并采取必要措施，保证磋商在严格保密的情况下进行。任何单位和个人不得非法干预、影响磋商过程和结果。</w:t>
      </w:r>
    </w:p>
    <w:p>
      <w:pPr>
        <w:keepNext w:val="0"/>
        <w:keepLines w:val="0"/>
        <w:pageBreakBefore w:val="0"/>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28.2 磋商小组成员和参与评审工作的有关人员对评审情况以及在评审过程中获悉的国家秘密、商业秘密负有保密责任。</w:t>
      </w:r>
    </w:p>
    <w:p>
      <w:pPr>
        <w:keepNext w:val="0"/>
        <w:keepLines w:val="0"/>
        <w:pageBreakBefore w:val="0"/>
        <w:kinsoku/>
        <w:wordWrap/>
        <w:topLinePunct/>
        <w:autoSpaceDE w:val="0"/>
        <w:autoSpaceDN w:val="0"/>
        <w:bidi w:val="0"/>
        <w:adjustRightInd w:val="0"/>
        <w:snapToGrid w:val="0"/>
        <w:spacing w:after="0" w:line="42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29. 知识产权与规避专利、版权纠纷</w:t>
      </w:r>
    </w:p>
    <w:p>
      <w:pPr>
        <w:keepNext w:val="0"/>
        <w:keepLines w:val="0"/>
        <w:pageBreakBefore w:val="0"/>
        <w:widowControl/>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29.1 知识产权</w:t>
      </w:r>
    </w:p>
    <w:p>
      <w:pPr>
        <w:keepNext w:val="0"/>
        <w:keepLines w:val="0"/>
        <w:pageBreakBefore w:val="0"/>
        <w:widowControl/>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29.1.1 项目系统的版权属于采购人所有，成交供应商应向采购人开放并提供涉及本项目软件开发、升级完善、运行维护等工作的全部源代码（含保证期内的后续升级版本）。由本项目系统形成的技术和成果的专利申请权、专利权、技术秘密的所有权、使用权、转让权等知识产权归采购人所有。</w:t>
      </w:r>
    </w:p>
    <w:p>
      <w:pPr>
        <w:keepNext w:val="0"/>
        <w:keepLines w:val="0"/>
        <w:pageBreakBefore w:val="0"/>
        <w:widowControl/>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29.2 规避专利、版权纠纷</w:t>
      </w:r>
    </w:p>
    <w:p>
      <w:pPr>
        <w:keepNext w:val="0"/>
        <w:keepLines w:val="0"/>
        <w:pageBreakBefore w:val="0"/>
        <w:widowControl/>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29.2.1 供应商应保证其响应方案中的有关软件、文件、图纸等没有违反有关专利和版权等知识产权的规定。</w:t>
      </w:r>
    </w:p>
    <w:p>
      <w:pPr>
        <w:keepNext w:val="0"/>
        <w:keepLines w:val="0"/>
        <w:pageBreakBefore w:val="0"/>
        <w:widowControl/>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29.2.2 成交供应商应保证采购人在中华人民共和国使用本项目成果任何一部分、或接受乙方服务时，免受第三方提出的侵犯其专利权、商标权或工业设计权等知识产权的索赔或起诉。</w:t>
      </w:r>
    </w:p>
    <w:p>
      <w:pPr>
        <w:keepNext w:val="0"/>
        <w:keepLines w:val="0"/>
        <w:pageBreakBefore w:val="0"/>
        <w:widowControl/>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29.2.3 如果采购人在使用本项目任何一部分时被任何第三方诉称侵犯了第三方知识产权或任何其它权利，成交供应商应负责处理这一指控并应以成交供应商的名义自负费用向起诉方提出抗辩。由此可能产生的一切法律责任和经济责任均由成交供应商承担。</w:t>
      </w:r>
    </w:p>
    <w:p>
      <w:pPr>
        <w:keepNext w:val="0"/>
        <w:keepLines w:val="0"/>
        <w:pageBreakBefore w:val="0"/>
        <w:widowControl/>
        <w:kinsoku/>
        <w:wordWrap/>
        <w:topLinePunct/>
        <w:autoSpaceDE w:val="0"/>
        <w:autoSpaceDN w:val="0"/>
        <w:bidi w:val="0"/>
        <w:adjustRightInd w:val="0"/>
        <w:snapToGrid w:val="0"/>
        <w:spacing w:after="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29.2.4 如果采购人发现任何第三方在采购人未被许可的范围内非法使用采购人获得的知识产权，采购人应通知成交供应商。成交供应商应在收到采购人通知后14天内采取行动制止非法使用行为，否则由成交供应商承担相应的责任。</w:t>
      </w:r>
    </w:p>
    <w:p>
      <w:pPr>
        <w:pageBreakBefore w:val="0"/>
        <w:kinsoku/>
        <w:wordWrap/>
        <w:bidi w:val="0"/>
        <w:spacing w:line="360" w:lineRule="auto"/>
        <w:textAlignment w:val="auto"/>
        <w:rPr>
          <w:rFonts w:hint="eastAsia" w:ascii="宋体" w:hAnsi="宋体" w:eastAsia="宋体" w:cs="宋体"/>
          <w:color w:val="auto"/>
          <w:sz w:val="24"/>
          <w:szCs w:val="24"/>
          <w:highlight w:val="none"/>
        </w:rPr>
        <w:sectPr>
          <w:pgSz w:w="11906" w:h="16838"/>
          <w:pgMar w:top="1440" w:right="1752" w:bottom="1440" w:left="1752" w:header="851" w:footer="992" w:gutter="0"/>
          <w:pgNumType w:fmt="decimal"/>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28"/>
          <w:szCs w:val="28"/>
          <w:highlight w:val="none"/>
        </w:rPr>
      </w:pPr>
      <w:bookmarkStart w:id="34" w:name="_Toc13151"/>
      <w:bookmarkStart w:id="35" w:name="_Toc132880666"/>
      <w:r>
        <w:rPr>
          <w:rFonts w:hint="eastAsia" w:ascii="宋体" w:hAnsi="宋体" w:eastAsia="宋体" w:cs="宋体"/>
          <w:b/>
          <w:bCs/>
          <w:color w:val="auto"/>
          <w:sz w:val="28"/>
          <w:szCs w:val="28"/>
          <w:highlight w:val="none"/>
        </w:rPr>
        <w:t>第三章  评审方法及标准</w:t>
      </w:r>
      <w:bookmarkEnd w:id="34"/>
    </w:p>
    <w:p>
      <w:pPr>
        <w:keepNext w:val="0"/>
        <w:keepLines w:val="0"/>
        <w:pageBreakBefore w:val="0"/>
        <w:kinsoku/>
        <w:wordWrap/>
        <w:overflowPunct/>
        <w:topLinePunct/>
        <w:autoSpaceDE w:val="0"/>
        <w:autoSpaceDN w:val="0"/>
        <w:bidi w:val="0"/>
        <w:adjustRightInd w:val="0"/>
        <w:snapToGrid w:val="0"/>
        <w:spacing w:after="0" w:line="400" w:lineRule="exact"/>
        <w:ind w:firstLine="482" w:firstLineChars="200"/>
        <w:textAlignment w:val="auto"/>
        <w:outlineLvl w:val="1"/>
        <w:rPr>
          <w:rFonts w:hint="eastAsia" w:ascii="宋体" w:hAnsi="宋体" w:eastAsia="宋体" w:cs="宋体"/>
          <w:b/>
          <w:color w:val="auto"/>
          <w:sz w:val="24"/>
          <w:szCs w:val="24"/>
          <w:highlight w:val="none"/>
        </w:rPr>
      </w:pPr>
      <w:bookmarkStart w:id="36" w:name="_Toc18715"/>
      <w:r>
        <w:rPr>
          <w:rFonts w:hint="eastAsia" w:ascii="宋体" w:hAnsi="宋体" w:eastAsia="宋体" w:cs="宋体"/>
          <w:b/>
          <w:color w:val="auto"/>
          <w:sz w:val="24"/>
          <w:szCs w:val="24"/>
          <w:highlight w:val="none"/>
        </w:rPr>
        <w:t>1.评审方法</w:t>
      </w:r>
      <w:bookmarkEnd w:id="36"/>
    </w:p>
    <w:p>
      <w:pPr>
        <w:keepNext w:val="0"/>
        <w:keepLines w:val="0"/>
        <w:pageBreakBefore w:val="0"/>
        <w:widowControl/>
        <w:kinsoku/>
        <w:wordWrap/>
        <w:overflowPunct/>
        <w:topLinePunct/>
        <w:autoSpaceDE w:val="0"/>
        <w:autoSpaceDN w:val="0"/>
        <w:bidi w:val="0"/>
        <w:adjustRightInd w:val="0"/>
        <w:snapToGrid w:val="0"/>
        <w:spacing w:after="0" w:line="4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1.1 本项目评审方法：</w:t>
      </w:r>
      <w:r>
        <w:rPr>
          <w:rFonts w:hint="eastAsia" w:ascii="宋体" w:hAnsi="宋体" w:eastAsia="宋体" w:cs="宋体"/>
          <w:b/>
          <w:color w:val="auto"/>
          <w:sz w:val="24"/>
          <w:szCs w:val="24"/>
          <w:highlight w:val="none"/>
          <w:u w:val="single"/>
        </w:rPr>
        <w:t>采用综合评分法</w:t>
      </w:r>
      <w:r>
        <w:rPr>
          <w:rFonts w:hint="eastAsia" w:ascii="宋体" w:hAnsi="宋体" w:cs="宋体"/>
          <w:b/>
          <w:color w:val="auto"/>
          <w:sz w:val="24"/>
          <w:szCs w:val="24"/>
          <w:highlight w:val="none"/>
          <w:u w:val="single"/>
          <w:lang w:eastAsia="zh-CN"/>
        </w:rPr>
        <w:t>，</w:t>
      </w:r>
      <w:r>
        <w:rPr>
          <w:rFonts w:hint="eastAsia" w:ascii="宋体" w:hAnsi="宋体" w:cs="宋体"/>
          <w:b/>
          <w:color w:val="auto"/>
          <w:sz w:val="24"/>
          <w:szCs w:val="24"/>
          <w:highlight w:val="none"/>
          <w:u w:val="single"/>
          <w:lang w:val="en-US" w:eastAsia="zh-CN"/>
        </w:rPr>
        <w:t>推荐三名成交候选人。</w:t>
      </w:r>
    </w:p>
    <w:p>
      <w:pPr>
        <w:keepNext w:val="0"/>
        <w:keepLines w:val="0"/>
        <w:pageBreakBefore w:val="0"/>
        <w:kinsoku/>
        <w:wordWrap/>
        <w:overflowPunct/>
        <w:topLinePunct/>
        <w:autoSpaceDE w:val="0"/>
        <w:autoSpaceDN w:val="0"/>
        <w:bidi w:val="0"/>
        <w:adjustRightInd w:val="0"/>
        <w:snapToGrid w:val="0"/>
        <w:spacing w:after="0" w:line="400" w:lineRule="exact"/>
        <w:ind w:firstLine="482" w:firstLineChars="200"/>
        <w:textAlignment w:val="auto"/>
        <w:outlineLvl w:val="1"/>
        <w:rPr>
          <w:rFonts w:hint="eastAsia" w:ascii="宋体" w:hAnsi="宋体" w:eastAsia="宋体" w:cs="宋体"/>
          <w:b/>
          <w:color w:val="auto"/>
          <w:sz w:val="24"/>
          <w:szCs w:val="24"/>
          <w:highlight w:val="none"/>
        </w:rPr>
      </w:pPr>
      <w:bookmarkStart w:id="37" w:name="_Toc7770"/>
      <w:r>
        <w:rPr>
          <w:rFonts w:hint="eastAsia" w:ascii="宋体" w:hAnsi="宋体" w:eastAsia="宋体" w:cs="宋体"/>
          <w:b/>
          <w:color w:val="auto"/>
          <w:sz w:val="24"/>
          <w:szCs w:val="24"/>
          <w:highlight w:val="none"/>
        </w:rPr>
        <w:t>2.评分标准</w:t>
      </w:r>
      <w:bookmarkEnd w:id="37"/>
    </w:p>
    <w:p>
      <w:pPr>
        <w:tabs>
          <w:tab w:val="center" w:pos="4890"/>
        </w:tabs>
        <w:spacing w:line="360" w:lineRule="auto"/>
        <w:ind w:firstLine="560"/>
        <w:rPr>
          <w:rFonts w:ascii="仿宋_GB2312" w:hAnsi="仿宋" w:eastAsia="仿宋_GB2312" w:cs="仿宋_GB2312"/>
          <w:color w:val="auto"/>
          <w:sz w:val="28"/>
          <w:szCs w:val="28"/>
        </w:rPr>
      </w:pPr>
      <w:r>
        <w:rPr>
          <w:rFonts w:hint="eastAsia" w:ascii="宋体" w:hAnsi="宋体" w:eastAsia="宋体" w:cs="宋体"/>
          <w:color w:val="auto"/>
          <w:sz w:val="24"/>
          <w:szCs w:val="24"/>
          <w:highlight w:val="none"/>
        </w:rPr>
        <w:t>2.1 本项目</w:t>
      </w:r>
      <w:r>
        <w:rPr>
          <w:rFonts w:hint="eastAsia" w:ascii="宋体" w:hAnsi="宋体" w:eastAsia="宋体" w:cs="宋体"/>
          <w:b/>
          <w:color w:val="auto"/>
          <w:sz w:val="24"/>
          <w:szCs w:val="24"/>
          <w:highlight w:val="none"/>
          <w:u w:val="single"/>
        </w:rPr>
        <w:t>采用综合评分法</w:t>
      </w:r>
      <w:r>
        <w:rPr>
          <w:rFonts w:hint="eastAsia" w:ascii="宋体" w:hAnsi="宋体" w:eastAsia="宋体" w:cs="宋体"/>
          <w:color w:val="auto"/>
          <w:sz w:val="24"/>
          <w:szCs w:val="24"/>
          <w:highlight w:val="none"/>
        </w:rPr>
        <w:t>进行评分，综合评分法是指响应文件满足采购文件全部实质性要求，且按照评审因素的量化指标评审得分最高的供应商为成交候选供应商的评审方法。</w:t>
      </w:r>
    </w:p>
    <w:p>
      <w:pPr>
        <w:pStyle w:val="37"/>
        <w:keepNext w:val="0"/>
        <w:keepLines w:val="0"/>
        <w:pageBreakBefore w:val="0"/>
        <w:widowControl w:val="0"/>
        <w:kinsoku/>
        <w:wordWrap/>
        <w:overflowPunct/>
        <w:bidi w:val="0"/>
        <w:spacing w:line="4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评审因素主要内容如下表。</w:t>
      </w:r>
    </w:p>
    <w:p>
      <w:pPr>
        <w:keepNext w:val="0"/>
        <w:keepLines w:val="0"/>
        <w:pageBreakBefore w:val="0"/>
        <w:kinsoku/>
        <w:wordWrap/>
        <w:overflowPunct/>
        <w:topLinePunct/>
        <w:autoSpaceDE w:val="0"/>
        <w:autoSpaceDN w:val="0"/>
        <w:bidi w:val="0"/>
        <w:spacing w:after="0"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本项目价格分值为</w:t>
      </w:r>
      <w:r>
        <w:rPr>
          <w:rFonts w:hint="eastAsia" w:ascii="宋体" w:hAnsi="宋体" w:cs="宋体"/>
          <w:color w:val="auto"/>
          <w:sz w:val="24"/>
          <w:szCs w:val="24"/>
          <w:highlight w:val="none"/>
          <w:u w:val="single"/>
          <w:lang w:val="en-US" w:eastAsia="zh-CN"/>
        </w:rPr>
        <w:t xml:space="preserve"> 12 </w:t>
      </w:r>
      <w:r>
        <w:rPr>
          <w:rFonts w:hint="eastAsia" w:ascii="宋体" w:hAnsi="宋体" w:eastAsia="宋体" w:cs="宋体"/>
          <w:color w:val="auto"/>
          <w:sz w:val="24"/>
          <w:szCs w:val="24"/>
          <w:highlight w:val="none"/>
        </w:rPr>
        <w:t>分，其余评审因素分值为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88 </w:t>
      </w:r>
      <w:r>
        <w:rPr>
          <w:rFonts w:hint="eastAsia" w:ascii="宋体" w:hAnsi="宋体" w:eastAsia="宋体" w:cs="宋体"/>
          <w:color w:val="auto"/>
          <w:sz w:val="24"/>
          <w:szCs w:val="24"/>
          <w:highlight w:val="none"/>
        </w:rPr>
        <w:t>分。</w:t>
      </w:r>
    </w:p>
    <w:p>
      <w:pPr>
        <w:spacing w:line="400" w:lineRule="exact"/>
        <w:ind w:firstLine="354" w:firstLineChars="147"/>
        <w:rPr>
          <w:rFonts w:ascii="宋体" w:hAnsi="宋体" w:cs="宋体"/>
          <w:b/>
          <w:color w:val="auto"/>
          <w:kern w:val="1"/>
          <w:sz w:val="24"/>
          <w:szCs w:val="24"/>
          <w:highlight w:val="none"/>
        </w:rPr>
      </w:pPr>
      <w:r>
        <w:rPr>
          <w:rFonts w:hint="eastAsia" w:ascii="宋体" w:hAnsi="宋体" w:cs="宋体"/>
          <w:b/>
          <w:color w:val="auto"/>
          <w:kern w:val="1"/>
          <w:sz w:val="24"/>
          <w:szCs w:val="24"/>
          <w:highlight w:val="none"/>
        </w:rPr>
        <w:t>各部</w:t>
      </w:r>
      <w:r>
        <w:rPr>
          <w:rFonts w:hint="eastAsia" w:ascii="宋体" w:hAnsi="宋体" w:cs="宋体"/>
          <w:b/>
          <w:color w:val="auto"/>
          <w:kern w:val="1"/>
          <w:sz w:val="24"/>
          <w:szCs w:val="24"/>
          <w:highlight w:val="none"/>
          <w:lang w:val="en-US" w:eastAsia="zh-CN"/>
        </w:rPr>
        <w:t>分</w:t>
      </w:r>
      <w:r>
        <w:rPr>
          <w:rFonts w:hint="eastAsia" w:ascii="宋体" w:hAnsi="宋体" w:cs="宋体"/>
          <w:b/>
          <w:color w:val="auto"/>
          <w:kern w:val="1"/>
          <w:sz w:val="24"/>
          <w:szCs w:val="24"/>
          <w:highlight w:val="none"/>
        </w:rPr>
        <w:t>评分分值分布如下：</w:t>
      </w:r>
    </w:p>
    <w:p>
      <w:pPr>
        <w:pStyle w:val="14"/>
        <w:spacing w:line="400" w:lineRule="exact"/>
        <w:ind w:firstLine="480" w:firstLineChars="200"/>
        <w:rPr>
          <w:rFonts w:hAnsi="宋体" w:cs="宋体"/>
          <w:color w:val="auto"/>
          <w:sz w:val="24"/>
          <w:szCs w:val="24"/>
          <w:highlight w:val="none"/>
        </w:rPr>
      </w:pPr>
      <w:r>
        <w:rPr>
          <w:rFonts w:hAnsi="宋体" w:cs="宋体"/>
          <w:color w:val="auto"/>
          <w:sz w:val="24"/>
          <w:szCs w:val="24"/>
          <w:highlight w:val="none"/>
        </w:rPr>
        <w:t>A</w:t>
      </w:r>
      <w:r>
        <w:rPr>
          <w:rFonts w:hint="eastAsia" w:hAnsi="宋体" w:cs="宋体"/>
          <w:color w:val="auto"/>
          <w:sz w:val="24"/>
          <w:szCs w:val="24"/>
          <w:highlight w:val="none"/>
        </w:rPr>
        <w:t>：价格</w:t>
      </w:r>
      <w:r>
        <w:rPr>
          <w:rFonts w:hAnsi="宋体" w:cs="宋体"/>
          <w:color w:val="auto"/>
          <w:sz w:val="24"/>
          <w:szCs w:val="24"/>
          <w:highlight w:val="none"/>
        </w:rPr>
        <w:t>部分</w:t>
      </w:r>
      <w:r>
        <w:rPr>
          <w:rFonts w:hint="eastAsia" w:hAnsi="宋体" w:cs="宋体"/>
          <w:color w:val="auto"/>
          <w:sz w:val="24"/>
          <w:szCs w:val="24"/>
          <w:highlight w:val="none"/>
        </w:rPr>
        <w:t>评分</w:t>
      </w:r>
      <w:r>
        <w:rPr>
          <w:rFonts w:hAnsi="宋体" w:cs="宋体"/>
          <w:color w:val="auto"/>
          <w:sz w:val="24"/>
          <w:szCs w:val="24"/>
          <w:highlight w:val="none"/>
        </w:rPr>
        <w:t xml:space="preserve">           </w:t>
      </w:r>
      <w:r>
        <w:rPr>
          <w:rFonts w:hint="eastAsia" w:hAnsi="宋体" w:cs="宋体"/>
          <w:color w:val="auto"/>
          <w:sz w:val="24"/>
          <w:szCs w:val="24"/>
          <w:highlight w:val="none"/>
        </w:rPr>
        <w:t>满分</w:t>
      </w:r>
      <w:r>
        <w:rPr>
          <w:rFonts w:hint="eastAsia" w:hAnsi="宋体" w:cs="宋体"/>
          <w:color w:val="auto"/>
          <w:sz w:val="24"/>
          <w:szCs w:val="24"/>
          <w:highlight w:val="none"/>
          <w:lang w:val="en-US" w:eastAsia="zh-CN"/>
        </w:rPr>
        <w:t xml:space="preserve">12 </w:t>
      </w:r>
      <w:r>
        <w:rPr>
          <w:rFonts w:hint="eastAsia" w:hAnsi="宋体" w:cs="宋体"/>
          <w:color w:val="auto"/>
          <w:sz w:val="24"/>
          <w:szCs w:val="24"/>
          <w:highlight w:val="none"/>
        </w:rPr>
        <w:t>分</w:t>
      </w:r>
    </w:p>
    <w:p>
      <w:pPr>
        <w:pStyle w:val="14"/>
        <w:spacing w:line="400" w:lineRule="exact"/>
        <w:ind w:firstLine="480" w:firstLineChars="200"/>
        <w:rPr>
          <w:rFonts w:hAnsi="宋体" w:cs="宋体"/>
          <w:color w:val="auto"/>
          <w:sz w:val="24"/>
          <w:szCs w:val="24"/>
          <w:highlight w:val="none"/>
        </w:rPr>
      </w:pPr>
      <w:r>
        <w:rPr>
          <w:rFonts w:hAnsi="宋体" w:cs="宋体"/>
          <w:color w:val="auto"/>
          <w:sz w:val="24"/>
          <w:szCs w:val="24"/>
          <w:highlight w:val="none"/>
        </w:rPr>
        <w:t>B</w:t>
      </w:r>
      <w:r>
        <w:rPr>
          <w:rFonts w:hint="eastAsia" w:hAnsi="宋体" w:cs="宋体"/>
          <w:color w:val="auto"/>
          <w:sz w:val="24"/>
          <w:szCs w:val="24"/>
          <w:highlight w:val="none"/>
        </w:rPr>
        <w:t>：技术</w:t>
      </w:r>
      <w:r>
        <w:rPr>
          <w:rFonts w:hAnsi="宋体" w:cs="宋体"/>
          <w:color w:val="auto"/>
          <w:sz w:val="24"/>
          <w:szCs w:val="24"/>
          <w:highlight w:val="none"/>
        </w:rPr>
        <w:t>部分</w:t>
      </w:r>
      <w:r>
        <w:rPr>
          <w:rFonts w:hint="eastAsia" w:hAnsi="宋体" w:cs="宋体"/>
          <w:color w:val="auto"/>
          <w:sz w:val="24"/>
          <w:szCs w:val="24"/>
          <w:highlight w:val="none"/>
        </w:rPr>
        <w:t>评分</w:t>
      </w:r>
      <w:r>
        <w:rPr>
          <w:rFonts w:hAnsi="宋体" w:cs="宋体"/>
          <w:color w:val="auto"/>
          <w:sz w:val="24"/>
          <w:szCs w:val="24"/>
          <w:highlight w:val="none"/>
        </w:rPr>
        <w:t xml:space="preserve">           </w:t>
      </w:r>
      <w:r>
        <w:rPr>
          <w:rFonts w:hint="eastAsia" w:hAnsi="宋体" w:cs="宋体"/>
          <w:color w:val="auto"/>
          <w:sz w:val="24"/>
          <w:szCs w:val="24"/>
          <w:highlight w:val="none"/>
        </w:rPr>
        <w:t>满分</w:t>
      </w:r>
      <w:r>
        <w:rPr>
          <w:rFonts w:hint="eastAsia" w:hAnsi="宋体" w:cs="宋体"/>
          <w:color w:val="auto"/>
          <w:sz w:val="24"/>
          <w:szCs w:val="24"/>
          <w:highlight w:val="none"/>
          <w:lang w:val="en-US" w:eastAsia="zh-CN"/>
        </w:rPr>
        <w:t>74</w:t>
      </w:r>
      <w:r>
        <w:rPr>
          <w:rFonts w:hint="eastAsia" w:hAnsi="宋体" w:cs="宋体"/>
          <w:color w:val="auto"/>
          <w:sz w:val="24"/>
          <w:szCs w:val="24"/>
          <w:highlight w:val="none"/>
        </w:rPr>
        <w:t>分</w:t>
      </w:r>
    </w:p>
    <w:p>
      <w:pPr>
        <w:pStyle w:val="14"/>
        <w:spacing w:line="400" w:lineRule="exact"/>
        <w:ind w:firstLine="480" w:firstLineChars="200"/>
        <w:rPr>
          <w:rFonts w:hAnsi="宋体" w:cs="宋体"/>
          <w:color w:val="auto"/>
          <w:sz w:val="24"/>
          <w:szCs w:val="24"/>
          <w:highlight w:val="none"/>
        </w:rPr>
      </w:pPr>
      <w:r>
        <w:rPr>
          <w:rFonts w:hAnsi="宋体" w:cs="宋体"/>
          <w:color w:val="auto"/>
          <w:sz w:val="24"/>
          <w:szCs w:val="24"/>
          <w:highlight w:val="none"/>
        </w:rPr>
        <w:t>C</w:t>
      </w:r>
      <w:r>
        <w:rPr>
          <w:rFonts w:hint="eastAsia" w:hAnsi="宋体" w:cs="宋体"/>
          <w:color w:val="auto"/>
          <w:sz w:val="24"/>
          <w:szCs w:val="24"/>
          <w:highlight w:val="none"/>
        </w:rPr>
        <w:t>：商务部</w:t>
      </w:r>
      <w:r>
        <w:rPr>
          <w:rFonts w:hAnsi="宋体" w:cs="宋体"/>
          <w:color w:val="auto"/>
          <w:sz w:val="24"/>
          <w:szCs w:val="24"/>
          <w:highlight w:val="none"/>
        </w:rPr>
        <w:t>分</w:t>
      </w:r>
      <w:r>
        <w:rPr>
          <w:rFonts w:hint="eastAsia" w:hAnsi="宋体" w:cs="宋体"/>
          <w:color w:val="auto"/>
          <w:sz w:val="24"/>
          <w:szCs w:val="24"/>
          <w:highlight w:val="none"/>
        </w:rPr>
        <w:t>评分</w:t>
      </w:r>
      <w:r>
        <w:rPr>
          <w:rFonts w:hAnsi="宋体" w:cs="宋体"/>
          <w:color w:val="auto"/>
          <w:sz w:val="24"/>
          <w:szCs w:val="24"/>
          <w:highlight w:val="none"/>
        </w:rPr>
        <w:t xml:space="preserve">           </w:t>
      </w:r>
      <w:r>
        <w:rPr>
          <w:rFonts w:hint="eastAsia" w:hAnsi="宋体" w:cs="宋体"/>
          <w:color w:val="auto"/>
          <w:sz w:val="24"/>
          <w:szCs w:val="24"/>
          <w:highlight w:val="none"/>
        </w:rPr>
        <w:t>满分</w:t>
      </w:r>
      <w:r>
        <w:rPr>
          <w:rFonts w:hint="eastAsia" w:hAnsi="宋体" w:cs="宋体"/>
          <w:color w:val="auto"/>
          <w:sz w:val="24"/>
          <w:szCs w:val="24"/>
          <w:highlight w:val="none"/>
          <w:lang w:val="en-US" w:eastAsia="zh-CN"/>
        </w:rPr>
        <w:t>14</w:t>
      </w:r>
      <w:r>
        <w:rPr>
          <w:rFonts w:hint="eastAsia" w:hAnsi="宋体" w:cs="宋体"/>
          <w:color w:val="auto"/>
          <w:sz w:val="24"/>
          <w:szCs w:val="24"/>
          <w:highlight w:val="none"/>
        </w:rPr>
        <w:t>分</w:t>
      </w:r>
    </w:p>
    <w:p>
      <w:pPr>
        <w:keepNext w:val="0"/>
        <w:keepLines w:val="0"/>
        <w:pageBreakBefore w:val="0"/>
        <w:kinsoku/>
        <w:wordWrap/>
        <w:overflowPunct/>
        <w:topLinePunct/>
        <w:autoSpaceDE w:val="0"/>
        <w:autoSpaceDN w:val="0"/>
        <w:bidi w:val="0"/>
        <w:spacing w:after="0" w:line="400" w:lineRule="exact"/>
        <w:ind w:firstLine="241" w:firstLineChars="1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评审标准如下表：</w:t>
      </w:r>
    </w:p>
    <w:tbl>
      <w:tblPr>
        <w:tblStyle w:val="2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136"/>
        <w:gridCol w:w="818"/>
        <w:gridCol w:w="4"/>
        <w:gridCol w:w="5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blHeader/>
          <w:jc w:val="center"/>
        </w:trPr>
        <w:tc>
          <w:tcPr>
            <w:tcW w:w="2516" w:type="dxa"/>
            <w:gridSpan w:val="2"/>
            <w:noWrap/>
            <w:vAlign w:val="center"/>
          </w:tcPr>
          <w:p>
            <w:pPr>
              <w:widowControl/>
              <w:snapToGrid w:val="0"/>
              <w:spacing w:line="400" w:lineRule="exact"/>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评审因素</w:t>
            </w:r>
          </w:p>
        </w:tc>
        <w:tc>
          <w:tcPr>
            <w:tcW w:w="904" w:type="dxa"/>
            <w:noWrap/>
            <w:vAlign w:val="center"/>
          </w:tcPr>
          <w:p>
            <w:pPr>
              <w:widowControl/>
              <w:snapToGri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分值</w:t>
            </w:r>
          </w:p>
        </w:tc>
        <w:tc>
          <w:tcPr>
            <w:tcW w:w="6300" w:type="dxa"/>
            <w:gridSpan w:val="2"/>
            <w:noWrap/>
            <w:vAlign w:val="center"/>
          </w:tcPr>
          <w:p>
            <w:pPr>
              <w:widowControl/>
              <w:snapToGri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1249" w:type="dxa"/>
            <w:noWrap w:val="0"/>
            <w:vAlign w:val="center"/>
          </w:tcPr>
          <w:p>
            <w:pPr>
              <w:widowControl/>
              <w:snapToGri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A:</w:t>
            </w:r>
            <w:r>
              <w:rPr>
                <w:rFonts w:hint="eastAsia" w:ascii="宋体" w:hAnsi="宋体" w:eastAsia="宋体" w:cs="宋体"/>
                <w:color w:val="auto"/>
                <w:kern w:val="0"/>
                <w:sz w:val="24"/>
                <w:highlight w:val="none"/>
              </w:rPr>
              <w:t>价格部分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满分</w:t>
            </w:r>
            <w:r>
              <w:rPr>
                <w:rFonts w:hint="eastAsia" w:ascii="宋体" w:hAnsi="宋体" w:eastAsia="宋体" w:cs="宋体"/>
                <w:color w:val="auto"/>
                <w:kern w:val="0"/>
                <w:sz w:val="24"/>
                <w:highlight w:val="none"/>
              </w:rPr>
              <w:t>12分</w:t>
            </w:r>
            <w:r>
              <w:rPr>
                <w:rFonts w:hint="eastAsia" w:ascii="宋体" w:hAnsi="宋体" w:eastAsia="宋体" w:cs="宋体"/>
                <w:color w:val="auto"/>
                <w:kern w:val="0"/>
                <w:sz w:val="24"/>
                <w:highlight w:val="none"/>
                <w:lang w:eastAsia="zh-CN"/>
              </w:rPr>
              <w:t>）</w:t>
            </w:r>
          </w:p>
        </w:tc>
        <w:tc>
          <w:tcPr>
            <w:tcW w:w="1267" w:type="dxa"/>
            <w:noWrap/>
            <w:vAlign w:val="center"/>
          </w:tcPr>
          <w:p>
            <w:pPr>
              <w:widowControl/>
              <w:snapToGrid w:val="0"/>
              <w:spacing w:line="400" w:lineRule="exact"/>
              <w:jc w:val="center"/>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报价</w:t>
            </w:r>
          </w:p>
        </w:tc>
        <w:tc>
          <w:tcPr>
            <w:tcW w:w="904" w:type="dxa"/>
            <w:noWrap/>
            <w:vAlign w:val="center"/>
          </w:tcPr>
          <w:p>
            <w:pPr>
              <w:widowControl/>
              <w:snapToGrid w:val="0"/>
              <w:spacing w:line="400" w:lineRule="exact"/>
              <w:jc w:val="center"/>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12</w:t>
            </w:r>
          </w:p>
        </w:tc>
        <w:tc>
          <w:tcPr>
            <w:tcW w:w="6300" w:type="dxa"/>
            <w:gridSpan w:val="2"/>
            <w:noWrap/>
            <w:vAlign w:val="center"/>
          </w:tcPr>
          <w:p>
            <w:pPr>
              <w:widowControl/>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磋商报价得分=（磋商基准价</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最后磋商报价）× 满分值</w:t>
            </w:r>
          </w:p>
          <w:p>
            <w:pPr>
              <w:widowControl/>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（1）磋商基准价为满足磋商文件要求且最后报价最低的供应商的价格。</w:t>
            </w:r>
          </w:p>
          <w:p>
            <w:pPr>
              <w:widowControl/>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（2）因落实政府采购政策进行价格调整的，以调整后的价格计算磋商基准价和最后磋商报价。</w:t>
            </w:r>
          </w:p>
          <w:p>
            <w:pPr>
              <w:widowControl/>
              <w:snapToGrid w:val="0"/>
              <w:spacing w:line="400" w:lineRule="exact"/>
              <w:rPr>
                <w:rFonts w:hint="eastAsia" w:ascii="宋体" w:hAnsi="宋体" w:eastAsia="宋体" w:cs="宋体"/>
                <w:color w:val="auto"/>
                <w:kern w:val="2"/>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pacing w:val="0"/>
                <w:sz w:val="24"/>
                <w:szCs w:val="24"/>
                <w:highlight w:val="none"/>
                <w:lang w:val="zh-CN"/>
              </w:rPr>
              <w:t>采购人不接受供应商的恶意低价竞争，</w:t>
            </w:r>
            <w:r>
              <w:rPr>
                <w:rFonts w:hint="eastAsia" w:ascii="宋体" w:hAnsi="宋体" w:eastAsia="宋体" w:cs="宋体"/>
                <w:color w:val="auto"/>
                <w:spacing w:val="0"/>
                <w:sz w:val="24"/>
                <w:szCs w:val="24"/>
                <w:highlight w:val="none"/>
                <w:lang w:val="en-US" w:eastAsia="zh-CN"/>
              </w:rPr>
              <w:t>磋商小组</w:t>
            </w:r>
            <w:r>
              <w:rPr>
                <w:rFonts w:hint="eastAsia" w:ascii="宋体" w:hAnsi="宋体" w:eastAsia="宋体" w:cs="宋体"/>
                <w:color w:val="auto"/>
                <w:spacing w:val="0"/>
                <w:sz w:val="24"/>
                <w:szCs w:val="24"/>
                <w:highlight w:val="none"/>
                <w:lang w:val="zh-CN"/>
              </w:rPr>
              <w:t>认为供应商的报价明显低于其他通过符合性审查</w:t>
            </w:r>
            <w:r>
              <w:rPr>
                <w:rFonts w:hint="eastAsia" w:ascii="宋体" w:hAnsi="宋体" w:eastAsia="宋体" w:cs="宋体"/>
                <w:color w:val="auto"/>
                <w:spacing w:val="0"/>
                <w:sz w:val="24"/>
                <w:szCs w:val="24"/>
                <w:highlight w:val="none"/>
                <w:lang w:val="en-US" w:eastAsia="zh-CN"/>
              </w:rPr>
              <w:t>的</w:t>
            </w:r>
            <w:r>
              <w:rPr>
                <w:rFonts w:hint="eastAsia" w:ascii="宋体" w:hAnsi="宋体" w:eastAsia="宋体" w:cs="宋体"/>
                <w:color w:val="auto"/>
                <w:spacing w:val="0"/>
                <w:sz w:val="24"/>
                <w:szCs w:val="24"/>
                <w:highlight w:val="none"/>
                <w:lang w:val="zh-CN"/>
              </w:rPr>
              <w:t>供应商的报价，有可能影响产品质量或者不能诚信履约的，要求其在评标现场提供书面说明，并提交相关证明材料，供应商不能证明其报价合理性的，</w:t>
            </w:r>
            <w:r>
              <w:rPr>
                <w:rFonts w:hint="eastAsia" w:ascii="宋体" w:hAnsi="宋体" w:eastAsia="宋体" w:cs="宋体"/>
                <w:color w:val="auto"/>
                <w:spacing w:val="0"/>
                <w:sz w:val="24"/>
                <w:szCs w:val="24"/>
                <w:highlight w:val="none"/>
                <w:lang w:val="en-US" w:eastAsia="zh-CN"/>
              </w:rPr>
              <w:t>磋商小组</w:t>
            </w:r>
            <w:r>
              <w:rPr>
                <w:rFonts w:hint="eastAsia" w:ascii="宋体" w:hAnsi="宋体" w:eastAsia="宋体" w:cs="宋体"/>
                <w:color w:val="auto"/>
                <w:spacing w:val="0"/>
                <w:sz w:val="24"/>
                <w:szCs w:val="24"/>
                <w:highlight w:val="none"/>
                <w:lang w:val="zh-CN"/>
              </w:rPr>
              <w:t>将对其作为无效投标处理。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49" w:type="dxa"/>
            <w:vMerge w:val="restart"/>
            <w:noWrap w:val="0"/>
            <w:vAlign w:val="center"/>
          </w:tcPr>
          <w:p>
            <w:pPr>
              <w:widowControl/>
              <w:snapToGrid w:val="0"/>
              <w:spacing w:line="4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B：</w:t>
            </w:r>
            <w:r>
              <w:rPr>
                <w:rFonts w:hint="eastAsia" w:ascii="宋体" w:hAnsi="宋体" w:eastAsia="宋体" w:cs="宋体"/>
                <w:color w:val="auto"/>
                <w:kern w:val="0"/>
                <w:sz w:val="24"/>
                <w:highlight w:val="none"/>
              </w:rPr>
              <w:t>技术</w:t>
            </w:r>
            <w:r>
              <w:rPr>
                <w:rFonts w:hint="eastAsia" w:ascii="宋体" w:hAnsi="宋体" w:eastAsia="宋体" w:cs="宋体"/>
                <w:color w:val="auto"/>
                <w:kern w:val="0"/>
                <w:sz w:val="24"/>
                <w:highlight w:val="none"/>
                <w:lang w:val="en-US" w:eastAsia="zh-CN"/>
              </w:rPr>
              <w:t>服务</w:t>
            </w:r>
            <w:r>
              <w:rPr>
                <w:rFonts w:hint="eastAsia" w:ascii="宋体" w:hAnsi="宋体" w:eastAsia="宋体" w:cs="宋体"/>
                <w:color w:val="auto"/>
                <w:kern w:val="0"/>
                <w:sz w:val="24"/>
                <w:highlight w:val="none"/>
              </w:rPr>
              <w:t>部分</w:t>
            </w:r>
            <w:r>
              <w:rPr>
                <w:rFonts w:hint="eastAsia" w:ascii="宋体" w:hAnsi="宋体" w:eastAsia="宋体" w:cs="宋体"/>
                <w:color w:val="auto"/>
                <w:kern w:val="0"/>
                <w:sz w:val="24"/>
                <w:highlight w:val="none"/>
                <w:lang w:val="en-US" w:eastAsia="zh-CN"/>
              </w:rPr>
              <w:t>(满分</w:t>
            </w:r>
            <w:r>
              <w:rPr>
                <w:rFonts w:hint="eastAsia" w:ascii="宋体" w:hAnsi="宋体" w:eastAsia="宋体" w:cs="宋体"/>
                <w:color w:val="auto"/>
                <w:kern w:val="0"/>
                <w:sz w:val="24"/>
                <w:highlight w:val="none"/>
                <w:lang w:eastAsia="zh-CN"/>
              </w:rPr>
              <w:t>7</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分</w:t>
            </w:r>
            <w:r>
              <w:rPr>
                <w:rFonts w:hint="eastAsia" w:ascii="宋体" w:hAnsi="宋体" w:eastAsia="宋体" w:cs="宋体"/>
                <w:color w:val="auto"/>
                <w:kern w:val="0"/>
                <w:sz w:val="24"/>
                <w:highlight w:val="none"/>
                <w:lang w:val="en-US" w:eastAsia="zh-CN"/>
              </w:rPr>
              <w:t>)</w:t>
            </w:r>
          </w:p>
        </w:tc>
        <w:tc>
          <w:tcPr>
            <w:tcW w:w="1267" w:type="dxa"/>
            <w:noWrap/>
            <w:vAlign w:val="center"/>
          </w:tcPr>
          <w:p>
            <w:pPr>
              <w:widowControl/>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B</w:t>
            </w:r>
            <w:r>
              <w:rPr>
                <w:rFonts w:hint="eastAsia" w:ascii="宋体" w:hAnsi="宋体" w:eastAsia="宋体" w:cs="宋体"/>
                <w:color w:val="auto"/>
                <w:sz w:val="24"/>
                <w:highlight w:val="none"/>
              </w:rPr>
              <w:t>1.项目理解</w:t>
            </w:r>
          </w:p>
        </w:tc>
        <w:tc>
          <w:tcPr>
            <w:tcW w:w="904" w:type="dxa"/>
            <w:noWrap/>
            <w:vAlign w:val="center"/>
          </w:tcPr>
          <w:p>
            <w:pPr>
              <w:widowControl/>
              <w:snapToGrid w:val="0"/>
              <w:spacing w:line="400" w:lineRule="exact"/>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6</w:t>
            </w:r>
          </w:p>
        </w:tc>
        <w:tc>
          <w:tcPr>
            <w:tcW w:w="6300" w:type="dxa"/>
            <w:gridSpan w:val="2"/>
            <w:noWrap/>
            <w:vAlign w:val="center"/>
          </w:tcPr>
          <w:p>
            <w:pPr>
              <w:widowControl/>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B</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能够充分理解南平市税务局12366中心服务外包项目的总体需求，在人员、业务、设备、管理制度、运营管理等方面提出详尽、完整、合理的服务外包解决方案。</w:t>
            </w:r>
            <w:r>
              <w:rPr>
                <w:rFonts w:hint="eastAsia" w:ascii="宋体" w:hAnsi="宋体" w:eastAsia="宋体" w:cs="宋体"/>
                <w:color w:val="auto"/>
                <w:spacing w:val="-2"/>
                <w:sz w:val="24"/>
                <w:szCs w:val="24"/>
                <w:highlight w:val="none"/>
                <w:lang w:val="zh-CN"/>
              </w:rPr>
              <w:t>方案包含以上要点，内容与要点相符、解决方案可行且措施具体的得6分；方案所包含的要点齐全、内容与要点相符，内容相对简略，但能提供解决方案且有可操作性的得4分；方案所包含的要点有缺漏或仅笼统描述无具体措施的得2分；未提供方案或方案内容与项目情况不相符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49" w:type="dxa"/>
            <w:vMerge w:val="continue"/>
            <w:noWrap w:val="0"/>
            <w:vAlign w:val="center"/>
          </w:tcPr>
          <w:p>
            <w:pPr>
              <w:widowControl/>
              <w:snapToGrid w:val="0"/>
              <w:spacing w:line="400" w:lineRule="exact"/>
              <w:rPr>
                <w:rFonts w:hint="eastAsia" w:ascii="宋体" w:hAnsi="宋体" w:eastAsia="宋体" w:cs="宋体"/>
                <w:color w:val="auto"/>
                <w:kern w:val="0"/>
                <w:sz w:val="24"/>
                <w:highlight w:val="none"/>
              </w:rPr>
            </w:pPr>
          </w:p>
        </w:tc>
        <w:tc>
          <w:tcPr>
            <w:tcW w:w="1267" w:type="dxa"/>
            <w:vMerge w:val="restart"/>
            <w:noWrap/>
            <w:vAlign w:val="center"/>
          </w:tcPr>
          <w:p>
            <w:pPr>
              <w:widowControl/>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B</w:t>
            </w:r>
            <w:r>
              <w:rPr>
                <w:rFonts w:hint="eastAsia" w:ascii="宋体" w:hAnsi="宋体" w:eastAsia="宋体" w:cs="宋体"/>
                <w:color w:val="auto"/>
                <w:sz w:val="24"/>
                <w:highlight w:val="none"/>
              </w:rPr>
              <w:t>2.</w:t>
            </w:r>
            <w:r>
              <w:rPr>
                <w:rFonts w:hint="eastAsia" w:ascii="宋体" w:hAnsi="宋体" w:eastAsia="宋体" w:cs="宋体"/>
                <w:color w:val="auto"/>
                <w:kern w:val="0"/>
                <w:sz w:val="24"/>
                <w:highlight w:val="none"/>
              </w:rPr>
              <w:t>人员方案</w:t>
            </w:r>
          </w:p>
        </w:tc>
        <w:tc>
          <w:tcPr>
            <w:tcW w:w="904" w:type="dxa"/>
            <w:noWrap/>
            <w:vAlign w:val="center"/>
          </w:tcPr>
          <w:p>
            <w:pPr>
              <w:widowControl/>
              <w:snapToGri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w:t>
            </w:r>
          </w:p>
        </w:tc>
        <w:tc>
          <w:tcPr>
            <w:tcW w:w="6300" w:type="dxa"/>
            <w:gridSpan w:val="2"/>
            <w:noWrap/>
            <w:vAlign w:val="center"/>
          </w:tcPr>
          <w:p>
            <w:pPr>
              <w:widowControl/>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B</w:t>
            </w: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根据供应</w:t>
            </w:r>
            <w:r>
              <w:rPr>
                <w:rFonts w:hint="eastAsia" w:ascii="宋体" w:hAnsi="宋体" w:eastAsia="宋体" w:cs="宋体"/>
                <w:color w:val="auto"/>
                <w:sz w:val="24"/>
                <w:highlight w:val="none"/>
              </w:rPr>
              <w:t>商制定完整的服务团队架构和人员投入方案</w:t>
            </w:r>
            <w:r>
              <w:rPr>
                <w:rFonts w:hint="eastAsia" w:ascii="宋体" w:hAnsi="宋体" w:eastAsia="宋体" w:cs="宋体"/>
                <w:color w:val="auto"/>
                <w:sz w:val="24"/>
                <w:highlight w:val="none"/>
                <w:lang w:val="en-US" w:eastAsia="zh-CN"/>
              </w:rPr>
              <w:t>进行评方：</w:t>
            </w:r>
            <w:r>
              <w:rPr>
                <w:rFonts w:hint="eastAsia" w:ascii="宋体" w:hAnsi="宋体" w:eastAsia="宋体" w:cs="宋体"/>
                <w:color w:val="auto"/>
                <w:spacing w:val="-2"/>
                <w:sz w:val="24"/>
                <w:szCs w:val="24"/>
                <w:highlight w:val="none"/>
                <w:lang w:val="zh-CN"/>
              </w:rPr>
              <w:t>方案包含以上要点，内容与要点相符、且措施具体的得</w:t>
            </w:r>
            <w:r>
              <w:rPr>
                <w:rFonts w:hint="eastAsia" w:ascii="宋体" w:hAnsi="宋体" w:eastAsia="宋体" w:cs="宋体"/>
                <w:color w:val="auto"/>
                <w:spacing w:val="-2"/>
                <w:sz w:val="24"/>
                <w:szCs w:val="24"/>
                <w:highlight w:val="none"/>
                <w:lang w:val="en-US" w:eastAsia="zh-CN"/>
              </w:rPr>
              <w:t>6</w:t>
            </w:r>
            <w:r>
              <w:rPr>
                <w:rFonts w:hint="eastAsia" w:ascii="宋体" w:hAnsi="宋体" w:eastAsia="宋体" w:cs="宋体"/>
                <w:color w:val="auto"/>
                <w:spacing w:val="-2"/>
                <w:sz w:val="24"/>
                <w:szCs w:val="24"/>
                <w:highlight w:val="none"/>
                <w:lang w:val="zh-CN"/>
              </w:rPr>
              <w:t>分；方案所包含的要点齐全、内容与要点相符，内容相对简略，但具有可操作性的得</w:t>
            </w:r>
            <w:r>
              <w:rPr>
                <w:rFonts w:hint="eastAsia" w:ascii="宋体" w:hAnsi="宋体" w:eastAsia="宋体" w:cs="宋体"/>
                <w:color w:val="auto"/>
                <w:spacing w:val="-2"/>
                <w:sz w:val="24"/>
                <w:szCs w:val="24"/>
                <w:highlight w:val="none"/>
                <w:lang w:val="en-US" w:eastAsia="zh-CN"/>
              </w:rPr>
              <w:t>4</w:t>
            </w:r>
            <w:r>
              <w:rPr>
                <w:rFonts w:hint="eastAsia" w:ascii="宋体" w:hAnsi="宋体" w:eastAsia="宋体" w:cs="宋体"/>
                <w:color w:val="auto"/>
                <w:spacing w:val="-2"/>
                <w:sz w:val="24"/>
                <w:szCs w:val="24"/>
                <w:highlight w:val="none"/>
                <w:lang w:val="zh-CN"/>
              </w:rPr>
              <w:t>分；方案所包含的要点有缺漏或仅笼统描述无具体措施的得</w:t>
            </w:r>
            <w:r>
              <w:rPr>
                <w:rFonts w:hint="eastAsia" w:ascii="宋体" w:hAnsi="宋体" w:eastAsia="宋体" w:cs="宋体"/>
                <w:color w:val="auto"/>
                <w:spacing w:val="-2"/>
                <w:sz w:val="24"/>
                <w:szCs w:val="24"/>
                <w:highlight w:val="none"/>
                <w:lang w:val="en-US" w:eastAsia="zh-CN"/>
              </w:rPr>
              <w:t>2</w:t>
            </w:r>
            <w:r>
              <w:rPr>
                <w:rFonts w:hint="eastAsia" w:ascii="宋体" w:hAnsi="宋体" w:eastAsia="宋体" w:cs="宋体"/>
                <w:color w:val="auto"/>
                <w:spacing w:val="-2"/>
                <w:sz w:val="24"/>
                <w:szCs w:val="24"/>
                <w:highlight w:val="none"/>
                <w:lang w:val="zh-CN"/>
              </w:rPr>
              <w:t>分；未提供方案或方案内容与项目情况不相符的不得分。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249" w:type="dxa"/>
            <w:vMerge w:val="continue"/>
            <w:noWrap w:val="0"/>
            <w:vAlign w:val="center"/>
          </w:tcPr>
          <w:p>
            <w:pPr>
              <w:widowControl/>
              <w:snapToGrid w:val="0"/>
              <w:spacing w:line="400" w:lineRule="exact"/>
              <w:rPr>
                <w:rFonts w:hint="eastAsia" w:ascii="宋体" w:hAnsi="宋体" w:eastAsia="宋体" w:cs="宋体"/>
                <w:color w:val="auto"/>
                <w:kern w:val="0"/>
                <w:sz w:val="24"/>
                <w:highlight w:val="none"/>
              </w:rPr>
            </w:pPr>
          </w:p>
        </w:tc>
        <w:tc>
          <w:tcPr>
            <w:tcW w:w="1267" w:type="dxa"/>
            <w:vMerge w:val="continue"/>
            <w:noWrap/>
            <w:vAlign w:val="center"/>
          </w:tcPr>
          <w:p>
            <w:pPr>
              <w:widowControl/>
              <w:snapToGrid w:val="0"/>
              <w:spacing w:line="400" w:lineRule="exact"/>
              <w:rPr>
                <w:rFonts w:hint="eastAsia" w:ascii="宋体" w:hAnsi="宋体" w:eastAsia="宋体" w:cs="宋体"/>
                <w:color w:val="auto"/>
                <w:sz w:val="24"/>
                <w:highlight w:val="none"/>
              </w:rPr>
            </w:pPr>
          </w:p>
        </w:tc>
        <w:tc>
          <w:tcPr>
            <w:tcW w:w="904" w:type="dxa"/>
            <w:noWrap/>
            <w:vAlign w:val="center"/>
          </w:tcPr>
          <w:p>
            <w:pPr>
              <w:widowControl/>
              <w:snapToGri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w:t>
            </w:r>
          </w:p>
        </w:tc>
        <w:tc>
          <w:tcPr>
            <w:tcW w:w="6300" w:type="dxa"/>
            <w:gridSpan w:val="2"/>
            <w:noWrap/>
            <w:vAlign w:val="center"/>
          </w:tcPr>
          <w:p>
            <w:pPr>
              <w:pStyle w:val="34"/>
              <w:spacing w:line="400" w:lineRule="exact"/>
              <w:rPr>
                <w:rFonts w:hint="eastAsia" w:ascii="宋体" w:hAnsi="宋体" w:eastAsia="宋体" w:cs="宋体"/>
                <w:color w:val="auto"/>
                <w:spacing w:val="-2"/>
                <w:sz w:val="24"/>
                <w:szCs w:val="24"/>
                <w:highlight w:val="none"/>
                <w:lang w:val="zh-CN"/>
              </w:rPr>
            </w:pPr>
            <w:r>
              <w:rPr>
                <w:rFonts w:hint="eastAsia" w:ascii="宋体" w:hAnsi="宋体" w:eastAsia="宋体" w:cs="宋体"/>
                <w:color w:val="auto"/>
                <w:sz w:val="24"/>
                <w:szCs w:val="24"/>
                <w:highlight w:val="none"/>
                <w:lang w:eastAsia="zh-CN"/>
              </w:rPr>
              <w:t>B</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服务商需要配置1名具体负责本项目现场管理</w:t>
            </w:r>
            <w:r>
              <w:rPr>
                <w:rFonts w:hint="eastAsia" w:ascii="宋体" w:hAnsi="宋体" w:eastAsia="宋体" w:cs="宋体"/>
                <w:color w:val="auto"/>
                <w:sz w:val="24"/>
                <w:szCs w:val="24"/>
                <w:highlight w:val="none"/>
                <w:lang w:val="en-US" w:eastAsia="zh-CN"/>
              </w:rPr>
              <w:t>人员</w:t>
            </w:r>
            <w:r>
              <w:rPr>
                <w:rFonts w:hint="eastAsia" w:ascii="宋体" w:hAnsi="宋体" w:eastAsia="宋体" w:cs="宋体"/>
                <w:color w:val="auto"/>
                <w:sz w:val="24"/>
                <w:szCs w:val="24"/>
                <w:highlight w:val="none"/>
              </w:rPr>
              <w:t>，管理人员有从事服务外包项目二年以上（含）的管理工作经验的得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分；有从事呼叫中心服务项目</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年以上（含）的管理工作经验的得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分。（需提供承诺函）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2"/>
                <w:sz w:val="24"/>
                <w:szCs w:val="24"/>
                <w:highlight w:val="none"/>
                <w:lang w:val="zh-CN"/>
              </w:rPr>
              <w:t>需提供管理人员名单、工作</w:t>
            </w:r>
            <w:r>
              <w:rPr>
                <w:rFonts w:hint="eastAsia" w:ascii="宋体" w:hAnsi="宋体" w:eastAsia="宋体" w:cs="宋体"/>
                <w:color w:val="auto"/>
                <w:spacing w:val="-2"/>
                <w:sz w:val="24"/>
                <w:szCs w:val="24"/>
                <w:highlight w:val="none"/>
                <w:lang w:val="en-US" w:eastAsia="zh-CN"/>
              </w:rPr>
              <w:t>经验</w:t>
            </w:r>
            <w:r>
              <w:rPr>
                <w:rFonts w:hint="eastAsia" w:ascii="宋体" w:hAnsi="宋体" w:eastAsia="宋体" w:cs="宋体"/>
                <w:color w:val="auto"/>
                <w:spacing w:val="-2"/>
                <w:sz w:val="24"/>
                <w:szCs w:val="24"/>
                <w:highlight w:val="none"/>
                <w:lang w:val="zh-CN"/>
              </w:rPr>
              <w:t>用人单位证明</w:t>
            </w:r>
            <w:r>
              <w:rPr>
                <w:rFonts w:hint="eastAsia" w:ascii="宋体" w:hAnsi="宋体" w:eastAsia="宋体" w:cs="宋体"/>
                <w:color w:val="auto"/>
                <w:spacing w:val="-2"/>
                <w:sz w:val="24"/>
                <w:szCs w:val="24"/>
                <w:highlight w:val="none"/>
                <w:lang w:val="en-US" w:eastAsia="zh-CN"/>
              </w:rPr>
              <w:t>以及上述</w:t>
            </w:r>
            <w:r>
              <w:rPr>
                <w:rFonts w:hint="eastAsia" w:ascii="宋体" w:hAnsi="宋体" w:eastAsia="宋体" w:cs="宋体"/>
                <w:color w:val="auto"/>
                <w:spacing w:val="-2"/>
                <w:sz w:val="24"/>
                <w:szCs w:val="24"/>
                <w:highlight w:val="none"/>
                <w:lang w:val="zh-CN"/>
              </w:rPr>
              <w:t>人员</w:t>
            </w:r>
            <w:r>
              <w:rPr>
                <w:rFonts w:hint="eastAsia" w:ascii="宋体" w:hAnsi="宋体" w:eastAsia="宋体" w:cs="宋体"/>
                <w:color w:val="auto"/>
                <w:spacing w:val="-2"/>
                <w:sz w:val="24"/>
                <w:szCs w:val="24"/>
                <w:highlight w:val="none"/>
                <w:lang w:val="en-US" w:eastAsia="zh-CN"/>
              </w:rPr>
              <w:t>提交响应文件</w:t>
            </w:r>
            <w:r>
              <w:rPr>
                <w:rFonts w:hint="eastAsia" w:ascii="宋体" w:hAnsi="宋体" w:eastAsia="宋体" w:cs="宋体"/>
                <w:color w:val="auto"/>
                <w:spacing w:val="-2"/>
                <w:sz w:val="24"/>
                <w:szCs w:val="24"/>
                <w:highlight w:val="none"/>
              </w:rPr>
              <w:t>截止时间前6个月</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不含提交响应文件截止时间当月</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内任意一个月</w:t>
            </w:r>
            <w:r>
              <w:rPr>
                <w:rFonts w:hint="eastAsia" w:ascii="宋体" w:hAnsi="宋体" w:eastAsia="宋体" w:cs="宋体"/>
                <w:color w:val="auto"/>
                <w:spacing w:val="-2"/>
                <w:sz w:val="24"/>
                <w:szCs w:val="24"/>
                <w:highlight w:val="none"/>
                <w:lang w:val="en-US" w:eastAsia="zh-CN"/>
              </w:rPr>
              <w:t>在供应商单位缴纳</w:t>
            </w:r>
            <w:r>
              <w:rPr>
                <w:rFonts w:hint="eastAsia" w:ascii="宋体" w:hAnsi="宋体" w:eastAsia="宋体" w:cs="宋体"/>
                <w:color w:val="auto"/>
                <w:spacing w:val="-2"/>
                <w:sz w:val="24"/>
                <w:szCs w:val="24"/>
                <w:highlight w:val="none"/>
                <w:lang w:val="zh-CN"/>
              </w:rPr>
              <w:t>社保的缴费记录</w:t>
            </w:r>
            <w:r>
              <w:rPr>
                <w:rFonts w:hint="eastAsia" w:ascii="宋体" w:hAnsi="宋体" w:eastAsia="宋体" w:cs="宋体"/>
                <w:color w:val="auto"/>
                <w:spacing w:val="-2"/>
                <w:sz w:val="24"/>
                <w:szCs w:val="24"/>
                <w:highlight w:val="none"/>
              </w:rPr>
              <w:t>（提交</w:t>
            </w:r>
            <w:r>
              <w:rPr>
                <w:rFonts w:hint="eastAsia" w:ascii="宋体" w:hAnsi="宋体" w:eastAsia="宋体" w:cs="宋体"/>
                <w:color w:val="auto"/>
                <w:spacing w:val="-2"/>
                <w:sz w:val="24"/>
                <w:szCs w:val="24"/>
                <w:highlight w:val="none"/>
                <w:lang w:val="en-US" w:eastAsia="zh-CN"/>
              </w:rPr>
              <w:t>响应</w:t>
            </w:r>
            <w:r>
              <w:rPr>
                <w:rFonts w:hint="eastAsia" w:ascii="宋体" w:hAnsi="宋体" w:eastAsia="宋体" w:cs="宋体"/>
                <w:color w:val="auto"/>
                <w:spacing w:val="-2"/>
                <w:sz w:val="24"/>
                <w:szCs w:val="24"/>
                <w:highlight w:val="none"/>
              </w:rPr>
              <w:t>文件截止时间的当月成立</w:t>
            </w:r>
            <w:r>
              <w:rPr>
                <w:rFonts w:hint="eastAsia" w:ascii="宋体" w:hAnsi="宋体" w:eastAsia="宋体" w:cs="宋体"/>
                <w:color w:val="auto"/>
                <w:spacing w:val="-2"/>
                <w:sz w:val="24"/>
                <w:szCs w:val="24"/>
                <w:highlight w:val="none"/>
                <w:lang w:val="en-US" w:eastAsia="zh-CN"/>
              </w:rPr>
              <w:t>的供应商</w:t>
            </w:r>
            <w:r>
              <w:rPr>
                <w:rFonts w:hint="eastAsia" w:ascii="宋体" w:hAnsi="宋体" w:eastAsia="宋体" w:cs="宋体"/>
                <w:color w:val="auto"/>
                <w:spacing w:val="-2"/>
                <w:sz w:val="24"/>
                <w:szCs w:val="24"/>
                <w:highlight w:val="none"/>
              </w:rPr>
              <w:t>，提交社保增员材料视同满足本项评分条件的社保费要求）</w:t>
            </w:r>
            <w:r>
              <w:rPr>
                <w:rFonts w:hint="eastAsia" w:ascii="宋体" w:hAnsi="宋体" w:eastAsia="宋体" w:cs="宋体"/>
                <w:color w:val="auto"/>
                <w:spacing w:val="-2"/>
                <w:sz w:val="24"/>
                <w:szCs w:val="24"/>
                <w:highlight w:val="none"/>
                <w:lang w:val="zh-CN"/>
              </w:rPr>
              <w:t>，未提供或</w:t>
            </w:r>
            <w:r>
              <w:rPr>
                <w:rFonts w:hint="eastAsia" w:ascii="宋体" w:hAnsi="宋体" w:eastAsia="宋体" w:cs="宋体"/>
                <w:color w:val="auto"/>
                <w:spacing w:val="-2"/>
                <w:sz w:val="24"/>
                <w:szCs w:val="24"/>
                <w:highlight w:val="none"/>
                <w:lang w:val="en-US" w:eastAsia="zh-CN"/>
              </w:rPr>
              <w:t>提供不全</w:t>
            </w:r>
            <w:r>
              <w:rPr>
                <w:rFonts w:hint="eastAsia" w:ascii="宋体" w:hAnsi="宋体" w:eastAsia="宋体" w:cs="宋体"/>
                <w:color w:val="auto"/>
                <w:spacing w:val="-2"/>
                <w:sz w:val="24"/>
                <w:szCs w:val="24"/>
                <w:highlight w:val="none"/>
                <w:lang w:val="zh-CN"/>
              </w:rPr>
              <w:t>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49" w:type="dxa"/>
            <w:vMerge w:val="continue"/>
            <w:noWrap w:val="0"/>
            <w:vAlign w:val="center"/>
          </w:tcPr>
          <w:p>
            <w:pPr>
              <w:widowControl/>
              <w:snapToGrid w:val="0"/>
              <w:spacing w:line="400" w:lineRule="exact"/>
              <w:rPr>
                <w:rFonts w:hint="eastAsia" w:ascii="宋体" w:hAnsi="宋体" w:eastAsia="宋体" w:cs="宋体"/>
                <w:color w:val="auto"/>
                <w:kern w:val="0"/>
                <w:sz w:val="24"/>
                <w:highlight w:val="none"/>
              </w:rPr>
            </w:pPr>
          </w:p>
        </w:tc>
        <w:tc>
          <w:tcPr>
            <w:tcW w:w="1267" w:type="dxa"/>
            <w:vMerge w:val="continue"/>
            <w:noWrap/>
            <w:vAlign w:val="center"/>
          </w:tcPr>
          <w:p>
            <w:pPr>
              <w:widowControl/>
              <w:snapToGrid w:val="0"/>
              <w:spacing w:line="400" w:lineRule="exact"/>
              <w:rPr>
                <w:rFonts w:hint="eastAsia" w:ascii="宋体" w:hAnsi="宋体" w:eastAsia="宋体" w:cs="宋体"/>
                <w:color w:val="auto"/>
                <w:sz w:val="24"/>
                <w:highlight w:val="none"/>
              </w:rPr>
            </w:pPr>
          </w:p>
        </w:tc>
        <w:tc>
          <w:tcPr>
            <w:tcW w:w="904" w:type="dxa"/>
            <w:noWrap/>
            <w:vAlign w:val="center"/>
          </w:tcPr>
          <w:p>
            <w:pPr>
              <w:widowControl/>
              <w:snapToGri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w:t>
            </w:r>
          </w:p>
        </w:tc>
        <w:tc>
          <w:tcPr>
            <w:tcW w:w="6300" w:type="dxa"/>
            <w:gridSpan w:val="2"/>
            <w:noWrap/>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spacing w:val="-2"/>
                <w:sz w:val="24"/>
                <w:szCs w:val="24"/>
                <w:highlight w:val="none"/>
                <w:lang w:val="zh-CN"/>
              </w:rPr>
            </w:pPr>
            <w:r>
              <w:rPr>
                <w:rFonts w:hint="eastAsia" w:ascii="宋体" w:hAnsi="宋体" w:eastAsia="宋体" w:cs="宋体"/>
                <w:color w:val="auto"/>
                <w:sz w:val="24"/>
                <w:highlight w:val="none"/>
                <w:lang w:val="en-US" w:eastAsia="zh-CN"/>
              </w:rPr>
              <w:t>B</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服务商制定人员公开招聘方案</w:t>
            </w:r>
            <w:r>
              <w:rPr>
                <w:rFonts w:hint="eastAsia" w:ascii="宋体" w:hAnsi="宋体" w:eastAsia="宋体" w:cs="宋体"/>
                <w:color w:val="auto"/>
                <w:sz w:val="24"/>
                <w:highlight w:val="none"/>
                <w:lang w:eastAsia="zh-CN"/>
              </w:rPr>
              <w:t>：</w:t>
            </w:r>
          </w:p>
          <w:p>
            <w:pPr>
              <w:keepNext w:val="0"/>
              <w:keepLines w:val="0"/>
              <w:pageBreakBefore w:val="0"/>
              <w:widowControl w:val="0"/>
              <w:kinsoku/>
              <w:wordWrap/>
              <w:overflowPunct/>
              <w:topLinePunct w:val="0"/>
              <w:bidi w:val="0"/>
              <w:snapToGrid w:val="0"/>
              <w:spacing w:line="400" w:lineRule="exact"/>
              <w:textAlignment w:val="auto"/>
              <w:rPr>
                <w:rFonts w:hint="eastAsia" w:ascii="宋体" w:hAnsi="宋体" w:eastAsia="宋体" w:cs="宋体"/>
                <w:color w:val="auto"/>
                <w:spacing w:val="-2"/>
                <w:sz w:val="24"/>
                <w:szCs w:val="24"/>
                <w:highlight w:val="none"/>
                <w:lang w:val="zh-CN"/>
              </w:rPr>
            </w:pPr>
            <w:r>
              <w:rPr>
                <w:rFonts w:hint="eastAsia" w:ascii="宋体" w:hAnsi="宋体" w:eastAsia="宋体" w:cs="宋体"/>
                <w:color w:val="auto"/>
                <w:spacing w:val="-2"/>
                <w:sz w:val="24"/>
                <w:szCs w:val="24"/>
                <w:highlight w:val="none"/>
                <w:lang w:val="zh-CN"/>
              </w:rPr>
              <w:t>承诺招聘坐席人员中具备</w:t>
            </w:r>
            <w:r>
              <w:rPr>
                <w:rFonts w:hint="eastAsia" w:ascii="宋体" w:hAnsi="宋体" w:eastAsia="宋体" w:cs="宋体"/>
                <w:color w:val="auto"/>
                <w:spacing w:val="-2"/>
                <w:sz w:val="24"/>
                <w:szCs w:val="24"/>
                <w:highlight w:val="none"/>
                <w:lang w:val="en-US" w:eastAsia="zh-CN"/>
              </w:rPr>
              <w:t>财会、税收、法律、计算机、经济类</w:t>
            </w:r>
            <w:r>
              <w:rPr>
                <w:rFonts w:hint="eastAsia" w:ascii="宋体" w:hAnsi="宋体" w:eastAsia="宋体" w:cs="宋体"/>
                <w:color w:val="auto"/>
                <w:spacing w:val="-2"/>
                <w:sz w:val="24"/>
                <w:szCs w:val="24"/>
                <w:highlight w:val="none"/>
                <w:lang w:val="zh-CN"/>
              </w:rPr>
              <w:t>专业本科（含）以上学历的占比在6</w:t>
            </w:r>
            <w:r>
              <w:rPr>
                <w:rFonts w:hint="eastAsia" w:ascii="宋体" w:hAnsi="宋体" w:eastAsia="宋体" w:cs="宋体"/>
                <w:color w:val="auto"/>
                <w:spacing w:val="-2"/>
                <w:sz w:val="24"/>
                <w:szCs w:val="24"/>
                <w:highlight w:val="none"/>
                <w:lang w:val="en-US" w:eastAsia="zh-CN"/>
              </w:rPr>
              <w:t>2.</w:t>
            </w:r>
            <w:r>
              <w:rPr>
                <w:rFonts w:hint="eastAsia" w:ascii="宋体" w:hAnsi="宋体" w:eastAsia="宋体" w:cs="宋体"/>
                <w:color w:val="auto"/>
                <w:spacing w:val="-2"/>
                <w:sz w:val="24"/>
                <w:szCs w:val="24"/>
                <w:highlight w:val="none"/>
              </w:rPr>
              <w:t>5</w:t>
            </w:r>
            <w:r>
              <w:rPr>
                <w:rFonts w:hint="eastAsia" w:ascii="宋体" w:hAnsi="宋体" w:eastAsia="宋体" w:cs="宋体"/>
                <w:color w:val="auto"/>
                <w:spacing w:val="-2"/>
                <w:sz w:val="24"/>
                <w:szCs w:val="24"/>
                <w:highlight w:val="none"/>
                <w:lang w:val="zh-CN"/>
              </w:rPr>
              <w:t>%（不含）以上的，得</w:t>
            </w:r>
            <w:r>
              <w:rPr>
                <w:rFonts w:hint="eastAsia" w:ascii="宋体" w:hAnsi="宋体" w:eastAsia="宋体" w:cs="宋体"/>
                <w:color w:val="auto"/>
                <w:spacing w:val="-2"/>
                <w:sz w:val="24"/>
                <w:szCs w:val="24"/>
                <w:highlight w:val="none"/>
                <w:lang w:val="en-US" w:eastAsia="zh-CN"/>
              </w:rPr>
              <w:t>4</w:t>
            </w:r>
            <w:r>
              <w:rPr>
                <w:rFonts w:hint="eastAsia" w:ascii="宋体" w:hAnsi="宋体" w:eastAsia="宋体" w:cs="宋体"/>
                <w:color w:val="auto"/>
                <w:spacing w:val="-2"/>
                <w:sz w:val="24"/>
                <w:szCs w:val="24"/>
                <w:highlight w:val="none"/>
                <w:lang w:val="zh-CN"/>
              </w:rPr>
              <w:t>分；</w:t>
            </w:r>
          </w:p>
          <w:p>
            <w:pPr>
              <w:keepNext w:val="0"/>
              <w:keepLines w:val="0"/>
              <w:pageBreakBefore w:val="0"/>
              <w:widowControl w:val="0"/>
              <w:kinsoku/>
              <w:wordWrap/>
              <w:overflowPunct/>
              <w:topLinePunct w:val="0"/>
              <w:bidi w:val="0"/>
              <w:snapToGrid w:val="0"/>
              <w:spacing w:line="400" w:lineRule="exact"/>
              <w:textAlignment w:val="auto"/>
              <w:rPr>
                <w:rFonts w:hint="eastAsia" w:ascii="宋体" w:hAnsi="宋体" w:eastAsia="宋体" w:cs="宋体"/>
                <w:color w:val="auto"/>
                <w:spacing w:val="-2"/>
                <w:sz w:val="24"/>
                <w:szCs w:val="24"/>
                <w:highlight w:val="none"/>
                <w:lang w:val="zh-CN"/>
              </w:rPr>
            </w:pPr>
            <w:r>
              <w:rPr>
                <w:rFonts w:hint="eastAsia" w:ascii="宋体" w:hAnsi="宋体" w:eastAsia="宋体" w:cs="宋体"/>
                <w:color w:val="auto"/>
                <w:spacing w:val="-2"/>
                <w:sz w:val="24"/>
                <w:szCs w:val="24"/>
                <w:highlight w:val="none"/>
                <w:lang w:val="zh-CN"/>
              </w:rPr>
              <w:t>承诺招聘坐席人员中具备</w:t>
            </w:r>
            <w:r>
              <w:rPr>
                <w:rFonts w:hint="eastAsia" w:ascii="宋体" w:hAnsi="宋体" w:eastAsia="宋体" w:cs="宋体"/>
                <w:color w:val="auto"/>
                <w:spacing w:val="-2"/>
                <w:sz w:val="24"/>
                <w:szCs w:val="24"/>
                <w:highlight w:val="none"/>
                <w:lang w:val="en-US" w:eastAsia="zh-CN"/>
              </w:rPr>
              <w:t>财会、税收、法律、计算机、经济类</w:t>
            </w:r>
            <w:r>
              <w:rPr>
                <w:rFonts w:hint="eastAsia" w:ascii="宋体" w:hAnsi="宋体" w:eastAsia="宋体" w:cs="宋体"/>
                <w:color w:val="auto"/>
                <w:spacing w:val="-2"/>
                <w:sz w:val="24"/>
                <w:szCs w:val="24"/>
                <w:highlight w:val="none"/>
                <w:lang w:val="zh-CN"/>
              </w:rPr>
              <w:t>专业本科（含）以上学历的占比在</w:t>
            </w:r>
            <w:r>
              <w:rPr>
                <w:rFonts w:hint="eastAsia" w:ascii="宋体" w:hAnsi="宋体" w:eastAsia="宋体" w:cs="宋体"/>
                <w:color w:val="auto"/>
                <w:spacing w:val="-2"/>
                <w:sz w:val="24"/>
                <w:szCs w:val="24"/>
                <w:highlight w:val="none"/>
                <w:lang w:val="en-US" w:eastAsia="zh-CN"/>
              </w:rPr>
              <w:t>50</w:t>
            </w:r>
            <w:r>
              <w:rPr>
                <w:rFonts w:hint="eastAsia" w:ascii="宋体" w:hAnsi="宋体" w:eastAsia="宋体" w:cs="宋体"/>
                <w:color w:val="auto"/>
                <w:spacing w:val="-2"/>
                <w:sz w:val="24"/>
                <w:szCs w:val="24"/>
                <w:highlight w:val="none"/>
                <w:lang w:val="zh-CN"/>
              </w:rPr>
              <w:t>%（不含）—6</w:t>
            </w:r>
            <w:r>
              <w:rPr>
                <w:rFonts w:hint="eastAsia" w:ascii="宋体" w:hAnsi="宋体" w:eastAsia="宋体" w:cs="宋体"/>
                <w:color w:val="auto"/>
                <w:spacing w:val="-2"/>
                <w:sz w:val="24"/>
                <w:szCs w:val="24"/>
                <w:highlight w:val="none"/>
                <w:lang w:val="en-US" w:eastAsia="zh-CN"/>
              </w:rPr>
              <w:t>2.</w:t>
            </w:r>
            <w:r>
              <w:rPr>
                <w:rFonts w:hint="eastAsia" w:ascii="宋体" w:hAnsi="宋体" w:eastAsia="宋体" w:cs="宋体"/>
                <w:color w:val="auto"/>
                <w:spacing w:val="-2"/>
                <w:sz w:val="24"/>
                <w:szCs w:val="24"/>
                <w:highlight w:val="none"/>
              </w:rPr>
              <w:t>5</w:t>
            </w:r>
            <w:r>
              <w:rPr>
                <w:rFonts w:hint="eastAsia" w:ascii="宋体" w:hAnsi="宋体" w:eastAsia="宋体" w:cs="宋体"/>
                <w:color w:val="auto"/>
                <w:spacing w:val="-2"/>
                <w:sz w:val="24"/>
                <w:szCs w:val="24"/>
                <w:highlight w:val="none"/>
                <w:lang w:val="zh-CN"/>
              </w:rPr>
              <w:t>%（含）的，得</w:t>
            </w:r>
            <w:r>
              <w:rPr>
                <w:rFonts w:hint="eastAsia" w:ascii="宋体" w:hAnsi="宋体" w:eastAsia="宋体" w:cs="宋体"/>
                <w:color w:val="auto"/>
                <w:spacing w:val="-2"/>
                <w:sz w:val="24"/>
                <w:szCs w:val="24"/>
                <w:highlight w:val="none"/>
                <w:lang w:val="en-US" w:eastAsia="zh-CN"/>
              </w:rPr>
              <w:t>3</w:t>
            </w:r>
            <w:r>
              <w:rPr>
                <w:rFonts w:hint="eastAsia" w:ascii="宋体" w:hAnsi="宋体" w:eastAsia="宋体" w:cs="宋体"/>
                <w:color w:val="auto"/>
                <w:spacing w:val="-2"/>
                <w:sz w:val="24"/>
                <w:szCs w:val="24"/>
                <w:highlight w:val="none"/>
                <w:lang w:val="zh-CN"/>
              </w:rPr>
              <w:t>分；</w:t>
            </w:r>
          </w:p>
          <w:p>
            <w:pPr>
              <w:keepNext w:val="0"/>
              <w:keepLines w:val="0"/>
              <w:pageBreakBefore w:val="0"/>
              <w:widowControl w:val="0"/>
              <w:kinsoku/>
              <w:wordWrap/>
              <w:overflowPunct/>
              <w:topLinePunct w:val="0"/>
              <w:bidi w:val="0"/>
              <w:snapToGrid w:val="0"/>
              <w:spacing w:line="400" w:lineRule="exact"/>
              <w:textAlignment w:val="auto"/>
              <w:rPr>
                <w:rFonts w:hint="eastAsia" w:ascii="宋体" w:hAnsi="宋体" w:eastAsia="宋体" w:cs="宋体"/>
                <w:color w:val="auto"/>
                <w:spacing w:val="-2"/>
                <w:sz w:val="24"/>
                <w:szCs w:val="24"/>
                <w:highlight w:val="none"/>
                <w:lang w:val="zh-CN"/>
              </w:rPr>
            </w:pPr>
            <w:r>
              <w:rPr>
                <w:rFonts w:hint="eastAsia" w:ascii="宋体" w:hAnsi="宋体" w:eastAsia="宋体" w:cs="宋体"/>
                <w:color w:val="auto"/>
                <w:spacing w:val="-2"/>
                <w:sz w:val="24"/>
                <w:szCs w:val="24"/>
                <w:highlight w:val="none"/>
                <w:lang w:val="zh-CN"/>
              </w:rPr>
              <w:t>承诺招聘坐席人员中具备</w:t>
            </w:r>
            <w:r>
              <w:rPr>
                <w:rFonts w:hint="eastAsia" w:ascii="宋体" w:hAnsi="宋体" w:eastAsia="宋体" w:cs="宋体"/>
                <w:color w:val="auto"/>
                <w:spacing w:val="-2"/>
                <w:sz w:val="24"/>
                <w:szCs w:val="24"/>
                <w:highlight w:val="none"/>
                <w:lang w:val="en-US" w:eastAsia="zh-CN"/>
              </w:rPr>
              <w:t>财会、税收、法律、计算机、经济类</w:t>
            </w:r>
            <w:r>
              <w:rPr>
                <w:rFonts w:hint="eastAsia" w:ascii="宋体" w:hAnsi="宋体" w:eastAsia="宋体" w:cs="宋体"/>
                <w:color w:val="auto"/>
                <w:spacing w:val="-2"/>
                <w:sz w:val="24"/>
                <w:szCs w:val="24"/>
                <w:highlight w:val="none"/>
                <w:lang w:val="zh-CN"/>
              </w:rPr>
              <w:t>专业本科（含）以上学历的占比在</w:t>
            </w:r>
            <w:r>
              <w:rPr>
                <w:rFonts w:hint="eastAsia" w:ascii="宋体" w:hAnsi="宋体" w:eastAsia="宋体" w:cs="宋体"/>
                <w:color w:val="auto"/>
                <w:spacing w:val="-2"/>
                <w:sz w:val="24"/>
                <w:szCs w:val="24"/>
                <w:highlight w:val="none"/>
                <w:lang w:val="en-US" w:eastAsia="zh-CN"/>
              </w:rPr>
              <w:t>37.5</w:t>
            </w:r>
            <w:r>
              <w:rPr>
                <w:rFonts w:hint="eastAsia" w:ascii="宋体" w:hAnsi="宋体" w:eastAsia="宋体" w:cs="宋体"/>
                <w:color w:val="auto"/>
                <w:spacing w:val="-2"/>
                <w:sz w:val="24"/>
                <w:szCs w:val="24"/>
                <w:highlight w:val="none"/>
                <w:lang w:val="zh-CN"/>
              </w:rPr>
              <w:t>%（不含）—</w:t>
            </w:r>
            <w:r>
              <w:rPr>
                <w:rFonts w:hint="eastAsia" w:ascii="宋体" w:hAnsi="宋体" w:eastAsia="宋体" w:cs="宋体"/>
                <w:color w:val="auto"/>
                <w:spacing w:val="-2"/>
                <w:sz w:val="24"/>
                <w:szCs w:val="24"/>
                <w:highlight w:val="none"/>
                <w:lang w:val="en-US" w:eastAsia="zh-CN"/>
              </w:rPr>
              <w:t>50</w:t>
            </w:r>
            <w:r>
              <w:rPr>
                <w:rFonts w:hint="eastAsia" w:ascii="宋体" w:hAnsi="宋体" w:eastAsia="宋体" w:cs="宋体"/>
                <w:color w:val="auto"/>
                <w:spacing w:val="-2"/>
                <w:sz w:val="24"/>
                <w:szCs w:val="24"/>
                <w:highlight w:val="none"/>
                <w:lang w:val="zh-CN"/>
              </w:rPr>
              <w:t>%（含）的，得</w:t>
            </w:r>
            <w:r>
              <w:rPr>
                <w:rFonts w:hint="eastAsia" w:ascii="宋体" w:hAnsi="宋体" w:eastAsia="宋体" w:cs="宋体"/>
                <w:color w:val="auto"/>
                <w:spacing w:val="-2"/>
                <w:sz w:val="24"/>
                <w:szCs w:val="24"/>
                <w:highlight w:val="none"/>
                <w:lang w:val="en-US" w:eastAsia="zh-CN"/>
              </w:rPr>
              <w:t>2</w:t>
            </w:r>
            <w:r>
              <w:rPr>
                <w:rFonts w:hint="eastAsia" w:ascii="宋体" w:hAnsi="宋体" w:eastAsia="宋体" w:cs="宋体"/>
                <w:color w:val="auto"/>
                <w:spacing w:val="-2"/>
                <w:sz w:val="24"/>
                <w:szCs w:val="24"/>
                <w:highlight w:val="none"/>
                <w:lang w:val="zh-CN"/>
              </w:rPr>
              <w:t>分；</w:t>
            </w:r>
          </w:p>
          <w:p>
            <w:pPr>
              <w:pStyle w:val="34"/>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spacing w:val="-2"/>
                <w:sz w:val="24"/>
                <w:szCs w:val="24"/>
                <w:highlight w:val="none"/>
                <w:lang w:val="zh-CN"/>
              </w:rPr>
              <w:t>（需提供承诺函，未提供的不得分）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49" w:type="dxa"/>
            <w:vMerge w:val="continue"/>
            <w:noWrap w:val="0"/>
            <w:vAlign w:val="center"/>
          </w:tcPr>
          <w:p>
            <w:pPr>
              <w:widowControl/>
              <w:snapToGrid w:val="0"/>
              <w:spacing w:line="400" w:lineRule="exact"/>
              <w:rPr>
                <w:rFonts w:hint="eastAsia" w:ascii="宋体" w:hAnsi="宋体" w:eastAsia="宋体" w:cs="宋体"/>
                <w:color w:val="auto"/>
                <w:kern w:val="0"/>
                <w:sz w:val="24"/>
                <w:highlight w:val="none"/>
              </w:rPr>
            </w:pPr>
          </w:p>
        </w:tc>
        <w:tc>
          <w:tcPr>
            <w:tcW w:w="1267" w:type="dxa"/>
            <w:vMerge w:val="continue"/>
            <w:noWrap/>
            <w:vAlign w:val="center"/>
          </w:tcPr>
          <w:p>
            <w:pPr>
              <w:widowControl/>
              <w:snapToGrid w:val="0"/>
              <w:spacing w:line="400" w:lineRule="exact"/>
              <w:rPr>
                <w:rFonts w:hint="eastAsia" w:ascii="宋体" w:hAnsi="宋体" w:eastAsia="宋体" w:cs="宋体"/>
                <w:color w:val="auto"/>
                <w:sz w:val="24"/>
                <w:highlight w:val="none"/>
              </w:rPr>
            </w:pPr>
          </w:p>
        </w:tc>
        <w:tc>
          <w:tcPr>
            <w:tcW w:w="904" w:type="dxa"/>
            <w:noWrap/>
            <w:vAlign w:val="center"/>
          </w:tcPr>
          <w:p>
            <w:pPr>
              <w:widowControl/>
              <w:snapToGri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w:t>
            </w:r>
          </w:p>
        </w:tc>
        <w:tc>
          <w:tcPr>
            <w:tcW w:w="6300" w:type="dxa"/>
            <w:gridSpan w:val="2"/>
            <w:noWrap/>
            <w:vAlign w:val="center"/>
          </w:tcPr>
          <w:p>
            <w:pPr>
              <w:pStyle w:val="34"/>
              <w:spacing w:line="400" w:lineRule="exact"/>
              <w:rPr>
                <w:rFonts w:hint="eastAsia" w:ascii="宋体" w:hAnsi="宋体" w:eastAsia="宋体" w:cs="宋体"/>
                <w:color w:val="auto"/>
                <w:spacing w:val="-2"/>
                <w:sz w:val="24"/>
                <w:szCs w:val="24"/>
                <w:highlight w:val="none"/>
                <w:lang w:val="zh-CN"/>
              </w:rPr>
            </w:pPr>
            <w:r>
              <w:rPr>
                <w:rFonts w:hint="eastAsia" w:ascii="宋体" w:hAnsi="宋体" w:eastAsia="宋体" w:cs="宋体"/>
                <w:color w:val="auto"/>
                <w:spacing w:val="-2"/>
                <w:sz w:val="24"/>
                <w:szCs w:val="24"/>
                <w:highlight w:val="none"/>
                <w:lang w:val="en-US" w:eastAsia="zh-CN"/>
              </w:rPr>
              <w:t>B</w:t>
            </w:r>
            <w:r>
              <w:rPr>
                <w:rFonts w:hint="eastAsia" w:ascii="宋体" w:hAnsi="宋体" w:eastAsia="宋体" w:cs="宋体"/>
                <w:color w:val="auto"/>
                <w:spacing w:val="-2"/>
                <w:sz w:val="24"/>
                <w:szCs w:val="24"/>
                <w:highlight w:val="none"/>
                <w:lang w:val="zh-CN"/>
              </w:rPr>
              <w:t>2.</w:t>
            </w:r>
            <w:r>
              <w:rPr>
                <w:rFonts w:hint="eastAsia" w:ascii="宋体" w:hAnsi="宋体" w:eastAsia="宋体" w:cs="宋体"/>
                <w:color w:val="auto"/>
                <w:spacing w:val="-2"/>
                <w:sz w:val="24"/>
                <w:szCs w:val="24"/>
                <w:highlight w:val="none"/>
                <w:lang w:val="en-US" w:eastAsia="zh-CN"/>
              </w:rPr>
              <w:t>5</w:t>
            </w:r>
            <w:r>
              <w:rPr>
                <w:rFonts w:hint="eastAsia" w:ascii="宋体" w:hAnsi="宋体" w:eastAsia="宋体" w:cs="宋体"/>
                <w:color w:val="auto"/>
                <w:spacing w:val="-2"/>
                <w:sz w:val="24"/>
                <w:szCs w:val="24"/>
                <w:highlight w:val="none"/>
                <w:lang w:val="zh-CN"/>
              </w:rPr>
              <w:t>供应商为本项目配备的服务外包人员中</w:t>
            </w:r>
            <w:r>
              <w:rPr>
                <w:rFonts w:hint="eastAsia" w:ascii="宋体" w:hAnsi="宋体" w:eastAsia="宋体" w:cs="宋体"/>
                <w:color w:val="auto"/>
                <w:spacing w:val="-2"/>
                <w:sz w:val="24"/>
                <w:szCs w:val="24"/>
                <w:highlight w:val="none"/>
                <w:lang w:val="en-US" w:eastAsia="zh-CN"/>
              </w:rPr>
              <w:t>(不含</w:t>
            </w:r>
            <w:r>
              <w:rPr>
                <w:rFonts w:hint="eastAsia" w:ascii="宋体" w:hAnsi="宋体" w:eastAsia="宋体" w:cs="宋体"/>
                <w:color w:val="auto"/>
                <w:sz w:val="24"/>
                <w:szCs w:val="24"/>
                <w:highlight w:val="none"/>
              </w:rPr>
              <w:t>现场管理</w:t>
            </w:r>
            <w:r>
              <w:rPr>
                <w:rFonts w:hint="eastAsia" w:ascii="宋体" w:hAnsi="宋体" w:eastAsia="宋体" w:cs="宋体"/>
                <w:color w:val="auto"/>
                <w:sz w:val="24"/>
                <w:szCs w:val="24"/>
                <w:highlight w:val="none"/>
                <w:lang w:val="en-US" w:eastAsia="zh-CN"/>
              </w:rPr>
              <w:t>人员</w:t>
            </w: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lang w:val="zh-CN"/>
              </w:rPr>
              <w:t>，拥有会计师或税务师证书，或202</w:t>
            </w:r>
            <w:r>
              <w:rPr>
                <w:rFonts w:hint="eastAsia" w:ascii="宋体" w:hAnsi="宋体" w:eastAsia="宋体" w:cs="宋体"/>
                <w:color w:val="auto"/>
                <w:spacing w:val="-2"/>
                <w:sz w:val="24"/>
                <w:szCs w:val="24"/>
                <w:highlight w:val="none"/>
              </w:rPr>
              <w:t>2</w:t>
            </w:r>
            <w:r>
              <w:rPr>
                <w:rFonts w:hint="eastAsia" w:ascii="宋体" w:hAnsi="宋体" w:eastAsia="宋体" w:cs="宋体"/>
                <w:color w:val="auto"/>
                <w:spacing w:val="-2"/>
                <w:sz w:val="24"/>
                <w:szCs w:val="24"/>
                <w:highlight w:val="none"/>
                <w:lang w:val="zh-CN"/>
              </w:rPr>
              <w:t>年1月1日以来连续两年（含）以上从事咨询服务工作经历的（包括在税务呼叫中心、办税服务厅、会计师事务所、税务师事务所等部门从事咨询服务），每人得1分，上限</w:t>
            </w:r>
            <w:r>
              <w:rPr>
                <w:rFonts w:hint="eastAsia" w:ascii="宋体" w:hAnsi="宋体" w:eastAsia="宋体" w:cs="宋体"/>
                <w:color w:val="auto"/>
                <w:spacing w:val="-2"/>
                <w:sz w:val="24"/>
                <w:szCs w:val="24"/>
                <w:highlight w:val="none"/>
                <w:lang w:val="en-US" w:eastAsia="zh-CN"/>
              </w:rPr>
              <w:t>5</w:t>
            </w:r>
            <w:r>
              <w:rPr>
                <w:rFonts w:hint="eastAsia" w:ascii="宋体" w:hAnsi="宋体" w:eastAsia="宋体" w:cs="宋体"/>
                <w:color w:val="auto"/>
                <w:spacing w:val="-2"/>
                <w:sz w:val="24"/>
                <w:szCs w:val="24"/>
                <w:highlight w:val="none"/>
                <w:lang w:val="zh-CN"/>
              </w:rPr>
              <w:t>分。</w:t>
            </w:r>
            <w:r>
              <w:rPr>
                <w:rFonts w:hint="eastAsia" w:ascii="宋体" w:hAnsi="宋体" w:eastAsia="宋体" w:cs="宋体"/>
                <w:color w:val="auto"/>
                <w:spacing w:val="-2"/>
                <w:sz w:val="24"/>
                <w:szCs w:val="24"/>
                <w:highlight w:val="none"/>
                <w:lang w:val="en-US" w:eastAsia="zh-CN"/>
              </w:rPr>
              <w:t>供应商</w:t>
            </w:r>
            <w:r>
              <w:rPr>
                <w:rFonts w:hint="eastAsia" w:ascii="宋体" w:hAnsi="宋体" w:eastAsia="宋体" w:cs="宋体"/>
                <w:color w:val="auto"/>
                <w:spacing w:val="-2"/>
                <w:sz w:val="24"/>
                <w:szCs w:val="24"/>
                <w:highlight w:val="none"/>
                <w:lang w:val="zh-CN"/>
              </w:rPr>
              <w:t>需提供业务支持人员名单、会计师或税务师证书复印件（或</w:t>
            </w:r>
            <w:r>
              <w:rPr>
                <w:rFonts w:hint="eastAsia" w:ascii="宋体" w:hAnsi="宋体" w:eastAsia="宋体" w:cs="宋体"/>
                <w:color w:val="auto"/>
                <w:spacing w:val="-2"/>
                <w:sz w:val="24"/>
                <w:szCs w:val="24"/>
                <w:highlight w:val="none"/>
                <w:lang w:val="en-US" w:eastAsia="zh-CN"/>
              </w:rPr>
              <w:t>人员</w:t>
            </w:r>
            <w:r>
              <w:rPr>
                <w:rFonts w:hint="eastAsia" w:ascii="宋体" w:hAnsi="宋体" w:eastAsia="宋体" w:cs="宋体"/>
                <w:color w:val="auto"/>
                <w:spacing w:val="-2"/>
                <w:sz w:val="24"/>
                <w:szCs w:val="24"/>
                <w:highlight w:val="none"/>
                <w:lang w:val="zh-CN"/>
              </w:rPr>
              <w:t>工作经历用人单位证明）、</w:t>
            </w:r>
            <w:r>
              <w:rPr>
                <w:rFonts w:hint="eastAsia" w:ascii="宋体" w:hAnsi="宋体" w:eastAsia="宋体" w:cs="宋体"/>
                <w:color w:val="auto"/>
                <w:spacing w:val="-2"/>
                <w:sz w:val="24"/>
                <w:szCs w:val="24"/>
                <w:highlight w:val="none"/>
                <w:lang w:val="en-US" w:eastAsia="zh-CN"/>
              </w:rPr>
              <w:t>以及上述</w:t>
            </w:r>
            <w:r>
              <w:rPr>
                <w:rFonts w:hint="eastAsia" w:ascii="宋体" w:hAnsi="宋体" w:eastAsia="宋体" w:cs="宋体"/>
                <w:color w:val="auto"/>
                <w:spacing w:val="-2"/>
                <w:sz w:val="24"/>
                <w:szCs w:val="24"/>
                <w:highlight w:val="none"/>
                <w:lang w:val="zh-CN"/>
              </w:rPr>
              <w:t>人员</w:t>
            </w:r>
            <w:r>
              <w:rPr>
                <w:rFonts w:hint="eastAsia" w:ascii="宋体" w:hAnsi="宋体" w:eastAsia="宋体" w:cs="宋体"/>
                <w:color w:val="auto"/>
                <w:spacing w:val="-2"/>
                <w:sz w:val="24"/>
                <w:szCs w:val="24"/>
                <w:highlight w:val="none"/>
                <w:lang w:val="en-US" w:eastAsia="zh-CN"/>
              </w:rPr>
              <w:t>提交响应文件</w:t>
            </w:r>
            <w:r>
              <w:rPr>
                <w:rFonts w:hint="eastAsia" w:ascii="宋体" w:hAnsi="宋体" w:eastAsia="宋体" w:cs="宋体"/>
                <w:color w:val="auto"/>
                <w:spacing w:val="-2"/>
                <w:sz w:val="24"/>
                <w:szCs w:val="24"/>
                <w:highlight w:val="none"/>
              </w:rPr>
              <w:t>截止时间前6个月</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不含提交响应文件截止时间当月</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内任意一个月</w:t>
            </w:r>
            <w:r>
              <w:rPr>
                <w:rFonts w:hint="eastAsia" w:ascii="宋体" w:hAnsi="宋体" w:eastAsia="宋体" w:cs="宋体"/>
                <w:color w:val="auto"/>
                <w:spacing w:val="-2"/>
                <w:sz w:val="24"/>
                <w:szCs w:val="24"/>
                <w:highlight w:val="none"/>
                <w:lang w:val="en-US" w:eastAsia="zh-CN"/>
              </w:rPr>
              <w:t>在供应商单位缴纳</w:t>
            </w:r>
            <w:r>
              <w:rPr>
                <w:rFonts w:hint="eastAsia" w:ascii="宋体" w:hAnsi="宋体" w:eastAsia="宋体" w:cs="宋体"/>
                <w:color w:val="auto"/>
                <w:spacing w:val="-2"/>
                <w:sz w:val="24"/>
                <w:szCs w:val="24"/>
                <w:highlight w:val="none"/>
                <w:lang w:val="zh-CN"/>
              </w:rPr>
              <w:t>社保的缴费记录</w:t>
            </w:r>
            <w:r>
              <w:rPr>
                <w:rFonts w:hint="eastAsia" w:ascii="宋体" w:hAnsi="宋体" w:eastAsia="宋体" w:cs="宋体"/>
                <w:color w:val="auto"/>
                <w:spacing w:val="-2"/>
                <w:sz w:val="24"/>
                <w:szCs w:val="24"/>
                <w:highlight w:val="none"/>
              </w:rPr>
              <w:t>（提交</w:t>
            </w:r>
            <w:r>
              <w:rPr>
                <w:rFonts w:hint="eastAsia" w:ascii="宋体" w:hAnsi="宋体" w:eastAsia="宋体" w:cs="宋体"/>
                <w:color w:val="auto"/>
                <w:spacing w:val="-2"/>
                <w:sz w:val="24"/>
                <w:szCs w:val="24"/>
                <w:highlight w:val="none"/>
                <w:lang w:val="en-US" w:eastAsia="zh-CN"/>
              </w:rPr>
              <w:t>提交响应</w:t>
            </w:r>
            <w:r>
              <w:rPr>
                <w:rFonts w:hint="eastAsia" w:ascii="宋体" w:hAnsi="宋体" w:eastAsia="宋体" w:cs="宋体"/>
                <w:color w:val="auto"/>
                <w:spacing w:val="-2"/>
                <w:sz w:val="24"/>
                <w:szCs w:val="24"/>
                <w:highlight w:val="none"/>
              </w:rPr>
              <w:t>文件截止时间的当月成立的</w:t>
            </w:r>
            <w:r>
              <w:rPr>
                <w:rFonts w:hint="eastAsia" w:ascii="宋体" w:hAnsi="宋体" w:eastAsia="宋体" w:cs="宋体"/>
                <w:color w:val="auto"/>
                <w:spacing w:val="-2"/>
                <w:sz w:val="24"/>
                <w:szCs w:val="24"/>
                <w:highlight w:val="none"/>
                <w:lang w:eastAsia="zh-CN"/>
              </w:rPr>
              <w:t>供应商</w:t>
            </w:r>
            <w:r>
              <w:rPr>
                <w:rFonts w:hint="eastAsia" w:ascii="宋体" w:hAnsi="宋体" w:eastAsia="宋体" w:cs="宋体"/>
                <w:color w:val="auto"/>
                <w:spacing w:val="-2"/>
                <w:sz w:val="24"/>
                <w:szCs w:val="24"/>
                <w:highlight w:val="none"/>
              </w:rPr>
              <w:t>，提交社保增员材料视同满足本项评分条件的社保费要求）</w:t>
            </w:r>
            <w:r>
              <w:rPr>
                <w:rFonts w:hint="eastAsia" w:ascii="宋体" w:hAnsi="宋体" w:eastAsia="宋体" w:cs="宋体"/>
                <w:color w:val="auto"/>
                <w:spacing w:val="-2"/>
                <w:sz w:val="24"/>
                <w:szCs w:val="24"/>
                <w:highlight w:val="none"/>
                <w:lang w:val="zh-CN"/>
              </w:rPr>
              <w:t>，未提供或</w:t>
            </w:r>
            <w:r>
              <w:rPr>
                <w:rFonts w:hint="eastAsia" w:ascii="宋体" w:hAnsi="宋体" w:eastAsia="宋体" w:cs="宋体"/>
                <w:color w:val="auto"/>
                <w:spacing w:val="-2"/>
                <w:sz w:val="24"/>
                <w:szCs w:val="24"/>
                <w:highlight w:val="none"/>
                <w:lang w:val="en-US" w:eastAsia="zh-CN"/>
              </w:rPr>
              <w:t>提供不全</w:t>
            </w:r>
            <w:r>
              <w:rPr>
                <w:rFonts w:hint="eastAsia" w:ascii="宋体" w:hAnsi="宋体" w:eastAsia="宋体" w:cs="宋体"/>
                <w:color w:val="auto"/>
                <w:spacing w:val="-2"/>
                <w:sz w:val="24"/>
                <w:szCs w:val="24"/>
                <w:highlight w:val="none"/>
                <w:lang w:val="zh-CN"/>
              </w:rPr>
              <w:t>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249" w:type="dxa"/>
            <w:vMerge w:val="continue"/>
            <w:noWrap w:val="0"/>
            <w:vAlign w:val="center"/>
          </w:tcPr>
          <w:p>
            <w:pPr>
              <w:widowControl/>
              <w:snapToGrid w:val="0"/>
              <w:spacing w:line="400" w:lineRule="exact"/>
              <w:rPr>
                <w:rFonts w:hint="eastAsia" w:ascii="宋体" w:hAnsi="宋体" w:eastAsia="宋体" w:cs="宋体"/>
                <w:color w:val="auto"/>
                <w:kern w:val="0"/>
                <w:sz w:val="24"/>
                <w:highlight w:val="none"/>
              </w:rPr>
            </w:pPr>
          </w:p>
        </w:tc>
        <w:tc>
          <w:tcPr>
            <w:tcW w:w="1267" w:type="dxa"/>
            <w:vMerge w:val="continue"/>
            <w:noWrap/>
            <w:vAlign w:val="center"/>
          </w:tcPr>
          <w:p>
            <w:pPr>
              <w:widowControl/>
              <w:snapToGrid w:val="0"/>
              <w:spacing w:line="400" w:lineRule="exact"/>
              <w:rPr>
                <w:rFonts w:hint="eastAsia" w:ascii="宋体" w:hAnsi="宋体" w:eastAsia="宋体" w:cs="宋体"/>
                <w:color w:val="auto"/>
                <w:sz w:val="24"/>
                <w:highlight w:val="none"/>
              </w:rPr>
            </w:pPr>
          </w:p>
        </w:tc>
        <w:tc>
          <w:tcPr>
            <w:tcW w:w="904" w:type="dxa"/>
            <w:noWrap/>
            <w:vAlign w:val="center"/>
          </w:tcPr>
          <w:p>
            <w:pPr>
              <w:widowControl/>
              <w:snapToGri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w:t>
            </w:r>
          </w:p>
        </w:tc>
        <w:tc>
          <w:tcPr>
            <w:tcW w:w="6300" w:type="dxa"/>
            <w:gridSpan w:val="2"/>
            <w:noWrap/>
            <w:vAlign w:val="center"/>
          </w:tcPr>
          <w:p>
            <w:pPr>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B</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服务商能制定满足12366中心人员管理的各项制度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至少</w:t>
            </w:r>
            <w:r>
              <w:rPr>
                <w:rFonts w:hint="eastAsia" w:ascii="宋体" w:hAnsi="宋体" w:eastAsia="宋体" w:cs="宋体"/>
                <w:color w:val="auto"/>
                <w:sz w:val="24"/>
                <w:highlight w:val="none"/>
              </w:rPr>
              <w:t>包括人员薪资管理、人员激励机制、职业规划、业务</w:t>
            </w:r>
            <w:r>
              <w:rPr>
                <w:rFonts w:hint="eastAsia" w:ascii="宋体" w:hAnsi="宋体" w:eastAsia="宋体" w:cs="宋体"/>
                <w:color w:val="auto"/>
                <w:spacing w:val="-2"/>
                <w:sz w:val="24"/>
                <w:szCs w:val="24"/>
                <w:highlight w:val="none"/>
                <w:lang w:val="zh-CN"/>
              </w:rPr>
              <w:t>培训</w:t>
            </w:r>
            <w:r>
              <w:rPr>
                <w:rFonts w:hint="eastAsia" w:ascii="宋体" w:hAnsi="宋体" w:eastAsia="宋体" w:cs="宋体"/>
                <w:color w:val="auto"/>
                <w:sz w:val="24"/>
                <w:highlight w:val="none"/>
              </w:rPr>
              <w:t>考核、考勤管理、质量监测管理等制度</w:t>
            </w:r>
            <w:r>
              <w:rPr>
                <w:rFonts w:hint="eastAsia" w:ascii="宋体" w:hAnsi="宋体" w:eastAsia="宋体" w:cs="宋体"/>
                <w:color w:val="auto"/>
                <w:spacing w:val="-2"/>
                <w:sz w:val="24"/>
                <w:szCs w:val="24"/>
                <w:highlight w:val="none"/>
                <w:lang w:val="zh-CN"/>
              </w:rPr>
              <w:t>等6项制度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各项制度的</w:t>
            </w:r>
            <w:r>
              <w:rPr>
                <w:rFonts w:hint="eastAsia" w:ascii="宋体" w:hAnsi="宋体" w:eastAsia="宋体" w:cs="宋体"/>
                <w:color w:val="auto"/>
                <w:spacing w:val="-2"/>
                <w:sz w:val="24"/>
                <w:szCs w:val="24"/>
                <w:highlight w:val="none"/>
                <w:lang w:val="zh-CN"/>
              </w:rPr>
              <w:t>内容与要点相符、</w:t>
            </w:r>
            <w:r>
              <w:rPr>
                <w:rFonts w:hint="eastAsia" w:ascii="宋体" w:hAnsi="宋体" w:eastAsia="宋体" w:cs="宋体"/>
                <w:color w:val="auto"/>
                <w:sz w:val="24"/>
                <w:highlight w:val="none"/>
              </w:rPr>
              <w:t>思路清晰，内容具体、合理，有利于保证项目的正常实施，每</w:t>
            </w:r>
            <w:r>
              <w:rPr>
                <w:rFonts w:hint="eastAsia" w:ascii="宋体" w:hAnsi="宋体" w:eastAsia="宋体" w:cs="宋体"/>
                <w:color w:val="auto"/>
                <w:sz w:val="24"/>
                <w:highlight w:val="none"/>
                <w:lang w:val="en-US" w:eastAsia="zh-CN"/>
              </w:rPr>
              <w:t>提供1项得1分</w:t>
            </w:r>
            <w:r>
              <w:rPr>
                <w:rFonts w:hint="eastAsia" w:ascii="宋体" w:hAnsi="宋体" w:eastAsia="宋体" w:cs="宋体"/>
                <w:color w:val="auto"/>
                <w:sz w:val="24"/>
                <w:highlight w:val="none"/>
              </w:rPr>
              <w:t>，满分</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分。</w:t>
            </w:r>
            <w:r>
              <w:rPr>
                <w:rFonts w:hint="eastAsia" w:ascii="宋体" w:hAnsi="宋体" w:eastAsia="宋体" w:cs="宋体"/>
                <w:color w:val="auto"/>
                <w:spacing w:val="-2"/>
                <w:sz w:val="24"/>
                <w:szCs w:val="24"/>
                <w:highlight w:val="none"/>
                <w:lang w:val="zh-CN"/>
              </w:rPr>
              <w:t>未提供方案或方案内容与项目情况不相符的不得分。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249" w:type="dxa"/>
            <w:vMerge w:val="continue"/>
            <w:noWrap w:val="0"/>
            <w:vAlign w:val="center"/>
          </w:tcPr>
          <w:p>
            <w:pPr>
              <w:widowControl/>
              <w:snapToGrid w:val="0"/>
              <w:spacing w:line="400" w:lineRule="exact"/>
              <w:rPr>
                <w:rFonts w:hint="eastAsia" w:ascii="宋体" w:hAnsi="宋体" w:eastAsia="宋体" w:cs="宋体"/>
                <w:color w:val="auto"/>
                <w:kern w:val="0"/>
                <w:sz w:val="24"/>
                <w:highlight w:val="none"/>
              </w:rPr>
            </w:pPr>
          </w:p>
        </w:tc>
        <w:tc>
          <w:tcPr>
            <w:tcW w:w="1267" w:type="dxa"/>
            <w:vMerge w:val="continue"/>
            <w:noWrap/>
            <w:vAlign w:val="center"/>
          </w:tcPr>
          <w:p>
            <w:pPr>
              <w:widowControl/>
              <w:snapToGrid w:val="0"/>
              <w:spacing w:line="400" w:lineRule="exact"/>
              <w:rPr>
                <w:rFonts w:hint="eastAsia" w:ascii="宋体" w:hAnsi="宋体" w:eastAsia="宋体" w:cs="宋体"/>
                <w:color w:val="auto"/>
                <w:sz w:val="24"/>
                <w:highlight w:val="none"/>
              </w:rPr>
            </w:pPr>
          </w:p>
        </w:tc>
        <w:tc>
          <w:tcPr>
            <w:tcW w:w="904" w:type="dxa"/>
            <w:noWrap/>
            <w:vAlign w:val="center"/>
          </w:tcPr>
          <w:p>
            <w:pPr>
              <w:widowControl/>
              <w:snapToGri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w:t>
            </w:r>
          </w:p>
        </w:tc>
        <w:tc>
          <w:tcPr>
            <w:tcW w:w="6300" w:type="dxa"/>
            <w:gridSpan w:val="2"/>
            <w:noWrap/>
            <w:vAlign w:val="center"/>
          </w:tcPr>
          <w:p>
            <w:pPr>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B</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7</w:t>
            </w:r>
            <w:r>
              <w:rPr>
                <w:rFonts w:hint="eastAsia" w:ascii="宋体" w:hAnsi="宋体" w:eastAsia="宋体" w:cs="宋体"/>
                <w:color w:val="auto"/>
                <w:spacing w:val="-2"/>
                <w:sz w:val="24"/>
                <w:szCs w:val="24"/>
                <w:highlight w:val="none"/>
                <w:lang w:val="zh-CN"/>
              </w:rPr>
              <w:t>根据</w:t>
            </w:r>
            <w:r>
              <w:rPr>
                <w:rFonts w:hint="eastAsia" w:ascii="宋体" w:hAnsi="宋体" w:eastAsia="宋体" w:cs="宋体"/>
                <w:color w:val="auto"/>
                <w:spacing w:val="-2"/>
                <w:sz w:val="24"/>
                <w:szCs w:val="24"/>
                <w:highlight w:val="none"/>
                <w:lang w:val="en-US" w:eastAsia="zh-CN"/>
              </w:rPr>
              <w:t>供应商</w:t>
            </w:r>
            <w:r>
              <w:rPr>
                <w:rFonts w:hint="eastAsia" w:ascii="宋体" w:hAnsi="宋体" w:eastAsia="宋体" w:cs="宋体"/>
                <w:color w:val="auto"/>
                <w:spacing w:val="-2"/>
                <w:sz w:val="24"/>
                <w:szCs w:val="24"/>
                <w:highlight w:val="none"/>
                <w:lang w:val="zh-CN"/>
              </w:rPr>
              <w:t>提供科学合理的人员淘汰机制（至少包含培训考试、绩效考核、违纪行为等淘汰机制）进行评议：方案包含以上要点，内容与要点相符、且措施具体的得</w:t>
            </w:r>
            <w:r>
              <w:rPr>
                <w:rFonts w:hint="eastAsia" w:ascii="宋体" w:hAnsi="宋体" w:eastAsia="宋体" w:cs="宋体"/>
                <w:color w:val="auto"/>
                <w:spacing w:val="-2"/>
                <w:sz w:val="24"/>
                <w:szCs w:val="24"/>
                <w:highlight w:val="none"/>
                <w:lang w:val="en-US" w:eastAsia="zh-CN"/>
              </w:rPr>
              <w:t>5</w:t>
            </w:r>
            <w:r>
              <w:rPr>
                <w:rFonts w:hint="eastAsia" w:ascii="宋体" w:hAnsi="宋体" w:eastAsia="宋体" w:cs="宋体"/>
                <w:color w:val="auto"/>
                <w:spacing w:val="-2"/>
                <w:sz w:val="24"/>
                <w:szCs w:val="24"/>
                <w:highlight w:val="none"/>
                <w:lang w:val="zh-CN"/>
              </w:rPr>
              <w:t>分；方案所包含的要点齐全、内容与要点相符，内容相对简略，但具有可操作性的得</w:t>
            </w:r>
            <w:r>
              <w:rPr>
                <w:rFonts w:hint="eastAsia" w:ascii="宋体" w:hAnsi="宋体" w:eastAsia="宋体" w:cs="宋体"/>
                <w:color w:val="auto"/>
                <w:spacing w:val="-2"/>
                <w:sz w:val="24"/>
                <w:szCs w:val="24"/>
                <w:highlight w:val="none"/>
                <w:lang w:val="en-US" w:eastAsia="zh-CN"/>
              </w:rPr>
              <w:t>3</w:t>
            </w:r>
            <w:r>
              <w:rPr>
                <w:rFonts w:hint="eastAsia" w:ascii="宋体" w:hAnsi="宋体" w:eastAsia="宋体" w:cs="宋体"/>
                <w:color w:val="auto"/>
                <w:spacing w:val="-2"/>
                <w:sz w:val="24"/>
                <w:szCs w:val="24"/>
                <w:highlight w:val="none"/>
                <w:lang w:val="zh-CN"/>
              </w:rPr>
              <w:t>分；方案所包含的要点有缺漏或仅笼统描述无具体措施的得</w:t>
            </w:r>
            <w:r>
              <w:rPr>
                <w:rFonts w:hint="eastAsia" w:ascii="宋体" w:hAnsi="宋体" w:eastAsia="宋体" w:cs="宋体"/>
                <w:color w:val="auto"/>
                <w:spacing w:val="-2"/>
                <w:sz w:val="24"/>
                <w:szCs w:val="24"/>
                <w:highlight w:val="none"/>
                <w:lang w:val="en-US" w:eastAsia="zh-CN"/>
              </w:rPr>
              <w:t>2</w:t>
            </w:r>
            <w:r>
              <w:rPr>
                <w:rFonts w:hint="eastAsia" w:ascii="宋体" w:hAnsi="宋体" w:eastAsia="宋体" w:cs="宋体"/>
                <w:color w:val="auto"/>
                <w:spacing w:val="-2"/>
                <w:sz w:val="24"/>
                <w:szCs w:val="24"/>
                <w:highlight w:val="none"/>
              </w:rPr>
              <w:t>分；</w:t>
            </w:r>
            <w:r>
              <w:rPr>
                <w:rFonts w:hint="eastAsia" w:ascii="宋体" w:hAnsi="宋体" w:eastAsia="宋体" w:cs="宋体"/>
                <w:color w:val="auto"/>
                <w:spacing w:val="-2"/>
                <w:sz w:val="24"/>
                <w:szCs w:val="24"/>
                <w:highlight w:val="none"/>
                <w:lang w:val="zh-CN"/>
              </w:rPr>
              <w:t>未提供方案，或方案内容与项目情况不相符的不得分。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249" w:type="dxa"/>
            <w:vMerge w:val="continue"/>
            <w:noWrap w:val="0"/>
            <w:vAlign w:val="center"/>
          </w:tcPr>
          <w:p>
            <w:pPr>
              <w:widowControl/>
              <w:snapToGrid w:val="0"/>
              <w:spacing w:line="400" w:lineRule="exact"/>
              <w:rPr>
                <w:rFonts w:hint="eastAsia" w:ascii="宋体" w:hAnsi="宋体" w:eastAsia="宋体" w:cs="宋体"/>
                <w:color w:val="auto"/>
                <w:kern w:val="0"/>
                <w:sz w:val="24"/>
                <w:highlight w:val="none"/>
              </w:rPr>
            </w:pPr>
          </w:p>
        </w:tc>
        <w:tc>
          <w:tcPr>
            <w:tcW w:w="1267" w:type="dxa"/>
            <w:vMerge w:val="continue"/>
            <w:noWrap/>
            <w:vAlign w:val="center"/>
          </w:tcPr>
          <w:p>
            <w:pPr>
              <w:widowControl/>
              <w:snapToGrid w:val="0"/>
              <w:spacing w:line="400" w:lineRule="exact"/>
              <w:rPr>
                <w:rFonts w:hint="eastAsia" w:ascii="宋体" w:hAnsi="宋体" w:eastAsia="宋体" w:cs="宋体"/>
                <w:color w:val="auto"/>
                <w:sz w:val="24"/>
                <w:highlight w:val="none"/>
              </w:rPr>
            </w:pPr>
          </w:p>
        </w:tc>
        <w:tc>
          <w:tcPr>
            <w:tcW w:w="904" w:type="dxa"/>
            <w:noWrap/>
            <w:vAlign w:val="center"/>
          </w:tcPr>
          <w:p>
            <w:pPr>
              <w:widowControl/>
              <w:snapToGri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w:t>
            </w:r>
          </w:p>
        </w:tc>
        <w:tc>
          <w:tcPr>
            <w:tcW w:w="6300" w:type="dxa"/>
            <w:gridSpan w:val="2"/>
            <w:noWrap/>
            <w:vAlign w:val="center"/>
          </w:tcPr>
          <w:p>
            <w:pPr>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B</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8</w:t>
            </w:r>
            <w:r>
              <w:rPr>
                <w:rFonts w:hint="eastAsia" w:ascii="宋体" w:hAnsi="宋体" w:eastAsia="宋体" w:cs="宋体"/>
                <w:color w:val="auto"/>
                <w:spacing w:val="-2"/>
                <w:sz w:val="24"/>
                <w:szCs w:val="24"/>
                <w:highlight w:val="none"/>
                <w:lang w:val="zh-CN"/>
              </w:rPr>
              <w:t>根据</w:t>
            </w:r>
            <w:r>
              <w:rPr>
                <w:rFonts w:hint="eastAsia" w:ascii="宋体" w:hAnsi="宋体" w:eastAsia="宋体" w:cs="宋体"/>
                <w:color w:val="auto"/>
                <w:spacing w:val="-2"/>
                <w:sz w:val="24"/>
                <w:szCs w:val="24"/>
                <w:highlight w:val="none"/>
                <w:lang w:val="en-US" w:eastAsia="zh-CN"/>
              </w:rPr>
              <w:t>供应商</w:t>
            </w:r>
            <w:r>
              <w:rPr>
                <w:rFonts w:hint="eastAsia" w:ascii="宋体" w:hAnsi="宋体" w:eastAsia="宋体" w:cs="宋体"/>
                <w:color w:val="auto"/>
                <w:spacing w:val="-2"/>
                <w:sz w:val="24"/>
                <w:szCs w:val="24"/>
                <w:highlight w:val="none"/>
                <w:lang w:val="zh-CN"/>
              </w:rPr>
              <w:t>在提供合理的人才储备计划基础上，继续完善保障充分的人员补充渠道、满足项目用人需求、确保人员上线率和热线服务质效的措施等提升方案，进行评议：方案包含以上要点，内容与要点相符、且措施具体的得</w:t>
            </w:r>
            <w:r>
              <w:rPr>
                <w:rFonts w:hint="eastAsia" w:ascii="宋体" w:hAnsi="宋体" w:eastAsia="宋体" w:cs="宋体"/>
                <w:color w:val="auto"/>
                <w:spacing w:val="-2"/>
                <w:sz w:val="24"/>
                <w:szCs w:val="24"/>
                <w:highlight w:val="none"/>
              </w:rPr>
              <w:t>5</w:t>
            </w:r>
            <w:r>
              <w:rPr>
                <w:rFonts w:hint="eastAsia" w:ascii="宋体" w:hAnsi="宋体" w:eastAsia="宋体" w:cs="宋体"/>
                <w:color w:val="auto"/>
                <w:spacing w:val="-2"/>
                <w:sz w:val="24"/>
                <w:szCs w:val="24"/>
                <w:highlight w:val="none"/>
                <w:lang w:val="zh-CN"/>
              </w:rPr>
              <w:t>分；方案所包含的要点齐全、内容与要点相符，内容相对简略，但具有可操作性的得</w:t>
            </w:r>
            <w:r>
              <w:rPr>
                <w:rFonts w:hint="eastAsia" w:ascii="宋体" w:hAnsi="宋体" w:eastAsia="宋体" w:cs="宋体"/>
                <w:color w:val="auto"/>
                <w:spacing w:val="-2"/>
                <w:sz w:val="24"/>
                <w:szCs w:val="24"/>
                <w:highlight w:val="none"/>
              </w:rPr>
              <w:t>3</w:t>
            </w:r>
            <w:r>
              <w:rPr>
                <w:rFonts w:hint="eastAsia" w:ascii="宋体" w:hAnsi="宋体" w:eastAsia="宋体" w:cs="宋体"/>
                <w:color w:val="auto"/>
                <w:spacing w:val="-2"/>
                <w:sz w:val="24"/>
                <w:szCs w:val="24"/>
                <w:highlight w:val="none"/>
                <w:lang w:val="zh-CN"/>
              </w:rPr>
              <w:t>分；方案所包含的要点有缺漏或仅笼统描述无具体措施的得</w:t>
            </w:r>
            <w:r>
              <w:rPr>
                <w:rFonts w:hint="eastAsia" w:ascii="宋体" w:hAnsi="宋体" w:eastAsia="宋体" w:cs="宋体"/>
                <w:color w:val="auto"/>
                <w:spacing w:val="-2"/>
                <w:sz w:val="24"/>
                <w:szCs w:val="24"/>
                <w:highlight w:val="none"/>
                <w:lang w:val="en-US" w:eastAsia="zh-CN"/>
              </w:rPr>
              <w:t>2</w:t>
            </w:r>
            <w:r>
              <w:rPr>
                <w:rFonts w:hint="eastAsia" w:ascii="宋体" w:hAnsi="宋体" w:eastAsia="宋体" w:cs="宋体"/>
                <w:color w:val="auto"/>
                <w:spacing w:val="-2"/>
                <w:sz w:val="24"/>
                <w:szCs w:val="24"/>
                <w:highlight w:val="none"/>
              </w:rPr>
              <w:t>分；</w:t>
            </w:r>
            <w:r>
              <w:rPr>
                <w:rFonts w:hint="eastAsia" w:ascii="宋体" w:hAnsi="宋体" w:eastAsia="宋体" w:cs="宋体"/>
                <w:color w:val="auto"/>
                <w:spacing w:val="-2"/>
                <w:sz w:val="24"/>
                <w:szCs w:val="24"/>
                <w:highlight w:val="none"/>
                <w:lang w:val="zh-CN"/>
              </w:rPr>
              <w:t>未提供方案，或方案内容与项目情况不相符的不得分。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9" w:type="dxa"/>
            <w:vMerge w:val="continue"/>
            <w:noWrap w:val="0"/>
            <w:vAlign w:val="center"/>
          </w:tcPr>
          <w:p>
            <w:pPr>
              <w:widowControl/>
              <w:snapToGrid w:val="0"/>
              <w:spacing w:line="400" w:lineRule="exact"/>
              <w:rPr>
                <w:rFonts w:hint="eastAsia" w:ascii="宋体" w:hAnsi="宋体" w:eastAsia="宋体" w:cs="宋体"/>
                <w:color w:val="auto"/>
                <w:kern w:val="0"/>
                <w:sz w:val="24"/>
                <w:highlight w:val="none"/>
              </w:rPr>
            </w:pPr>
          </w:p>
        </w:tc>
        <w:tc>
          <w:tcPr>
            <w:tcW w:w="1267" w:type="dxa"/>
            <w:vMerge w:val="restart"/>
            <w:noWrap/>
            <w:vAlign w:val="center"/>
          </w:tcPr>
          <w:p>
            <w:pPr>
              <w:widowControl/>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B</w:t>
            </w:r>
            <w:r>
              <w:rPr>
                <w:rFonts w:hint="eastAsia" w:ascii="宋体" w:hAnsi="宋体" w:eastAsia="宋体" w:cs="宋体"/>
                <w:color w:val="auto"/>
                <w:sz w:val="24"/>
                <w:highlight w:val="none"/>
              </w:rPr>
              <w:t>3.业务及运营管理</w:t>
            </w:r>
          </w:p>
        </w:tc>
        <w:tc>
          <w:tcPr>
            <w:tcW w:w="904" w:type="dxa"/>
            <w:noWrap/>
            <w:vAlign w:val="center"/>
          </w:tcPr>
          <w:p>
            <w:pPr>
              <w:widowControl/>
              <w:snapToGri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w:t>
            </w:r>
          </w:p>
        </w:tc>
        <w:tc>
          <w:tcPr>
            <w:tcW w:w="6300" w:type="dxa"/>
            <w:gridSpan w:val="2"/>
            <w:noWrap/>
            <w:vAlign w:val="center"/>
          </w:tcPr>
          <w:p>
            <w:pPr>
              <w:pStyle w:val="2"/>
              <w:spacing w:line="400" w:lineRule="exact"/>
              <w:ind w:left="0" w:firstLine="0"/>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pacing w:val="-2"/>
                <w:sz w:val="24"/>
                <w:szCs w:val="24"/>
                <w:highlight w:val="none"/>
                <w:lang w:val="zh-CN" w:eastAsia="zh-CN"/>
              </w:rPr>
              <w:t>供应商</w:t>
            </w:r>
            <w:r>
              <w:rPr>
                <w:rFonts w:hint="eastAsia" w:ascii="宋体" w:hAnsi="宋体" w:eastAsia="宋体" w:cs="宋体"/>
                <w:color w:val="auto"/>
                <w:spacing w:val="-2"/>
                <w:sz w:val="24"/>
                <w:szCs w:val="24"/>
                <w:highlight w:val="none"/>
                <w:lang w:val="zh-CN"/>
              </w:rPr>
              <w:t>需提供完备的坐席人员培训方案，包含：一、坐席人员上岗培训方案（含基本礼仪培训、12366纳税服务热线基本工作流程及作业标准、各税费政策培训、各税费申报业务培训、各类网报系统基本架构及常见问题、征收管理及纳税服务基础知识等专业培训）。二、日常工作培训方案（包括税收业务新政策、典型录音分析、沟通服务技巧等）等，由评委进行评议。上岗培训方案及日常工作培训方案需包含以上要点，内容与要点相符、且措施具体，符合以上培训要求，能够保证项目管理顺畅的得</w:t>
            </w:r>
            <w:r>
              <w:rPr>
                <w:rFonts w:hint="eastAsia" w:ascii="宋体" w:hAnsi="宋体" w:eastAsia="宋体" w:cs="宋体"/>
                <w:color w:val="auto"/>
                <w:spacing w:val="-2"/>
                <w:sz w:val="24"/>
                <w:szCs w:val="24"/>
                <w:highlight w:val="none"/>
              </w:rPr>
              <w:t>5</w:t>
            </w:r>
            <w:r>
              <w:rPr>
                <w:rFonts w:hint="eastAsia" w:ascii="宋体" w:hAnsi="宋体" w:eastAsia="宋体" w:cs="宋体"/>
                <w:color w:val="auto"/>
                <w:spacing w:val="-2"/>
                <w:sz w:val="24"/>
                <w:szCs w:val="24"/>
                <w:highlight w:val="none"/>
                <w:lang w:val="zh-CN"/>
              </w:rPr>
              <w:t>分；方案所包含的要点齐全、内容与要点相符，基本符合以上培训要求，但内容相对简略的得</w:t>
            </w:r>
            <w:r>
              <w:rPr>
                <w:rFonts w:hint="eastAsia" w:ascii="宋体" w:hAnsi="宋体" w:eastAsia="宋体" w:cs="宋体"/>
                <w:color w:val="auto"/>
                <w:spacing w:val="-2"/>
                <w:sz w:val="24"/>
                <w:szCs w:val="24"/>
                <w:highlight w:val="none"/>
              </w:rPr>
              <w:t>3</w:t>
            </w:r>
            <w:r>
              <w:rPr>
                <w:rFonts w:hint="eastAsia" w:ascii="宋体" w:hAnsi="宋体" w:eastAsia="宋体" w:cs="宋体"/>
                <w:color w:val="auto"/>
                <w:spacing w:val="-2"/>
                <w:sz w:val="24"/>
                <w:szCs w:val="24"/>
                <w:highlight w:val="none"/>
                <w:lang w:val="zh-CN"/>
              </w:rPr>
              <w:t>分；方案所包含的要点有缺漏或仅笼统描述无具体措施的得</w:t>
            </w:r>
            <w:r>
              <w:rPr>
                <w:rFonts w:hint="eastAsia" w:ascii="宋体" w:hAnsi="宋体" w:eastAsia="宋体" w:cs="宋体"/>
                <w:color w:val="auto"/>
                <w:spacing w:val="-2"/>
                <w:sz w:val="24"/>
                <w:szCs w:val="24"/>
                <w:highlight w:val="none"/>
                <w:lang w:val="en-US" w:eastAsia="zh-CN"/>
              </w:rPr>
              <w:t>2</w:t>
            </w:r>
            <w:r>
              <w:rPr>
                <w:rFonts w:hint="eastAsia" w:ascii="宋体" w:hAnsi="宋体" w:eastAsia="宋体" w:cs="宋体"/>
                <w:color w:val="auto"/>
                <w:spacing w:val="-2"/>
                <w:sz w:val="24"/>
                <w:szCs w:val="24"/>
                <w:highlight w:val="none"/>
              </w:rPr>
              <w:t>分；</w:t>
            </w:r>
            <w:r>
              <w:rPr>
                <w:rFonts w:hint="eastAsia" w:ascii="宋体" w:hAnsi="宋体" w:eastAsia="宋体" w:cs="宋体"/>
                <w:color w:val="auto"/>
                <w:spacing w:val="-2"/>
                <w:sz w:val="24"/>
                <w:szCs w:val="24"/>
                <w:highlight w:val="none"/>
                <w:lang w:val="zh-CN"/>
              </w:rPr>
              <w:t>未提供方案，或培训方案内容不符合要求的不得分。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249" w:type="dxa"/>
            <w:vMerge w:val="continue"/>
            <w:noWrap w:val="0"/>
            <w:vAlign w:val="center"/>
          </w:tcPr>
          <w:p>
            <w:pPr>
              <w:widowControl/>
              <w:snapToGrid w:val="0"/>
              <w:spacing w:line="400" w:lineRule="exact"/>
              <w:rPr>
                <w:rFonts w:hint="eastAsia" w:ascii="宋体" w:hAnsi="宋体" w:eastAsia="宋体" w:cs="宋体"/>
                <w:color w:val="auto"/>
                <w:kern w:val="0"/>
                <w:sz w:val="24"/>
                <w:highlight w:val="none"/>
              </w:rPr>
            </w:pPr>
          </w:p>
        </w:tc>
        <w:tc>
          <w:tcPr>
            <w:tcW w:w="1267" w:type="dxa"/>
            <w:vMerge w:val="continue"/>
            <w:noWrap/>
            <w:vAlign w:val="center"/>
          </w:tcPr>
          <w:p>
            <w:pPr>
              <w:widowControl/>
              <w:snapToGrid w:val="0"/>
              <w:spacing w:line="400" w:lineRule="exact"/>
              <w:rPr>
                <w:rFonts w:hint="eastAsia" w:ascii="宋体" w:hAnsi="宋体" w:eastAsia="宋体" w:cs="宋体"/>
                <w:color w:val="auto"/>
                <w:sz w:val="24"/>
                <w:highlight w:val="none"/>
              </w:rPr>
            </w:pPr>
          </w:p>
        </w:tc>
        <w:tc>
          <w:tcPr>
            <w:tcW w:w="904" w:type="dxa"/>
            <w:noWrap/>
            <w:vAlign w:val="center"/>
          </w:tcPr>
          <w:p>
            <w:pPr>
              <w:widowControl/>
              <w:snapToGri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w:t>
            </w:r>
          </w:p>
        </w:tc>
        <w:tc>
          <w:tcPr>
            <w:tcW w:w="6300" w:type="dxa"/>
            <w:gridSpan w:val="2"/>
            <w:noWrap/>
            <w:vAlign w:val="center"/>
          </w:tcPr>
          <w:p>
            <w:pPr>
              <w:snapToGrid w:val="0"/>
              <w:spacing w:line="400" w:lineRule="exact"/>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B</w:t>
            </w:r>
            <w:r>
              <w:rPr>
                <w:rFonts w:hint="eastAsia" w:ascii="宋体" w:hAnsi="宋体" w:eastAsia="宋体" w:cs="宋体"/>
                <w:color w:val="auto"/>
                <w:sz w:val="24"/>
                <w:highlight w:val="none"/>
              </w:rPr>
              <w:t>3.2服务商制定现场管理方案、保密工作方案、 突发事件应急管理方案，</w:t>
            </w:r>
            <w:r>
              <w:rPr>
                <w:rFonts w:hint="eastAsia" w:ascii="宋体" w:hAnsi="宋体" w:eastAsia="宋体" w:cs="宋体"/>
                <w:color w:val="auto"/>
                <w:spacing w:val="-2"/>
                <w:sz w:val="24"/>
                <w:szCs w:val="24"/>
                <w:highlight w:val="none"/>
                <w:lang w:val="zh-CN"/>
              </w:rPr>
              <w:t>由</w:t>
            </w:r>
            <w:r>
              <w:rPr>
                <w:rFonts w:hint="eastAsia" w:ascii="宋体" w:hAnsi="宋体" w:eastAsia="宋体" w:cs="宋体"/>
                <w:color w:val="auto"/>
                <w:spacing w:val="-2"/>
                <w:sz w:val="24"/>
                <w:szCs w:val="24"/>
                <w:highlight w:val="none"/>
                <w:lang w:val="en-US" w:eastAsia="zh-CN"/>
              </w:rPr>
              <w:t>磋商小组</w:t>
            </w:r>
            <w:r>
              <w:rPr>
                <w:rFonts w:hint="eastAsia" w:ascii="宋体" w:hAnsi="宋体" w:eastAsia="宋体" w:cs="宋体"/>
                <w:color w:val="auto"/>
                <w:spacing w:val="-2"/>
                <w:sz w:val="24"/>
                <w:szCs w:val="24"/>
                <w:highlight w:val="none"/>
                <w:lang w:val="zh-CN"/>
              </w:rPr>
              <w:t>进行评议：方案内容与主题相符、思路清晰，</w:t>
            </w:r>
            <w:r>
              <w:rPr>
                <w:rFonts w:hint="eastAsia" w:ascii="宋体" w:hAnsi="宋体" w:eastAsia="宋体" w:cs="宋体"/>
                <w:color w:val="auto"/>
                <w:sz w:val="24"/>
                <w:highlight w:val="none"/>
              </w:rPr>
              <w:t>措施具体合理，有利于保证项目的正常实施</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每</w:t>
            </w:r>
            <w:r>
              <w:rPr>
                <w:rFonts w:hint="eastAsia" w:ascii="宋体" w:hAnsi="宋体" w:eastAsia="宋体" w:cs="宋体"/>
                <w:color w:val="auto"/>
                <w:sz w:val="24"/>
                <w:highlight w:val="none"/>
                <w:lang w:val="en-US" w:eastAsia="zh-CN"/>
              </w:rPr>
              <w:t>提供1项</w:t>
            </w:r>
            <w:r>
              <w:rPr>
                <w:rFonts w:hint="eastAsia" w:ascii="宋体" w:hAnsi="宋体" w:eastAsia="宋体" w:cs="宋体"/>
                <w:color w:val="auto"/>
                <w:sz w:val="24"/>
                <w:highlight w:val="none"/>
              </w:rPr>
              <w:t>方案</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w:t>
            </w:r>
            <w:r>
              <w:rPr>
                <w:rFonts w:hint="eastAsia" w:ascii="宋体" w:hAnsi="宋体" w:eastAsia="宋体" w:cs="宋体"/>
                <w:color w:val="auto"/>
                <w:spacing w:val="-2"/>
                <w:sz w:val="24"/>
                <w:szCs w:val="24"/>
                <w:highlight w:val="none"/>
                <w:lang w:val="zh-CN"/>
              </w:rPr>
              <w:t>方案内容与要点相符，内容相对简略，且有可操作性的每提供1项得</w:t>
            </w:r>
            <w:r>
              <w:rPr>
                <w:rFonts w:hint="eastAsia" w:ascii="宋体" w:hAnsi="宋体" w:eastAsia="宋体" w:cs="宋体"/>
                <w:color w:val="auto"/>
                <w:spacing w:val="-2"/>
                <w:sz w:val="24"/>
                <w:szCs w:val="24"/>
                <w:highlight w:val="none"/>
                <w:lang w:val="en-US" w:eastAsia="zh-CN"/>
              </w:rPr>
              <w:t>0.5</w:t>
            </w:r>
            <w:r>
              <w:rPr>
                <w:rFonts w:hint="eastAsia" w:ascii="宋体" w:hAnsi="宋体" w:eastAsia="宋体" w:cs="宋体"/>
                <w:color w:val="auto"/>
                <w:spacing w:val="-2"/>
                <w:sz w:val="24"/>
                <w:szCs w:val="24"/>
                <w:highlight w:val="none"/>
                <w:lang w:val="zh-CN"/>
              </w:rPr>
              <w:t>分；未提供方案或方案内容与项目情况不相符的不得分。</w:t>
            </w:r>
            <w:r>
              <w:rPr>
                <w:rFonts w:hint="eastAsia" w:ascii="宋体" w:hAnsi="宋体" w:eastAsia="宋体" w:cs="宋体"/>
                <w:color w:val="auto"/>
                <w:sz w:val="24"/>
                <w:highlight w:val="none"/>
              </w:rPr>
              <w:t>三个方案满分</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49" w:type="dxa"/>
            <w:vMerge w:val="continue"/>
            <w:noWrap w:val="0"/>
            <w:vAlign w:val="center"/>
          </w:tcPr>
          <w:p>
            <w:pPr>
              <w:widowControl/>
              <w:snapToGrid w:val="0"/>
              <w:spacing w:line="400" w:lineRule="exact"/>
              <w:rPr>
                <w:rFonts w:hint="eastAsia" w:ascii="宋体" w:hAnsi="宋体" w:eastAsia="宋体" w:cs="宋体"/>
                <w:color w:val="auto"/>
                <w:kern w:val="0"/>
                <w:sz w:val="24"/>
                <w:highlight w:val="none"/>
              </w:rPr>
            </w:pPr>
          </w:p>
        </w:tc>
        <w:tc>
          <w:tcPr>
            <w:tcW w:w="1267" w:type="dxa"/>
            <w:vMerge w:val="continue"/>
            <w:noWrap/>
            <w:vAlign w:val="center"/>
          </w:tcPr>
          <w:p>
            <w:pPr>
              <w:widowControl/>
              <w:snapToGrid w:val="0"/>
              <w:spacing w:line="400" w:lineRule="exact"/>
              <w:rPr>
                <w:rFonts w:hint="eastAsia" w:ascii="宋体" w:hAnsi="宋体" w:eastAsia="宋体" w:cs="宋体"/>
                <w:color w:val="auto"/>
                <w:sz w:val="24"/>
                <w:highlight w:val="none"/>
              </w:rPr>
            </w:pPr>
          </w:p>
        </w:tc>
        <w:tc>
          <w:tcPr>
            <w:tcW w:w="904" w:type="dxa"/>
            <w:noWrap/>
            <w:vAlign w:val="center"/>
          </w:tcPr>
          <w:p>
            <w:pPr>
              <w:widowControl/>
              <w:snapToGrid w:val="0"/>
              <w:spacing w:line="400" w:lineRule="exact"/>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w:t>
            </w:r>
          </w:p>
        </w:tc>
        <w:tc>
          <w:tcPr>
            <w:tcW w:w="6300" w:type="dxa"/>
            <w:gridSpan w:val="2"/>
            <w:noWrap/>
            <w:vAlign w:val="center"/>
          </w:tcPr>
          <w:p>
            <w:pPr>
              <w:snapToGrid w:val="0"/>
              <w:spacing w:line="400" w:lineRule="exact"/>
              <w:ind w:left="0" w:leftChars="0" w:firstLine="0" w:firstLineChars="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B</w:t>
            </w:r>
            <w:r>
              <w:rPr>
                <w:rFonts w:hint="eastAsia" w:ascii="宋体" w:hAnsi="宋体" w:eastAsia="宋体" w:cs="宋体"/>
                <w:color w:val="auto"/>
                <w:sz w:val="24"/>
                <w:highlight w:val="none"/>
              </w:rPr>
              <w:t>3.3</w:t>
            </w:r>
            <w:r>
              <w:rPr>
                <w:rFonts w:hint="eastAsia" w:ascii="宋体" w:hAnsi="宋体" w:eastAsia="宋体" w:cs="宋体"/>
                <w:color w:val="auto"/>
                <w:spacing w:val="-2"/>
                <w:sz w:val="24"/>
                <w:szCs w:val="24"/>
                <w:highlight w:val="none"/>
                <w:lang w:val="en-US" w:eastAsia="zh-CN"/>
              </w:rPr>
              <w:t>供应商</w:t>
            </w:r>
            <w:r>
              <w:rPr>
                <w:rFonts w:hint="eastAsia" w:ascii="宋体" w:hAnsi="宋体" w:eastAsia="宋体" w:cs="宋体"/>
                <w:color w:val="auto"/>
                <w:spacing w:val="-2"/>
                <w:sz w:val="24"/>
                <w:szCs w:val="24"/>
                <w:highlight w:val="none"/>
                <w:lang w:val="zh-CN"/>
              </w:rPr>
              <w:t>制定沟通协调机制方案（至少包含如何与采购人建立沟通协调机制、如何实现情况互通，如何确保运行管理顺畅的相关措施），由</w:t>
            </w:r>
            <w:r>
              <w:rPr>
                <w:rFonts w:hint="eastAsia" w:ascii="宋体" w:hAnsi="宋体" w:eastAsia="宋体" w:cs="宋体"/>
                <w:color w:val="auto"/>
                <w:spacing w:val="-2"/>
                <w:sz w:val="24"/>
                <w:szCs w:val="24"/>
                <w:highlight w:val="none"/>
                <w:lang w:val="en-US" w:eastAsia="zh-CN"/>
              </w:rPr>
              <w:t>磋商小组</w:t>
            </w:r>
            <w:r>
              <w:rPr>
                <w:rFonts w:hint="eastAsia" w:ascii="宋体" w:hAnsi="宋体" w:eastAsia="宋体" w:cs="宋体"/>
                <w:color w:val="auto"/>
                <w:spacing w:val="-2"/>
                <w:sz w:val="24"/>
                <w:szCs w:val="24"/>
                <w:highlight w:val="none"/>
                <w:lang w:val="zh-CN"/>
              </w:rPr>
              <w:t>进行评议：方案包含以上要点，内容与要点相符、且措施具体，能够保证项目管理顺畅的得3分；方案所包含的要点齐全、内容与要点相符，内容相对简略，但具有可操作性的得2分；方案所包含的要点有缺漏或仅笼统描述无具体措施的得1分；未提供方案或方案内容与项目情况不相符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249" w:type="dxa"/>
            <w:vMerge w:val="continue"/>
            <w:noWrap w:val="0"/>
            <w:vAlign w:val="center"/>
          </w:tcPr>
          <w:p>
            <w:pPr>
              <w:widowControl/>
              <w:snapToGrid w:val="0"/>
              <w:spacing w:line="400" w:lineRule="exact"/>
              <w:rPr>
                <w:rFonts w:hint="eastAsia" w:ascii="宋体" w:hAnsi="宋体" w:eastAsia="宋体" w:cs="宋体"/>
                <w:color w:val="auto"/>
                <w:kern w:val="0"/>
                <w:sz w:val="24"/>
                <w:highlight w:val="none"/>
              </w:rPr>
            </w:pPr>
          </w:p>
        </w:tc>
        <w:tc>
          <w:tcPr>
            <w:tcW w:w="1267" w:type="dxa"/>
            <w:vMerge w:val="continue"/>
            <w:noWrap/>
            <w:vAlign w:val="center"/>
          </w:tcPr>
          <w:p>
            <w:pPr>
              <w:widowControl/>
              <w:snapToGrid w:val="0"/>
              <w:spacing w:line="400" w:lineRule="exact"/>
              <w:rPr>
                <w:rFonts w:hint="eastAsia" w:ascii="宋体" w:hAnsi="宋体" w:eastAsia="宋体" w:cs="宋体"/>
                <w:color w:val="auto"/>
                <w:sz w:val="24"/>
                <w:highlight w:val="none"/>
              </w:rPr>
            </w:pPr>
          </w:p>
        </w:tc>
        <w:tc>
          <w:tcPr>
            <w:tcW w:w="904" w:type="dxa"/>
            <w:noWrap/>
            <w:vAlign w:val="center"/>
          </w:tcPr>
          <w:p>
            <w:pPr>
              <w:widowControl/>
              <w:snapToGri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w:t>
            </w:r>
          </w:p>
        </w:tc>
        <w:tc>
          <w:tcPr>
            <w:tcW w:w="6300" w:type="dxa"/>
            <w:gridSpan w:val="2"/>
            <w:noWrap/>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pacing w:val="-2"/>
                <w:sz w:val="24"/>
                <w:szCs w:val="24"/>
                <w:highlight w:val="none"/>
                <w:lang w:val="zh-CN"/>
              </w:rPr>
              <w:t>B3.4供应商需提供坐席人员的质检方案，由评委进行评议，质检方案要求每季度抽取监听有效样本总量不低于人工服务总量的3%（含）的（每月不低于2%），每季度抽取监测网络咨询（含留言）有效样本总量不低于网络咨询人工服务总量的3%（含）的（每月不低于2%），质检方案符合以上要求，措施具体，能够保证项目管理顺畅的得3分；方案基本符合以上要求，但内容相对简略，未展开叙述的得2分；方案所包含的要点有缺漏或仅笼统描述无具体措施的得1分；未提供方案或质检方案内容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49" w:type="dxa"/>
            <w:vMerge w:val="continue"/>
            <w:noWrap w:val="0"/>
            <w:vAlign w:val="center"/>
          </w:tcPr>
          <w:p>
            <w:pPr>
              <w:widowControl/>
              <w:snapToGrid w:val="0"/>
              <w:spacing w:line="400" w:lineRule="exact"/>
              <w:rPr>
                <w:rFonts w:hint="eastAsia" w:ascii="宋体" w:hAnsi="宋体" w:eastAsia="宋体" w:cs="宋体"/>
                <w:color w:val="auto"/>
                <w:kern w:val="0"/>
                <w:sz w:val="24"/>
                <w:highlight w:val="none"/>
              </w:rPr>
            </w:pPr>
          </w:p>
        </w:tc>
        <w:tc>
          <w:tcPr>
            <w:tcW w:w="1267" w:type="dxa"/>
            <w:vMerge w:val="continue"/>
            <w:noWrap/>
            <w:vAlign w:val="center"/>
          </w:tcPr>
          <w:p>
            <w:pPr>
              <w:widowControl/>
              <w:snapToGrid w:val="0"/>
              <w:spacing w:line="400" w:lineRule="exact"/>
              <w:rPr>
                <w:rFonts w:hint="eastAsia" w:ascii="宋体" w:hAnsi="宋体" w:eastAsia="宋体" w:cs="宋体"/>
                <w:color w:val="auto"/>
                <w:sz w:val="24"/>
                <w:highlight w:val="none"/>
              </w:rPr>
            </w:pPr>
          </w:p>
        </w:tc>
        <w:tc>
          <w:tcPr>
            <w:tcW w:w="904" w:type="dxa"/>
            <w:noWrap/>
            <w:vAlign w:val="center"/>
          </w:tcPr>
          <w:p>
            <w:pPr>
              <w:widowControl/>
              <w:snapToGri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w:t>
            </w:r>
          </w:p>
        </w:tc>
        <w:tc>
          <w:tcPr>
            <w:tcW w:w="6300" w:type="dxa"/>
            <w:gridSpan w:val="2"/>
            <w:noWrap/>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spacing w:val="-2"/>
                <w:sz w:val="24"/>
                <w:szCs w:val="24"/>
                <w:highlight w:val="none"/>
                <w:lang w:val="zh-CN"/>
              </w:rPr>
              <w:t>B3.5供应商制定合理有效的绩效管理实施方案，保证12366服务质效。绩效管理方案符合以上要求，措施具体，能够保证项目管理顺畅的得3分；绩效管理方案基本符合以上要求，但内容相对简略，未展开叙述的得2分；方案所包含的要点有缺漏或仅笼统描述无具体措施的得1分；未提供方案或方案内容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49" w:type="dxa"/>
            <w:vMerge w:val="continue"/>
            <w:noWrap w:val="0"/>
            <w:vAlign w:val="center"/>
          </w:tcPr>
          <w:p>
            <w:pPr>
              <w:widowControl/>
              <w:snapToGrid w:val="0"/>
              <w:spacing w:line="400" w:lineRule="exact"/>
              <w:rPr>
                <w:rFonts w:hint="eastAsia" w:ascii="宋体" w:hAnsi="宋体" w:eastAsia="宋体" w:cs="宋体"/>
                <w:color w:val="auto"/>
                <w:kern w:val="0"/>
                <w:sz w:val="24"/>
                <w:highlight w:val="none"/>
              </w:rPr>
            </w:pPr>
          </w:p>
        </w:tc>
        <w:tc>
          <w:tcPr>
            <w:tcW w:w="1267" w:type="dxa"/>
            <w:vMerge w:val="continue"/>
            <w:noWrap/>
            <w:vAlign w:val="center"/>
          </w:tcPr>
          <w:p>
            <w:pPr>
              <w:widowControl/>
              <w:snapToGrid w:val="0"/>
              <w:spacing w:line="400" w:lineRule="exact"/>
              <w:rPr>
                <w:rFonts w:hint="eastAsia" w:ascii="宋体" w:hAnsi="宋体" w:eastAsia="宋体" w:cs="宋体"/>
                <w:color w:val="auto"/>
                <w:sz w:val="24"/>
                <w:highlight w:val="none"/>
              </w:rPr>
            </w:pPr>
          </w:p>
        </w:tc>
        <w:tc>
          <w:tcPr>
            <w:tcW w:w="904" w:type="dxa"/>
            <w:noWrap/>
            <w:vAlign w:val="center"/>
          </w:tcPr>
          <w:p>
            <w:pPr>
              <w:widowControl/>
              <w:snapToGri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w:t>
            </w:r>
          </w:p>
        </w:tc>
        <w:tc>
          <w:tcPr>
            <w:tcW w:w="6300" w:type="dxa"/>
            <w:gridSpan w:val="2"/>
            <w:noWrap/>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pacing w:val="-2"/>
                <w:sz w:val="24"/>
                <w:szCs w:val="24"/>
                <w:highlight w:val="none"/>
                <w:lang w:val="zh-CN"/>
              </w:rPr>
              <w:t>供应商提供保障服务团队团建活动的方案，并提供相应的经费保障，由评委进行评议：方案合理、完善并提供相应的经费保障承诺的得</w:t>
            </w:r>
            <w:r>
              <w:rPr>
                <w:rFonts w:hint="eastAsia" w:ascii="宋体" w:hAnsi="宋体" w:eastAsia="宋体" w:cs="宋体"/>
                <w:color w:val="auto"/>
                <w:spacing w:val="-2"/>
                <w:sz w:val="24"/>
                <w:szCs w:val="24"/>
                <w:highlight w:val="none"/>
                <w:lang w:val="en-US" w:eastAsia="zh-CN"/>
              </w:rPr>
              <w:t>3</w:t>
            </w:r>
            <w:r>
              <w:rPr>
                <w:rFonts w:hint="eastAsia" w:ascii="宋体" w:hAnsi="宋体" w:eastAsia="宋体" w:cs="宋体"/>
                <w:color w:val="auto"/>
                <w:spacing w:val="-2"/>
                <w:sz w:val="24"/>
                <w:szCs w:val="24"/>
                <w:highlight w:val="none"/>
                <w:lang w:val="zh-CN"/>
              </w:rPr>
              <w:t>分；仅提供方案，但措施不具体的得</w:t>
            </w:r>
            <w:r>
              <w:rPr>
                <w:rFonts w:hint="eastAsia" w:ascii="宋体" w:hAnsi="宋体" w:eastAsia="宋体" w:cs="宋体"/>
                <w:color w:val="auto"/>
                <w:spacing w:val="-2"/>
                <w:sz w:val="24"/>
                <w:szCs w:val="24"/>
                <w:highlight w:val="none"/>
                <w:lang w:val="en-US" w:eastAsia="zh-CN"/>
              </w:rPr>
              <w:t>2</w:t>
            </w:r>
            <w:r>
              <w:rPr>
                <w:rFonts w:hint="eastAsia" w:ascii="宋体" w:hAnsi="宋体" w:eastAsia="宋体" w:cs="宋体"/>
                <w:color w:val="auto"/>
                <w:spacing w:val="-2"/>
                <w:sz w:val="24"/>
                <w:szCs w:val="24"/>
                <w:highlight w:val="none"/>
                <w:lang w:val="zh-CN"/>
              </w:rPr>
              <w:t>分；未提供经费保障承诺的不得分。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49" w:type="dxa"/>
            <w:vMerge w:val="continue"/>
            <w:noWrap w:val="0"/>
            <w:vAlign w:val="center"/>
          </w:tcPr>
          <w:p>
            <w:pPr>
              <w:widowControl/>
              <w:snapToGrid w:val="0"/>
              <w:spacing w:line="400" w:lineRule="exact"/>
              <w:rPr>
                <w:rFonts w:hint="eastAsia" w:ascii="宋体" w:hAnsi="宋体" w:eastAsia="宋体" w:cs="宋体"/>
                <w:color w:val="auto"/>
                <w:kern w:val="0"/>
                <w:sz w:val="24"/>
                <w:highlight w:val="none"/>
              </w:rPr>
            </w:pPr>
          </w:p>
        </w:tc>
        <w:tc>
          <w:tcPr>
            <w:tcW w:w="1267" w:type="dxa"/>
            <w:vMerge w:val="continue"/>
            <w:noWrap/>
            <w:vAlign w:val="center"/>
          </w:tcPr>
          <w:p>
            <w:pPr>
              <w:widowControl/>
              <w:snapToGrid w:val="0"/>
              <w:spacing w:line="400" w:lineRule="exact"/>
              <w:rPr>
                <w:rFonts w:hint="eastAsia" w:ascii="宋体" w:hAnsi="宋体" w:eastAsia="宋体" w:cs="宋体"/>
                <w:color w:val="auto"/>
                <w:sz w:val="24"/>
                <w:highlight w:val="none"/>
              </w:rPr>
            </w:pPr>
          </w:p>
        </w:tc>
        <w:tc>
          <w:tcPr>
            <w:tcW w:w="904" w:type="dxa"/>
            <w:noWrap/>
            <w:vAlign w:val="center"/>
          </w:tcPr>
          <w:p>
            <w:pPr>
              <w:widowControl/>
              <w:snapToGri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w:t>
            </w:r>
          </w:p>
        </w:tc>
        <w:tc>
          <w:tcPr>
            <w:tcW w:w="6300" w:type="dxa"/>
            <w:gridSpan w:val="2"/>
            <w:noWrap/>
            <w:vAlign w:val="center"/>
          </w:tcPr>
          <w:p>
            <w:pPr>
              <w:keepNext w:val="0"/>
              <w:keepLines w:val="0"/>
              <w:pageBreakBefore w:val="0"/>
              <w:widowControl w:val="0"/>
              <w:kinsoku/>
              <w:wordWrap/>
              <w:overflowPunct/>
              <w:topLinePunct w:val="0"/>
              <w:bidi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pacing w:val="-2"/>
                <w:sz w:val="24"/>
                <w:szCs w:val="24"/>
                <w:highlight w:val="none"/>
                <w:lang w:val="zh-CN"/>
              </w:rPr>
              <w:t>B3.7供应商制定合理有效的网络安全管理实施方案。方案措施具体，能够保证项目管理顺畅的得3分；方案内容相对简略的得2分；方案仅笼统描述无具体措施的得1分；未提供方案或方案内容不符合要求的不得分。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49" w:type="dxa"/>
            <w:vMerge w:val="continue"/>
            <w:noWrap w:val="0"/>
            <w:vAlign w:val="center"/>
          </w:tcPr>
          <w:p>
            <w:pPr>
              <w:widowControl/>
              <w:snapToGrid w:val="0"/>
              <w:spacing w:line="400" w:lineRule="exact"/>
              <w:rPr>
                <w:rFonts w:hint="eastAsia" w:ascii="宋体" w:hAnsi="宋体" w:eastAsia="宋体" w:cs="宋体"/>
                <w:color w:val="auto"/>
                <w:kern w:val="0"/>
                <w:sz w:val="24"/>
                <w:highlight w:val="none"/>
              </w:rPr>
            </w:pPr>
          </w:p>
        </w:tc>
        <w:tc>
          <w:tcPr>
            <w:tcW w:w="1267" w:type="dxa"/>
            <w:vMerge w:val="restart"/>
            <w:noWrap/>
            <w:vAlign w:val="center"/>
          </w:tcPr>
          <w:p>
            <w:pPr>
              <w:widowControl/>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B</w:t>
            </w:r>
            <w:r>
              <w:rPr>
                <w:rFonts w:hint="eastAsia" w:ascii="宋体" w:hAnsi="宋体" w:eastAsia="宋体" w:cs="宋体"/>
                <w:color w:val="auto"/>
                <w:sz w:val="24"/>
                <w:highlight w:val="none"/>
              </w:rPr>
              <w:t>4.</w:t>
            </w:r>
            <w:r>
              <w:rPr>
                <w:rFonts w:hint="eastAsia" w:ascii="宋体" w:hAnsi="宋体" w:eastAsia="宋体" w:cs="宋体"/>
                <w:color w:val="auto"/>
                <w:spacing w:val="-2"/>
                <w:sz w:val="24"/>
                <w:szCs w:val="24"/>
                <w:highlight w:val="none"/>
                <w:lang w:val="zh-CN"/>
              </w:rPr>
              <w:t>设备保障方案</w:t>
            </w:r>
          </w:p>
        </w:tc>
        <w:tc>
          <w:tcPr>
            <w:tcW w:w="904" w:type="dxa"/>
            <w:noWrap/>
            <w:vAlign w:val="center"/>
          </w:tcPr>
          <w:p>
            <w:pPr>
              <w:widowControl/>
              <w:snapToGrid w:val="0"/>
              <w:spacing w:line="400" w:lineRule="exact"/>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5</w:t>
            </w:r>
          </w:p>
        </w:tc>
        <w:tc>
          <w:tcPr>
            <w:tcW w:w="6300" w:type="dxa"/>
            <w:gridSpan w:val="2"/>
            <w:noWrap/>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spacing w:val="-2"/>
                <w:sz w:val="24"/>
                <w:szCs w:val="24"/>
                <w:highlight w:val="none"/>
                <w:lang w:val="zh-CN"/>
              </w:rPr>
              <w:t>B4.1供应商制定设备保障响应方案，由评委进行评议：方案中须承诺对工作电脑、打印机等设备能及时进行维护和响应，保证设备的稳定和服务不间断（</w:t>
            </w:r>
            <w:r>
              <w:rPr>
                <w:rFonts w:hint="eastAsia" w:ascii="宋体" w:hAnsi="宋体" w:eastAsia="宋体" w:cs="宋体"/>
                <w:color w:val="auto"/>
                <w:spacing w:val="-2"/>
                <w:sz w:val="24"/>
                <w:szCs w:val="24"/>
                <w:highlight w:val="none"/>
                <w:lang w:val="en-US" w:eastAsia="zh-CN"/>
              </w:rPr>
              <w:t>方案必须满足</w:t>
            </w:r>
            <w:r>
              <w:rPr>
                <w:rFonts w:hint="eastAsia" w:ascii="宋体" w:hAnsi="宋体" w:eastAsia="宋体" w:cs="宋体"/>
                <w:color w:val="auto"/>
                <w:spacing w:val="-2"/>
                <w:sz w:val="24"/>
                <w:szCs w:val="24"/>
                <w:highlight w:val="none"/>
                <w:lang w:val="zh-CN"/>
              </w:rPr>
              <w:t>工作电脑的可用率不低于95%，对于故障设备，更换时限不超过</w:t>
            </w:r>
            <w:r>
              <w:rPr>
                <w:rFonts w:hint="eastAsia" w:ascii="宋体" w:hAnsi="宋体" w:eastAsia="宋体" w:cs="宋体"/>
                <w:color w:val="auto"/>
                <w:spacing w:val="-2"/>
                <w:sz w:val="24"/>
                <w:szCs w:val="24"/>
                <w:highlight w:val="none"/>
                <w:lang w:val="en-US" w:eastAsia="zh-CN"/>
              </w:rPr>
              <w:t>5</w:t>
            </w:r>
            <w:r>
              <w:rPr>
                <w:rFonts w:hint="eastAsia" w:ascii="宋体" w:hAnsi="宋体" w:eastAsia="宋体" w:cs="宋体"/>
                <w:color w:val="auto"/>
                <w:spacing w:val="-2"/>
                <w:sz w:val="24"/>
                <w:szCs w:val="24"/>
                <w:highlight w:val="none"/>
                <w:lang w:val="zh-CN"/>
              </w:rPr>
              <w:t>天）。方案符合以上要求，措施具体，能够保证项目管理顺畅的得</w:t>
            </w:r>
            <w:r>
              <w:rPr>
                <w:rFonts w:hint="eastAsia" w:ascii="宋体" w:hAnsi="宋体" w:eastAsia="宋体" w:cs="宋体"/>
                <w:color w:val="auto"/>
                <w:spacing w:val="-2"/>
                <w:sz w:val="24"/>
                <w:szCs w:val="24"/>
                <w:highlight w:val="none"/>
                <w:lang w:val="en-US" w:eastAsia="zh-CN"/>
              </w:rPr>
              <w:t>5</w:t>
            </w:r>
            <w:r>
              <w:rPr>
                <w:rFonts w:hint="eastAsia" w:ascii="宋体" w:hAnsi="宋体" w:eastAsia="宋体" w:cs="宋体"/>
                <w:color w:val="auto"/>
                <w:spacing w:val="-2"/>
                <w:sz w:val="24"/>
                <w:szCs w:val="24"/>
                <w:highlight w:val="none"/>
                <w:lang w:val="zh-CN"/>
              </w:rPr>
              <w:t>分；方案符合以上要求，但整体响应方案的内容相对简略，未展开叙述的得</w:t>
            </w:r>
            <w:r>
              <w:rPr>
                <w:rFonts w:hint="eastAsia" w:ascii="宋体" w:hAnsi="宋体" w:eastAsia="宋体" w:cs="宋体"/>
                <w:color w:val="auto"/>
                <w:spacing w:val="-2"/>
                <w:sz w:val="24"/>
                <w:szCs w:val="24"/>
                <w:highlight w:val="none"/>
                <w:lang w:val="en-US" w:eastAsia="zh-CN"/>
              </w:rPr>
              <w:t>3</w:t>
            </w:r>
            <w:r>
              <w:rPr>
                <w:rFonts w:hint="eastAsia" w:ascii="宋体" w:hAnsi="宋体" w:eastAsia="宋体" w:cs="宋体"/>
                <w:color w:val="auto"/>
                <w:spacing w:val="-2"/>
                <w:sz w:val="24"/>
                <w:szCs w:val="24"/>
                <w:highlight w:val="none"/>
                <w:lang w:val="zh-CN"/>
              </w:rPr>
              <w:t>分；方案所包含的要点有缺漏或仅笼统描述无具体措施的得</w:t>
            </w:r>
            <w:r>
              <w:rPr>
                <w:rFonts w:hint="eastAsia" w:ascii="宋体" w:hAnsi="宋体" w:eastAsia="宋体" w:cs="宋体"/>
                <w:color w:val="auto"/>
                <w:spacing w:val="-2"/>
                <w:sz w:val="24"/>
                <w:szCs w:val="24"/>
                <w:highlight w:val="none"/>
                <w:lang w:val="en-US" w:eastAsia="zh-CN"/>
              </w:rPr>
              <w:t>2</w:t>
            </w:r>
            <w:r>
              <w:rPr>
                <w:rFonts w:hint="eastAsia" w:ascii="宋体" w:hAnsi="宋体" w:eastAsia="宋体" w:cs="宋体"/>
                <w:color w:val="auto"/>
                <w:spacing w:val="-2"/>
                <w:sz w:val="24"/>
                <w:szCs w:val="24"/>
                <w:highlight w:val="none"/>
                <w:lang w:val="zh-CN"/>
              </w:rPr>
              <w:t>分；未提供方案或方案内容不符合要求的不得分。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49" w:type="dxa"/>
            <w:vMerge w:val="continue"/>
            <w:noWrap w:val="0"/>
            <w:vAlign w:val="center"/>
          </w:tcPr>
          <w:p>
            <w:pPr>
              <w:widowControl/>
              <w:snapToGrid w:val="0"/>
              <w:spacing w:line="400" w:lineRule="exact"/>
              <w:rPr>
                <w:rFonts w:hint="eastAsia" w:ascii="宋体" w:hAnsi="宋体" w:eastAsia="宋体" w:cs="宋体"/>
                <w:color w:val="auto"/>
                <w:kern w:val="0"/>
                <w:sz w:val="24"/>
                <w:highlight w:val="none"/>
              </w:rPr>
            </w:pPr>
          </w:p>
        </w:tc>
        <w:tc>
          <w:tcPr>
            <w:tcW w:w="1267" w:type="dxa"/>
            <w:vMerge w:val="continue"/>
            <w:noWrap/>
            <w:vAlign w:val="center"/>
          </w:tcPr>
          <w:p>
            <w:pPr>
              <w:widowControl/>
              <w:snapToGrid w:val="0"/>
              <w:spacing w:line="400" w:lineRule="exact"/>
              <w:rPr>
                <w:rFonts w:hint="eastAsia" w:ascii="宋体" w:hAnsi="宋体" w:eastAsia="宋体" w:cs="宋体"/>
                <w:color w:val="auto"/>
                <w:sz w:val="24"/>
                <w:highlight w:val="none"/>
              </w:rPr>
            </w:pPr>
          </w:p>
        </w:tc>
        <w:tc>
          <w:tcPr>
            <w:tcW w:w="904" w:type="dxa"/>
            <w:noWrap/>
            <w:vAlign w:val="center"/>
          </w:tcPr>
          <w:p>
            <w:pPr>
              <w:widowControl/>
              <w:snapToGri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w:t>
            </w:r>
          </w:p>
        </w:tc>
        <w:tc>
          <w:tcPr>
            <w:tcW w:w="6300" w:type="dxa"/>
            <w:gridSpan w:val="2"/>
            <w:noWrap/>
            <w:vAlign w:val="center"/>
          </w:tcPr>
          <w:p>
            <w:pPr>
              <w:keepNext w:val="0"/>
              <w:keepLines w:val="0"/>
              <w:pageBreakBefore w:val="0"/>
              <w:widowControl w:val="0"/>
              <w:kinsoku/>
              <w:wordWrap/>
              <w:overflowPunct/>
              <w:topLinePunct w:val="0"/>
              <w:bidi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pacing w:val="-2"/>
                <w:sz w:val="24"/>
                <w:szCs w:val="24"/>
                <w:highlight w:val="none"/>
                <w:lang w:val="zh-CN"/>
              </w:rPr>
              <w:t>B4.2供应商承诺要根据</w:t>
            </w:r>
            <w:r>
              <w:rPr>
                <w:rFonts w:hint="eastAsia" w:ascii="宋体" w:hAnsi="宋体" w:eastAsia="宋体" w:cs="宋体"/>
                <w:color w:val="auto"/>
                <w:spacing w:val="-2"/>
                <w:sz w:val="24"/>
                <w:szCs w:val="24"/>
                <w:highlight w:val="none"/>
                <w:lang w:val="en-US" w:eastAsia="zh-CN"/>
              </w:rPr>
              <w:t>南平</w:t>
            </w:r>
            <w:r>
              <w:rPr>
                <w:rFonts w:hint="eastAsia" w:ascii="宋体" w:hAnsi="宋体" w:eastAsia="宋体" w:cs="宋体"/>
                <w:color w:val="auto"/>
                <w:spacing w:val="-2"/>
                <w:sz w:val="24"/>
                <w:szCs w:val="24"/>
                <w:highlight w:val="none"/>
                <w:lang w:val="zh-CN"/>
              </w:rPr>
              <w:t>市税务局对工作电脑的要求及时进行升级换代，提供承诺函的，得</w:t>
            </w:r>
            <w:r>
              <w:rPr>
                <w:rFonts w:hint="eastAsia" w:ascii="宋体" w:hAnsi="宋体" w:eastAsia="宋体" w:cs="宋体"/>
                <w:color w:val="auto"/>
                <w:spacing w:val="-2"/>
                <w:sz w:val="24"/>
                <w:szCs w:val="24"/>
                <w:highlight w:val="none"/>
                <w:lang w:val="en-US" w:eastAsia="zh-CN"/>
              </w:rPr>
              <w:t>5</w:t>
            </w:r>
            <w:r>
              <w:rPr>
                <w:rFonts w:hint="eastAsia" w:ascii="宋体" w:hAnsi="宋体" w:eastAsia="宋体" w:cs="宋体"/>
                <w:color w:val="auto"/>
                <w:spacing w:val="-2"/>
                <w:sz w:val="24"/>
                <w:szCs w:val="24"/>
                <w:highlight w:val="none"/>
                <w:lang w:val="zh-CN"/>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49" w:type="dxa"/>
            <w:vMerge w:val="restart"/>
            <w:noWrap w:val="0"/>
            <w:vAlign w:val="center"/>
          </w:tcPr>
          <w:p>
            <w:pPr>
              <w:widowControl/>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C.商务部分（满分14分）</w:t>
            </w:r>
          </w:p>
        </w:tc>
        <w:tc>
          <w:tcPr>
            <w:tcW w:w="1267" w:type="dxa"/>
            <w:vMerge w:val="restart"/>
            <w:noWrap/>
            <w:vAlign w:val="center"/>
          </w:tcPr>
          <w:p>
            <w:pPr>
              <w:widowControl/>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C1</w:t>
            </w:r>
            <w:r>
              <w:rPr>
                <w:rFonts w:hint="eastAsia" w:ascii="宋体" w:hAnsi="宋体" w:eastAsia="宋体" w:cs="宋体"/>
                <w:color w:val="auto"/>
                <w:sz w:val="24"/>
                <w:highlight w:val="none"/>
              </w:rPr>
              <w:t>.服务商综合实力</w:t>
            </w:r>
          </w:p>
        </w:tc>
        <w:tc>
          <w:tcPr>
            <w:tcW w:w="904" w:type="dxa"/>
            <w:noWrap/>
            <w:vAlign w:val="center"/>
          </w:tcPr>
          <w:p>
            <w:pPr>
              <w:widowControl/>
              <w:snapToGri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p>
        </w:tc>
        <w:tc>
          <w:tcPr>
            <w:tcW w:w="6300" w:type="dxa"/>
            <w:gridSpan w:val="2"/>
            <w:noWrap/>
            <w:vAlign w:val="center"/>
          </w:tcPr>
          <w:p>
            <w:pPr>
              <w:keepNext w:val="0"/>
              <w:keepLines w:val="0"/>
              <w:pageBreakBefore w:val="0"/>
              <w:widowControl w:val="0"/>
              <w:kinsoku/>
              <w:wordWrap/>
              <w:overflowPunct/>
              <w:topLinePunct w:val="0"/>
              <w:bidi w:val="0"/>
              <w:snapToGrid w:val="0"/>
              <w:spacing w:line="400" w:lineRule="exact"/>
              <w:textAlignment w:val="auto"/>
              <w:rPr>
                <w:rFonts w:hint="eastAsia" w:ascii="宋体" w:hAnsi="宋体" w:eastAsia="宋体" w:cs="宋体"/>
                <w:color w:val="auto"/>
                <w:spacing w:val="-2"/>
                <w:sz w:val="24"/>
                <w:szCs w:val="24"/>
                <w:highlight w:val="none"/>
                <w:lang w:val="zh-CN"/>
              </w:rPr>
            </w:pPr>
            <w:r>
              <w:rPr>
                <w:rFonts w:hint="eastAsia" w:ascii="宋体" w:hAnsi="宋体" w:eastAsia="宋体" w:cs="宋体"/>
                <w:color w:val="auto"/>
                <w:spacing w:val="-2"/>
                <w:sz w:val="24"/>
                <w:szCs w:val="24"/>
                <w:highlight w:val="none"/>
                <w:lang w:val="zh-CN"/>
              </w:rPr>
              <w:t>C1.</w:t>
            </w:r>
            <w:r>
              <w:rPr>
                <w:rFonts w:hint="eastAsia" w:ascii="宋体" w:hAnsi="宋体" w:eastAsia="宋体" w:cs="宋体"/>
                <w:color w:val="auto"/>
                <w:spacing w:val="-2"/>
                <w:sz w:val="24"/>
                <w:szCs w:val="24"/>
                <w:highlight w:val="none"/>
                <w:lang w:val="en-US" w:eastAsia="zh-CN"/>
              </w:rPr>
              <w:t>1</w:t>
            </w:r>
            <w:r>
              <w:rPr>
                <w:rFonts w:hint="eastAsia" w:ascii="宋体" w:hAnsi="宋体" w:eastAsia="宋体" w:cs="宋体"/>
                <w:color w:val="auto"/>
                <w:spacing w:val="-2"/>
                <w:sz w:val="24"/>
                <w:szCs w:val="24"/>
                <w:highlight w:val="none"/>
                <w:lang w:val="zh-CN"/>
              </w:rPr>
              <w:t xml:space="preserve"> 供应商有专门客服号的得</w:t>
            </w:r>
            <w:r>
              <w:rPr>
                <w:rFonts w:hint="eastAsia" w:ascii="宋体" w:hAnsi="宋体" w:eastAsia="宋体" w:cs="宋体"/>
                <w:color w:val="auto"/>
                <w:spacing w:val="-2"/>
                <w:sz w:val="24"/>
                <w:szCs w:val="24"/>
                <w:highlight w:val="none"/>
              </w:rPr>
              <w:t>2</w:t>
            </w:r>
            <w:r>
              <w:rPr>
                <w:rFonts w:hint="eastAsia" w:ascii="宋体" w:hAnsi="宋体" w:eastAsia="宋体" w:cs="宋体"/>
                <w:color w:val="auto"/>
                <w:spacing w:val="-2"/>
                <w:sz w:val="24"/>
                <w:szCs w:val="24"/>
                <w:highlight w:val="none"/>
                <w:lang w:val="zh-CN"/>
              </w:rPr>
              <w:t>分，</w:t>
            </w:r>
            <w:r>
              <w:rPr>
                <w:rFonts w:hint="eastAsia" w:ascii="宋体" w:hAnsi="宋体" w:eastAsia="宋体" w:cs="宋体"/>
                <w:color w:val="auto"/>
                <w:spacing w:val="-2"/>
                <w:sz w:val="24"/>
                <w:szCs w:val="24"/>
                <w:highlight w:val="none"/>
                <w:lang w:val="en-US" w:eastAsia="zh-CN"/>
              </w:rPr>
              <w:t>提供专项承诺函（承诺函中提供专用电话号码），</w:t>
            </w:r>
            <w:r>
              <w:rPr>
                <w:rFonts w:hint="eastAsia" w:ascii="宋体" w:hAnsi="宋体" w:eastAsia="宋体" w:cs="宋体"/>
                <w:color w:val="auto"/>
                <w:spacing w:val="-2"/>
                <w:sz w:val="24"/>
                <w:szCs w:val="24"/>
                <w:highlight w:val="none"/>
                <w:lang w:val="zh-CN"/>
              </w:rPr>
              <w:t>未提供的不得分。</w:t>
            </w:r>
          </w:p>
          <w:p>
            <w:pPr>
              <w:keepNext w:val="0"/>
              <w:keepLines w:val="0"/>
              <w:pageBreakBefore w:val="0"/>
              <w:widowControl w:val="0"/>
              <w:kinsoku/>
              <w:wordWrap/>
              <w:overflowPunct/>
              <w:topLinePunct w:val="0"/>
              <w:bidi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pacing w:val="-2"/>
                <w:sz w:val="24"/>
                <w:szCs w:val="24"/>
                <w:highlight w:val="none"/>
              </w:rPr>
              <w:t>注：专门客服号是指</w:t>
            </w:r>
            <w:r>
              <w:rPr>
                <w:rFonts w:hint="eastAsia" w:ascii="宋体" w:hAnsi="宋体" w:eastAsia="宋体" w:cs="宋体"/>
                <w:color w:val="auto"/>
                <w:spacing w:val="-2"/>
                <w:sz w:val="24"/>
                <w:szCs w:val="24"/>
                <w:highlight w:val="none"/>
                <w:lang w:eastAsia="zh-CN"/>
              </w:rPr>
              <w:t>供应商</w:t>
            </w:r>
            <w:r>
              <w:rPr>
                <w:rFonts w:hint="eastAsia" w:ascii="宋体" w:hAnsi="宋体" w:eastAsia="宋体" w:cs="宋体"/>
                <w:color w:val="auto"/>
                <w:spacing w:val="-2"/>
                <w:sz w:val="24"/>
                <w:szCs w:val="24"/>
                <w:highlight w:val="none"/>
              </w:rPr>
              <w:t>拥有专门对外咨询答复的专用电话号码，该电话号可以是免费打入服务客服号码（如400、800开头的号码），也可以是收费打入的其它专用服务客服号码。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1249" w:type="dxa"/>
            <w:vMerge w:val="continue"/>
            <w:noWrap w:val="0"/>
            <w:vAlign w:val="center"/>
          </w:tcPr>
          <w:p>
            <w:pPr>
              <w:widowControl/>
              <w:snapToGrid w:val="0"/>
              <w:spacing w:line="400" w:lineRule="exact"/>
              <w:rPr>
                <w:rFonts w:hint="eastAsia" w:ascii="宋体" w:hAnsi="宋体" w:eastAsia="宋体" w:cs="宋体"/>
                <w:color w:val="auto"/>
                <w:kern w:val="0"/>
                <w:sz w:val="24"/>
                <w:highlight w:val="none"/>
              </w:rPr>
            </w:pPr>
          </w:p>
        </w:tc>
        <w:tc>
          <w:tcPr>
            <w:tcW w:w="1267" w:type="dxa"/>
            <w:vMerge w:val="continue"/>
            <w:noWrap/>
            <w:vAlign w:val="center"/>
          </w:tcPr>
          <w:p>
            <w:pPr>
              <w:widowControl/>
              <w:snapToGrid w:val="0"/>
              <w:spacing w:line="400" w:lineRule="exact"/>
              <w:rPr>
                <w:rFonts w:hint="eastAsia" w:ascii="宋体" w:hAnsi="宋体" w:eastAsia="宋体" w:cs="宋体"/>
                <w:color w:val="auto"/>
                <w:sz w:val="24"/>
                <w:highlight w:val="none"/>
              </w:rPr>
            </w:pPr>
          </w:p>
        </w:tc>
        <w:tc>
          <w:tcPr>
            <w:tcW w:w="904" w:type="dxa"/>
            <w:noWrap/>
            <w:vAlign w:val="center"/>
          </w:tcPr>
          <w:p>
            <w:pPr>
              <w:widowControl/>
              <w:snapToGri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w:t>
            </w:r>
          </w:p>
        </w:tc>
        <w:tc>
          <w:tcPr>
            <w:tcW w:w="6300" w:type="dxa"/>
            <w:gridSpan w:val="2"/>
            <w:noWrap/>
            <w:vAlign w:val="center"/>
          </w:tcPr>
          <w:p>
            <w:pPr>
              <w:keepNext w:val="0"/>
              <w:keepLines w:val="0"/>
              <w:pageBreakBefore w:val="0"/>
              <w:widowControl w:val="0"/>
              <w:kinsoku/>
              <w:wordWrap/>
              <w:overflowPunct/>
              <w:topLinePunct w:val="0"/>
              <w:bidi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pacing w:val="-2"/>
                <w:sz w:val="24"/>
                <w:szCs w:val="24"/>
                <w:highlight w:val="none"/>
                <w:lang w:val="zh-CN"/>
              </w:rPr>
              <w:t>C1.</w:t>
            </w:r>
            <w:r>
              <w:rPr>
                <w:rFonts w:hint="eastAsia" w:ascii="宋体" w:hAnsi="宋体" w:eastAsia="宋体" w:cs="宋体"/>
                <w:color w:val="auto"/>
                <w:spacing w:val="-2"/>
                <w:sz w:val="24"/>
                <w:szCs w:val="24"/>
                <w:highlight w:val="none"/>
                <w:lang w:val="en-US" w:eastAsia="zh-CN"/>
              </w:rPr>
              <w:t>2</w:t>
            </w:r>
            <w:r>
              <w:rPr>
                <w:rFonts w:hint="eastAsia" w:ascii="宋体" w:hAnsi="宋体" w:eastAsia="宋体" w:cs="宋体"/>
                <w:color w:val="auto"/>
                <w:spacing w:val="-2"/>
                <w:sz w:val="24"/>
                <w:szCs w:val="24"/>
                <w:highlight w:val="none"/>
                <w:lang w:val="zh-CN"/>
              </w:rPr>
              <w:t>供应商具有ISO质量管理体系认证和IS</w:t>
            </w:r>
            <w:r>
              <w:rPr>
                <w:rFonts w:hint="eastAsia" w:ascii="宋体" w:hAnsi="宋体" w:eastAsia="宋体" w:cs="宋体"/>
                <w:color w:val="auto"/>
                <w:spacing w:val="-2"/>
                <w:sz w:val="24"/>
                <w:szCs w:val="24"/>
                <w:highlight w:val="none"/>
              </w:rPr>
              <w:t>O</w:t>
            </w:r>
            <w:r>
              <w:rPr>
                <w:rFonts w:hint="eastAsia" w:ascii="宋体" w:hAnsi="宋体" w:eastAsia="宋体" w:cs="宋体"/>
                <w:color w:val="auto"/>
                <w:spacing w:val="-2"/>
                <w:sz w:val="24"/>
                <w:szCs w:val="24"/>
                <w:highlight w:val="none"/>
                <w:lang w:val="zh-CN"/>
              </w:rPr>
              <w:t>职业健康安全管理体系认证，具有以上1个体系认证得1分，满分</w:t>
            </w:r>
            <w:r>
              <w:rPr>
                <w:rFonts w:hint="eastAsia" w:ascii="宋体" w:hAnsi="宋体" w:eastAsia="宋体" w:cs="宋体"/>
                <w:color w:val="auto"/>
                <w:spacing w:val="-2"/>
                <w:sz w:val="24"/>
                <w:szCs w:val="24"/>
                <w:highlight w:val="none"/>
              </w:rPr>
              <w:t>2</w:t>
            </w:r>
            <w:r>
              <w:rPr>
                <w:rFonts w:hint="eastAsia" w:ascii="宋体" w:hAnsi="宋体" w:eastAsia="宋体" w:cs="宋体"/>
                <w:color w:val="auto"/>
                <w:spacing w:val="-2"/>
                <w:sz w:val="24"/>
                <w:szCs w:val="24"/>
                <w:highlight w:val="none"/>
                <w:lang w:val="zh-CN"/>
              </w:rPr>
              <w:t>分，要求提供有效证明文件，未提供体系认证或未提供有效证明文件不得分。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9" w:type="dxa"/>
            <w:vMerge w:val="continue"/>
            <w:noWrap w:val="0"/>
            <w:vAlign w:val="center"/>
          </w:tcPr>
          <w:p>
            <w:pPr>
              <w:widowControl/>
              <w:snapToGrid w:val="0"/>
              <w:spacing w:line="400" w:lineRule="exact"/>
              <w:rPr>
                <w:rFonts w:hint="eastAsia" w:ascii="宋体" w:hAnsi="宋体" w:eastAsia="宋体" w:cs="宋体"/>
                <w:color w:val="auto"/>
                <w:kern w:val="0"/>
                <w:sz w:val="24"/>
                <w:highlight w:val="none"/>
              </w:rPr>
            </w:pPr>
          </w:p>
        </w:tc>
        <w:tc>
          <w:tcPr>
            <w:tcW w:w="1267" w:type="dxa"/>
            <w:vMerge w:val="continue"/>
            <w:noWrap/>
            <w:vAlign w:val="center"/>
          </w:tcPr>
          <w:p>
            <w:pPr>
              <w:widowControl/>
              <w:snapToGrid w:val="0"/>
              <w:spacing w:line="400" w:lineRule="exact"/>
              <w:rPr>
                <w:rFonts w:hint="eastAsia" w:ascii="宋体" w:hAnsi="宋体" w:eastAsia="宋体" w:cs="宋体"/>
                <w:color w:val="auto"/>
                <w:sz w:val="24"/>
                <w:highlight w:val="none"/>
              </w:rPr>
            </w:pPr>
          </w:p>
        </w:tc>
        <w:tc>
          <w:tcPr>
            <w:tcW w:w="7204" w:type="dxa"/>
            <w:gridSpan w:val="3"/>
            <w:noWrap/>
            <w:vAlign w:val="center"/>
          </w:tcPr>
          <w:p>
            <w:pPr>
              <w:keepNext w:val="0"/>
              <w:keepLines w:val="0"/>
              <w:pageBreakBefore w:val="0"/>
              <w:widowControl w:val="0"/>
              <w:kinsoku/>
              <w:wordWrap/>
              <w:overflowPunct/>
              <w:topLinePunct w:val="0"/>
              <w:bidi w:val="0"/>
              <w:snapToGrid w:val="0"/>
              <w:spacing w:line="400" w:lineRule="exact"/>
              <w:textAlignment w:val="auto"/>
              <w:rPr>
                <w:rFonts w:hint="eastAsia" w:ascii="宋体" w:hAnsi="宋体" w:eastAsia="宋体" w:cs="宋体"/>
                <w:color w:val="auto"/>
                <w:spacing w:val="-2"/>
                <w:sz w:val="24"/>
                <w:szCs w:val="24"/>
                <w:highlight w:val="none"/>
                <w:lang w:val="zh-CN"/>
              </w:rPr>
            </w:pPr>
            <w:r>
              <w:rPr>
                <w:rFonts w:hint="eastAsia" w:ascii="宋体" w:hAnsi="宋体" w:eastAsia="宋体" w:cs="宋体"/>
                <w:color w:val="auto"/>
                <w:spacing w:val="-2"/>
                <w:sz w:val="24"/>
                <w:szCs w:val="24"/>
                <w:highlight w:val="none"/>
                <w:lang w:val="zh-CN"/>
              </w:rPr>
              <w:t>以上须提供证书或证明材料复印件。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9" w:type="dxa"/>
            <w:vMerge w:val="continue"/>
            <w:noWrap w:val="0"/>
            <w:vAlign w:val="center"/>
          </w:tcPr>
          <w:p>
            <w:pPr>
              <w:widowControl/>
              <w:snapToGrid w:val="0"/>
              <w:spacing w:line="400" w:lineRule="exact"/>
              <w:rPr>
                <w:rFonts w:hint="eastAsia" w:ascii="宋体" w:hAnsi="宋体" w:eastAsia="宋体" w:cs="宋体"/>
                <w:color w:val="auto"/>
                <w:kern w:val="0"/>
                <w:sz w:val="24"/>
                <w:highlight w:val="none"/>
              </w:rPr>
            </w:pPr>
          </w:p>
        </w:tc>
        <w:tc>
          <w:tcPr>
            <w:tcW w:w="1267" w:type="dxa"/>
            <w:noWrap/>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C2</w:t>
            </w:r>
            <w:r>
              <w:rPr>
                <w:rFonts w:hint="eastAsia" w:ascii="宋体" w:hAnsi="宋体" w:eastAsia="宋体" w:cs="宋体"/>
                <w:color w:val="auto"/>
                <w:sz w:val="24"/>
                <w:highlight w:val="none"/>
              </w:rPr>
              <w:t>.</w:t>
            </w:r>
            <w:r>
              <w:rPr>
                <w:rFonts w:hint="eastAsia" w:ascii="宋体" w:hAnsi="宋体" w:eastAsia="宋体" w:cs="宋体"/>
                <w:color w:val="auto"/>
                <w:spacing w:val="-2"/>
                <w:sz w:val="24"/>
                <w:szCs w:val="24"/>
                <w:highlight w:val="none"/>
                <w:lang w:val="zh-CN"/>
              </w:rPr>
              <w:t>类似项目案例</w:t>
            </w:r>
          </w:p>
        </w:tc>
        <w:tc>
          <w:tcPr>
            <w:tcW w:w="909" w:type="dxa"/>
            <w:gridSpan w:val="2"/>
            <w:noWrap/>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spacing w:val="-2"/>
                <w:sz w:val="24"/>
                <w:szCs w:val="24"/>
                <w:highlight w:val="none"/>
                <w:lang w:val="zh-CN"/>
              </w:rPr>
            </w:pPr>
            <w:r>
              <w:rPr>
                <w:rFonts w:hint="eastAsia" w:ascii="宋体" w:hAnsi="宋体" w:eastAsia="宋体" w:cs="宋体"/>
                <w:color w:val="auto"/>
                <w:spacing w:val="-2"/>
                <w:sz w:val="24"/>
                <w:szCs w:val="24"/>
                <w:highlight w:val="none"/>
              </w:rPr>
              <w:t>5</w:t>
            </w:r>
          </w:p>
        </w:tc>
        <w:tc>
          <w:tcPr>
            <w:tcW w:w="6295" w:type="dxa"/>
            <w:noWrap/>
            <w:vAlign w:val="center"/>
          </w:tcPr>
          <w:p>
            <w:pPr>
              <w:keepNext w:val="0"/>
              <w:keepLines w:val="0"/>
              <w:pageBreakBefore w:val="0"/>
              <w:widowControl w:val="0"/>
              <w:kinsoku/>
              <w:wordWrap/>
              <w:overflowPunct/>
              <w:topLinePunct w:val="0"/>
              <w:bidi w:val="0"/>
              <w:snapToGrid w:val="0"/>
              <w:spacing w:line="400" w:lineRule="exact"/>
              <w:textAlignment w:val="auto"/>
              <w:rPr>
                <w:rFonts w:hint="eastAsia" w:ascii="宋体" w:hAnsi="宋体" w:eastAsia="宋体" w:cs="宋体"/>
                <w:color w:val="auto"/>
                <w:spacing w:val="-2"/>
                <w:sz w:val="24"/>
                <w:szCs w:val="24"/>
                <w:highlight w:val="none"/>
                <w:lang w:val="zh-CN"/>
              </w:rPr>
            </w:pPr>
            <w:r>
              <w:rPr>
                <w:rFonts w:hint="eastAsia" w:ascii="宋体" w:hAnsi="宋体" w:eastAsia="宋体" w:cs="宋体"/>
                <w:color w:val="auto"/>
                <w:spacing w:val="-2"/>
                <w:sz w:val="24"/>
                <w:szCs w:val="24"/>
                <w:highlight w:val="none"/>
                <w:lang w:val="zh-CN"/>
              </w:rPr>
              <w:t>C2.202</w:t>
            </w:r>
            <w:r>
              <w:rPr>
                <w:rFonts w:hint="eastAsia" w:ascii="宋体" w:hAnsi="宋体" w:eastAsia="宋体" w:cs="宋体"/>
                <w:color w:val="auto"/>
                <w:spacing w:val="-2"/>
                <w:sz w:val="24"/>
                <w:szCs w:val="24"/>
                <w:highlight w:val="none"/>
              </w:rPr>
              <w:t>2</w:t>
            </w:r>
            <w:r>
              <w:rPr>
                <w:rFonts w:hint="eastAsia" w:ascii="宋体" w:hAnsi="宋体" w:eastAsia="宋体" w:cs="宋体"/>
                <w:color w:val="auto"/>
                <w:spacing w:val="-2"/>
                <w:sz w:val="24"/>
                <w:szCs w:val="24"/>
                <w:highlight w:val="none"/>
                <w:lang w:val="zh-CN"/>
              </w:rPr>
              <w:t>年1月1日以来供应商具有类似的呼叫中心服务外包项目案例，</w:t>
            </w:r>
            <w:r>
              <w:rPr>
                <w:rFonts w:hint="eastAsia" w:ascii="宋体" w:hAnsi="宋体" w:eastAsia="宋体" w:cs="宋体"/>
                <w:color w:val="auto"/>
                <w:spacing w:val="-2"/>
                <w:sz w:val="24"/>
                <w:szCs w:val="24"/>
                <w:highlight w:val="none"/>
              </w:rPr>
              <w:t>每</w:t>
            </w:r>
            <w:r>
              <w:rPr>
                <w:rFonts w:hint="eastAsia" w:ascii="宋体" w:hAnsi="宋体" w:eastAsia="宋体" w:cs="宋体"/>
                <w:color w:val="auto"/>
                <w:spacing w:val="-2"/>
                <w:sz w:val="24"/>
                <w:szCs w:val="24"/>
                <w:highlight w:val="none"/>
                <w:lang w:val="zh-CN"/>
              </w:rPr>
              <w:t>提供一项案例的得1分,满分</w:t>
            </w:r>
            <w:r>
              <w:rPr>
                <w:rFonts w:hint="eastAsia" w:ascii="宋体" w:hAnsi="宋体" w:eastAsia="宋体" w:cs="宋体"/>
                <w:color w:val="auto"/>
                <w:spacing w:val="-2"/>
                <w:sz w:val="24"/>
                <w:szCs w:val="24"/>
                <w:highlight w:val="none"/>
              </w:rPr>
              <w:t>5</w:t>
            </w:r>
            <w:r>
              <w:rPr>
                <w:rFonts w:hint="eastAsia" w:ascii="宋体" w:hAnsi="宋体" w:eastAsia="宋体" w:cs="宋体"/>
                <w:color w:val="auto"/>
                <w:spacing w:val="-2"/>
                <w:sz w:val="24"/>
                <w:szCs w:val="24"/>
                <w:highlight w:val="none"/>
                <w:lang w:val="zh-CN"/>
              </w:rPr>
              <w:t>分；没有的不得分。提供业绩项目资料中须同时含中标公告（提供相关网站中标公告的下载网页并注明网址）、中标通知书复印件、采购合同文本复印件，以及能够证明该业绩项目已经采购人验收合格的相关证明文件复印件。如供应商提供的业绩项目服务期为多年、合同为一年一签的形式，服务期虽未到但</w:t>
            </w:r>
            <w:r>
              <w:rPr>
                <w:rFonts w:hint="eastAsia" w:ascii="宋体" w:hAnsi="宋体" w:eastAsia="宋体" w:cs="宋体"/>
                <w:color w:val="auto"/>
                <w:spacing w:val="-2"/>
                <w:sz w:val="24"/>
                <w:szCs w:val="24"/>
                <w:highlight w:val="none"/>
                <w:lang w:val="en-US" w:eastAsia="zh-CN"/>
              </w:rPr>
              <w:t>已履约的</w:t>
            </w:r>
            <w:r>
              <w:rPr>
                <w:rFonts w:hint="eastAsia" w:ascii="宋体" w:hAnsi="宋体" w:eastAsia="宋体" w:cs="宋体"/>
                <w:color w:val="auto"/>
                <w:spacing w:val="-2"/>
                <w:sz w:val="24"/>
                <w:szCs w:val="24"/>
                <w:highlight w:val="none"/>
                <w:lang w:val="zh-CN"/>
              </w:rPr>
              <w:t>合同每年都验收合格的情况下，可按一个业绩项目予以计算。未同时提供以上各项证明材料的，该项业绩不给予计分。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9" w:type="dxa"/>
            <w:vMerge w:val="continue"/>
            <w:noWrap w:val="0"/>
            <w:vAlign w:val="center"/>
          </w:tcPr>
          <w:p>
            <w:pPr>
              <w:widowControl/>
              <w:snapToGrid w:val="0"/>
              <w:spacing w:line="400" w:lineRule="exact"/>
              <w:rPr>
                <w:rFonts w:hint="eastAsia" w:ascii="宋体" w:hAnsi="宋体" w:eastAsia="宋体" w:cs="宋体"/>
                <w:color w:val="auto"/>
                <w:kern w:val="0"/>
                <w:sz w:val="24"/>
                <w:highlight w:val="none"/>
              </w:rPr>
            </w:pPr>
          </w:p>
        </w:tc>
        <w:tc>
          <w:tcPr>
            <w:tcW w:w="1267" w:type="dxa"/>
            <w:noWrap/>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C3</w:t>
            </w:r>
            <w:r>
              <w:rPr>
                <w:rFonts w:hint="eastAsia" w:ascii="宋体" w:hAnsi="宋体" w:eastAsia="宋体" w:cs="宋体"/>
                <w:color w:val="auto"/>
                <w:sz w:val="24"/>
                <w:highlight w:val="none"/>
              </w:rPr>
              <w:t>.</w:t>
            </w:r>
            <w:r>
              <w:rPr>
                <w:rFonts w:hint="eastAsia" w:ascii="宋体" w:hAnsi="宋体" w:eastAsia="宋体" w:cs="宋体"/>
                <w:color w:val="auto"/>
                <w:spacing w:val="-2"/>
                <w:sz w:val="24"/>
                <w:szCs w:val="24"/>
                <w:highlight w:val="none"/>
                <w:lang w:val="zh-CN"/>
              </w:rPr>
              <w:t>同类项目评价</w:t>
            </w:r>
          </w:p>
        </w:tc>
        <w:tc>
          <w:tcPr>
            <w:tcW w:w="909" w:type="dxa"/>
            <w:gridSpan w:val="2"/>
            <w:noWrap/>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spacing w:val="-2"/>
                <w:sz w:val="24"/>
                <w:szCs w:val="24"/>
                <w:highlight w:val="none"/>
                <w:lang w:val="zh-CN"/>
              </w:rPr>
            </w:pPr>
            <w:r>
              <w:rPr>
                <w:rFonts w:hint="eastAsia" w:ascii="宋体" w:hAnsi="宋体" w:eastAsia="宋体" w:cs="宋体"/>
                <w:color w:val="auto"/>
                <w:spacing w:val="-2"/>
                <w:sz w:val="24"/>
                <w:szCs w:val="24"/>
                <w:highlight w:val="none"/>
              </w:rPr>
              <w:t>5</w:t>
            </w:r>
          </w:p>
        </w:tc>
        <w:tc>
          <w:tcPr>
            <w:tcW w:w="6295" w:type="dxa"/>
            <w:noWrap/>
            <w:vAlign w:val="center"/>
          </w:tcPr>
          <w:p>
            <w:pPr>
              <w:keepNext w:val="0"/>
              <w:keepLines w:val="0"/>
              <w:pageBreakBefore w:val="0"/>
              <w:widowControl w:val="0"/>
              <w:kinsoku/>
              <w:wordWrap/>
              <w:overflowPunct/>
              <w:topLinePunct w:val="0"/>
              <w:bidi w:val="0"/>
              <w:snapToGrid w:val="0"/>
              <w:spacing w:line="400" w:lineRule="exact"/>
              <w:textAlignment w:val="auto"/>
              <w:rPr>
                <w:rFonts w:hint="eastAsia" w:ascii="宋体" w:hAnsi="宋体" w:eastAsia="宋体" w:cs="宋体"/>
                <w:color w:val="auto"/>
                <w:spacing w:val="-2"/>
                <w:sz w:val="24"/>
                <w:szCs w:val="24"/>
                <w:highlight w:val="none"/>
                <w:lang w:val="zh-CN"/>
              </w:rPr>
            </w:pPr>
            <w:r>
              <w:rPr>
                <w:rFonts w:hint="eastAsia" w:ascii="宋体" w:hAnsi="宋体" w:eastAsia="宋体" w:cs="宋体"/>
                <w:color w:val="auto"/>
                <w:spacing w:val="-2"/>
                <w:sz w:val="24"/>
                <w:szCs w:val="24"/>
                <w:highlight w:val="none"/>
              </w:rPr>
              <w:t xml:space="preserve">C3. </w:t>
            </w:r>
            <w:r>
              <w:rPr>
                <w:rFonts w:hint="eastAsia" w:ascii="宋体" w:hAnsi="宋体" w:eastAsia="宋体" w:cs="宋体"/>
                <w:color w:val="auto"/>
                <w:spacing w:val="-2"/>
                <w:sz w:val="24"/>
                <w:szCs w:val="24"/>
                <w:highlight w:val="none"/>
                <w:lang w:eastAsia="zh-CN"/>
              </w:rPr>
              <w:t>供应商</w:t>
            </w:r>
            <w:r>
              <w:rPr>
                <w:rFonts w:hint="eastAsia" w:ascii="宋体" w:hAnsi="宋体" w:eastAsia="宋体" w:cs="宋体"/>
                <w:color w:val="auto"/>
                <w:spacing w:val="-2"/>
                <w:sz w:val="24"/>
                <w:szCs w:val="24"/>
                <w:highlight w:val="none"/>
              </w:rPr>
              <w:t>提供履约过与本项目类似的服务外包项目案例的考核结果或验收报告，有评价为优秀或其他正面评价（以百分制考核服务总分在95分及以上）得1分，满分5分。</w:t>
            </w:r>
            <w:r>
              <w:rPr>
                <w:rFonts w:hint="eastAsia" w:ascii="宋体" w:hAnsi="宋体" w:eastAsia="宋体" w:cs="宋体"/>
                <w:color w:val="auto"/>
                <w:spacing w:val="-2"/>
                <w:sz w:val="24"/>
                <w:szCs w:val="24"/>
                <w:highlight w:val="none"/>
                <w:lang w:eastAsia="zh-CN"/>
              </w:rPr>
              <w:t>供应商</w:t>
            </w:r>
            <w:r>
              <w:rPr>
                <w:rFonts w:hint="eastAsia" w:ascii="宋体" w:hAnsi="宋体" w:eastAsia="宋体" w:cs="宋体"/>
                <w:color w:val="auto"/>
                <w:spacing w:val="-2"/>
                <w:sz w:val="24"/>
                <w:szCs w:val="24"/>
                <w:highlight w:val="none"/>
              </w:rPr>
              <w:t>提供业主签字或加盖公章的服务考核结果或验收报告，验收报告中须体现项目名称、考核单位、考核结果、考核结果列明接通率、服务满意率、质检情况等考核指标。未同时提供以上资料不得分。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20" w:type="dxa"/>
            <w:gridSpan w:val="5"/>
            <w:noWrap w:val="0"/>
            <w:vAlign w:val="center"/>
          </w:tcPr>
          <w:p>
            <w:pPr>
              <w:keepNext w:val="0"/>
              <w:keepLines w:val="0"/>
              <w:pageBreakBefore w:val="0"/>
              <w:widowControl w:val="0"/>
              <w:kinsoku/>
              <w:wordWrap/>
              <w:overflowPunct/>
              <w:topLinePunct w:val="0"/>
              <w:bidi w:val="0"/>
              <w:snapToGrid w:val="0"/>
              <w:spacing w:line="400" w:lineRule="exact"/>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z w:val="24"/>
                <w:szCs w:val="24"/>
                <w:highlight w:val="none"/>
              </w:rPr>
              <w:t>注：1.评分项中涉及的相关证明材料（如证书、公告、合同、通知书、验收证明、荣誉证明等）若有属于“可以通过互联网或者相关信息系统查询的信息”，</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可不提供复印件，提供查询网址链接、证书编号（或提供查询所需信息）视同响应评分项要求。若</w:t>
            </w:r>
            <w:r>
              <w:rPr>
                <w:rFonts w:hint="eastAsia" w:ascii="宋体" w:hAnsi="宋体" w:eastAsia="宋体" w:cs="宋体"/>
                <w:color w:val="auto"/>
                <w:sz w:val="24"/>
                <w:szCs w:val="24"/>
                <w:highlight w:val="none"/>
                <w:lang w:val="en-US" w:eastAsia="zh-CN"/>
              </w:rPr>
              <w:t>磋商小组</w:t>
            </w:r>
            <w:r>
              <w:rPr>
                <w:rFonts w:hint="eastAsia" w:ascii="宋体" w:hAnsi="宋体" w:eastAsia="宋体" w:cs="宋体"/>
                <w:color w:val="auto"/>
                <w:sz w:val="24"/>
                <w:szCs w:val="24"/>
                <w:highlight w:val="none"/>
              </w:rPr>
              <w:t>通过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提供的查询网址链接无法查询或查询到信息不符合</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文件要求的，</w:t>
            </w:r>
            <w:r>
              <w:rPr>
                <w:rFonts w:hint="eastAsia" w:ascii="宋体" w:hAnsi="宋体" w:eastAsia="宋体" w:cs="宋体"/>
                <w:color w:val="auto"/>
                <w:sz w:val="24"/>
                <w:szCs w:val="24"/>
                <w:highlight w:val="none"/>
                <w:lang w:val="en-US" w:eastAsia="zh-CN"/>
              </w:rPr>
              <w:t>磋商小组</w:t>
            </w:r>
            <w:r>
              <w:rPr>
                <w:rFonts w:hint="eastAsia" w:ascii="宋体" w:hAnsi="宋体" w:eastAsia="宋体" w:cs="宋体"/>
                <w:color w:val="auto"/>
                <w:sz w:val="24"/>
                <w:szCs w:val="24"/>
                <w:highlight w:val="none"/>
              </w:rPr>
              <w:t>将按照不利于</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的内容进行认定。此条款表述若与上述评分项表述有矛盾，以此条款为准。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20" w:type="dxa"/>
            <w:gridSpan w:val="5"/>
            <w:noWrap w:val="0"/>
            <w:vAlign w:val="top"/>
          </w:tcPr>
          <w:p>
            <w:pPr>
              <w:keepNext w:val="0"/>
              <w:keepLines w:val="0"/>
              <w:pageBreakBefore w:val="0"/>
              <w:widowControl w:val="0"/>
              <w:kinsoku/>
              <w:wordWrap/>
              <w:overflowPunct/>
              <w:topLinePunct w:val="0"/>
              <w:bidi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rPr>
              <w:t>的</w:t>
            </w:r>
            <w:r>
              <w:rPr>
                <w:rFonts w:hint="eastAsia" w:ascii="宋体" w:hAnsi="宋体" w:cs="宋体"/>
                <w:color w:val="auto"/>
                <w:sz w:val="24"/>
                <w:szCs w:val="24"/>
                <w:highlight w:val="none"/>
                <w:lang w:val="en-US" w:eastAsia="zh-CN"/>
              </w:rPr>
              <w:t>技术</w:t>
            </w:r>
            <w:r>
              <w:rPr>
                <w:rFonts w:hint="eastAsia" w:ascii="宋体" w:hAnsi="宋体" w:eastAsia="宋体" w:cs="宋体"/>
                <w:color w:val="auto"/>
                <w:sz w:val="24"/>
                <w:szCs w:val="24"/>
                <w:highlight w:val="none"/>
                <w:lang w:val="zh-CN"/>
              </w:rPr>
              <w:t>部分得分</w:t>
            </w:r>
            <w:r>
              <w:rPr>
                <w:rFonts w:hint="eastAsia" w:ascii="宋体" w:hAnsi="宋体" w:cs="宋体"/>
                <w:color w:val="auto"/>
                <w:sz w:val="24"/>
                <w:szCs w:val="24"/>
                <w:highlight w:val="none"/>
                <w:lang w:val="en-US" w:eastAsia="zh-CN"/>
              </w:rPr>
              <w:t>B</w:t>
            </w: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en-US" w:eastAsia="zh-CN"/>
              </w:rPr>
              <w:t>B</w:t>
            </w:r>
            <w:r>
              <w:rPr>
                <w:rFonts w:hint="eastAsia" w:ascii="宋体" w:hAnsi="宋体" w:eastAsia="宋体" w:cs="宋体"/>
                <w:color w:val="auto"/>
                <w:sz w:val="24"/>
                <w:szCs w:val="24"/>
                <w:highlight w:val="none"/>
                <w:lang w:val="zh-CN"/>
              </w:rPr>
              <w:t>1+</w:t>
            </w:r>
            <w:r>
              <w:rPr>
                <w:rFonts w:hint="eastAsia" w:ascii="宋体" w:hAnsi="宋体" w:cs="宋体"/>
                <w:color w:val="auto"/>
                <w:sz w:val="24"/>
                <w:szCs w:val="24"/>
                <w:highlight w:val="none"/>
                <w:lang w:val="en-US" w:eastAsia="zh-CN"/>
              </w:rPr>
              <w:t>B</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B</w:t>
            </w: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B4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20" w:type="dxa"/>
            <w:gridSpan w:val="5"/>
            <w:noWrap w:val="0"/>
            <w:vAlign w:val="top"/>
          </w:tcPr>
          <w:p>
            <w:pPr>
              <w:keepNext w:val="0"/>
              <w:keepLines w:val="0"/>
              <w:pageBreakBefore w:val="0"/>
              <w:widowControl w:val="0"/>
              <w:kinsoku/>
              <w:wordWrap/>
              <w:overflowPunct/>
              <w:topLinePunct w:val="0"/>
              <w:bidi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rPr>
              <w:t>的商务部分得分</w:t>
            </w:r>
            <w:r>
              <w:rPr>
                <w:rFonts w:hint="eastAsia" w:ascii="宋体" w:hAnsi="宋体" w:cs="宋体"/>
                <w:color w:val="auto"/>
                <w:sz w:val="24"/>
                <w:szCs w:val="24"/>
                <w:highlight w:val="none"/>
                <w:lang w:val="en-US" w:eastAsia="zh-CN"/>
              </w:rPr>
              <w:t>C</w:t>
            </w: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en-US" w:eastAsia="zh-CN"/>
              </w:rPr>
              <w:t>C</w:t>
            </w:r>
            <w:r>
              <w:rPr>
                <w:rFonts w:hint="eastAsia" w:ascii="宋体" w:hAnsi="宋体" w:eastAsia="宋体" w:cs="宋体"/>
                <w:color w:val="auto"/>
                <w:sz w:val="24"/>
                <w:szCs w:val="24"/>
                <w:highlight w:val="none"/>
                <w:lang w:val="zh-CN"/>
              </w:rPr>
              <w:t>1+</w:t>
            </w:r>
            <w:r>
              <w:rPr>
                <w:rFonts w:hint="eastAsia" w:ascii="宋体" w:hAnsi="宋体" w:cs="宋体"/>
                <w:color w:val="auto"/>
                <w:sz w:val="24"/>
                <w:szCs w:val="24"/>
                <w:highlight w:val="none"/>
                <w:lang w:val="en-US" w:eastAsia="zh-CN"/>
              </w:rPr>
              <w:t>C</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C</w:t>
            </w:r>
            <w:r>
              <w:rPr>
                <w:rFonts w:hint="eastAsia" w:ascii="宋体" w:hAnsi="宋体" w:eastAsia="宋体" w:cs="宋体"/>
                <w:color w:val="auto"/>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20" w:type="dxa"/>
            <w:gridSpan w:val="5"/>
            <w:noWrap w:val="0"/>
            <w:vAlign w:val="top"/>
          </w:tcPr>
          <w:p>
            <w:pPr>
              <w:keepNext w:val="0"/>
              <w:keepLines w:val="0"/>
              <w:pageBreakBefore w:val="0"/>
              <w:widowControl w:val="0"/>
              <w:kinsoku/>
              <w:wordWrap/>
              <w:overflowPunct/>
              <w:topLinePunct w:val="0"/>
              <w:bidi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rPr>
              <w:t>的最终得分为A+B+C</w:t>
            </w:r>
          </w:p>
        </w:tc>
      </w:tr>
    </w:tbl>
    <w:p>
      <w:pPr>
        <w:topLinePunct/>
        <w:autoSpaceDE w:val="0"/>
        <w:autoSpaceDN w:val="0"/>
        <w:spacing w:after="0"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b/>
          <w:bCs/>
          <w:color w:val="auto"/>
          <w:sz w:val="24"/>
          <w:szCs w:val="24"/>
          <w:highlight w:val="none"/>
        </w:rPr>
        <w:t>2.3 落实政府采购政策进行价格调整的规则：</w:t>
      </w:r>
    </w:p>
    <w:tbl>
      <w:tblPr>
        <w:tblStyle w:val="29"/>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68"/>
        <w:gridCol w:w="2144"/>
        <w:gridCol w:w="44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8" w:type="dxa"/>
            <w:noWrap w:val="0"/>
            <w:vAlign w:val="center"/>
          </w:tcPr>
          <w:p>
            <w:pPr>
              <w:pStyle w:val="37"/>
              <w:keepNext w:val="0"/>
              <w:keepLines w:val="0"/>
              <w:pageBreakBefore w:val="0"/>
              <w:widowControl w:val="0"/>
              <w:kinsoku/>
              <w:wordWrap/>
              <w:bidi w:val="0"/>
              <w:snapToGrid w:val="0"/>
              <w:spacing w:line="276" w:lineRule="auto"/>
              <w:jc w:val="center"/>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政府采购政策</w:t>
            </w:r>
          </w:p>
        </w:tc>
        <w:tc>
          <w:tcPr>
            <w:tcW w:w="2350" w:type="dxa"/>
            <w:noWrap w:val="0"/>
            <w:vAlign w:val="center"/>
          </w:tcPr>
          <w:p>
            <w:pPr>
              <w:pStyle w:val="37"/>
              <w:keepNext w:val="0"/>
              <w:keepLines w:val="0"/>
              <w:pageBreakBefore w:val="0"/>
              <w:widowControl w:val="0"/>
              <w:kinsoku/>
              <w:wordWrap/>
              <w:bidi w:val="0"/>
              <w:snapToGrid w:val="0"/>
              <w:spacing w:line="276" w:lineRule="auto"/>
              <w:jc w:val="center"/>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价格扣除规则</w:t>
            </w:r>
          </w:p>
        </w:tc>
        <w:tc>
          <w:tcPr>
            <w:tcW w:w="5031" w:type="dxa"/>
            <w:noWrap w:val="0"/>
            <w:vAlign w:val="center"/>
          </w:tcPr>
          <w:p>
            <w:pPr>
              <w:pStyle w:val="37"/>
              <w:keepNext w:val="0"/>
              <w:keepLines w:val="0"/>
              <w:pageBreakBefore w:val="0"/>
              <w:widowControl w:val="0"/>
              <w:kinsoku/>
              <w:wordWrap/>
              <w:bidi w:val="0"/>
              <w:snapToGrid w:val="0"/>
              <w:spacing w:line="276" w:lineRule="auto"/>
              <w:jc w:val="center"/>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享受价格扣除的条件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068" w:type="dxa"/>
            <w:noWrap w:val="0"/>
            <w:vAlign w:val="center"/>
          </w:tcPr>
          <w:p>
            <w:pPr>
              <w:pStyle w:val="37"/>
              <w:keepNext w:val="0"/>
              <w:keepLines w:val="0"/>
              <w:pageBreakBefore w:val="0"/>
              <w:widowControl w:val="0"/>
              <w:kinsoku/>
              <w:wordWrap/>
              <w:bidi w:val="0"/>
              <w:snapToGrid w:val="0"/>
              <w:spacing w:line="276"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节约能源政策</w:t>
            </w:r>
          </w:p>
        </w:tc>
        <w:tc>
          <w:tcPr>
            <w:tcW w:w="7381" w:type="dxa"/>
            <w:gridSpan w:val="2"/>
            <w:noWrap w:val="0"/>
            <w:vAlign w:val="center"/>
          </w:tcPr>
          <w:p>
            <w:pPr>
              <w:pStyle w:val="37"/>
              <w:keepNext w:val="0"/>
              <w:keepLines w:val="0"/>
              <w:pageBreakBefore w:val="0"/>
              <w:widowControl w:val="0"/>
              <w:kinsoku/>
              <w:wordWrap/>
              <w:bidi w:val="0"/>
              <w:snapToGrid w:val="0"/>
              <w:spacing w:line="276"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本项目不适用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8" w:type="dxa"/>
            <w:noWrap w:val="0"/>
            <w:vAlign w:val="center"/>
          </w:tcPr>
          <w:p>
            <w:pPr>
              <w:pStyle w:val="37"/>
              <w:keepNext w:val="0"/>
              <w:keepLines w:val="0"/>
              <w:pageBreakBefore w:val="0"/>
              <w:widowControl w:val="0"/>
              <w:kinsoku/>
              <w:wordWrap/>
              <w:bidi w:val="0"/>
              <w:snapToGrid w:val="0"/>
              <w:spacing w:line="276"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保护环境政策</w:t>
            </w:r>
          </w:p>
        </w:tc>
        <w:tc>
          <w:tcPr>
            <w:tcW w:w="7381" w:type="dxa"/>
            <w:gridSpan w:val="2"/>
            <w:noWrap w:val="0"/>
            <w:vAlign w:val="center"/>
          </w:tcPr>
          <w:p>
            <w:pPr>
              <w:pStyle w:val="37"/>
              <w:keepNext w:val="0"/>
              <w:keepLines w:val="0"/>
              <w:pageBreakBefore w:val="0"/>
              <w:widowControl w:val="0"/>
              <w:kinsoku/>
              <w:wordWrap/>
              <w:bidi w:val="0"/>
              <w:snapToGrid w:val="0"/>
              <w:spacing w:line="276"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本项目不适用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8" w:type="dxa"/>
            <w:noWrap w:val="0"/>
            <w:vAlign w:val="center"/>
          </w:tcPr>
          <w:p>
            <w:pPr>
              <w:pStyle w:val="37"/>
              <w:keepNext w:val="0"/>
              <w:keepLines w:val="0"/>
              <w:pageBreakBefore w:val="0"/>
              <w:widowControl w:val="0"/>
              <w:kinsoku/>
              <w:wordWrap/>
              <w:bidi w:val="0"/>
              <w:snapToGrid w:val="0"/>
              <w:spacing w:line="276"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促进中小企业</w:t>
            </w:r>
          </w:p>
          <w:p>
            <w:pPr>
              <w:pStyle w:val="37"/>
              <w:keepNext w:val="0"/>
              <w:keepLines w:val="0"/>
              <w:pageBreakBefore w:val="0"/>
              <w:widowControl w:val="0"/>
              <w:kinsoku/>
              <w:wordWrap/>
              <w:bidi w:val="0"/>
              <w:snapToGrid w:val="0"/>
              <w:spacing w:line="276"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发展政策</w:t>
            </w:r>
          </w:p>
        </w:tc>
        <w:tc>
          <w:tcPr>
            <w:tcW w:w="2350" w:type="dxa"/>
            <w:vMerge w:val="restart"/>
            <w:noWrap w:val="0"/>
            <w:vAlign w:val="center"/>
          </w:tcPr>
          <w:p>
            <w:pPr>
              <w:pStyle w:val="37"/>
              <w:keepNext w:val="0"/>
              <w:keepLines w:val="0"/>
              <w:pageBreakBefore w:val="0"/>
              <w:widowControl w:val="0"/>
              <w:kinsoku/>
              <w:wordWrap/>
              <w:bidi w:val="0"/>
              <w:snapToGrid w:val="0"/>
              <w:spacing w:line="276" w:lineRule="auto"/>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0"/>
                <w:sz w:val="24"/>
                <w:szCs w:val="24"/>
                <w:highlight w:val="none"/>
              </w:rPr>
              <w:t>对小型和微型企业的投标价格给予</w:t>
            </w:r>
            <w:r>
              <w:rPr>
                <w:rFonts w:hint="eastAsia" w:ascii="宋体" w:hAnsi="宋体" w:eastAsia="宋体" w:cs="宋体"/>
                <w:color w:val="auto"/>
                <w:kern w:val="0"/>
                <w:sz w:val="24"/>
                <w:szCs w:val="24"/>
                <w:highlight w:val="none"/>
                <w:u w:val="single"/>
                <w:lang w:val="en-US" w:eastAsia="zh-CN"/>
              </w:rPr>
              <w:t>20</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%的扣除，用扣除后的价格参与评审。</w:t>
            </w:r>
          </w:p>
        </w:tc>
        <w:tc>
          <w:tcPr>
            <w:tcW w:w="5031" w:type="dxa"/>
            <w:vMerge w:val="restart"/>
            <w:noWrap w:val="0"/>
            <w:vAlign w:val="center"/>
          </w:tcPr>
          <w:p>
            <w:pPr>
              <w:pStyle w:val="37"/>
              <w:keepNext w:val="0"/>
              <w:keepLines w:val="0"/>
              <w:pageBreakBefore w:val="0"/>
              <w:widowControl w:val="0"/>
              <w:kinsoku/>
              <w:wordWrap/>
              <w:bidi w:val="0"/>
              <w:snapToGrid w:val="0"/>
              <w:spacing w:line="276" w:lineRule="auto"/>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在货物采购项目中，满足所有标的均由中小企业制造，即所有标的均由中小企业生产且使用该中小企业商号或者注册商标的，可享受中小企业扶持政策。</w:t>
            </w:r>
          </w:p>
          <w:p>
            <w:pPr>
              <w:pStyle w:val="37"/>
              <w:keepNext w:val="0"/>
              <w:keepLines w:val="0"/>
              <w:pageBreakBefore w:val="0"/>
              <w:widowControl w:val="0"/>
              <w:kinsoku/>
              <w:wordWrap/>
              <w:bidi w:val="0"/>
              <w:snapToGrid w:val="0"/>
              <w:spacing w:line="276" w:lineRule="auto"/>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在服务采购项目中，满足服务由中小企业承接，即提供服务的人员为中小企业依照《中华人民共和国劳动合同法》订立劳动合同的从业人员的，可享受中小企业扶持政策。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8" w:type="dxa"/>
            <w:noWrap w:val="0"/>
            <w:vAlign w:val="center"/>
          </w:tcPr>
          <w:p>
            <w:pPr>
              <w:pStyle w:val="37"/>
              <w:keepNext w:val="0"/>
              <w:keepLines w:val="0"/>
              <w:pageBreakBefore w:val="0"/>
              <w:widowControl w:val="0"/>
              <w:kinsoku/>
              <w:wordWrap/>
              <w:bidi w:val="0"/>
              <w:snapToGrid w:val="0"/>
              <w:spacing w:line="276"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促进残疾人就业政策</w:t>
            </w:r>
          </w:p>
        </w:tc>
        <w:tc>
          <w:tcPr>
            <w:tcW w:w="2350" w:type="dxa"/>
            <w:vMerge w:val="continue"/>
            <w:noWrap w:val="0"/>
            <w:vAlign w:val="center"/>
          </w:tcPr>
          <w:p>
            <w:pPr>
              <w:pStyle w:val="37"/>
              <w:keepNext w:val="0"/>
              <w:keepLines w:val="0"/>
              <w:pageBreakBefore w:val="0"/>
              <w:widowControl w:val="0"/>
              <w:kinsoku/>
              <w:wordWrap/>
              <w:bidi w:val="0"/>
              <w:snapToGrid w:val="0"/>
              <w:spacing w:line="276" w:lineRule="auto"/>
              <w:jc w:val="center"/>
              <w:rPr>
                <w:rFonts w:hint="eastAsia" w:ascii="宋体" w:hAnsi="宋体" w:eastAsia="宋体" w:cs="宋体"/>
                <w:color w:val="auto"/>
                <w:kern w:val="2"/>
                <w:sz w:val="24"/>
                <w:szCs w:val="24"/>
                <w:highlight w:val="none"/>
              </w:rPr>
            </w:pPr>
          </w:p>
        </w:tc>
        <w:tc>
          <w:tcPr>
            <w:tcW w:w="5031" w:type="dxa"/>
            <w:vMerge w:val="continue"/>
            <w:noWrap w:val="0"/>
            <w:vAlign w:val="center"/>
          </w:tcPr>
          <w:p>
            <w:pPr>
              <w:pStyle w:val="37"/>
              <w:keepNext w:val="0"/>
              <w:keepLines w:val="0"/>
              <w:pageBreakBefore w:val="0"/>
              <w:widowControl w:val="0"/>
              <w:kinsoku/>
              <w:wordWrap/>
              <w:bidi w:val="0"/>
              <w:snapToGrid w:val="0"/>
              <w:spacing w:line="276" w:lineRule="auto"/>
              <w:jc w:val="center"/>
              <w:rPr>
                <w:rFonts w:hint="eastAsia" w:ascii="宋体" w:hAnsi="宋体" w:eastAsia="宋体" w:cs="宋体"/>
                <w:color w:val="auto"/>
                <w:kern w:val="2"/>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8" w:type="dxa"/>
            <w:noWrap w:val="0"/>
            <w:vAlign w:val="center"/>
          </w:tcPr>
          <w:p>
            <w:pPr>
              <w:pStyle w:val="37"/>
              <w:keepNext w:val="0"/>
              <w:keepLines w:val="0"/>
              <w:pageBreakBefore w:val="0"/>
              <w:widowControl w:val="0"/>
              <w:kinsoku/>
              <w:wordWrap/>
              <w:bidi w:val="0"/>
              <w:snapToGrid w:val="0"/>
              <w:spacing w:line="276"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支持监狱企业</w:t>
            </w:r>
          </w:p>
          <w:p>
            <w:pPr>
              <w:pStyle w:val="37"/>
              <w:keepNext w:val="0"/>
              <w:keepLines w:val="0"/>
              <w:pageBreakBefore w:val="0"/>
              <w:widowControl w:val="0"/>
              <w:kinsoku/>
              <w:wordWrap/>
              <w:bidi w:val="0"/>
              <w:snapToGrid w:val="0"/>
              <w:spacing w:line="276"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发展政策</w:t>
            </w:r>
          </w:p>
        </w:tc>
        <w:tc>
          <w:tcPr>
            <w:tcW w:w="2350" w:type="dxa"/>
            <w:vMerge w:val="continue"/>
            <w:noWrap w:val="0"/>
            <w:vAlign w:val="center"/>
          </w:tcPr>
          <w:p>
            <w:pPr>
              <w:pStyle w:val="37"/>
              <w:keepNext w:val="0"/>
              <w:keepLines w:val="0"/>
              <w:pageBreakBefore w:val="0"/>
              <w:widowControl w:val="0"/>
              <w:kinsoku/>
              <w:wordWrap/>
              <w:bidi w:val="0"/>
              <w:snapToGrid w:val="0"/>
              <w:spacing w:line="276" w:lineRule="auto"/>
              <w:jc w:val="center"/>
              <w:rPr>
                <w:rFonts w:hint="eastAsia" w:ascii="宋体" w:hAnsi="宋体" w:eastAsia="宋体" w:cs="宋体"/>
                <w:color w:val="auto"/>
                <w:kern w:val="2"/>
                <w:sz w:val="21"/>
                <w:szCs w:val="21"/>
                <w:highlight w:val="none"/>
              </w:rPr>
            </w:pPr>
          </w:p>
        </w:tc>
        <w:tc>
          <w:tcPr>
            <w:tcW w:w="5031" w:type="dxa"/>
            <w:vMerge w:val="continue"/>
            <w:noWrap w:val="0"/>
            <w:vAlign w:val="center"/>
          </w:tcPr>
          <w:p>
            <w:pPr>
              <w:pStyle w:val="37"/>
              <w:keepNext w:val="0"/>
              <w:keepLines w:val="0"/>
              <w:pageBreakBefore w:val="0"/>
              <w:widowControl w:val="0"/>
              <w:kinsoku/>
              <w:wordWrap/>
              <w:bidi w:val="0"/>
              <w:snapToGrid w:val="0"/>
              <w:spacing w:line="276" w:lineRule="auto"/>
              <w:jc w:val="center"/>
              <w:rPr>
                <w:rFonts w:hint="eastAsia" w:ascii="宋体" w:hAnsi="宋体" w:eastAsia="宋体" w:cs="宋体"/>
                <w:color w:val="auto"/>
                <w:kern w:val="2"/>
                <w:sz w:val="21"/>
                <w:szCs w:val="21"/>
                <w:highlight w:val="none"/>
              </w:rPr>
            </w:pPr>
          </w:p>
        </w:tc>
      </w:tr>
    </w:tbl>
    <w:p>
      <w:pPr>
        <w:topLinePunct/>
        <w:autoSpaceDE w:val="0"/>
        <w:autoSpaceDN w:val="0"/>
        <w:spacing w:after="0" w:line="360" w:lineRule="auto"/>
        <w:ind w:firstLine="480" w:firstLineChars="200"/>
        <w:rPr>
          <w:rFonts w:hint="default" w:ascii="宋体" w:hAnsi="宋体" w:eastAsia="宋体" w:cs="宋体"/>
          <w:color w:val="auto"/>
          <w:sz w:val="24"/>
          <w:szCs w:val="24"/>
          <w:highlight w:val="none"/>
          <w:lang w:val="en-US" w:eastAsia="zh-CN"/>
        </w:rPr>
      </w:pPr>
    </w:p>
    <w:p>
      <w:pPr>
        <w:rPr>
          <w:color w:val="auto"/>
        </w:rPr>
      </w:pPr>
    </w:p>
    <w:bookmarkEnd w:id="35"/>
    <w:p>
      <w:pPr>
        <w:topLinePunct/>
        <w:autoSpaceDE w:val="0"/>
        <w:autoSpaceDN w:val="0"/>
        <w:spacing w:after="0" w:line="360" w:lineRule="auto"/>
        <w:ind w:firstLine="480" w:firstLineChars="200"/>
        <w:rPr>
          <w:rFonts w:hint="default" w:ascii="宋体" w:hAnsi="宋体" w:eastAsia="宋体" w:cs="宋体"/>
          <w:color w:val="auto"/>
          <w:sz w:val="24"/>
          <w:szCs w:val="24"/>
          <w:highlight w:val="none"/>
          <w:lang w:val="en-US" w:eastAsia="zh-CN"/>
        </w:rPr>
      </w:pPr>
      <w:bookmarkStart w:id="38" w:name="_Toc222"/>
    </w:p>
    <w:p>
      <w:pPr>
        <w:rPr>
          <w:rFonts w:hint="eastAsia" w:ascii="宋体" w:hAnsi="宋体" w:eastAsia="宋体" w:cs="宋体"/>
          <w:color w:val="auto"/>
          <w:sz w:val="24"/>
          <w:szCs w:val="24"/>
          <w:highlight w:val="none"/>
        </w:rPr>
        <w:sectPr>
          <w:pgSz w:w="11906" w:h="16838"/>
          <w:pgMar w:top="1440" w:right="1752" w:bottom="1440" w:left="1752" w:header="851" w:footer="992" w:gutter="0"/>
          <w:pgNumType w:fmt="decimal"/>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28"/>
          <w:szCs w:val="28"/>
          <w:highlight w:val="none"/>
        </w:rPr>
      </w:pPr>
      <w:bookmarkStart w:id="39" w:name="_Toc29753"/>
      <w:r>
        <w:rPr>
          <w:rFonts w:hint="eastAsia" w:ascii="宋体" w:hAnsi="宋体" w:eastAsia="宋体" w:cs="宋体"/>
          <w:b/>
          <w:bCs/>
          <w:color w:val="auto"/>
          <w:sz w:val="28"/>
          <w:szCs w:val="28"/>
          <w:highlight w:val="none"/>
        </w:rPr>
        <w:t>第四章  采购合同文本</w:t>
      </w:r>
      <w:bookmarkEnd w:id="39"/>
    </w:p>
    <w:p>
      <w:pPr>
        <w:pStyle w:val="14"/>
        <w:keepNext w:val="0"/>
        <w:keepLines w:val="0"/>
        <w:pageBreakBefore w:val="0"/>
        <w:widowControl w:val="0"/>
        <w:kinsoku/>
        <w:wordWrap/>
        <w:overflowPunct/>
        <w:bidi w:val="0"/>
        <w:adjustRightInd/>
        <w:jc w:val="center"/>
        <w:textAlignment w:val="auto"/>
        <w:outlineLvl w:val="9"/>
        <w:rPr>
          <w:rFonts w:hint="eastAsia" w:ascii="华文中宋" w:hAnsi="华文中宋" w:eastAsia="华文中宋" w:cs="华文中宋"/>
          <w:b w:val="0"/>
          <w:bCs/>
          <w:color w:val="auto"/>
          <w:sz w:val="32"/>
          <w:szCs w:val="32"/>
          <w:highlight w:val="none"/>
        </w:rPr>
      </w:pPr>
    </w:p>
    <w:p>
      <w:pPr>
        <w:pStyle w:val="14"/>
        <w:keepNext w:val="0"/>
        <w:keepLines w:val="0"/>
        <w:pageBreakBefore w:val="0"/>
        <w:widowControl w:val="0"/>
        <w:kinsoku/>
        <w:wordWrap/>
        <w:overflowPunct/>
        <w:bidi w:val="0"/>
        <w:adjustRightInd/>
        <w:jc w:val="center"/>
        <w:textAlignment w:val="auto"/>
        <w:outlineLvl w:val="9"/>
        <w:rPr>
          <w:rFonts w:hint="eastAsia" w:ascii="宋体" w:hAnsi="宋体" w:eastAsia="宋体" w:cs="宋体"/>
          <w:b w:val="0"/>
          <w:bCs/>
          <w:color w:val="auto"/>
          <w:sz w:val="36"/>
          <w:szCs w:val="36"/>
          <w:highlight w:val="none"/>
        </w:rPr>
      </w:pPr>
      <w:r>
        <w:rPr>
          <w:rFonts w:hint="eastAsia" w:ascii="宋体" w:hAnsi="宋体" w:eastAsia="宋体" w:cs="宋体"/>
          <w:b w:val="0"/>
          <w:bCs/>
          <w:color w:val="auto"/>
          <w:sz w:val="36"/>
          <w:szCs w:val="36"/>
          <w:highlight w:val="none"/>
        </w:rPr>
        <w:t>合 同 书</w:t>
      </w:r>
    </w:p>
    <w:p>
      <w:pPr>
        <w:pStyle w:val="14"/>
        <w:keepNext w:val="0"/>
        <w:keepLines w:val="0"/>
        <w:pageBreakBefore w:val="0"/>
        <w:widowControl w:val="0"/>
        <w:kinsoku/>
        <w:wordWrap/>
        <w:overflowPunct/>
        <w:bidi w:val="0"/>
        <w:adjustRightInd/>
        <w:jc w:val="center"/>
        <w:textAlignment w:val="auto"/>
        <w:outlineLvl w:val="9"/>
        <w:rPr>
          <w:rFonts w:hint="eastAsia" w:ascii="华文中宋" w:hAnsi="华文中宋" w:eastAsia="华文中宋" w:cs="华文中宋"/>
          <w:b w:val="0"/>
          <w:bCs/>
          <w:color w:val="auto"/>
          <w:sz w:val="32"/>
          <w:szCs w:val="32"/>
          <w:highlight w:val="none"/>
        </w:rPr>
      </w:pPr>
    </w:p>
    <w:p>
      <w:pPr>
        <w:keepNext w:val="0"/>
        <w:keepLines w:val="0"/>
        <w:pageBreakBefore w:val="0"/>
        <w:widowControl w:val="0"/>
        <w:tabs>
          <w:tab w:val="left" w:pos="540"/>
          <w:tab w:val="left" w:pos="1080"/>
          <w:tab w:val="left" w:pos="1440"/>
        </w:tabs>
        <w:kinsoku/>
        <w:wordWrap/>
        <w:overflowPunct/>
        <w:bidi w:val="0"/>
        <w:adjustRightInd/>
        <w:snapToGrid w:val="0"/>
        <w:jc w:val="center"/>
        <w:textAlignment w:val="auto"/>
        <w:outlineLvl w:val="9"/>
        <w:rPr>
          <w:rFonts w:hint="eastAsia" w:ascii="宋体" w:hAnsi="宋体" w:cs="宋体"/>
          <w:color w:val="auto"/>
          <w:sz w:val="32"/>
          <w:szCs w:val="32"/>
          <w:highlight w:val="none"/>
        </w:rPr>
      </w:pPr>
    </w:p>
    <w:p>
      <w:pPr>
        <w:keepNext w:val="0"/>
        <w:keepLines w:val="0"/>
        <w:pageBreakBefore w:val="0"/>
        <w:widowControl w:val="0"/>
        <w:tabs>
          <w:tab w:val="left" w:pos="540"/>
          <w:tab w:val="left" w:pos="1080"/>
          <w:tab w:val="left" w:pos="1440"/>
        </w:tabs>
        <w:kinsoku/>
        <w:wordWrap/>
        <w:overflowPunct/>
        <w:bidi w:val="0"/>
        <w:adjustRightInd/>
        <w:snapToGrid w:val="0"/>
        <w:jc w:val="center"/>
        <w:textAlignment w:val="auto"/>
        <w:outlineLvl w:val="9"/>
        <w:rPr>
          <w:rFonts w:hint="eastAsia" w:ascii="宋体" w:hAnsi="宋体" w:cs="宋体"/>
          <w:color w:val="auto"/>
          <w:sz w:val="32"/>
          <w:szCs w:val="32"/>
          <w:highlight w:val="none"/>
        </w:rPr>
      </w:pPr>
    </w:p>
    <w:p>
      <w:pPr>
        <w:keepNext w:val="0"/>
        <w:keepLines w:val="0"/>
        <w:pageBreakBefore w:val="0"/>
        <w:widowControl w:val="0"/>
        <w:tabs>
          <w:tab w:val="left" w:pos="540"/>
          <w:tab w:val="left" w:pos="1080"/>
          <w:tab w:val="left" w:pos="1440"/>
        </w:tabs>
        <w:kinsoku/>
        <w:wordWrap/>
        <w:overflowPunct/>
        <w:bidi w:val="0"/>
        <w:adjustRightInd/>
        <w:snapToGrid w:val="0"/>
        <w:jc w:val="center"/>
        <w:textAlignment w:val="auto"/>
        <w:outlineLvl w:val="9"/>
        <w:rPr>
          <w:rFonts w:hint="eastAsia" w:ascii="宋体" w:hAnsi="宋体" w:cs="宋体"/>
          <w:color w:val="auto"/>
          <w:sz w:val="32"/>
          <w:szCs w:val="32"/>
          <w:highlight w:val="none"/>
        </w:rPr>
      </w:pPr>
    </w:p>
    <w:p>
      <w:pPr>
        <w:keepNext w:val="0"/>
        <w:keepLines w:val="0"/>
        <w:pageBreakBefore w:val="0"/>
        <w:widowControl w:val="0"/>
        <w:tabs>
          <w:tab w:val="left" w:pos="540"/>
          <w:tab w:val="left" w:pos="1080"/>
          <w:tab w:val="left" w:pos="1440"/>
        </w:tabs>
        <w:kinsoku/>
        <w:wordWrap/>
        <w:overflowPunct/>
        <w:bidi w:val="0"/>
        <w:adjustRightInd/>
        <w:snapToGrid w:val="0"/>
        <w:ind w:left="1680" w:leftChars="800"/>
        <w:jc w:val="center"/>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100" w:leftChars="1000" w:firstLine="0" w:firstLineChars="0"/>
        <w:textAlignment w:val="auto"/>
        <w:outlineLvl w:val="9"/>
        <w:rPr>
          <w:rFonts w:hint="eastAsia" w:ascii="宋体" w:hAnsi="宋体" w:eastAsia="宋体" w:cs="宋体"/>
          <w:b w:val="0"/>
          <w:bCs/>
          <w:color w:val="auto"/>
          <w:sz w:val="24"/>
          <w:szCs w:val="24"/>
          <w:highlight w:val="none"/>
        </w:rPr>
      </w:pPr>
    </w:p>
    <w:p>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100" w:leftChars="1000" w:firstLine="0" w:firstLineChars="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项目名称：</w:t>
      </w:r>
      <w:r>
        <w:rPr>
          <w:rFonts w:hint="eastAsia" w:ascii="宋体" w:hAnsi="宋体" w:eastAsia="宋体" w:cs="宋体"/>
          <w:b w:val="0"/>
          <w:bCs/>
          <w:color w:val="auto"/>
          <w:sz w:val="24"/>
          <w:szCs w:val="24"/>
          <w:highlight w:val="none"/>
          <w:u w:val="single"/>
          <w:lang w:val="en-US" w:eastAsia="zh-CN"/>
        </w:rPr>
        <w:t xml:space="preserve">                   </w:t>
      </w:r>
    </w:p>
    <w:p>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100" w:leftChars="1000" w:firstLine="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包</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lang w:eastAsia="zh-CN"/>
        </w:rPr>
        <w:t>号：</w:t>
      </w:r>
      <w:r>
        <w:rPr>
          <w:rFonts w:hint="eastAsia" w:ascii="宋体" w:hAnsi="宋体" w:eastAsia="宋体" w:cs="宋体"/>
          <w:b w:val="0"/>
          <w:bCs/>
          <w:color w:val="auto"/>
          <w:sz w:val="24"/>
          <w:szCs w:val="24"/>
          <w:highlight w:val="none"/>
          <w:u w:val="single"/>
          <w:lang w:val="en-US" w:eastAsia="zh-CN"/>
        </w:rPr>
        <w:t xml:space="preserve">                   </w:t>
      </w:r>
    </w:p>
    <w:p>
      <w:pPr>
        <w:keepNext w:val="0"/>
        <w:keepLines w:val="0"/>
        <w:pageBreakBefore w:val="0"/>
        <w:widowControl w:val="0"/>
        <w:tabs>
          <w:tab w:val="left" w:pos="540"/>
          <w:tab w:val="left" w:pos="1080"/>
          <w:tab w:val="left" w:pos="1440"/>
        </w:tabs>
        <w:kinsoku/>
        <w:wordWrap/>
        <w:overflowPunct/>
        <w:bidi w:val="0"/>
        <w:adjustRightInd/>
        <w:snapToGrid w:val="0"/>
        <w:spacing w:line="360" w:lineRule="auto"/>
        <w:ind w:left="2100" w:leftChars="1000" w:firstLine="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合同编号：</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 xml:space="preserve"> </w:t>
      </w:r>
    </w:p>
    <w:p>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880" w:leftChars="800" w:hanging="1200" w:hangingChars="500"/>
        <w:textAlignment w:val="auto"/>
        <w:rPr>
          <w:rFonts w:hint="eastAsia" w:ascii="宋体" w:hAnsi="宋体" w:eastAsia="宋体" w:cs="宋体"/>
          <w:b w:val="0"/>
          <w:bCs/>
          <w:color w:val="auto"/>
          <w:sz w:val="24"/>
          <w:szCs w:val="24"/>
          <w:highlight w:val="none"/>
        </w:rPr>
      </w:pPr>
    </w:p>
    <w:p>
      <w:pPr>
        <w:pStyle w:val="14"/>
        <w:keepNext w:val="0"/>
        <w:keepLines w:val="0"/>
        <w:pageBreakBefore w:val="0"/>
        <w:widowControl w:val="0"/>
        <w:kinsoku/>
        <w:wordWrap/>
        <w:overflowPunct/>
        <w:bidi w:val="0"/>
        <w:adjustRightInd/>
        <w:spacing w:line="360" w:lineRule="auto"/>
        <w:jc w:val="center"/>
        <w:textAlignment w:val="auto"/>
        <w:rPr>
          <w:rFonts w:hint="eastAsia" w:ascii="宋体" w:hAnsi="宋体" w:eastAsia="宋体" w:cs="宋体"/>
          <w:b w:val="0"/>
          <w:bCs/>
          <w:color w:val="auto"/>
          <w:sz w:val="24"/>
          <w:szCs w:val="24"/>
          <w:highlight w:val="none"/>
        </w:rPr>
      </w:pPr>
    </w:p>
    <w:p>
      <w:pPr>
        <w:pStyle w:val="14"/>
        <w:keepNext w:val="0"/>
        <w:keepLines w:val="0"/>
        <w:pageBreakBefore w:val="0"/>
        <w:widowControl w:val="0"/>
        <w:tabs>
          <w:tab w:val="left" w:pos="3045"/>
        </w:tabs>
        <w:kinsoku/>
        <w:wordWrap/>
        <w:overflowPunct/>
        <w:bidi w:val="0"/>
        <w:adjustRightInd/>
        <w:spacing w:line="360"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b/>
      </w:r>
    </w:p>
    <w:p>
      <w:pPr>
        <w:pStyle w:val="14"/>
        <w:keepNext w:val="0"/>
        <w:keepLines w:val="0"/>
        <w:pageBreakBefore w:val="0"/>
        <w:widowControl w:val="0"/>
        <w:kinsoku/>
        <w:wordWrap/>
        <w:overflowPunct/>
        <w:bidi w:val="0"/>
        <w:adjustRightInd/>
        <w:spacing w:line="360" w:lineRule="auto"/>
        <w:jc w:val="both"/>
        <w:textAlignment w:val="auto"/>
        <w:rPr>
          <w:rFonts w:hint="eastAsia" w:ascii="宋体" w:hAnsi="宋体" w:eastAsia="宋体" w:cs="宋体"/>
          <w:b w:val="0"/>
          <w:bCs/>
          <w:color w:val="auto"/>
          <w:sz w:val="24"/>
          <w:szCs w:val="24"/>
          <w:highlight w:val="none"/>
        </w:rPr>
      </w:pPr>
    </w:p>
    <w:p>
      <w:pPr>
        <w:pStyle w:val="14"/>
        <w:keepNext w:val="0"/>
        <w:keepLines w:val="0"/>
        <w:pageBreakBefore w:val="0"/>
        <w:widowControl w:val="0"/>
        <w:kinsoku/>
        <w:wordWrap/>
        <w:overflowPunct/>
        <w:bidi w:val="0"/>
        <w:adjustRightInd/>
        <w:spacing w:line="360" w:lineRule="auto"/>
        <w:jc w:val="center"/>
        <w:textAlignment w:val="auto"/>
        <w:rPr>
          <w:rFonts w:hint="eastAsia" w:ascii="宋体" w:hAnsi="宋体" w:eastAsia="宋体" w:cs="宋体"/>
          <w:b w:val="0"/>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840" w:leftChars="400" w:firstLine="1298" w:firstLineChars="541"/>
        <w:textAlignment w:val="auto"/>
        <w:outlineLvl w:val="1"/>
        <w:rPr>
          <w:rFonts w:hint="eastAsia" w:ascii="宋体" w:hAnsi="宋体" w:eastAsia="宋体" w:cs="宋体"/>
          <w:b w:val="0"/>
          <w:bCs/>
          <w:color w:val="auto"/>
          <w:sz w:val="24"/>
          <w:szCs w:val="24"/>
          <w:highlight w:val="none"/>
        </w:rPr>
      </w:pPr>
      <w:bookmarkStart w:id="40" w:name="_Toc16329"/>
      <w:bookmarkStart w:id="41" w:name="_Toc26360"/>
      <w:r>
        <w:rPr>
          <w:rFonts w:hint="eastAsia" w:ascii="宋体" w:hAnsi="宋体" w:eastAsia="宋体" w:cs="宋体"/>
          <w:b w:val="0"/>
          <w:bCs/>
          <w:color w:val="auto"/>
          <w:sz w:val="24"/>
          <w:szCs w:val="24"/>
          <w:highlight w:val="none"/>
        </w:rPr>
        <w:t xml:space="preserve">甲    方： </w:t>
      </w:r>
      <w:r>
        <w:rPr>
          <w:rFonts w:hint="eastAsia" w:ascii="宋体" w:hAnsi="宋体" w:eastAsia="宋体" w:cs="宋体"/>
          <w:b w:val="0"/>
          <w:bCs/>
          <w:color w:val="auto"/>
          <w:sz w:val="24"/>
          <w:szCs w:val="24"/>
          <w:highlight w:val="none"/>
          <w:u w:val="single"/>
        </w:rPr>
        <w:t>国家税务总局</w:t>
      </w:r>
      <w:r>
        <w:rPr>
          <w:rFonts w:hint="eastAsia" w:ascii="宋体" w:hAnsi="宋体" w:eastAsia="宋体" w:cs="宋体"/>
          <w:b w:val="0"/>
          <w:bCs/>
          <w:color w:val="auto"/>
          <w:sz w:val="24"/>
          <w:szCs w:val="24"/>
          <w:highlight w:val="none"/>
          <w:u w:val="single"/>
          <w:lang w:val="en-US" w:eastAsia="zh-CN"/>
        </w:rPr>
        <w:t>南平市</w:t>
      </w:r>
      <w:r>
        <w:rPr>
          <w:rFonts w:hint="eastAsia" w:ascii="宋体" w:hAnsi="宋体" w:eastAsia="宋体" w:cs="宋体"/>
          <w:b w:val="0"/>
          <w:bCs/>
          <w:color w:val="auto"/>
          <w:sz w:val="24"/>
          <w:szCs w:val="24"/>
          <w:highlight w:val="none"/>
          <w:u w:val="single"/>
        </w:rPr>
        <w:t>税务局</w:t>
      </w:r>
      <w:bookmarkEnd w:id="40"/>
      <w:bookmarkEnd w:id="41"/>
    </w:p>
    <w:p>
      <w:pPr>
        <w:keepNext w:val="0"/>
        <w:keepLines w:val="0"/>
        <w:pageBreakBefore w:val="0"/>
        <w:widowControl w:val="0"/>
        <w:kinsoku/>
        <w:wordWrap/>
        <w:overflowPunct/>
        <w:topLinePunct w:val="0"/>
        <w:autoSpaceDE/>
        <w:autoSpaceDN/>
        <w:bidi w:val="0"/>
        <w:adjustRightInd/>
        <w:snapToGrid/>
        <w:spacing w:line="360" w:lineRule="auto"/>
        <w:ind w:left="840" w:leftChars="400" w:firstLine="1298" w:firstLineChars="541"/>
        <w:textAlignment w:val="auto"/>
        <w:outlineLvl w:val="9"/>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rPr>
        <w:t xml:space="preserve">乙    方： </w:t>
      </w:r>
      <w:r>
        <w:rPr>
          <w:rFonts w:hint="eastAsia" w:ascii="宋体" w:hAnsi="宋体" w:eastAsia="宋体" w:cs="宋体"/>
          <w:b w:val="0"/>
          <w:bCs/>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840" w:leftChars="400" w:firstLine="1298" w:firstLineChars="541"/>
        <w:textAlignment w:val="auto"/>
        <w:outlineLvl w:val="9"/>
        <w:rPr>
          <w:rFonts w:hint="eastAsia" w:ascii="宋体" w:hAnsi="宋体" w:eastAsia="宋体" w:cs="宋体"/>
          <w:b w:val="0"/>
          <w:bCs/>
          <w:color w:val="auto"/>
          <w:sz w:val="24"/>
          <w:szCs w:val="24"/>
          <w:highlight w:val="none"/>
          <w:u w:val="single"/>
          <w:lang w:eastAsia="zh-CN"/>
        </w:rPr>
      </w:pPr>
      <w:r>
        <w:rPr>
          <w:rFonts w:hint="eastAsia" w:ascii="宋体" w:hAnsi="宋体" w:eastAsia="宋体" w:cs="宋体"/>
          <w:b w:val="0"/>
          <w:bCs/>
          <w:color w:val="auto"/>
          <w:sz w:val="24"/>
          <w:szCs w:val="24"/>
          <w:highlight w:val="none"/>
        </w:rPr>
        <w:t xml:space="preserve">日    期： </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rPr>
        <w:t>年</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rPr>
        <w:t xml:space="preserve">月  </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lang w:eastAsia="zh-CN"/>
        </w:rPr>
        <w:t>日</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9"/>
        <w:rPr>
          <w:rFonts w:hint="eastAsia" w:ascii="宋体" w:hAnsi="宋体" w:eastAsia="宋体" w:cs="宋体"/>
          <w:b/>
          <w:color w:val="auto"/>
          <w:sz w:val="24"/>
          <w:szCs w:val="24"/>
          <w:highlight w:val="none"/>
        </w:rPr>
      </w:pPr>
      <w:r>
        <w:rPr>
          <w:rFonts w:ascii="宋体" w:hAnsi="宋体" w:cs="宋体"/>
          <w:b/>
          <w:bCs/>
          <w:color w:val="auto"/>
          <w:sz w:val="28"/>
          <w:highlight w:val="none"/>
          <w:u w:val="single"/>
        </w:rPr>
        <w:br w:type="page"/>
      </w:r>
      <w:r>
        <w:rPr>
          <w:rFonts w:hint="eastAsia" w:ascii="宋体" w:hAnsi="宋体" w:eastAsia="宋体" w:cs="宋体"/>
          <w:b/>
          <w:color w:val="auto"/>
          <w:sz w:val="24"/>
          <w:szCs w:val="24"/>
          <w:highlight w:val="none"/>
        </w:rPr>
        <w:t>合同条款前附表</w:t>
      </w:r>
    </w:p>
    <w:tbl>
      <w:tblPr>
        <w:tblStyle w:val="2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440"/>
        <w:gridCol w:w="1767"/>
        <w:gridCol w:w="5475"/>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0"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768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0"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合同名称</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both"/>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0"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合同编号</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160"/>
              </w:tabs>
              <w:kinsoku/>
              <w:wordWrap/>
              <w:overflowPunct/>
              <w:topLinePunct/>
              <w:autoSpaceDE w:val="0"/>
              <w:autoSpaceDN w:val="0"/>
              <w:bidi w:val="0"/>
              <w:adjustRightInd w:val="0"/>
              <w:snapToGrid w:val="0"/>
              <w:spacing w:line="400" w:lineRule="exact"/>
              <w:jc w:val="both"/>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0"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2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合同类型</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160"/>
              </w:tabs>
              <w:kinsoku/>
              <w:wordWrap/>
              <w:overflowPunct/>
              <w:topLinePunct/>
              <w:autoSpaceDE w:val="0"/>
              <w:autoSpaceDN w:val="0"/>
              <w:bidi w:val="0"/>
              <w:adjustRightInd w:val="0"/>
              <w:snapToGrid w:val="0"/>
              <w:spacing w:line="400" w:lineRule="exact"/>
              <w:jc w:val="both"/>
              <w:textAlignment w:val="auto"/>
              <w:rPr>
                <w:rFonts w:hint="eastAsia" w:ascii="宋体" w:hAnsi="宋体" w:eastAsia="宋体" w:cs="宋体"/>
                <w:b/>
                <w:bCs/>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0"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2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定价方式</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160"/>
              </w:tabs>
              <w:kinsoku/>
              <w:wordWrap/>
              <w:overflowPunct/>
              <w:topLinePunct/>
              <w:autoSpaceDE w:val="0"/>
              <w:autoSpaceDN w:val="0"/>
              <w:bidi w:val="0"/>
              <w:adjustRightInd w:val="0"/>
              <w:snapToGrid w:val="0"/>
              <w:spacing w:line="400" w:lineRule="exact"/>
              <w:jc w:val="both"/>
              <w:textAlignment w:val="auto"/>
              <w:rPr>
                <w:rFonts w:hint="eastAsia" w:ascii="宋体" w:hAnsi="宋体" w:eastAsia="宋体" w:cs="宋体"/>
                <w:b/>
                <w:bCs/>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0" w:hRule="atLeast"/>
          <w:jc w:val="center"/>
        </w:trPr>
        <w:tc>
          <w:tcPr>
            <w:tcW w:w="81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2207" w:type="dxa"/>
            <w:gridSpan w:val="2"/>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甲方名称</w:t>
            </w:r>
          </w:p>
        </w:tc>
        <w:tc>
          <w:tcPr>
            <w:tcW w:w="5475"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both"/>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0" w:hRule="atLeast"/>
          <w:jc w:val="center"/>
        </w:trPr>
        <w:tc>
          <w:tcPr>
            <w:tcW w:w="81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rPr>
            </w:pPr>
          </w:p>
        </w:tc>
        <w:tc>
          <w:tcPr>
            <w:tcW w:w="2207" w:type="dxa"/>
            <w:gridSpan w:val="2"/>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甲方地址</w:t>
            </w:r>
          </w:p>
        </w:tc>
        <w:tc>
          <w:tcPr>
            <w:tcW w:w="547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both"/>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rPr>
            </w:pPr>
          </w:p>
        </w:tc>
        <w:tc>
          <w:tcPr>
            <w:tcW w:w="440" w:type="dxa"/>
            <w:vMerge w:val="restart"/>
            <w:tcBorders>
              <w:top w:val="single" w:color="auto" w:sz="6" w:space="0"/>
              <w:left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甲方相关部门</w:t>
            </w:r>
          </w:p>
        </w:tc>
        <w:tc>
          <w:tcPr>
            <w:tcW w:w="176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甲方采购部门</w:t>
            </w:r>
          </w:p>
        </w:tc>
        <w:tc>
          <w:tcPr>
            <w:tcW w:w="5485"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both"/>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rPr>
            </w:pPr>
          </w:p>
        </w:tc>
        <w:tc>
          <w:tcPr>
            <w:tcW w:w="440" w:type="dxa"/>
            <w:vMerge w:val="continue"/>
            <w:tcBorders>
              <w:left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rPr>
            </w:pPr>
          </w:p>
        </w:tc>
        <w:tc>
          <w:tcPr>
            <w:tcW w:w="176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5485"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both"/>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rPr>
            </w:pPr>
          </w:p>
        </w:tc>
        <w:tc>
          <w:tcPr>
            <w:tcW w:w="440" w:type="dxa"/>
            <w:vMerge w:val="continue"/>
            <w:tcBorders>
              <w:left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rPr>
            </w:pPr>
          </w:p>
        </w:tc>
        <w:tc>
          <w:tcPr>
            <w:tcW w:w="1767" w:type="dxa"/>
            <w:tcBorders>
              <w:top w:val="single" w:color="auto" w:sz="6" w:space="0"/>
              <w:left w:val="single" w:color="auto" w:sz="4" w:space="0"/>
              <w:bottom w:val="single" w:color="auto" w:sz="4"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5485" w:type="dxa"/>
            <w:gridSpan w:val="2"/>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both"/>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rPr>
            </w:pPr>
          </w:p>
        </w:tc>
        <w:tc>
          <w:tcPr>
            <w:tcW w:w="440" w:type="dxa"/>
            <w:vMerge w:val="continue"/>
            <w:tcBorders>
              <w:left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rPr>
            </w:pPr>
          </w:p>
        </w:tc>
        <w:tc>
          <w:tcPr>
            <w:tcW w:w="1767" w:type="dxa"/>
            <w:tcBorders>
              <w:top w:val="single" w:color="auto" w:sz="6" w:space="0"/>
              <w:left w:val="single" w:color="auto" w:sz="4" w:space="0"/>
              <w:bottom w:val="single" w:color="auto" w:sz="4"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需求部门</w:t>
            </w:r>
          </w:p>
        </w:tc>
        <w:tc>
          <w:tcPr>
            <w:tcW w:w="5485" w:type="dxa"/>
            <w:gridSpan w:val="2"/>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both"/>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rPr>
            </w:pPr>
          </w:p>
        </w:tc>
        <w:tc>
          <w:tcPr>
            <w:tcW w:w="440" w:type="dxa"/>
            <w:vMerge w:val="continue"/>
            <w:tcBorders>
              <w:left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rPr>
            </w:pPr>
          </w:p>
        </w:tc>
        <w:tc>
          <w:tcPr>
            <w:tcW w:w="1767" w:type="dxa"/>
            <w:tcBorders>
              <w:top w:val="single" w:color="auto" w:sz="6" w:space="0"/>
              <w:left w:val="single" w:color="auto" w:sz="4" w:space="0"/>
              <w:bottom w:val="single" w:color="auto" w:sz="4"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5485" w:type="dxa"/>
            <w:gridSpan w:val="2"/>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both"/>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rPr>
            </w:pPr>
          </w:p>
        </w:tc>
        <w:tc>
          <w:tcPr>
            <w:tcW w:w="44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rPr>
            </w:pPr>
          </w:p>
        </w:tc>
        <w:tc>
          <w:tcPr>
            <w:tcW w:w="1767" w:type="dxa"/>
            <w:tcBorders>
              <w:top w:val="single" w:color="auto" w:sz="6" w:space="0"/>
              <w:left w:val="single" w:color="auto" w:sz="4" w:space="0"/>
              <w:bottom w:val="single" w:color="auto" w:sz="4"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5485" w:type="dxa"/>
            <w:gridSpan w:val="2"/>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both"/>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0" w:hRule="atLeast"/>
          <w:jc w:val="center"/>
        </w:trPr>
        <w:tc>
          <w:tcPr>
            <w:tcW w:w="81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22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乙方名称</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both"/>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60" w:hRule="atLeast"/>
          <w:jc w:val="center"/>
        </w:trPr>
        <w:tc>
          <w:tcPr>
            <w:tcW w:w="8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rPr>
            </w:pPr>
          </w:p>
        </w:tc>
        <w:tc>
          <w:tcPr>
            <w:tcW w:w="22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乙方企业性质</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 中型企业  </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 小型企业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 微型企业    </w:t>
            </w:r>
          </w:p>
          <w:p>
            <w:pPr>
              <w:keepNext w:val="0"/>
              <w:keepLines w:val="0"/>
              <w:pageBreakBefore w:val="0"/>
              <w:tabs>
                <w:tab w:val="left" w:pos="700"/>
              </w:tabs>
              <w:kinsoku/>
              <w:wordWrap/>
              <w:overflowPunct/>
              <w:bidi w:val="0"/>
              <w:adjustRightInd w:val="0"/>
              <w:snapToGrid w:val="0"/>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 监狱企业</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 残疾人福利性单位 </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0" w:hRule="atLeast"/>
          <w:jc w:val="center"/>
        </w:trPr>
        <w:tc>
          <w:tcPr>
            <w:tcW w:w="8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rPr>
            </w:pPr>
          </w:p>
        </w:tc>
        <w:tc>
          <w:tcPr>
            <w:tcW w:w="22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乙方地址</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both"/>
              <w:textAlignment w:val="auto"/>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0" w:hRule="atLeast"/>
          <w:jc w:val="center"/>
        </w:trPr>
        <w:tc>
          <w:tcPr>
            <w:tcW w:w="8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rPr>
            </w:pPr>
          </w:p>
        </w:tc>
        <w:tc>
          <w:tcPr>
            <w:tcW w:w="22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乙方联系人</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both"/>
              <w:textAlignment w:val="auto"/>
              <w:rPr>
                <w:rFonts w:hint="eastAsia" w:ascii="宋体" w:hAnsi="宋体" w:eastAsia="宋体" w:cs="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0" w:hRule="atLeast"/>
          <w:jc w:val="center"/>
        </w:trPr>
        <w:tc>
          <w:tcPr>
            <w:tcW w:w="8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rPr>
            </w:pPr>
          </w:p>
        </w:tc>
        <w:tc>
          <w:tcPr>
            <w:tcW w:w="22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both"/>
              <w:textAlignment w:val="auto"/>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0" w:hRule="atLeast"/>
          <w:jc w:val="center"/>
        </w:trPr>
        <w:tc>
          <w:tcPr>
            <w:tcW w:w="8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rPr>
            </w:pPr>
          </w:p>
        </w:tc>
        <w:tc>
          <w:tcPr>
            <w:tcW w:w="22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both"/>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0"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22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元</w:t>
            </w:r>
            <w:r>
              <w:rPr>
                <w:rFonts w:hint="eastAsia" w:ascii="宋体" w:hAnsi="宋体" w:eastAsia="宋体" w:cs="宋体"/>
                <w:color w:val="auto"/>
                <w:sz w:val="24"/>
                <w:szCs w:val="24"/>
                <w:highlight w:val="none"/>
              </w:rPr>
              <w:t>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0"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22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本合同服务内容为：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0"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p>
        </w:tc>
        <w:tc>
          <w:tcPr>
            <w:tcW w:w="22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合同付款</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pStyle w:val="38"/>
              <w:keepNext w:val="0"/>
              <w:keepLines w:val="0"/>
              <w:pageBreakBefore w:val="0"/>
              <w:numPr>
                <w:ilvl w:val="0"/>
                <w:numId w:val="0"/>
              </w:numPr>
              <w:tabs>
                <w:tab w:val="left" w:pos="840"/>
              </w:tabs>
              <w:kinsoku/>
              <w:wordWrap/>
              <w:overflowPunct/>
              <w:bidi w:val="0"/>
              <w:adjustRightInd w:val="0"/>
              <w:snapToGrid w:val="0"/>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合同以人民币结算，付款方式：</w:t>
            </w:r>
          </w:p>
          <w:p>
            <w:pPr>
              <w:pStyle w:val="38"/>
              <w:keepNext w:val="0"/>
              <w:keepLines w:val="0"/>
              <w:pageBreakBefore w:val="0"/>
              <w:numPr>
                <w:ilvl w:val="0"/>
                <w:numId w:val="0"/>
              </w:numPr>
              <w:tabs>
                <w:tab w:val="left" w:pos="840"/>
              </w:tabs>
              <w:kinsoku/>
              <w:wordWrap/>
              <w:overflowPunct/>
              <w:bidi w:val="0"/>
              <w:adjustRightInd w:val="0"/>
              <w:snapToGrid w:val="0"/>
              <w:spacing w:line="4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自合同生效之日起且人员按要求到位后，凭服务商付款申请报告和发票，采购人相应支付合同款项的20%;后续合同款项的80%凭服务商付款申请报告、发票及经采购人考核的评估报告，按季度平均支付，经验收结算后15日内支付上一季度应付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0"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22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履约保证金及返还</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项目不要求提供履约保证金。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0"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22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自合同签订之日起至服务期满</w:t>
            </w:r>
            <w:r>
              <w:rPr>
                <w:rFonts w:hint="eastAsia" w:ascii="宋体" w:hAnsi="宋体" w:eastAsia="宋体" w:cs="宋体"/>
                <w:color w:val="auto"/>
                <w:sz w:val="24"/>
                <w:szCs w:val="24"/>
                <w:highlight w:val="none"/>
                <w:lang w:eastAsia="zh-CN"/>
              </w:rPr>
              <w:t>验收合格</w:t>
            </w:r>
            <w:r>
              <w:rPr>
                <w:rFonts w:hint="eastAsia" w:ascii="宋体" w:hAnsi="宋体" w:eastAsia="宋体" w:cs="宋体"/>
                <w:color w:val="auto"/>
                <w:sz w:val="24"/>
                <w:szCs w:val="24"/>
                <w:highlight w:val="none"/>
              </w:rPr>
              <w:t>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0"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p>
        </w:tc>
        <w:tc>
          <w:tcPr>
            <w:tcW w:w="22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lang w:val="en" w:eastAsia="zh-CN"/>
              </w:rPr>
            </w:pPr>
            <w:r>
              <w:rPr>
                <w:rFonts w:hint="eastAsia" w:ascii="宋体" w:hAnsi="宋体" w:eastAsia="宋体" w:cs="宋体"/>
                <w:color w:val="auto"/>
                <w:sz w:val="24"/>
                <w:szCs w:val="24"/>
                <w:highlight w:val="none"/>
                <w:lang w:eastAsia="zh-CN"/>
              </w:rPr>
              <w:t>项目服务期</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自合同签订之日起至</w:t>
            </w:r>
            <w:r>
              <w:rPr>
                <w:rFonts w:hint="eastAsia" w:ascii="宋体" w:hAnsi="宋体" w:eastAsia="宋体" w:cs="宋体"/>
                <w:color w:val="auto"/>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0"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p>
        </w:tc>
        <w:tc>
          <w:tcPr>
            <w:tcW w:w="22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合同履约地点</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40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合同约定地点或甲方指定地点</w:t>
            </w:r>
          </w:p>
        </w:tc>
      </w:tr>
    </w:tbl>
    <w:p>
      <w:pPr>
        <w:tabs>
          <w:tab w:val="left" w:pos="700"/>
        </w:tabs>
        <w:topLinePunct/>
        <w:autoSpaceDE w:val="0"/>
        <w:autoSpaceDN w:val="0"/>
        <w:spacing w:line="460" w:lineRule="exact"/>
        <w:rPr>
          <w:rFonts w:hint="eastAsia" w:ascii="宋体" w:hAnsi="宋体" w:cs="宋体"/>
          <w:b/>
          <w:color w:val="auto"/>
          <w:sz w:val="24"/>
          <w:highlight w:val="none"/>
        </w:rPr>
      </w:pPr>
      <w:r>
        <w:rPr>
          <w:rFonts w:hint="eastAsia" w:ascii="宋体" w:hAnsi="宋体" w:cs="宋体"/>
          <w:b/>
          <w:color w:val="auto"/>
          <w:sz w:val="28"/>
          <w:highlight w:val="none"/>
        </w:rPr>
        <w:br w:type="page"/>
      </w:r>
    </w:p>
    <w:p>
      <w:pPr>
        <w:keepNext w:val="0"/>
        <w:keepLines w:val="0"/>
        <w:pageBreakBefore w:val="0"/>
        <w:widowControl w:val="0"/>
        <w:tabs>
          <w:tab w:val="left" w:pos="0"/>
        </w:tabs>
        <w:kinsoku/>
        <w:wordWrap/>
        <w:overflowPunct/>
        <w:topLinePunct/>
        <w:autoSpaceDE w:val="0"/>
        <w:autoSpaceDN w:val="0"/>
        <w:bidi w:val="0"/>
        <w:adjustRightInd/>
        <w:snapToGrid/>
        <w:spacing w:line="360" w:lineRule="auto"/>
        <w:jc w:val="center"/>
        <w:textAlignment w:val="auto"/>
        <w:rPr>
          <w:rFonts w:hint="default" w:ascii="Times New Roman" w:hAnsi="Times New Roman" w:cs="Times New Roman"/>
          <w:b/>
          <w:color w:val="auto"/>
          <w:sz w:val="24"/>
          <w:highlight w:val="none"/>
        </w:rPr>
      </w:pPr>
      <w:r>
        <w:rPr>
          <w:rFonts w:hint="eastAsia" w:ascii="宋体" w:hAnsi="宋体" w:cs="宋体"/>
          <w:b/>
          <w:color w:val="auto"/>
          <w:sz w:val="24"/>
          <w:highlight w:val="none"/>
        </w:rPr>
        <w:t xml:space="preserve">一   合  同 </w:t>
      </w:r>
    </w:p>
    <w:p>
      <w:pPr>
        <w:keepNext w:val="0"/>
        <w:keepLines w:val="0"/>
        <w:pageBreakBefore w:val="0"/>
        <w:widowControl w:val="0"/>
        <w:tabs>
          <w:tab w:val="left" w:pos="700"/>
        </w:tabs>
        <w:kinsoku/>
        <w:wordWrap/>
        <w:overflowPunct/>
        <w:topLinePunct/>
        <w:autoSpaceDE w:val="0"/>
        <w:autoSpaceDN w:val="0"/>
        <w:bidi w:val="0"/>
        <w:snapToGri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国家税务总局</w:t>
      </w:r>
      <w:r>
        <w:rPr>
          <w:rFonts w:hint="eastAsia" w:ascii="宋体" w:hAnsi="宋体" w:eastAsia="宋体" w:cs="宋体"/>
          <w:color w:val="auto"/>
          <w:sz w:val="22"/>
          <w:szCs w:val="22"/>
          <w:highlight w:val="none"/>
          <w:u w:val="single"/>
          <w:lang w:eastAsia="zh-CN"/>
        </w:rPr>
        <w:t>南平市税务局</w:t>
      </w:r>
      <w:r>
        <w:rPr>
          <w:rFonts w:hint="eastAsia" w:ascii="宋体" w:hAnsi="宋体" w:eastAsia="宋体" w:cs="宋体"/>
          <w:color w:val="auto"/>
          <w:sz w:val="22"/>
          <w:szCs w:val="22"/>
          <w:highlight w:val="none"/>
        </w:rPr>
        <w:t>（以下简称“甲方”）通过</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式</w:t>
      </w:r>
      <w:r>
        <w:rPr>
          <w:rFonts w:hint="eastAsia" w:ascii="宋体" w:hAnsi="宋体" w:eastAsia="宋体" w:cs="宋体"/>
          <w:color w:val="auto"/>
          <w:sz w:val="22"/>
          <w:szCs w:val="22"/>
          <w:highlight w:val="none"/>
        </w:rPr>
        <w:t>采购</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确定</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公司（以下简称“乙方”）为《</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w:t>
      </w:r>
      <w:r>
        <w:rPr>
          <w:rFonts w:hint="eastAsia" w:ascii="宋体" w:hAnsi="宋体" w:eastAsia="宋体" w:cs="宋体"/>
          <w:color w:val="auto"/>
          <w:sz w:val="22"/>
          <w:szCs w:val="22"/>
          <w:highlight w:val="none"/>
          <w:lang w:eastAsia="zh-CN"/>
        </w:rPr>
        <w:t>中标（成交）供应商</w:t>
      </w:r>
      <w:r>
        <w:rPr>
          <w:rFonts w:hint="eastAsia" w:ascii="宋体" w:hAnsi="宋体" w:eastAsia="宋体" w:cs="宋体"/>
          <w:color w:val="auto"/>
          <w:sz w:val="22"/>
          <w:szCs w:val="22"/>
          <w:highlight w:val="none"/>
        </w:rPr>
        <w:t>。甲乙双方同意按照该项目</w:t>
      </w:r>
      <w:r>
        <w:rPr>
          <w:rFonts w:hint="eastAsia" w:ascii="宋体" w:hAnsi="宋体" w:eastAsia="宋体" w:cs="宋体"/>
          <w:color w:val="auto"/>
          <w:sz w:val="22"/>
          <w:szCs w:val="22"/>
          <w:highlight w:val="none"/>
          <w:lang w:eastAsia="zh-CN"/>
        </w:rPr>
        <w:t>招标（采购）文件</w:t>
      </w:r>
      <w:r>
        <w:rPr>
          <w:rFonts w:hint="eastAsia" w:ascii="宋体" w:hAnsi="宋体" w:eastAsia="宋体" w:cs="宋体"/>
          <w:color w:val="auto"/>
          <w:sz w:val="22"/>
          <w:szCs w:val="22"/>
          <w:highlight w:val="none"/>
        </w:rPr>
        <w:t>约定的内容，签署《</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合同书》（合同编号：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，以下简称“合同”)。</w:t>
      </w:r>
    </w:p>
    <w:p>
      <w:pPr>
        <w:keepNext w:val="0"/>
        <w:keepLines w:val="0"/>
        <w:pageBreakBefore w:val="0"/>
        <w:widowControl w:val="0"/>
        <w:kinsoku/>
        <w:wordWrap/>
        <w:overflowPunct/>
        <w:topLinePunct/>
        <w:autoSpaceDE w:val="0"/>
        <w:autoSpaceDN w:val="0"/>
        <w:bidi w:val="0"/>
        <w:snapToGrid w:val="0"/>
        <w:spacing w:line="400" w:lineRule="exact"/>
        <w:ind w:left="482"/>
        <w:outlineLvl w:val="1"/>
        <w:rPr>
          <w:rFonts w:hint="eastAsia" w:ascii="宋体" w:hAnsi="宋体" w:eastAsia="宋体" w:cs="宋体"/>
          <w:b/>
          <w:color w:val="auto"/>
          <w:sz w:val="22"/>
          <w:szCs w:val="22"/>
          <w:highlight w:val="none"/>
        </w:rPr>
      </w:pPr>
      <w:bookmarkStart w:id="42" w:name="_Toc4627"/>
      <w:bookmarkStart w:id="43" w:name="_Toc11041"/>
      <w:r>
        <w:rPr>
          <w:rFonts w:hint="eastAsia" w:ascii="宋体" w:hAnsi="宋体" w:eastAsia="宋体" w:cs="宋体"/>
          <w:b/>
          <w:color w:val="auto"/>
          <w:sz w:val="22"/>
          <w:szCs w:val="22"/>
          <w:highlight w:val="none"/>
        </w:rPr>
        <w:t>1. 合同文件</w:t>
      </w:r>
      <w:bookmarkEnd w:id="42"/>
      <w:bookmarkEnd w:id="43"/>
    </w:p>
    <w:p>
      <w:pPr>
        <w:keepNext w:val="0"/>
        <w:keepLines w:val="0"/>
        <w:pageBreakBefore w:val="0"/>
        <w:widowControl w:val="0"/>
        <w:tabs>
          <w:tab w:val="left" w:pos="700"/>
        </w:tabs>
        <w:kinsoku/>
        <w:wordWrap/>
        <w:overflowPunct/>
        <w:topLinePunct/>
        <w:autoSpaceDE w:val="0"/>
        <w:autoSpaceDN w:val="0"/>
        <w:bidi w:val="0"/>
        <w:snapToGri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本合同所附下列文件是构成本合同不可分割的部分：</w:t>
      </w:r>
    </w:p>
    <w:p>
      <w:pPr>
        <w:keepNext w:val="0"/>
        <w:keepLines w:val="0"/>
        <w:pageBreakBefore w:val="0"/>
        <w:widowControl w:val="0"/>
        <w:tabs>
          <w:tab w:val="left" w:pos="700"/>
        </w:tabs>
        <w:kinsoku/>
        <w:wordWrap/>
        <w:overflowPunct/>
        <w:topLinePunct/>
        <w:autoSpaceDE w:val="0"/>
        <w:autoSpaceDN w:val="0"/>
        <w:bidi w:val="0"/>
        <w:snapToGri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（1）合同通用条款；</w:t>
      </w:r>
    </w:p>
    <w:p>
      <w:pPr>
        <w:keepNext w:val="0"/>
        <w:keepLines w:val="0"/>
        <w:pageBreakBefore w:val="0"/>
        <w:widowControl w:val="0"/>
        <w:tabs>
          <w:tab w:val="left" w:pos="700"/>
        </w:tabs>
        <w:kinsoku/>
        <w:wordWrap/>
        <w:overflowPunct/>
        <w:topLinePunct/>
        <w:autoSpaceDE w:val="0"/>
        <w:autoSpaceDN w:val="0"/>
        <w:bidi w:val="0"/>
        <w:snapToGri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（2）报价表（总报价表和分项报价表）；</w:t>
      </w:r>
    </w:p>
    <w:p>
      <w:pPr>
        <w:keepNext w:val="0"/>
        <w:keepLines w:val="0"/>
        <w:pageBreakBefore w:val="0"/>
        <w:widowControl w:val="0"/>
        <w:tabs>
          <w:tab w:val="left" w:pos="700"/>
        </w:tabs>
        <w:kinsoku/>
        <w:wordWrap/>
        <w:overflowPunct/>
        <w:topLinePunct/>
        <w:autoSpaceDE w:val="0"/>
        <w:autoSpaceDN w:val="0"/>
        <w:bidi w:val="0"/>
        <w:snapToGrid w:val="0"/>
        <w:spacing w:line="40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）招标（采购）文件；</w:t>
      </w:r>
    </w:p>
    <w:p>
      <w:pPr>
        <w:keepNext w:val="0"/>
        <w:keepLines w:val="0"/>
        <w:pageBreakBefore w:val="0"/>
        <w:widowControl w:val="0"/>
        <w:tabs>
          <w:tab w:val="left" w:pos="700"/>
        </w:tabs>
        <w:kinsoku/>
        <w:wordWrap/>
        <w:overflowPunct/>
        <w:topLinePunct/>
        <w:autoSpaceDE w:val="0"/>
        <w:autoSpaceDN w:val="0"/>
        <w:bidi w:val="0"/>
        <w:snapToGri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投标（响应）</w:t>
      </w:r>
      <w:r>
        <w:rPr>
          <w:rFonts w:hint="eastAsia" w:ascii="宋体" w:hAnsi="宋体" w:eastAsia="宋体" w:cs="宋体"/>
          <w:color w:val="auto"/>
          <w:sz w:val="22"/>
          <w:szCs w:val="22"/>
          <w:highlight w:val="none"/>
        </w:rPr>
        <w:t>文件。</w:t>
      </w:r>
    </w:p>
    <w:p>
      <w:pPr>
        <w:keepNext w:val="0"/>
        <w:keepLines w:val="0"/>
        <w:pageBreakBefore w:val="0"/>
        <w:widowControl w:val="0"/>
        <w:kinsoku/>
        <w:wordWrap/>
        <w:overflowPunct/>
        <w:topLinePunct/>
        <w:autoSpaceDE w:val="0"/>
        <w:autoSpaceDN w:val="0"/>
        <w:bidi w:val="0"/>
        <w:snapToGrid w:val="0"/>
        <w:spacing w:line="400" w:lineRule="exact"/>
        <w:ind w:left="482"/>
        <w:outlineLvl w:val="1"/>
        <w:rPr>
          <w:rFonts w:hint="eastAsia" w:ascii="宋体" w:hAnsi="宋体" w:eastAsia="宋体" w:cs="宋体"/>
          <w:b/>
          <w:color w:val="auto"/>
          <w:sz w:val="22"/>
          <w:szCs w:val="22"/>
          <w:highlight w:val="none"/>
        </w:rPr>
      </w:pPr>
      <w:bookmarkStart w:id="44" w:name="_Toc9580"/>
      <w:bookmarkStart w:id="45" w:name="_Toc19921"/>
      <w:r>
        <w:rPr>
          <w:rFonts w:hint="eastAsia" w:ascii="宋体" w:hAnsi="宋体" w:eastAsia="宋体" w:cs="宋体"/>
          <w:b/>
          <w:color w:val="auto"/>
          <w:sz w:val="22"/>
          <w:szCs w:val="22"/>
          <w:highlight w:val="none"/>
        </w:rPr>
        <w:t>2. 合同范围和条件</w:t>
      </w:r>
      <w:bookmarkEnd w:id="44"/>
      <w:bookmarkEnd w:id="45"/>
    </w:p>
    <w:p>
      <w:pPr>
        <w:keepNext w:val="0"/>
        <w:keepLines w:val="0"/>
        <w:pageBreakBefore w:val="0"/>
        <w:widowControl w:val="0"/>
        <w:tabs>
          <w:tab w:val="left" w:pos="700"/>
        </w:tabs>
        <w:kinsoku/>
        <w:wordWrap/>
        <w:overflowPunct/>
        <w:topLinePunct/>
        <w:autoSpaceDE w:val="0"/>
        <w:autoSpaceDN w:val="0"/>
        <w:bidi w:val="0"/>
        <w:snapToGri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本合同的范围和条件应与上述合同文件的规定相一致。</w:t>
      </w:r>
    </w:p>
    <w:p>
      <w:pPr>
        <w:keepNext w:val="0"/>
        <w:keepLines w:val="0"/>
        <w:pageBreakBefore w:val="0"/>
        <w:widowControl w:val="0"/>
        <w:tabs>
          <w:tab w:val="left" w:pos="700"/>
        </w:tabs>
        <w:kinsoku/>
        <w:wordWrap/>
        <w:overflowPunct/>
        <w:topLinePunct/>
        <w:autoSpaceDE w:val="0"/>
        <w:autoSpaceDN w:val="0"/>
        <w:bidi w:val="0"/>
        <w:snapToGrid w:val="0"/>
        <w:spacing w:line="400" w:lineRule="exact"/>
        <w:ind w:firstLine="433" w:firstLineChars="196"/>
        <w:outlineLvl w:val="1"/>
        <w:rPr>
          <w:rFonts w:hint="eastAsia" w:ascii="宋体" w:hAnsi="宋体" w:eastAsia="宋体" w:cs="宋体"/>
          <w:b/>
          <w:color w:val="auto"/>
          <w:sz w:val="22"/>
          <w:szCs w:val="22"/>
          <w:highlight w:val="none"/>
        </w:rPr>
      </w:pPr>
      <w:bookmarkStart w:id="46" w:name="_Toc4439"/>
      <w:bookmarkStart w:id="47" w:name="_Toc25418"/>
      <w:r>
        <w:rPr>
          <w:rFonts w:hint="eastAsia" w:ascii="宋体" w:hAnsi="宋体" w:eastAsia="宋体" w:cs="宋体"/>
          <w:b/>
          <w:color w:val="auto"/>
          <w:sz w:val="22"/>
          <w:szCs w:val="22"/>
          <w:highlight w:val="none"/>
        </w:rPr>
        <w:t>3. 合同金额</w:t>
      </w:r>
      <w:bookmarkEnd w:id="46"/>
      <w:bookmarkEnd w:id="47"/>
    </w:p>
    <w:p>
      <w:pPr>
        <w:keepNext w:val="0"/>
        <w:keepLines w:val="0"/>
        <w:pageBreakBefore w:val="0"/>
        <w:widowControl w:val="0"/>
        <w:tabs>
          <w:tab w:val="left" w:pos="700"/>
        </w:tabs>
        <w:kinsoku/>
        <w:wordWrap/>
        <w:overflowPunct/>
        <w:topLinePunct/>
        <w:autoSpaceDE w:val="0"/>
        <w:autoSpaceDN w:val="0"/>
        <w:bidi w:val="0"/>
        <w:snapToGri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本合同金额为人民币</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rPr>
        <w:t>元</w:t>
      </w:r>
      <w:r>
        <w:rPr>
          <w:rFonts w:hint="eastAsia" w:ascii="宋体" w:hAnsi="宋体" w:eastAsia="宋体" w:cs="宋体"/>
          <w:color w:val="auto"/>
          <w:sz w:val="22"/>
          <w:szCs w:val="22"/>
          <w:highlight w:val="none"/>
        </w:rPr>
        <w:t>整（¥</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p>
    <w:p>
      <w:pPr>
        <w:keepNext w:val="0"/>
        <w:keepLines w:val="0"/>
        <w:pageBreakBefore w:val="0"/>
        <w:widowControl w:val="0"/>
        <w:numPr>
          <w:ilvl w:val="0"/>
          <w:numId w:val="0"/>
        </w:numPr>
        <w:tabs>
          <w:tab w:val="left" w:pos="700"/>
        </w:tabs>
        <w:kinsoku/>
        <w:wordWrap/>
        <w:overflowPunct/>
        <w:topLinePunct/>
        <w:autoSpaceDE w:val="0"/>
        <w:autoSpaceDN w:val="0"/>
        <w:bidi w:val="0"/>
        <w:snapToGrid w:val="0"/>
        <w:spacing w:line="400" w:lineRule="exact"/>
        <w:ind w:firstLine="442" w:firstLineChars="200"/>
        <w:outlineLvl w:val="1"/>
        <w:rPr>
          <w:rFonts w:hint="eastAsia" w:ascii="宋体" w:hAnsi="宋体" w:eastAsia="宋体" w:cs="宋体"/>
          <w:b/>
          <w:color w:val="auto"/>
          <w:sz w:val="22"/>
          <w:szCs w:val="22"/>
          <w:highlight w:val="none"/>
        </w:rPr>
      </w:pPr>
      <w:bookmarkStart w:id="48" w:name="_Toc28641"/>
      <w:bookmarkStart w:id="49" w:name="_Toc26416"/>
      <w:r>
        <w:rPr>
          <w:rFonts w:hint="eastAsia" w:ascii="宋体" w:hAnsi="宋体" w:eastAsia="宋体" w:cs="宋体"/>
          <w:b/>
          <w:color w:val="auto"/>
          <w:sz w:val="22"/>
          <w:szCs w:val="22"/>
          <w:highlight w:val="none"/>
          <w:lang w:val="en"/>
        </w:rPr>
        <w:t>4.</w:t>
      </w:r>
      <w:r>
        <w:rPr>
          <w:rFonts w:hint="eastAsia" w:ascii="宋体" w:hAnsi="宋体" w:eastAsia="宋体" w:cs="宋体"/>
          <w:b/>
          <w:color w:val="auto"/>
          <w:sz w:val="22"/>
          <w:szCs w:val="22"/>
          <w:highlight w:val="none"/>
        </w:rPr>
        <w:t>付款条件</w:t>
      </w:r>
      <w:bookmarkEnd w:id="48"/>
      <w:bookmarkEnd w:id="49"/>
    </w:p>
    <w:p>
      <w:pPr>
        <w:pStyle w:val="38"/>
        <w:keepNext w:val="0"/>
        <w:keepLines w:val="0"/>
        <w:pageBreakBefore w:val="0"/>
        <w:widowControl w:val="0"/>
        <w:numPr>
          <w:ilvl w:val="0"/>
          <w:numId w:val="0"/>
        </w:numPr>
        <w:tabs>
          <w:tab w:val="left" w:pos="840"/>
        </w:tabs>
        <w:kinsoku/>
        <w:wordWrap/>
        <w:overflowPunct/>
        <w:topLinePunct w:val="0"/>
        <w:autoSpaceDE/>
        <w:autoSpaceDN/>
        <w:bidi w:val="0"/>
        <w:adjustRightInd w:val="0"/>
        <w:snapToGrid w:val="0"/>
        <w:spacing w:line="400" w:lineRule="exact"/>
        <w:ind w:firstLine="440" w:firstLineChars="20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合同以人民币结算，付款方式：</w:t>
      </w:r>
    </w:p>
    <w:p>
      <w:pPr>
        <w:keepNext w:val="0"/>
        <w:keepLines w:val="0"/>
        <w:pageBreakBefore w:val="0"/>
        <w:widowControl w:val="0"/>
        <w:kinsoku/>
        <w:wordWrap/>
        <w:overflowPunct/>
        <w:topLinePunct/>
        <w:autoSpaceDE w:val="0"/>
        <w:autoSpaceDN w:val="0"/>
        <w:bidi w:val="0"/>
        <w:snapToGrid w:val="0"/>
        <w:spacing w:line="400" w:lineRule="exact"/>
        <w:ind w:left="482" w:firstLine="480" w:firstLineChars="200"/>
        <w:outlineLvl w:val="1"/>
        <w:rPr>
          <w:rFonts w:hint="eastAsia" w:ascii="宋体" w:hAnsi="宋体" w:eastAsia="宋体" w:cs="宋体"/>
          <w:color w:val="auto"/>
          <w:sz w:val="24"/>
          <w:szCs w:val="24"/>
          <w:highlight w:val="none"/>
          <w:lang w:val="en-US" w:eastAsia="zh-CN"/>
        </w:rPr>
      </w:pPr>
      <w:bookmarkStart w:id="50" w:name="_Toc6077"/>
      <w:bookmarkStart w:id="51" w:name="_Toc28883"/>
      <w:r>
        <w:rPr>
          <w:rFonts w:hint="eastAsia" w:ascii="宋体" w:hAnsi="宋体" w:eastAsia="宋体" w:cs="宋体"/>
          <w:color w:val="auto"/>
          <w:sz w:val="24"/>
          <w:szCs w:val="24"/>
          <w:highlight w:val="none"/>
          <w:lang w:val="en-US" w:eastAsia="zh-CN"/>
        </w:rPr>
        <w:t>自合同生效之日起且人员按要求到位后，凭服务商付款申请报告和发票，采购人相应支付合同款项的20%;后续合同款项的80%凭服务商付款申请报告、发票及经采购人考核的评估报告，按季度平均支付，经验收结算后15日内支付上一季度应付款项。</w:t>
      </w:r>
    </w:p>
    <w:p>
      <w:pPr>
        <w:keepNext w:val="0"/>
        <w:keepLines w:val="0"/>
        <w:pageBreakBefore w:val="0"/>
        <w:widowControl w:val="0"/>
        <w:kinsoku/>
        <w:wordWrap/>
        <w:overflowPunct/>
        <w:topLinePunct/>
        <w:autoSpaceDE w:val="0"/>
        <w:autoSpaceDN w:val="0"/>
        <w:bidi w:val="0"/>
        <w:snapToGrid w:val="0"/>
        <w:spacing w:line="400" w:lineRule="exact"/>
        <w:ind w:left="482"/>
        <w:outlineLvl w:val="1"/>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rPr>
        <w:t>5. 合同签订</w:t>
      </w:r>
      <w:r>
        <w:rPr>
          <w:rFonts w:hint="eastAsia" w:ascii="宋体" w:hAnsi="宋体" w:eastAsia="宋体" w:cs="宋体"/>
          <w:b/>
          <w:color w:val="auto"/>
          <w:sz w:val="22"/>
          <w:szCs w:val="22"/>
          <w:highlight w:val="none"/>
          <w:lang w:eastAsia="zh-CN"/>
        </w:rPr>
        <w:t>及生效</w:t>
      </w:r>
      <w:bookmarkEnd w:id="50"/>
      <w:bookmarkEnd w:id="51"/>
    </w:p>
    <w:p>
      <w:pPr>
        <w:pStyle w:val="38"/>
        <w:keepNext w:val="0"/>
        <w:keepLines w:val="0"/>
        <w:pageBreakBefore w:val="0"/>
        <w:widowControl w:val="0"/>
        <w:numPr>
          <w:ilvl w:val="0"/>
          <w:numId w:val="0"/>
        </w:numPr>
        <w:tabs>
          <w:tab w:val="left" w:pos="840"/>
        </w:tabs>
        <w:kinsoku/>
        <w:wordWrap/>
        <w:overflowPunct/>
        <w:bidi w:val="0"/>
        <w:snapToGrid w:val="0"/>
        <w:spacing w:line="40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本合同一式</w:t>
      </w:r>
      <w:r>
        <w:rPr>
          <w:rFonts w:hint="eastAsia" w:ascii="宋体" w:hAnsi="宋体" w:eastAsia="宋体" w:cs="宋体"/>
          <w:color w:val="auto"/>
          <w:sz w:val="22"/>
          <w:szCs w:val="22"/>
          <w:highlight w:val="none"/>
          <w:u w:val="single"/>
          <w:lang w:val="en"/>
        </w:rPr>
        <w:t xml:space="preserve">   </w:t>
      </w:r>
      <w:r>
        <w:rPr>
          <w:rFonts w:hint="eastAsia" w:ascii="宋体" w:hAnsi="宋体" w:eastAsia="宋体" w:cs="宋体"/>
          <w:color w:val="auto"/>
          <w:sz w:val="22"/>
          <w:szCs w:val="22"/>
          <w:highlight w:val="none"/>
        </w:rPr>
        <w:t>份</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由甲乙双方</w:t>
      </w:r>
      <w:r>
        <w:rPr>
          <w:rFonts w:hint="eastAsia" w:ascii="宋体" w:hAnsi="宋体" w:eastAsia="宋体" w:cs="宋体"/>
          <w:color w:val="auto"/>
          <w:sz w:val="22"/>
          <w:szCs w:val="22"/>
          <w:highlight w:val="none"/>
          <w:lang w:eastAsia="zh-CN"/>
        </w:rPr>
        <w:t>法定代表人或被</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lang w:eastAsia="zh-CN"/>
        </w:rPr>
        <w:t>人</w:t>
      </w:r>
      <w:r>
        <w:rPr>
          <w:rFonts w:hint="eastAsia" w:ascii="宋体" w:hAnsi="宋体" w:eastAsia="宋体" w:cs="宋体"/>
          <w:color w:val="auto"/>
          <w:sz w:val="22"/>
          <w:szCs w:val="22"/>
          <w:highlight w:val="none"/>
        </w:rPr>
        <w:t>签字</w:t>
      </w:r>
      <w:r>
        <w:rPr>
          <w:rFonts w:hint="eastAsia" w:ascii="宋体" w:hAnsi="宋体" w:eastAsia="宋体" w:cs="宋体"/>
          <w:color w:val="auto"/>
          <w:sz w:val="22"/>
          <w:szCs w:val="22"/>
          <w:highlight w:val="none"/>
          <w:lang w:eastAsia="zh-CN"/>
        </w:rPr>
        <w:t>并</w:t>
      </w:r>
      <w:r>
        <w:rPr>
          <w:rFonts w:hint="eastAsia" w:ascii="宋体" w:hAnsi="宋体" w:eastAsia="宋体" w:cs="宋体"/>
          <w:color w:val="auto"/>
          <w:sz w:val="22"/>
          <w:szCs w:val="22"/>
          <w:highlight w:val="none"/>
        </w:rPr>
        <w:t>盖章</w:t>
      </w:r>
      <w:r>
        <w:rPr>
          <w:rFonts w:hint="eastAsia" w:ascii="宋体" w:hAnsi="宋体" w:eastAsia="宋体" w:cs="宋体"/>
          <w:color w:val="auto"/>
          <w:sz w:val="22"/>
          <w:szCs w:val="22"/>
          <w:highlight w:val="none"/>
          <w:lang w:eastAsia="zh-CN"/>
        </w:rPr>
        <w:t>后生效。</w:t>
      </w:r>
    </w:p>
    <w:p>
      <w:pPr>
        <w:pStyle w:val="38"/>
        <w:keepNext w:val="0"/>
        <w:keepLines w:val="0"/>
        <w:pageBreakBefore w:val="0"/>
        <w:widowControl w:val="0"/>
        <w:numPr>
          <w:ilvl w:val="0"/>
          <w:numId w:val="0"/>
        </w:numPr>
        <w:tabs>
          <w:tab w:val="left" w:pos="840"/>
        </w:tabs>
        <w:kinsoku/>
        <w:wordWrap/>
        <w:overflowPunct/>
        <w:bidi w:val="0"/>
        <w:snapToGri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乙方由</w:t>
      </w:r>
      <w:r>
        <w:rPr>
          <w:rFonts w:hint="eastAsia" w:ascii="宋体" w:hAnsi="宋体" w:eastAsia="宋体" w:cs="宋体"/>
          <w:color w:val="auto"/>
          <w:sz w:val="22"/>
          <w:szCs w:val="22"/>
          <w:highlight w:val="none"/>
          <w:lang w:eastAsia="zh-CN"/>
        </w:rPr>
        <w:t>法定代表人</w:t>
      </w:r>
      <w:r>
        <w:rPr>
          <w:rFonts w:hint="eastAsia" w:ascii="宋体" w:hAnsi="宋体" w:eastAsia="宋体" w:cs="宋体"/>
          <w:color w:val="auto"/>
          <w:sz w:val="22"/>
          <w:szCs w:val="22"/>
          <w:highlight w:val="none"/>
        </w:rPr>
        <w:t>签订合同的，应提供</w:t>
      </w:r>
      <w:r>
        <w:rPr>
          <w:rFonts w:hint="eastAsia" w:ascii="宋体" w:hAnsi="宋体" w:eastAsia="宋体" w:cs="宋体"/>
          <w:color w:val="auto"/>
          <w:sz w:val="22"/>
          <w:szCs w:val="22"/>
          <w:highlight w:val="none"/>
          <w:lang w:eastAsia="zh-CN"/>
        </w:rPr>
        <w:t>法定代表人</w:t>
      </w:r>
      <w:r>
        <w:rPr>
          <w:rFonts w:hint="eastAsia" w:ascii="宋体" w:hAnsi="宋体" w:eastAsia="宋体" w:cs="宋体"/>
          <w:color w:val="auto"/>
          <w:sz w:val="22"/>
          <w:szCs w:val="22"/>
          <w:highlight w:val="none"/>
        </w:rPr>
        <w:t>身份证复印件；乙方由</w:t>
      </w:r>
      <w:r>
        <w:rPr>
          <w:rFonts w:hint="eastAsia" w:ascii="宋体" w:hAnsi="宋体" w:eastAsia="宋体" w:cs="宋体"/>
          <w:color w:val="auto"/>
          <w:sz w:val="22"/>
          <w:szCs w:val="22"/>
          <w:highlight w:val="none"/>
          <w:lang w:eastAsia="zh-CN"/>
        </w:rPr>
        <w:t>被</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lang w:eastAsia="zh-CN"/>
        </w:rPr>
        <w:t>人</w:t>
      </w:r>
      <w:r>
        <w:rPr>
          <w:rFonts w:hint="eastAsia" w:ascii="宋体" w:hAnsi="宋体" w:eastAsia="宋体" w:cs="宋体"/>
          <w:color w:val="auto"/>
          <w:sz w:val="22"/>
          <w:szCs w:val="22"/>
          <w:highlight w:val="none"/>
        </w:rPr>
        <w:t>签订合同的，</w:t>
      </w:r>
      <w:r>
        <w:rPr>
          <w:rFonts w:hint="eastAsia" w:ascii="宋体" w:hAnsi="宋体" w:eastAsia="宋体" w:cs="宋体"/>
          <w:color w:val="auto"/>
          <w:sz w:val="22"/>
          <w:szCs w:val="22"/>
          <w:highlight w:val="none"/>
          <w:lang w:eastAsia="zh-CN"/>
        </w:rPr>
        <w:t>应</w:t>
      </w:r>
      <w:r>
        <w:rPr>
          <w:rFonts w:hint="eastAsia" w:ascii="宋体" w:hAnsi="宋体" w:eastAsia="宋体" w:cs="宋体"/>
          <w:color w:val="auto"/>
          <w:sz w:val="22"/>
          <w:szCs w:val="22"/>
          <w:highlight w:val="none"/>
        </w:rPr>
        <w:t>提供授权</w:t>
      </w:r>
      <w:r>
        <w:rPr>
          <w:rFonts w:hint="eastAsia" w:ascii="宋体" w:hAnsi="宋体" w:eastAsia="宋体" w:cs="宋体"/>
          <w:color w:val="auto"/>
          <w:sz w:val="22"/>
          <w:szCs w:val="22"/>
          <w:highlight w:val="none"/>
          <w:lang w:eastAsia="zh-CN"/>
        </w:rPr>
        <w:t>委托</w:t>
      </w:r>
      <w:r>
        <w:rPr>
          <w:rFonts w:hint="eastAsia" w:ascii="宋体" w:hAnsi="宋体" w:eastAsia="宋体" w:cs="宋体"/>
          <w:color w:val="auto"/>
          <w:sz w:val="22"/>
          <w:szCs w:val="22"/>
          <w:highlight w:val="none"/>
        </w:rPr>
        <w:t>书和</w:t>
      </w:r>
      <w:r>
        <w:rPr>
          <w:rFonts w:hint="eastAsia" w:ascii="宋体" w:hAnsi="宋体" w:eastAsia="宋体" w:cs="宋体"/>
          <w:color w:val="auto"/>
          <w:sz w:val="22"/>
          <w:szCs w:val="22"/>
          <w:highlight w:val="none"/>
          <w:lang w:eastAsia="zh-CN"/>
        </w:rPr>
        <w:t>法定代表人及被</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lang w:eastAsia="zh-CN"/>
        </w:rPr>
        <w:t>人</w:t>
      </w:r>
      <w:r>
        <w:rPr>
          <w:rFonts w:hint="eastAsia" w:ascii="宋体" w:hAnsi="宋体" w:eastAsia="宋体" w:cs="宋体"/>
          <w:color w:val="auto"/>
          <w:sz w:val="22"/>
          <w:szCs w:val="22"/>
          <w:highlight w:val="none"/>
        </w:rPr>
        <w:t>身份证复印件。</w:t>
      </w:r>
    </w:p>
    <w:p>
      <w:pPr>
        <w:keepNext w:val="0"/>
        <w:keepLines w:val="0"/>
        <w:pageBreakBefore w:val="0"/>
        <w:widowControl w:val="0"/>
        <w:tabs>
          <w:tab w:val="left" w:pos="700"/>
        </w:tabs>
        <w:kinsoku/>
        <w:wordWrap/>
        <w:overflowPunct/>
        <w:topLinePunct/>
        <w:autoSpaceDE w:val="0"/>
        <w:autoSpaceDN w:val="0"/>
        <w:bidi w:val="0"/>
        <w:spacing w:line="400" w:lineRule="exact"/>
        <w:ind w:left="36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甲方：国家税务总局</w:t>
      </w:r>
      <w:r>
        <w:rPr>
          <w:rFonts w:hint="eastAsia" w:ascii="宋体" w:hAnsi="宋体" w:eastAsia="宋体" w:cs="宋体"/>
          <w:color w:val="auto"/>
          <w:sz w:val="22"/>
          <w:szCs w:val="22"/>
          <w:highlight w:val="none"/>
          <w:lang w:eastAsia="zh-CN"/>
        </w:rPr>
        <w:t>南平市税务局</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乙方：</w:t>
      </w:r>
    </w:p>
    <w:p>
      <w:pPr>
        <w:keepNext w:val="0"/>
        <w:keepLines w:val="0"/>
        <w:pageBreakBefore w:val="0"/>
        <w:widowControl w:val="0"/>
        <w:tabs>
          <w:tab w:val="left" w:pos="700"/>
        </w:tabs>
        <w:kinsoku/>
        <w:wordWrap/>
        <w:overflowPunct/>
        <w:topLinePunct/>
        <w:autoSpaceDE w:val="0"/>
        <w:autoSpaceDN w:val="0"/>
        <w:bidi w:val="0"/>
        <w:spacing w:line="400" w:lineRule="exact"/>
        <w:ind w:left="36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签字：                                </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签字：</w:t>
      </w:r>
    </w:p>
    <w:p>
      <w:pPr>
        <w:keepNext w:val="0"/>
        <w:keepLines w:val="0"/>
        <w:pageBreakBefore w:val="0"/>
        <w:widowControl w:val="0"/>
        <w:tabs>
          <w:tab w:val="left" w:pos="700"/>
        </w:tabs>
        <w:kinsoku/>
        <w:wordWrap/>
        <w:overflowPunct/>
        <w:topLinePunct/>
        <w:autoSpaceDE w:val="0"/>
        <w:autoSpaceDN w:val="0"/>
        <w:bidi w:val="0"/>
        <w:spacing w:line="400" w:lineRule="exact"/>
        <w:ind w:left="36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盖章：                                 </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盖章： </w:t>
      </w:r>
    </w:p>
    <w:p>
      <w:pPr>
        <w:keepNext w:val="0"/>
        <w:keepLines w:val="0"/>
        <w:pageBreakBefore w:val="0"/>
        <w:widowControl w:val="0"/>
        <w:tabs>
          <w:tab w:val="left" w:pos="700"/>
        </w:tabs>
        <w:kinsoku/>
        <w:wordWrap/>
        <w:overflowPunct/>
        <w:topLinePunct/>
        <w:autoSpaceDE w:val="0"/>
        <w:autoSpaceDN w:val="0"/>
        <w:bidi w:val="0"/>
        <w:spacing w:line="400" w:lineRule="exact"/>
        <w:ind w:left="36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日期：    年    月    日              </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日期：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年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月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日</w:t>
      </w:r>
    </w:p>
    <w:p>
      <w:pPr>
        <w:topLinePunct/>
        <w:autoSpaceDE w:val="0"/>
        <w:autoSpaceDN w:val="0"/>
        <w:spacing w:line="460" w:lineRule="exact"/>
        <w:rPr>
          <w:rFonts w:hint="eastAsia" w:ascii="宋体" w:hAnsi="宋体" w:cs="宋体"/>
          <w:b/>
          <w:color w:val="auto"/>
          <w:sz w:val="24"/>
          <w:highlight w:val="none"/>
        </w:rPr>
      </w:pPr>
    </w:p>
    <w:p>
      <w:pPr>
        <w:topLinePunct/>
        <w:autoSpaceDE w:val="0"/>
        <w:autoSpaceDN w:val="0"/>
        <w:spacing w:line="460" w:lineRule="exact"/>
        <w:jc w:val="center"/>
        <w:rPr>
          <w:rFonts w:hint="eastAsia" w:ascii="宋体" w:hAnsi="宋体" w:eastAsia="宋体" w:cs="宋体"/>
          <w:b/>
          <w:color w:val="auto"/>
          <w:sz w:val="24"/>
          <w:highlight w:val="none"/>
          <w:lang w:eastAsia="zh-CN"/>
        </w:rPr>
      </w:pPr>
    </w:p>
    <w:p>
      <w:pPr>
        <w:topLinePunct/>
        <w:autoSpaceDE w:val="0"/>
        <w:autoSpaceDN w:val="0"/>
        <w:spacing w:line="460" w:lineRule="exact"/>
        <w:jc w:val="center"/>
        <w:rPr>
          <w:rFonts w:hint="eastAsia" w:ascii="宋体" w:hAnsi="宋体" w:eastAsia="宋体" w:cs="宋体"/>
          <w:b/>
          <w:color w:val="auto"/>
          <w:sz w:val="24"/>
          <w:highlight w:val="none"/>
          <w:lang w:eastAsia="zh-CN"/>
        </w:rPr>
      </w:pPr>
    </w:p>
    <w:p>
      <w:pPr>
        <w:keepNext w:val="0"/>
        <w:keepLines w:val="0"/>
        <w:pageBreakBefore w:val="0"/>
        <w:widowControl w:val="0"/>
        <w:kinsoku/>
        <w:wordWrap/>
        <w:overflowPunct/>
        <w:topLinePunct/>
        <w:autoSpaceDE w:val="0"/>
        <w:autoSpaceDN w:val="0"/>
        <w:bidi w:val="0"/>
        <w:adjustRightInd/>
        <w:snapToGrid/>
        <w:spacing w:line="360" w:lineRule="auto"/>
        <w:jc w:val="center"/>
        <w:textAlignment w:val="auto"/>
        <w:rPr>
          <w:rFonts w:hint="eastAsia" w:ascii="宋体" w:hAnsi="宋体" w:cs="宋体"/>
          <w:b/>
          <w:color w:val="auto"/>
          <w:sz w:val="24"/>
          <w:highlight w:val="none"/>
        </w:rPr>
      </w:pPr>
      <w:r>
        <w:rPr>
          <w:rFonts w:ascii="宋体" w:hAnsi="宋体" w:cs="宋体"/>
          <w:b/>
          <w:color w:val="auto"/>
          <w:sz w:val="24"/>
          <w:highlight w:val="none"/>
        </w:rPr>
        <w:br w:type="page"/>
      </w:r>
      <w:r>
        <w:rPr>
          <w:rFonts w:hint="eastAsia" w:ascii="宋体" w:hAnsi="宋体" w:cs="宋体"/>
          <w:b/>
          <w:color w:val="auto"/>
          <w:sz w:val="24"/>
          <w:highlight w:val="none"/>
        </w:rPr>
        <w:t>二   合 同 通 用 条 款</w:t>
      </w:r>
    </w:p>
    <w:p>
      <w:pPr>
        <w:keepNext w:val="0"/>
        <w:keepLines w:val="0"/>
        <w:pageBreakBefore w:val="0"/>
        <w:widowControl w:val="0"/>
        <w:kinsoku/>
        <w:wordWrap/>
        <w:overflowPunct/>
        <w:topLinePunct/>
        <w:autoSpaceDE w:val="0"/>
        <w:autoSpaceDN w:val="0"/>
        <w:bidi w:val="0"/>
        <w:adjustRightInd/>
        <w:snapToGrid/>
        <w:spacing w:line="400" w:lineRule="exact"/>
        <w:ind w:firstLine="442" w:firstLineChars="200"/>
        <w:textAlignment w:val="auto"/>
        <w:outlineLvl w:val="1"/>
        <w:rPr>
          <w:rFonts w:hint="eastAsia" w:ascii="宋体" w:hAnsi="宋体" w:eastAsia="宋体" w:cs="宋体"/>
          <w:b/>
          <w:color w:val="auto"/>
          <w:sz w:val="22"/>
          <w:szCs w:val="22"/>
          <w:highlight w:val="none"/>
        </w:rPr>
      </w:pPr>
      <w:bookmarkStart w:id="52" w:name="_Toc30156"/>
      <w:bookmarkStart w:id="53" w:name="_Toc19962"/>
      <w:r>
        <w:rPr>
          <w:rFonts w:hint="eastAsia" w:ascii="宋体" w:hAnsi="宋体" w:eastAsia="宋体" w:cs="宋体"/>
          <w:b/>
          <w:color w:val="auto"/>
          <w:sz w:val="22"/>
          <w:szCs w:val="22"/>
          <w:highlight w:val="none"/>
        </w:rPr>
        <w:t>1. 定义</w:t>
      </w:r>
      <w:bookmarkEnd w:id="52"/>
      <w:bookmarkEnd w:id="53"/>
    </w:p>
    <w:p>
      <w:pPr>
        <w:keepNext w:val="0"/>
        <w:keepLines w:val="0"/>
        <w:pageBreakBefore w:val="0"/>
        <w:widowControl w:val="0"/>
        <w:kinsoku/>
        <w:wordWrap/>
        <w:overflowPunct/>
        <w:topLinePunct/>
        <w:autoSpaceDE w:val="0"/>
        <w:autoSpaceDN w:val="0"/>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本合同下列术语应解释为：</w:t>
      </w:r>
    </w:p>
    <w:p>
      <w:pPr>
        <w:keepNext w:val="0"/>
        <w:keepLines w:val="0"/>
        <w:pageBreakBefore w:val="0"/>
        <w:widowControl w:val="0"/>
        <w:tabs>
          <w:tab w:val="left" w:pos="700"/>
        </w:tabs>
        <w:kinsoku/>
        <w:wordWrap/>
        <w:overflowPunct/>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1.1“甲方”是指</w:t>
      </w:r>
      <w:r>
        <w:rPr>
          <w:rFonts w:hint="eastAsia" w:ascii="宋体" w:hAnsi="宋体" w:eastAsia="宋体" w:cs="宋体"/>
          <w:color w:val="auto"/>
          <w:sz w:val="22"/>
          <w:szCs w:val="22"/>
          <w:highlight w:val="none"/>
          <w:u w:val="single"/>
        </w:rPr>
        <w:t>国家税务总局</w:t>
      </w:r>
      <w:r>
        <w:rPr>
          <w:rFonts w:hint="eastAsia" w:ascii="宋体" w:hAnsi="宋体" w:eastAsia="宋体" w:cs="宋体"/>
          <w:color w:val="auto"/>
          <w:sz w:val="22"/>
          <w:szCs w:val="22"/>
          <w:highlight w:val="none"/>
          <w:u w:val="single"/>
          <w:lang w:eastAsia="zh-CN"/>
        </w:rPr>
        <w:t>南平市税务局</w:t>
      </w:r>
      <w:r>
        <w:rPr>
          <w:rFonts w:hint="eastAsia" w:ascii="宋体" w:hAnsi="宋体" w:eastAsia="宋体" w:cs="宋体"/>
          <w:color w:val="auto"/>
          <w:sz w:val="22"/>
          <w:szCs w:val="22"/>
          <w:highlight w:val="none"/>
        </w:rPr>
        <w:t>。</w:t>
      </w:r>
    </w:p>
    <w:p>
      <w:pPr>
        <w:keepNext w:val="0"/>
        <w:keepLines w:val="0"/>
        <w:pageBreakBefore w:val="0"/>
        <w:widowControl w:val="0"/>
        <w:tabs>
          <w:tab w:val="left" w:pos="700"/>
        </w:tabs>
        <w:kinsoku/>
        <w:wordWrap/>
        <w:overflowPunct/>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1.1.1“甲方采购部门”见“合同条款前附表”第</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项“甲方采购部门”。</w:t>
      </w:r>
    </w:p>
    <w:p>
      <w:pPr>
        <w:keepNext w:val="0"/>
        <w:keepLines w:val="0"/>
        <w:pageBreakBefore w:val="0"/>
        <w:widowControl w:val="0"/>
        <w:tabs>
          <w:tab w:val="left" w:pos="700"/>
        </w:tabs>
        <w:kinsoku/>
        <w:wordWrap/>
        <w:overflowPunct/>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1.1.2“甲方</w:t>
      </w:r>
      <w:r>
        <w:rPr>
          <w:rFonts w:hint="eastAsia" w:ascii="宋体" w:hAnsi="宋体" w:eastAsia="宋体" w:cs="宋体"/>
          <w:color w:val="auto"/>
          <w:sz w:val="22"/>
          <w:szCs w:val="22"/>
          <w:highlight w:val="none"/>
          <w:lang w:eastAsia="zh-CN"/>
        </w:rPr>
        <w:t>需求部门</w:t>
      </w:r>
      <w:r>
        <w:rPr>
          <w:rFonts w:hint="eastAsia" w:ascii="宋体" w:hAnsi="宋体" w:eastAsia="宋体" w:cs="宋体"/>
          <w:color w:val="auto"/>
          <w:sz w:val="22"/>
          <w:szCs w:val="22"/>
          <w:highlight w:val="none"/>
        </w:rPr>
        <w:t>”见“合同条款前附表”第</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项“甲方</w:t>
      </w:r>
      <w:r>
        <w:rPr>
          <w:rFonts w:hint="eastAsia" w:ascii="宋体" w:hAnsi="宋体" w:eastAsia="宋体" w:cs="宋体"/>
          <w:color w:val="auto"/>
          <w:sz w:val="22"/>
          <w:szCs w:val="22"/>
          <w:highlight w:val="none"/>
          <w:lang w:eastAsia="zh-CN"/>
        </w:rPr>
        <w:t>需求部门</w:t>
      </w:r>
      <w:r>
        <w:rPr>
          <w:rFonts w:hint="eastAsia" w:ascii="宋体" w:hAnsi="宋体" w:eastAsia="宋体" w:cs="宋体"/>
          <w:color w:val="auto"/>
          <w:sz w:val="22"/>
          <w:szCs w:val="22"/>
          <w:highlight w:val="none"/>
        </w:rPr>
        <w:t>”。</w:t>
      </w:r>
    </w:p>
    <w:p>
      <w:pPr>
        <w:keepNext w:val="0"/>
        <w:keepLines w:val="0"/>
        <w:pageBreakBefore w:val="0"/>
        <w:widowControl w:val="0"/>
        <w:tabs>
          <w:tab w:val="left" w:pos="700"/>
        </w:tabs>
        <w:kinsoku/>
        <w:wordWrap/>
        <w:overflowPunct/>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1.2“乙方”见“合同条款前附表”第</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项“乙方名称”。</w:t>
      </w:r>
    </w:p>
    <w:p>
      <w:pPr>
        <w:keepNext w:val="0"/>
        <w:keepLines w:val="0"/>
        <w:pageBreakBefore w:val="0"/>
        <w:widowControl w:val="0"/>
        <w:tabs>
          <w:tab w:val="left" w:pos="700"/>
        </w:tabs>
        <w:kinsoku/>
        <w:wordWrap/>
        <w:overflowPunct/>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 “合同”系指甲乙双方签订的、合同格式中载明的甲乙双方所达成的协议，包括所有的附件、附录和上述文件所提到的构成合同的所有文件。</w:t>
      </w:r>
    </w:p>
    <w:p>
      <w:pPr>
        <w:keepNext w:val="0"/>
        <w:keepLines w:val="0"/>
        <w:pageBreakBefore w:val="0"/>
        <w:widowControl w:val="0"/>
        <w:kinsoku/>
        <w:wordWrap/>
        <w:overflowPunct/>
        <w:topLinePunct/>
        <w:autoSpaceDE w:val="0"/>
        <w:autoSpaceDN w:val="0"/>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 “天”除非特别指出，“天”均为自然天。</w:t>
      </w:r>
    </w:p>
    <w:p>
      <w:pPr>
        <w:keepNext w:val="0"/>
        <w:keepLines w:val="0"/>
        <w:pageBreakBefore w:val="0"/>
        <w:widowControl w:val="0"/>
        <w:kinsoku/>
        <w:wordWrap/>
        <w:overflowPunct/>
        <w:topLinePunct/>
        <w:autoSpaceDE w:val="0"/>
        <w:autoSpaceDN w:val="0"/>
        <w:bidi w:val="0"/>
        <w:adjustRightInd/>
        <w:snapToGrid/>
        <w:spacing w:line="400" w:lineRule="exact"/>
        <w:ind w:firstLine="442" w:firstLineChars="200"/>
        <w:textAlignment w:val="auto"/>
        <w:outlineLvl w:val="1"/>
        <w:rPr>
          <w:rFonts w:hint="eastAsia" w:ascii="宋体" w:hAnsi="宋体" w:eastAsia="宋体" w:cs="宋体"/>
          <w:b/>
          <w:color w:val="auto"/>
          <w:sz w:val="22"/>
          <w:szCs w:val="22"/>
          <w:highlight w:val="none"/>
        </w:rPr>
      </w:pPr>
      <w:bookmarkStart w:id="54" w:name="_Toc24368"/>
      <w:bookmarkStart w:id="55" w:name="_Toc13700"/>
      <w:r>
        <w:rPr>
          <w:rFonts w:hint="eastAsia" w:ascii="宋体" w:hAnsi="宋体" w:eastAsia="宋体" w:cs="宋体"/>
          <w:b/>
          <w:color w:val="auto"/>
          <w:sz w:val="22"/>
          <w:szCs w:val="22"/>
          <w:highlight w:val="none"/>
        </w:rPr>
        <w:t>2. 标准</w:t>
      </w:r>
      <w:bookmarkEnd w:id="54"/>
      <w:bookmarkEnd w:id="55"/>
    </w:p>
    <w:p>
      <w:pPr>
        <w:keepNext w:val="0"/>
        <w:keepLines w:val="0"/>
        <w:pageBreakBefore w:val="0"/>
        <w:widowControl w:val="0"/>
        <w:kinsoku/>
        <w:wordWrap/>
        <w:overflowPunct/>
        <w:topLinePunct/>
        <w:autoSpaceDE w:val="0"/>
        <w:autoSpaceDN w:val="0"/>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 乙方为甲方</w:t>
      </w:r>
      <w:r>
        <w:rPr>
          <w:rFonts w:hint="eastAsia" w:ascii="宋体" w:hAnsi="宋体" w:eastAsia="宋体" w:cs="宋体"/>
          <w:color w:val="auto"/>
          <w:sz w:val="22"/>
          <w:szCs w:val="22"/>
          <w:highlight w:val="none"/>
          <w:lang w:eastAsia="zh-CN"/>
        </w:rPr>
        <w:t>交付或</w:t>
      </w:r>
      <w:r>
        <w:rPr>
          <w:rFonts w:hint="eastAsia" w:ascii="宋体" w:hAnsi="宋体" w:eastAsia="宋体" w:cs="宋体"/>
          <w:color w:val="auto"/>
          <w:sz w:val="22"/>
          <w:szCs w:val="22"/>
          <w:highlight w:val="none"/>
        </w:rPr>
        <w:t>提供的服务应符合</w:t>
      </w:r>
      <w:r>
        <w:rPr>
          <w:rFonts w:hint="eastAsia" w:ascii="宋体" w:hAnsi="宋体" w:eastAsia="宋体" w:cs="宋体"/>
          <w:color w:val="auto"/>
          <w:sz w:val="22"/>
          <w:szCs w:val="22"/>
          <w:highlight w:val="none"/>
          <w:lang w:eastAsia="zh-CN"/>
        </w:rPr>
        <w:t>招标（采购）文件</w:t>
      </w:r>
      <w:r>
        <w:rPr>
          <w:rFonts w:hint="eastAsia" w:ascii="宋体" w:hAnsi="宋体" w:eastAsia="宋体" w:cs="宋体"/>
          <w:color w:val="auto"/>
          <w:sz w:val="22"/>
          <w:szCs w:val="22"/>
          <w:highlight w:val="none"/>
        </w:rPr>
        <w:t>所述的</w:t>
      </w:r>
      <w:r>
        <w:rPr>
          <w:rFonts w:hint="eastAsia" w:ascii="宋体" w:hAnsi="宋体" w:eastAsia="宋体" w:cs="宋体"/>
          <w:color w:val="auto"/>
          <w:sz w:val="22"/>
          <w:szCs w:val="22"/>
          <w:highlight w:val="none"/>
          <w:lang w:eastAsia="zh-CN"/>
        </w:rPr>
        <w:t>标准</w:t>
      </w:r>
      <w:r>
        <w:rPr>
          <w:rFonts w:hint="eastAsia" w:ascii="宋体" w:hAnsi="宋体" w:eastAsia="宋体" w:cs="宋体"/>
          <w:color w:val="auto"/>
          <w:sz w:val="22"/>
          <w:szCs w:val="22"/>
          <w:highlight w:val="none"/>
        </w:rPr>
        <w:t>，如果没有提及适用标准，则应符合相应的国家标准。这些标准必须是有关机构发布的最新版本的标准。</w:t>
      </w:r>
    </w:p>
    <w:p>
      <w:pPr>
        <w:keepNext w:val="0"/>
        <w:keepLines w:val="0"/>
        <w:pageBreakBefore w:val="0"/>
        <w:widowControl w:val="0"/>
        <w:kinsoku/>
        <w:wordWrap/>
        <w:overflowPunct/>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 除非技术要求中另有规定，计量单位均采用中华人民共和国法定计量单位。</w:t>
      </w:r>
    </w:p>
    <w:p>
      <w:pPr>
        <w:keepNext w:val="0"/>
        <w:keepLines w:val="0"/>
        <w:pageBreakBefore w:val="0"/>
        <w:widowControl w:val="0"/>
        <w:kinsoku/>
        <w:wordWrap/>
        <w:overflowPunct/>
        <w:bidi w:val="0"/>
        <w:adjustRightInd/>
        <w:snapToGrid/>
        <w:spacing w:line="400" w:lineRule="exact"/>
        <w:ind w:firstLine="442" w:firstLineChars="200"/>
        <w:textAlignment w:val="auto"/>
        <w:outlineLvl w:val="1"/>
        <w:rPr>
          <w:rFonts w:hint="eastAsia" w:ascii="宋体" w:hAnsi="宋体" w:eastAsia="宋体" w:cs="宋体"/>
          <w:b/>
          <w:color w:val="auto"/>
          <w:sz w:val="22"/>
          <w:szCs w:val="22"/>
          <w:highlight w:val="none"/>
        </w:rPr>
      </w:pPr>
      <w:bookmarkStart w:id="56" w:name="_Toc25879"/>
      <w:bookmarkStart w:id="57" w:name="_Toc24638"/>
      <w:r>
        <w:rPr>
          <w:rFonts w:hint="eastAsia" w:ascii="宋体" w:hAnsi="宋体" w:eastAsia="宋体" w:cs="宋体"/>
          <w:b/>
          <w:color w:val="auto"/>
          <w:sz w:val="22"/>
          <w:szCs w:val="22"/>
          <w:highlight w:val="none"/>
        </w:rPr>
        <w:t>3. 服务</w:t>
      </w:r>
      <w:bookmarkEnd w:id="56"/>
      <w:bookmarkEnd w:id="57"/>
    </w:p>
    <w:p>
      <w:pPr>
        <w:keepNext w:val="0"/>
        <w:keepLines w:val="0"/>
        <w:pageBreakBefore w:val="0"/>
        <w:widowControl w:val="0"/>
        <w:tabs>
          <w:tab w:val="left" w:pos="700"/>
        </w:tabs>
        <w:kinsoku/>
        <w:wordWrap/>
        <w:overflowPunct/>
        <w:bidi w:val="0"/>
        <w:adjustRightInd/>
        <w:snapToGrid/>
        <w:spacing w:line="400" w:lineRule="exact"/>
        <w:ind w:firstLine="440"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3.1 本项目的“服务”见“合同条款前附表”第</w:t>
      </w:r>
      <w:r>
        <w:rPr>
          <w:rFonts w:hint="eastAsia" w:ascii="宋体" w:hAnsi="宋体" w:eastAsia="宋体" w:cs="宋体"/>
          <w:bCs/>
          <w:color w:val="auto"/>
          <w:sz w:val="22"/>
          <w:szCs w:val="22"/>
          <w:highlight w:val="none"/>
          <w:lang w:val="en-US" w:eastAsia="zh-CN"/>
        </w:rPr>
        <w:t>8</w:t>
      </w:r>
      <w:r>
        <w:rPr>
          <w:rFonts w:hint="eastAsia" w:ascii="宋体" w:hAnsi="宋体" w:eastAsia="宋体" w:cs="宋体"/>
          <w:bCs/>
          <w:color w:val="auto"/>
          <w:sz w:val="22"/>
          <w:szCs w:val="22"/>
          <w:highlight w:val="none"/>
        </w:rPr>
        <w:t>项“服务内容”。</w:t>
      </w:r>
    </w:p>
    <w:p>
      <w:pPr>
        <w:keepNext w:val="0"/>
        <w:keepLines w:val="0"/>
        <w:pageBreakBefore w:val="0"/>
        <w:widowControl w:val="0"/>
        <w:kinsoku/>
        <w:wordWrap/>
        <w:overflowPunct/>
        <w:topLinePunct/>
        <w:autoSpaceDE w:val="0"/>
        <w:autoSpaceDN w:val="0"/>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 乙方应保证所提供的服务符合合同规定的技术要求。如不符时，乙方应负全责并尽快处理解决，由此造成的损失和相关费用由乙方负责，甲方保留终止合同及索赔的权利。</w:t>
      </w:r>
    </w:p>
    <w:p>
      <w:pPr>
        <w:keepNext w:val="0"/>
        <w:keepLines w:val="0"/>
        <w:pageBreakBefore w:val="0"/>
        <w:widowControl w:val="0"/>
        <w:kinsoku/>
        <w:wordWrap/>
        <w:overflowPunct/>
        <w:topLinePunct/>
        <w:autoSpaceDE w:val="0"/>
        <w:autoSpaceDN w:val="0"/>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 乙方应保证通过执行合同中全部方案后，可以取得本合同</w:t>
      </w:r>
      <w:r>
        <w:rPr>
          <w:rFonts w:hint="eastAsia" w:ascii="宋体" w:hAnsi="宋体" w:eastAsia="宋体" w:cs="宋体"/>
          <w:color w:val="auto"/>
          <w:sz w:val="22"/>
          <w:szCs w:val="22"/>
          <w:highlight w:val="none"/>
          <w:lang w:eastAsia="zh-CN"/>
        </w:rPr>
        <w:t>约定</w:t>
      </w:r>
      <w:r>
        <w:rPr>
          <w:rFonts w:hint="eastAsia" w:ascii="宋体" w:hAnsi="宋体" w:eastAsia="宋体" w:cs="宋体"/>
          <w:color w:val="auto"/>
          <w:sz w:val="22"/>
          <w:szCs w:val="22"/>
          <w:highlight w:val="none"/>
        </w:rPr>
        <w:t>的结果，达到本合同</w:t>
      </w:r>
      <w:r>
        <w:rPr>
          <w:rFonts w:hint="eastAsia" w:ascii="宋体" w:hAnsi="宋体" w:eastAsia="宋体" w:cs="宋体"/>
          <w:color w:val="auto"/>
          <w:sz w:val="22"/>
          <w:szCs w:val="22"/>
          <w:highlight w:val="none"/>
          <w:lang w:eastAsia="zh-CN"/>
        </w:rPr>
        <w:t>约定</w:t>
      </w:r>
      <w:r>
        <w:rPr>
          <w:rFonts w:hint="eastAsia" w:ascii="宋体" w:hAnsi="宋体" w:eastAsia="宋体" w:cs="宋体"/>
          <w:color w:val="auto"/>
          <w:sz w:val="22"/>
          <w:szCs w:val="22"/>
          <w:highlight w:val="none"/>
        </w:rPr>
        <w:t>的预期目标。对任何情况下出现的问题，应尽快提出解决方案。</w:t>
      </w:r>
    </w:p>
    <w:p>
      <w:pPr>
        <w:keepNext w:val="0"/>
        <w:keepLines w:val="0"/>
        <w:pageBreakBefore w:val="0"/>
        <w:widowControl w:val="0"/>
        <w:tabs>
          <w:tab w:val="left" w:pos="0"/>
          <w:tab w:val="left" w:pos="540"/>
        </w:tabs>
        <w:kinsoku/>
        <w:wordWrap/>
        <w:overflowPunct/>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 如果乙方提供的服务和解决方案不符合甲方要求，或在规定的时间内没有弥补缺陷，甲方有权采取一切必要的补救措施，由此产生的费用全部由乙方负责。</w:t>
      </w:r>
    </w:p>
    <w:p>
      <w:pPr>
        <w:keepNext w:val="0"/>
        <w:keepLines w:val="0"/>
        <w:pageBreakBefore w:val="0"/>
        <w:widowControl w:val="0"/>
        <w:kinsoku/>
        <w:wordWrap/>
        <w:overflowPunct/>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 除合同条款另行规定外，伴随服务的费用应含在合同价中，不单独进行支付。</w:t>
      </w:r>
    </w:p>
    <w:p>
      <w:pPr>
        <w:keepNext w:val="0"/>
        <w:keepLines w:val="0"/>
        <w:pageBreakBefore w:val="0"/>
        <w:widowControl w:val="0"/>
        <w:tabs>
          <w:tab w:val="left" w:pos="0"/>
          <w:tab w:val="left" w:pos="540"/>
        </w:tabs>
        <w:kinsoku/>
        <w:wordWrap/>
        <w:overflowPunct/>
        <w:bidi w:val="0"/>
        <w:adjustRightInd/>
        <w:snapToGrid/>
        <w:spacing w:line="400" w:lineRule="exact"/>
        <w:ind w:firstLine="442" w:firstLineChars="200"/>
        <w:textAlignment w:val="auto"/>
        <w:outlineLvl w:val="1"/>
        <w:rPr>
          <w:rFonts w:hint="eastAsia" w:ascii="宋体" w:hAnsi="宋体" w:eastAsia="宋体" w:cs="宋体"/>
          <w:b/>
          <w:color w:val="auto"/>
          <w:sz w:val="22"/>
          <w:szCs w:val="22"/>
          <w:highlight w:val="none"/>
        </w:rPr>
      </w:pPr>
      <w:bookmarkStart w:id="58" w:name="_Toc3471"/>
      <w:bookmarkStart w:id="59" w:name="_Toc14903"/>
      <w:r>
        <w:rPr>
          <w:rFonts w:hint="eastAsia" w:ascii="宋体" w:hAnsi="宋体" w:eastAsia="宋体" w:cs="宋体"/>
          <w:b/>
          <w:color w:val="auto"/>
          <w:sz w:val="22"/>
          <w:szCs w:val="22"/>
          <w:highlight w:val="none"/>
        </w:rPr>
        <w:t>4. 知识产权</w:t>
      </w:r>
      <w:bookmarkEnd w:id="58"/>
      <w:bookmarkEnd w:id="59"/>
    </w:p>
    <w:p>
      <w:pPr>
        <w:keepNext w:val="0"/>
        <w:keepLines w:val="0"/>
        <w:pageBreakBefore w:val="0"/>
        <w:widowControl w:val="0"/>
        <w:kinsoku/>
        <w:wordWrap/>
        <w:overflowPunct/>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 乙方应保证所提供</w:t>
      </w:r>
      <w:r>
        <w:rPr>
          <w:rFonts w:hint="eastAsia" w:ascii="宋体" w:hAnsi="宋体" w:eastAsia="宋体" w:cs="宋体"/>
          <w:color w:val="auto"/>
          <w:sz w:val="22"/>
          <w:szCs w:val="22"/>
          <w:highlight w:val="none"/>
          <w:lang w:eastAsia="zh-CN"/>
        </w:rPr>
        <w:t>的</w:t>
      </w:r>
      <w:r>
        <w:rPr>
          <w:rFonts w:hint="eastAsia" w:ascii="宋体" w:hAnsi="宋体" w:eastAsia="宋体" w:cs="宋体"/>
          <w:color w:val="auto"/>
          <w:sz w:val="22"/>
          <w:szCs w:val="22"/>
          <w:highlight w:val="none"/>
        </w:rPr>
        <w:t>服务免受第三方提出侵犯其知识产权（专利权、商标权、</w:t>
      </w:r>
      <w:r>
        <w:rPr>
          <w:rFonts w:hint="eastAsia" w:ascii="宋体" w:hAnsi="宋体" w:eastAsia="宋体" w:cs="宋体"/>
          <w:color w:val="auto"/>
          <w:sz w:val="22"/>
          <w:szCs w:val="22"/>
          <w:highlight w:val="none"/>
          <w:lang w:eastAsia="zh-CN"/>
        </w:rPr>
        <w:t>软件著作权、</w:t>
      </w:r>
      <w:r>
        <w:rPr>
          <w:rFonts w:hint="eastAsia" w:ascii="宋体" w:hAnsi="宋体" w:eastAsia="宋体" w:cs="宋体"/>
          <w:color w:val="auto"/>
          <w:sz w:val="22"/>
          <w:szCs w:val="22"/>
          <w:highlight w:val="none"/>
        </w:rPr>
        <w:t>版权等）的起诉。</w:t>
      </w:r>
    </w:p>
    <w:p>
      <w:pPr>
        <w:keepNext w:val="0"/>
        <w:keepLines w:val="0"/>
        <w:pageBreakBefore w:val="0"/>
        <w:widowControl w:val="0"/>
        <w:tabs>
          <w:tab w:val="left" w:pos="0"/>
          <w:tab w:val="left" w:pos="540"/>
        </w:tabs>
        <w:kinsoku/>
        <w:wordWrap/>
        <w:overflowPunct/>
        <w:topLinePunct/>
        <w:autoSpaceDE w:val="0"/>
        <w:autoSpaceDN w:val="0"/>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 甲方对项目实施过程中所产生的所有成果（包括发明、发现、可运行系统、源代码及相关技术资料、文档等）享有永久使用权、复制权和修改权，其专利申请权、专利权、软件著作权、技术秘密的所有权、使用权、转让权等知识产权归甲方所有。</w:t>
      </w:r>
    </w:p>
    <w:p>
      <w:pPr>
        <w:keepNext w:val="0"/>
        <w:keepLines w:val="0"/>
        <w:pageBreakBefore w:val="0"/>
        <w:widowControl w:val="0"/>
        <w:tabs>
          <w:tab w:val="left" w:pos="0"/>
          <w:tab w:val="left" w:pos="540"/>
        </w:tabs>
        <w:kinsoku/>
        <w:wordWrap/>
        <w:overflowPunct/>
        <w:topLinePunct/>
        <w:autoSpaceDE w:val="0"/>
        <w:autoSpaceDN w:val="0"/>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 乙方不得利用本项目实施过程中所产生的成果（包括发明、发现、可运行系统、源代码及相关技术资料、文档等），另行自行开发本合同业务范围内供纳税人</w:t>
      </w:r>
      <w:r>
        <w:rPr>
          <w:rFonts w:hint="eastAsia" w:ascii="宋体" w:hAnsi="宋体" w:eastAsia="宋体" w:cs="宋体"/>
          <w:color w:val="auto"/>
          <w:sz w:val="22"/>
          <w:szCs w:val="22"/>
          <w:highlight w:val="none"/>
          <w:lang w:eastAsia="zh-CN"/>
        </w:rPr>
        <w:t>缴费人</w:t>
      </w:r>
      <w:r>
        <w:rPr>
          <w:rFonts w:hint="eastAsia" w:ascii="宋体" w:hAnsi="宋体" w:eastAsia="宋体" w:cs="宋体"/>
          <w:color w:val="auto"/>
          <w:sz w:val="22"/>
          <w:szCs w:val="22"/>
          <w:highlight w:val="none"/>
        </w:rPr>
        <w:t>使用的软件或产品，不得利用开发便利变相收费或搭车收费。</w:t>
      </w:r>
    </w:p>
    <w:p>
      <w:pPr>
        <w:keepNext w:val="0"/>
        <w:keepLines w:val="0"/>
        <w:pageBreakBefore w:val="0"/>
        <w:widowControl w:val="0"/>
        <w:kinsoku/>
        <w:wordWrap/>
        <w:overflowPunct/>
        <w:bidi w:val="0"/>
        <w:adjustRightInd/>
        <w:snapToGrid/>
        <w:spacing w:line="400" w:lineRule="exact"/>
        <w:ind w:firstLine="442" w:firstLineChars="200"/>
        <w:textAlignment w:val="auto"/>
        <w:outlineLvl w:val="1"/>
        <w:rPr>
          <w:rFonts w:hint="eastAsia" w:ascii="宋体" w:hAnsi="宋体" w:eastAsia="宋体" w:cs="宋体"/>
          <w:b/>
          <w:color w:val="auto"/>
          <w:sz w:val="22"/>
          <w:szCs w:val="22"/>
          <w:highlight w:val="none"/>
        </w:rPr>
      </w:pPr>
      <w:bookmarkStart w:id="60" w:name="_Toc3072"/>
      <w:bookmarkStart w:id="61" w:name="_Toc31645"/>
      <w:r>
        <w:rPr>
          <w:rFonts w:hint="eastAsia" w:ascii="宋体" w:hAnsi="宋体" w:eastAsia="宋体" w:cs="宋体"/>
          <w:b/>
          <w:color w:val="auto"/>
          <w:sz w:val="22"/>
          <w:szCs w:val="22"/>
          <w:highlight w:val="none"/>
        </w:rPr>
        <w:t>5. 保密条款</w:t>
      </w:r>
      <w:bookmarkEnd w:id="60"/>
      <w:bookmarkEnd w:id="61"/>
    </w:p>
    <w:p>
      <w:pPr>
        <w:keepNext w:val="0"/>
        <w:keepLines w:val="0"/>
        <w:pageBreakBefore w:val="0"/>
        <w:widowControl w:val="0"/>
        <w:kinsoku/>
        <w:wordWrap/>
        <w:overflowPunct/>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 甲乙双方应对在本合同签订或履行过程中所接触的对方信息，包括但不限于知识产权、技术资料、技术诀窍、内部管理及其他相关信息，负有保密义务。</w:t>
      </w:r>
    </w:p>
    <w:p>
      <w:pPr>
        <w:keepNext w:val="0"/>
        <w:keepLines w:val="0"/>
        <w:pageBreakBefore w:val="0"/>
        <w:widowControl w:val="0"/>
        <w:kinsoku/>
        <w:wordWrap/>
        <w:overflowPunct/>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 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pPr>
        <w:keepNext w:val="0"/>
        <w:keepLines w:val="0"/>
        <w:pageBreakBefore w:val="0"/>
        <w:widowControl w:val="0"/>
        <w:kinsoku/>
        <w:wordWrap/>
        <w:overflowPunct/>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应以审慎态度避免泄漏、公开或传播甲方的信息；</w:t>
      </w:r>
    </w:p>
    <w:p>
      <w:pPr>
        <w:keepNext w:val="0"/>
        <w:keepLines w:val="0"/>
        <w:pageBreakBefore w:val="0"/>
        <w:widowControl w:val="0"/>
        <w:kinsoku/>
        <w:wordWrap/>
        <w:overflowPunct/>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在开发过程中对数据的处理方式应事先得到甲方的许可；</w:t>
      </w:r>
    </w:p>
    <w:p>
      <w:pPr>
        <w:keepNext w:val="0"/>
        <w:keepLines w:val="0"/>
        <w:pageBreakBefore w:val="0"/>
        <w:widowControl w:val="0"/>
        <w:kinsoku/>
        <w:wordWrap/>
        <w:overflowPunct/>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未经甲方书面许可，不得对有关信息进行修改、补充、复制；</w:t>
      </w:r>
    </w:p>
    <w:p>
      <w:pPr>
        <w:keepNext w:val="0"/>
        <w:keepLines w:val="0"/>
        <w:pageBreakBefore w:val="0"/>
        <w:widowControl w:val="0"/>
        <w:kinsoku/>
        <w:wordWrap/>
        <w:overflowPunct/>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 未经甲方书面许可，不得将信息以任何方式（如E-mail）携带出甲方场所；</w:t>
      </w:r>
    </w:p>
    <w:p>
      <w:pPr>
        <w:keepNext w:val="0"/>
        <w:keepLines w:val="0"/>
        <w:pageBreakBefore w:val="0"/>
        <w:widowControl w:val="0"/>
        <w:kinsoku/>
        <w:wordWrap/>
        <w:overflowPunct/>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（5） 未经甲方书面许可，不得将信息透露给任何其他人； </w:t>
      </w:r>
    </w:p>
    <w:p>
      <w:pPr>
        <w:keepNext w:val="0"/>
        <w:keepLines w:val="0"/>
        <w:pageBreakBefore w:val="0"/>
        <w:widowControl w:val="0"/>
        <w:kinsoku/>
        <w:wordWrap/>
        <w:overflowPunct/>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 严禁在提交的软件</w:t>
      </w:r>
      <w:r>
        <w:rPr>
          <w:rFonts w:hint="eastAsia" w:ascii="宋体" w:hAnsi="宋体" w:eastAsia="宋体" w:cs="宋体"/>
          <w:color w:val="auto"/>
          <w:sz w:val="22"/>
          <w:szCs w:val="22"/>
          <w:highlight w:val="none"/>
          <w:lang w:eastAsia="zh-CN"/>
        </w:rPr>
        <w:t>产品</w:t>
      </w:r>
      <w:r>
        <w:rPr>
          <w:rFonts w:hint="eastAsia" w:ascii="宋体" w:hAnsi="宋体" w:eastAsia="宋体" w:cs="宋体"/>
          <w:color w:val="auto"/>
          <w:sz w:val="22"/>
          <w:szCs w:val="22"/>
          <w:highlight w:val="none"/>
        </w:rPr>
        <w:t>中设置远程维护接口和后门程序；</w:t>
      </w:r>
    </w:p>
    <w:p>
      <w:pPr>
        <w:keepNext w:val="0"/>
        <w:keepLines w:val="0"/>
        <w:pageBreakBefore w:val="0"/>
        <w:widowControl w:val="0"/>
        <w:kinsoku/>
        <w:wordWrap/>
        <w:overflowPunct/>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 不得进行系统软硬件设备的远程维护；</w:t>
      </w:r>
    </w:p>
    <w:p>
      <w:pPr>
        <w:keepNext w:val="0"/>
        <w:keepLines w:val="0"/>
        <w:pageBreakBefore w:val="0"/>
        <w:widowControl w:val="0"/>
        <w:kinsoku/>
        <w:wordWrap/>
        <w:overflowPunct/>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 甲方以书面形式提出的其他保密措施。</w:t>
      </w:r>
    </w:p>
    <w:p>
      <w:pPr>
        <w:keepNext w:val="0"/>
        <w:keepLines w:val="0"/>
        <w:pageBreakBefore w:val="0"/>
        <w:widowControl w:val="0"/>
        <w:kinsoku/>
        <w:wordWrap/>
        <w:overflowPunct/>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5.3 保密期限不受合同有效期的限制，在合同有效期结束后，信息接受方仍应承担保密义务，直至该等信息成为公开信息。</w:t>
      </w:r>
    </w:p>
    <w:p>
      <w:pPr>
        <w:keepNext w:val="0"/>
        <w:keepLines w:val="0"/>
        <w:pageBreakBefore w:val="0"/>
        <w:widowControl w:val="0"/>
        <w:kinsoku/>
        <w:wordWrap/>
        <w:overflowPunct/>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5.4 甲乙双方如出现泄密行为，泄密方应承担相关的法律责任，包括但是不限于对由此给对方造成的经济损失进行赔偿。</w:t>
      </w:r>
    </w:p>
    <w:p>
      <w:pPr>
        <w:keepNext w:val="0"/>
        <w:keepLines w:val="0"/>
        <w:pageBreakBefore w:val="0"/>
        <w:widowControl w:val="0"/>
        <w:kinsoku/>
        <w:wordWrap/>
        <w:overflowPunct/>
        <w:topLinePunct/>
        <w:autoSpaceDE w:val="0"/>
        <w:autoSpaceDN w:val="0"/>
        <w:bidi w:val="0"/>
        <w:adjustRightInd/>
        <w:snapToGrid/>
        <w:spacing w:line="400" w:lineRule="exact"/>
        <w:ind w:firstLine="442" w:firstLineChars="200"/>
        <w:textAlignment w:val="auto"/>
        <w:outlineLvl w:val="1"/>
        <w:rPr>
          <w:rFonts w:hint="eastAsia" w:ascii="宋体" w:hAnsi="宋体" w:eastAsia="宋体" w:cs="宋体"/>
          <w:b/>
          <w:color w:val="auto"/>
          <w:sz w:val="22"/>
          <w:szCs w:val="22"/>
          <w:highlight w:val="none"/>
        </w:rPr>
      </w:pPr>
      <w:bookmarkStart w:id="62" w:name="_Toc31015"/>
      <w:bookmarkStart w:id="63" w:name="_Toc27929"/>
      <w:r>
        <w:rPr>
          <w:rFonts w:hint="eastAsia" w:ascii="宋体" w:hAnsi="宋体" w:eastAsia="宋体" w:cs="宋体"/>
          <w:b/>
          <w:color w:val="auto"/>
          <w:sz w:val="22"/>
          <w:szCs w:val="22"/>
          <w:highlight w:val="none"/>
          <w:lang w:val="en-US" w:eastAsia="zh-CN"/>
        </w:rPr>
        <w:t>6</w:t>
      </w:r>
      <w:r>
        <w:rPr>
          <w:rFonts w:hint="eastAsia" w:ascii="宋体" w:hAnsi="宋体" w:eastAsia="宋体" w:cs="宋体"/>
          <w:b/>
          <w:color w:val="auto"/>
          <w:sz w:val="22"/>
          <w:szCs w:val="22"/>
          <w:highlight w:val="none"/>
        </w:rPr>
        <w:t xml:space="preserve">. </w:t>
      </w:r>
      <w:r>
        <w:rPr>
          <w:rFonts w:hint="eastAsia" w:ascii="宋体" w:hAnsi="宋体" w:eastAsia="宋体" w:cs="宋体"/>
          <w:b/>
          <w:color w:val="auto"/>
          <w:sz w:val="22"/>
          <w:szCs w:val="22"/>
          <w:highlight w:val="none"/>
          <w:lang w:eastAsia="zh-CN"/>
        </w:rPr>
        <w:t>履约</w:t>
      </w:r>
      <w:r>
        <w:rPr>
          <w:rFonts w:hint="eastAsia" w:ascii="宋体" w:hAnsi="宋体" w:eastAsia="宋体" w:cs="宋体"/>
          <w:b/>
          <w:color w:val="auto"/>
          <w:sz w:val="22"/>
          <w:szCs w:val="22"/>
          <w:highlight w:val="none"/>
        </w:rPr>
        <w:t>验收要求</w:t>
      </w:r>
      <w:bookmarkEnd w:id="62"/>
      <w:bookmarkEnd w:id="63"/>
    </w:p>
    <w:p>
      <w:pPr>
        <w:keepNext w:val="0"/>
        <w:keepLines w:val="0"/>
        <w:pageBreakBefore w:val="0"/>
        <w:widowControl w:val="0"/>
        <w:kinsoku/>
        <w:wordWrap/>
        <w:overflowPunct/>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.1 甲方</w:t>
      </w:r>
      <w:r>
        <w:rPr>
          <w:rFonts w:hint="eastAsia" w:ascii="宋体" w:hAnsi="宋体" w:eastAsia="宋体" w:cs="宋体"/>
          <w:color w:val="auto"/>
          <w:sz w:val="22"/>
          <w:szCs w:val="22"/>
          <w:highlight w:val="none"/>
          <w:lang w:eastAsia="zh-CN"/>
        </w:rPr>
        <w:t>需求部门</w:t>
      </w:r>
      <w:r>
        <w:rPr>
          <w:rFonts w:hint="eastAsia" w:ascii="宋体" w:hAnsi="宋体" w:eastAsia="宋体" w:cs="宋体"/>
          <w:color w:val="auto"/>
          <w:sz w:val="22"/>
          <w:szCs w:val="22"/>
          <w:highlight w:val="none"/>
        </w:rPr>
        <w:t>严格按照采购合同开展履约验收。验收时,</w:t>
      </w:r>
      <w:r>
        <w:rPr>
          <w:rFonts w:hint="eastAsia" w:ascii="宋体" w:hAnsi="宋体" w:eastAsia="宋体" w:cs="宋体"/>
          <w:color w:val="auto"/>
          <w:sz w:val="22"/>
          <w:szCs w:val="22"/>
          <w:highlight w:val="none"/>
          <w:lang w:eastAsia="zh-CN"/>
        </w:rPr>
        <w:t>应当按照本合同约定的技术、服务和安全标准，对供应商各项义务履行情况进行验收确认。未约定相关标准的，应当按照国家强制性规定、政策要求、安全标准和行业有关标准进行验收确认。</w:t>
      </w:r>
      <w:r>
        <w:rPr>
          <w:rFonts w:hint="eastAsia" w:ascii="宋体" w:hAnsi="宋体" w:eastAsia="宋体" w:cs="宋体"/>
          <w:color w:val="auto"/>
          <w:sz w:val="22"/>
          <w:szCs w:val="22"/>
          <w:highlight w:val="none"/>
        </w:rPr>
        <w:t>验收结束后</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应当出具验收意见，列明合同事项、验收标准及验收情况</w:t>
      </w:r>
      <w:r>
        <w:rPr>
          <w:rFonts w:hint="eastAsia" w:ascii="宋体" w:hAnsi="宋体" w:eastAsia="宋体" w:cs="宋体"/>
          <w:color w:val="auto"/>
          <w:sz w:val="22"/>
          <w:szCs w:val="22"/>
          <w:highlight w:val="none"/>
          <w:lang w:eastAsia="zh-CN"/>
        </w:rPr>
        <w:t>，由全体验收人员签字</w:t>
      </w:r>
      <w:r>
        <w:rPr>
          <w:rFonts w:hint="eastAsia" w:ascii="宋体" w:hAnsi="宋体" w:eastAsia="宋体" w:cs="宋体"/>
          <w:color w:val="auto"/>
          <w:sz w:val="22"/>
          <w:szCs w:val="22"/>
          <w:highlight w:val="none"/>
        </w:rPr>
        <w:t>。</w:t>
      </w:r>
    </w:p>
    <w:p>
      <w:pPr>
        <w:keepNext w:val="0"/>
        <w:keepLines w:val="0"/>
        <w:pageBreakBefore w:val="0"/>
        <w:widowControl w:val="0"/>
        <w:kinsoku/>
        <w:wordWrap/>
        <w:overflowPunct/>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.2具体</w:t>
      </w:r>
      <w:r>
        <w:rPr>
          <w:rFonts w:hint="eastAsia" w:ascii="宋体" w:hAnsi="宋体" w:eastAsia="宋体" w:cs="宋体"/>
          <w:color w:val="auto"/>
          <w:sz w:val="22"/>
          <w:szCs w:val="22"/>
          <w:highlight w:val="none"/>
          <w:lang w:eastAsia="zh-CN"/>
        </w:rPr>
        <w:t>履约</w:t>
      </w:r>
      <w:r>
        <w:rPr>
          <w:rFonts w:hint="eastAsia" w:ascii="宋体" w:hAnsi="宋体" w:eastAsia="宋体" w:cs="宋体"/>
          <w:color w:val="auto"/>
          <w:sz w:val="22"/>
          <w:szCs w:val="22"/>
          <w:highlight w:val="none"/>
        </w:rPr>
        <w:t>验收要求详见</w:t>
      </w:r>
      <w:r>
        <w:rPr>
          <w:rFonts w:hint="eastAsia" w:ascii="宋体" w:hAnsi="宋体" w:eastAsia="宋体" w:cs="宋体"/>
          <w:color w:val="auto"/>
          <w:sz w:val="22"/>
          <w:szCs w:val="22"/>
          <w:highlight w:val="none"/>
          <w:lang w:eastAsia="zh-CN"/>
        </w:rPr>
        <w:t>招标（</w:t>
      </w:r>
      <w:r>
        <w:rPr>
          <w:rFonts w:hint="eastAsia" w:ascii="宋体" w:hAnsi="宋体" w:eastAsia="宋体" w:cs="宋体"/>
          <w:color w:val="auto"/>
          <w:sz w:val="22"/>
          <w:szCs w:val="22"/>
          <w:highlight w:val="none"/>
        </w:rPr>
        <w:t>采购</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文件。</w:t>
      </w:r>
    </w:p>
    <w:p>
      <w:pPr>
        <w:keepNext w:val="0"/>
        <w:keepLines w:val="0"/>
        <w:pageBreakBefore w:val="0"/>
        <w:widowControl w:val="0"/>
        <w:tabs>
          <w:tab w:val="left" w:pos="0"/>
          <w:tab w:val="left" w:pos="540"/>
        </w:tabs>
        <w:kinsoku/>
        <w:wordWrap/>
        <w:overflowPunct/>
        <w:bidi w:val="0"/>
        <w:adjustRightInd/>
        <w:snapToGrid/>
        <w:spacing w:line="400" w:lineRule="exact"/>
        <w:ind w:firstLine="442" w:firstLineChars="200"/>
        <w:textAlignment w:val="auto"/>
        <w:outlineLvl w:val="1"/>
        <w:rPr>
          <w:rFonts w:hint="eastAsia" w:ascii="宋体" w:hAnsi="宋体" w:eastAsia="宋体" w:cs="宋体"/>
          <w:b/>
          <w:color w:val="auto"/>
          <w:sz w:val="22"/>
          <w:szCs w:val="22"/>
          <w:highlight w:val="none"/>
        </w:rPr>
      </w:pPr>
      <w:bookmarkStart w:id="64" w:name="_Toc10405"/>
      <w:bookmarkStart w:id="65" w:name="_Toc27741"/>
      <w:r>
        <w:rPr>
          <w:rFonts w:hint="eastAsia" w:ascii="宋体" w:hAnsi="宋体" w:eastAsia="宋体" w:cs="宋体"/>
          <w:b/>
          <w:color w:val="auto"/>
          <w:sz w:val="22"/>
          <w:szCs w:val="22"/>
          <w:highlight w:val="none"/>
          <w:lang w:val="en-US" w:eastAsia="zh-CN"/>
        </w:rPr>
        <w:t>7</w:t>
      </w:r>
      <w:r>
        <w:rPr>
          <w:rFonts w:hint="eastAsia" w:ascii="宋体" w:hAnsi="宋体" w:eastAsia="宋体" w:cs="宋体"/>
          <w:b/>
          <w:color w:val="auto"/>
          <w:sz w:val="22"/>
          <w:szCs w:val="22"/>
          <w:highlight w:val="none"/>
        </w:rPr>
        <w:t>. 履约保证金</w:t>
      </w:r>
      <w:bookmarkEnd w:id="64"/>
      <w:bookmarkEnd w:id="65"/>
    </w:p>
    <w:p>
      <w:pPr>
        <w:keepNext w:val="0"/>
        <w:keepLines w:val="0"/>
        <w:pageBreakBefore w:val="0"/>
        <w:widowControl w:val="0"/>
        <w:tabs>
          <w:tab w:val="left" w:pos="700"/>
        </w:tabs>
        <w:kinsoku/>
        <w:wordWrap/>
        <w:overflowPunct/>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.1 需提交履约保证金的项目，乙方应按照“合同条款前附表”第 1</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 xml:space="preserve"> 项“履约保证金及返还”提交履约保证金。</w:t>
      </w:r>
    </w:p>
    <w:p>
      <w:pPr>
        <w:keepNext w:val="0"/>
        <w:keepLines w:val="0"/>
        <w:pageBreakBefore w:val="0"/>
        <w:widowControl w:val="0"/>
        <w:tabs>
          <w:tab w:val="left" w:pos="700"/>
        </w:tabs>
        <w:kinsoku/>
        <w:wordWrap/>
        <w:overflowPunct/>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.2 履约保证金的金额</w:t>
      </w:r>
      <w:r>
        <w:rPr>
          <w:rFonts w:hint="eastAsia" w:ascii="宋体" w:hAnsi="宋体" w:eastAsia="宋体" w:cs="宋体"/>
          <w:color w:val="auto"/>
          <w:sz w:val="22"/>
          <w:szCs w:val="22"/>
          <w:highlight w:val="none"/>
          <w:lang w:eastAsia="zh-CN"/>
        </w:rPr>
        <w:t>可用于</w:t>
      </w:r>
      <w:r>
        <w:rPr>
          <w:rFonts w:hint="eastAsia" w:ascii="宋体" w:hAnsi="宋体" w:eastAsia="宋体" w:cs="宋体"/>
          <w:color w:val="auto"/>
          <w:sz w:val="22"/>
          <w:szCs w:val="22"/>
          <w:highlight w:val="none"/>
        </w:rPr>
        <w:t>补偿甲方因乙方不能完成其合同义务而蒙受的损失。</w:t>
      </w:r>
    </w:p>
    <w:p>
      <w:pPr>
        <w:keepNext w:val="0"/>
        <w:keepLines w:val="0"/>
        <w:pageBreakBefore w:val="0"/>
        <w:widowControl w:val="0"/>
        <w:tabs>
          <w:tab w:val="left" w:pos="700"/>
        </w:tabs>
        <w:kinsoku/>
        <w:wordWrap/>
        <w:overflowPunct/>
        <w:bidi w:val="0"/>
        <w:adjustRightInd/>
        <w:snapToGrid/>
        <w:spacing w:line="40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7.3如乙方未能按时支付合同约定的违约金、赔偿金、其他应付款项等的，甲方有权按照本合同的约定从履约保证金中扣除上述款项。乙方应在甲方扣除履约保证金后 15 天内，及时补充扣除部分金额。若逾期补充的，每日应按应补充金额的万分之五（0.05%）支付甲方违约金。</w:t>
      </w:r>
    </w:p>
    <w:p>
      <w:pPr>
        <w:keepNext w:val="0"/>
        <w:keepLines w:val="0"/>
        <w:pageBreakBefore w:val="0"/>
        <w:widowControl w:val="0"/>
        <w:tabs>
          <w:tab w:val="left" w:pos="700"/>
        </w:tabs>
        <w:kinsoku/>
        <w:wordWrap/>
        <w:overflowPunct/>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.4 乙方不履行合同、或者履行合同义务不符合约定使得合同目的不能实现，履约保证金不予退还，给甲方造成的损失超过履约保证金数额的，还应当对超过部分予以赔偿。</w:t>
      </w:r>
    </w:p>
    <w:p>
      <w:pPr>
        <w:keepNext w:val="0"/>
        <w:keepLines w:val="0"/>
        <w:pageBreakBefore w:val="0"/>
        <w:widowControl w:val="0"/>
        <w:tabs>
          <w:tab w:val="left" w:pos="700"/>
        </w:tabs>
        <w:kinsoku/>
        <w:wordWrap/>
        <w:overflowPunct/>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.5 履约保证金在合同履行期满后，扣除相应款项（如有）且双方无争议后，凭返还申请等资料一次性无息返还，详见“合同条款前附表”第</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项“履约保证金及返还”。</w:t>
      </w:r>
    </w:p>
    <w:p>
      <w:pPr>
        <w:keepNext w:val="0"/>
        <w:keepLines w:val="0"/>
        <w:pageBreakBefore w:val="0"/>
        <w:widowControl w:val="0"/>
        <w:tabs>
          <w:tab w:val="left" w:pos="0"/>
          <w:tab w:val="left" w:pos="540"/>
        </w:tabs>
        <w:kinsoku/>
        <w:wordWrap/>
        <w:overflowPunct/>
        <w:bidi w:val="0"/>
        <w:adjustRightInd/>
        <w:snapToGrid/>
        <w:spacing w:line="400" w:lineRule="exact"/>
        <w:ind w:firstLine="442" w:firstLineChars="200"/>
        <w:textAlignment w:val="auto"/>
        <w:outlineLvl w:val="1"/>
        <w:rPr>
          <w:rFonts w:hint="eastAsia" w:ascii="宋体" w:hAnsi="宋体" w:eastAsia="宋体" w:cs="宋体"/>
          <w:b/>
          <w:color w:val="auto"/>
          <w:sz w:val="22"/>
          <w:szCs w:val="22"/>
          <w:highlight w:val="none"/>
        </w:rPr>
      </w:pPr>
      <w:bookmarkStart w:id="66" w:name="_Toc29418"/>
      <w:bookmarkStart w:id="67" w:name="_Toc18030"/>
      <w:r>
        <w:rPr>
          <w:rFonts w:hint="eastAsia" w:ascii="宋体" w:hAnsi="宋体" w:eastAsia="宋体" w:cs="宋体"/>
          <w:b/>
          <w:color w:val="auto"/>
          <w:sz w:val="22"/>
          <w:szCs w:val="22"/>
          <w:highlight w:val="none"/>
          <w:lang w:val="en-US" w:eastAsia="zh-CN"/>
        </w:rPr>
        <w:t>8</w:t>
      </w:r>
      <w:r>
        <w:rPr>
          <w:rFonts w:hint="eastAsia" w:ascii="宋体" w:hAnsi="宋体" w:eastAsia="宋体" w:cs="宋体"/>
          <w:b/>
          <w:color w:val="auto"/>
          <w:sz w:val="22"/>
          <w:szCs w:val="22"/>
          <w:highlight w:val="none"/>
        </w:rPr>
        <w:t>．履约延误</w:t>
      </w:r>
      <w:bookmarkEnd w:id="66"/>
      <w:bookmarkEnd w:id="67"/>
    </w:p>
    <w:p>
      <w:pPr>
        <w:keepNext w:val="0"/>
        <w:keepLines w:val="0"/>
        <w:pageBreakBefore w:val="0"/>
        <w:widowControl w:val="0"/>
        <w:kinsoku/>
        <w:wordWrap/>
        <w:overflowPunct/>
        <w:topLinePunct/>
        <w:autoSpaceDE w:val="0"/>
        <w:autoSpaceDN w:val="0"/>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.1 乙方应按照本合同的规定提供服务。</w:t>
      </w:r>
    </w:p>
    <w:p>
      <w:pPr>
        <w:keepNext w:val="0"/>
        <w:keepLines w:val="0"/>
        <w:pageBreakBefore w:val="0"/>
        <w:widowControl w:val="0"/>
        <w:kinsoku/>
        <w:wordWrap/>
        <w:overflowPunct/>
        <w:topLinePunct/>
        <w:autoSpaceDE w:val="0"/>
        <w:autoSpaceDN w:val="0"/>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.2 如乙方迟延履行合同义务，甲方将从应付合同金额中扣除误期违约金，每延误一天误期违约金按合同总金额的万分之三（0.03%）计收。乙方支付的误期违约金不足以弥补甲方损失的，应继续承担赔偿责任。本合同约定的损失，包括但不限于：直接损失、调查取证费、诉讼费、律师费等。</w:t>
      </w:r>
    </w:p>
    <w:p>
      <w:pPr>
        <w:keepNext w:val="0"/>
        <w:keepLines w:val="0"/>
        <w:pageBreakBefore w:val="0"/>
        <w:widowControl w:val="0"/>
        <w:kinsoku/>
        <w:wordWrap/>
        <w:overflowPunct/>
        <w:topLinePunct/>
        <w:autoSpaceDE w:val="0"/>
        <w:autoSpaceDN w:val="0"/>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.3 在履行合同过程中，如果乙方可能遇到妨碍按时提供服务的情况时，应及时以书面形式将拖延的事实，可能拖延的期限和理由通知甲方。甲方在收到乙方通知后，应尽快对情况进行评估，并确定是否酌情延长工期以及是否收取误期赔偿费。</w:t>
      </w:r>
    </w:p>
    <w:p>
      <w:pPr>
        <w:keepNext w:val="0"/>
        <w:keepLines w:val="0"/>
        <w:pageBreakBefore w:val="0"/>
        <w:widowControl w:val="0"/>
        <w:kinsoku/>
        <w:wordWrap/>
        <w:overflowPunct/>
        <w:topLinePunct/>
        <w:autoSpaceDE w:val="0"/>
        <w:autoSpaceDN w:val="0"/>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.4 除不可抗力和根据合同规定延期取得甲方同意而不收取误期赔偿费之外，乙方延误工期，将按合同规定被收取误期赔偿费。</w:t>
      </w:r>
    </w:p>
    <w:p>
      <w:pPr>
        <w:keepNext w:val="0"/>
        <w:keepLines w:val="0"/>
        <w:pageBreakBefore w:val="0"/>
        <w:widowControl w:val="0"/>
        <w:kinsoku/>
        <w:wordWrap/>
        <w:overflowPunct/>
        <w:topLinePunct/>
        <w:autoSpaceDE w:val="0"/>
        <w:autoSpaceDN w:val="0"/>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.5 逾期退还履约保证金的违约责任。满足履约保证金返还条件的，甲方在收到返还相关信息等合同约定资料后，进行核实。对核实结果无异议的，应当自完成核实之日起30日内返还履约保证金。无特殊原因逾期退还履约保证金</w:t>
      </w:r>
      <w:r>
        <w:rPr>
          <w:rFonts w:hint="eastAsia" w:ascii="宋体" w:hAnsi="宋体" w:eastAsia="宋体" w:cs="宋体"/>
          <w:color w:val="auto"/>
          <w:sz w:val="22"/>
          <w:szCs w:val="22"/>
          <w:highlight w:val="none"/>
          <w:lang w:eastAsia="zh-CN"/>
        </w:rPr>
        <w:t>的</w:t>
      </w:r>
      <w:r>
        <w:rPr>
          <w:rFonts w:hint="eastAsia" w:ascii="宋体" w:hAnsi="宋体" w:eastAsia="宋体" w:cs="宋体"/>
          <w:color w:val="auto"/>
          <w:sz w:val="22"/>
          <w:szCs w:val="22"/>
          <w:highlight w:val="none"/>
        </w:rPr>
        <w:t>，乙方可要求</w:t>
      </w:r>
      <w:r>
        <w:rPr>
          <w:rFonts w:hint="eastAsia" w:ascii="宋体" w:hAnsi="宋体" w:eastAsia="宋体" w:cs="宋体"/>
          <w:color w:val="auto"/>
          <w:sz w:val="22"/>
          <w:szCs w:val="22"/>
          <w:highlight w:val="none"/>
          <w:lang w:eastAsia="zh-CN"/>
        </w:rPr>
        <w:t>甲方按</w:t>
      </w:r>
      <w:r>
        <w:rPr>
          <w:rFonts w:hint="eastAsia" w:ascii="宋体" w:hAnsi="宋体" w:eastAsia="宋体" w:cs="宋体"/>
          <w:color w:val="auto"/>
          <w:sz w:val="22"/>
          <w:szCs w:val="22"/>
          <w:highlight w:val="none"/>
        </w:rPr>
        <w:t>银行</w:t>
      </w:r>
      <w:r>
        <w:rPr>
          <w:rFonts w:hint="eastAsia" w:ascii="宋体" w:hAnsi="宋体" w:eastAsia="宋体" w:cs="宋体"/>
          <w:color w:val="auto"/>
          <w:sz w:val="22"/>
          <w:szCs w:val="22"/>
          <w:highlight w:val="none"/>
          <w:lang w:eastAsia="zh-CN"/>
        </w:rPr>
        <w:t>同期</w:t>
      </w:r>
      <w:r>
        <w:rPr>
          <w:rFonts w:hint="eastAsia" w:ascii="宋体" w:hAnsi="宋体" w:eastAsia="宋体" w:cs="宋体"/>
          <w:color w:val="auto"/>
          <w:sz w:val="22"/>
          <w:szCs w:val="22"/>
          <w:highlight w:val="none"/>
        </w:rPr>
        <w:t>活期存款</w:t>
      </w:r>
      <w:r>
        <w:rPr>
          <w:rFonts w:hint="eastAsia" w:ascii="宋体" w:hAnsi="宋体" w:eastAsia="宋体" w:cs="宋体"/>
          <w:color w:val="auto"/>
          <w:sz w:val="22"/>
          <w:szCs w:val="22"/>
          <w:highlight w:val="none"/>
          <w:lang w:eastAsia="zh-CN"/>
        </w:rPr>
        <w:t>利率支付逾期利息</w:t>
      </w:r>
      <w:r>
        <w:rPr>
          <w:rFonts w:hint="eastAsia" w:ascii="宋体" w:hAnsi="宋体" w:eastAsia="宋体" w:cs="宋体"/>
          <w:color w:val="auto"/>
          <w:sz w:val="22"/>
          <w:szCs w:val="22"/>
          <w:highlight w:val="none"/>
        </w:rPr>
        <w:t>。特殊原因逾期返还的，双方协商解决。</w:t>
      </w:r>
    </w:p>
    <w:p>
      <w:pPr>
        <w:keepNext w:val="0"/>
        <w:keepLines w:val="0"/>
        <w:pageBreakBefore w:val="0"/>
        <w:widowControl w:val="0"/>
        <w:kinsoku/>
        <w:wordWrap/>
        <w:overflowPunct/>
        <w:topLinePunct/>
        <w:autoSpaceDE w:val="0"/>
        <w:autoSpaceDN w:val="0"/>
        <w:bidi w:val="0"/>
        <w:adjustRightInd/>
        <w:snapToGrid/>
        <w:spacing w:line="400" w:lineRule="exact"/>
        <w:ind w:firstLine="442" w:firstLineChars="200"/>
        <w:textAlignment w:val="auto"/>
        <w:outlineLvl w:val="1"/>
        <w:rPr>
          <w:rFonts w:hint="eastAsia" w:ascii="宋体" w:hAnsi="宋体" w:eastAsia="宋体" w:cs="宋体"/>
          <w:b/>
          <w:color w:val="auto"/>
          <w:sz w:val="22"/>
          <w:szCs w:val="22"/>
          <w:highlight w:val="none"/>
        </w:rPr>
      </w:pPr>
      <w:bookmarkStart w:id="68" w:name="_Toc30607"/>
      <w:bookmarkStart w:id="69" w:name="_Toc4367"/>
      <w:r>
        <w:rPr>
          <w:rFonts w:hint="eastAsia" w:ascii="宋体" w:hAnsi="宋体" w:eastAsia="宋体" w:cs="宋体"/>
          <w:b/>
          <w:color w:val="auto"/>
          <w:sz w:val="22"/>
          <w:szCs w:val="22"/>
          <w:highlight w:val="none"/>
          <w:lang w:val="en-US" w:eastAsia="zh-CN"/>
        </w:rPr>
        <w:t>9</w:t>
      </w:r>
      <w:r>
        <w:rPr>
          <w:rFonts w:hint="eastAsia" w:ascii="宋体" w:hAnsi="宋体" w:eastAsia="宋体" w:cs="宋体"/>
          <w:b/>
          <w:color w:val="auto"/>
          <w:sz w:val="22"/>
          <w:szCs w:val="22"/>
          <w:highlight w:val="none"/>
        </w:rPr>
        <w:t>. 违约责任</w:t>
      </w:r>
      <w:bookmarkEnd w:id="68"/>
      <w:bookmarkEnd w:id="69"/>
    </w:p>
    <w:p>
      <w:pPr>
        <w:keepNext w:val="0"/>
        <w:keepLines w:val="0"/>
        <w:pageBreakBefore w:val="0"/>
        <w:widowControl w:val="0"/>
        <w:kinsoku/>
        <w:wordWrap/>
        <w:overflowPunct/>
        <w:topLinePunct/>
        <w:autoSpaceDE w:val="0"/>
        <w:autoSpaceDN w:val="0"/>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.1 除本合同另有约定外，乙方不履行合同义务或者履行合同义务不符合合同约定的，按每违反一次从应付款项中扣除合同总金额的百分之一（1%）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pPr>
        <w:keepNext w:val="0"/>
        <w:keepLines w:val="0"/>
        <w:pageBreakBefore w:val="0"/>
        <w:widowControl w:val="0"/>
        <w:kinsoku/>
        <w:wordWrap/>
        <w:overflowPunct/>
        <w:topLinePunct/>
        <w:autoSpaceDE w:val="0"/>
        <w:autoSpaceDN w:val="0"/>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.2 乙方没有按照时限要求提供服务，且在甲方指定的延长期限内没有采取补救措施，甲方有权自行采取其他方式进行补救，乙方除按合同第</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条约定向甲方支付误期违约金外，另外甲方所发生的一切费用和甲方损失，甲方有权从应付的乙方的合同款项中扣除，不足扣除的乙方应另行支付。</w:t>
      </w:r>
    </w:p>
    <w:p>
      <w:pPr>
        <w:keepNext w:val="0"/>
        <w:keepLines w:val="0"/>
        <w:pageBreakBefore w:val="0"/>
        <w:widowControl w:val="0"/>
        <w:kinsoku/>
        <w:wordWrap/>
        <w:overflowPunct/>
        <w:topLinePunct/>
        <w:autoSpaceDE w:val="0"/>
        <w:autoSpaceDN w:val="0"/>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.3 除应支付甲方违约金等外，甲方有权根据合同或有关部门出具的检验证书向乙方提出索赔。</w:t>
      </w:r>
    </w:p>
    <w:p>
      <w:pPr>
        <w:keepNext w:val="0"/>
        <w:keepLines w:val="0"/>
        <w:pageBreakBefore w:val="0"/>
        <w:widowControl w:val="0"/>
        <w:kinsoku/>
        <w:wordWrap/>
        <w:overflowPunct/>
        <w:topLinePunct/>
        <w:autoSpaceDE w:val="0"/>
        <w:autoSpaceDN w:val="0"/>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.4 如果乙方对差异负有责任而甲方提出索赔，乙方同意按照下列方式解决索赔事宜：</w:t>
      </w:r>
    </w:p>
    <w:p>
      <w:pPr>
        <w:keepNext w:val="0"/>
        <w:keepLines w:val="0"/>
        <w:pageBreakBefore w:val="0"/>
        <w:widowControl w:val="0"/>
        <w:kinsoku/>
        <w:wordWrap/>
        <w:overflowPunct/>
        <w:topLinePunct/>
        <w:autoSpaceDE w:val="0"/>
        <w:autoSpaceDN w:val="0"/>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果在甲方发出索赔通知后5个工作日内，乙方未作书面答复，上述索赔应视为已被乙方接受。如乙方未能在甲方发出索赔通知后5个工作日内或甲方同意的延长期限内着手解决索赔事宜，甲方有权从乙方的合同款项中扣除索赔金额。</w:t>
      </w:r>
    </w:p>
    <w:p>
      <w:pPr>
        <w:keepNext w:val="0"/>
        <w:keepLines w:val="0"/>
        <w:pageBreakBefore w:val="0"/>
        <w:widowControl w:val="0"/>
        <w:kinsoku/>
        <w:wordWrap/>
        <w:overflowPunct/>
        <w:topLinePunct/>
        <w:autoSpaceDE w:val="0"/>
        <w:autoSpaceDN w:val="0"/>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.5 乙方利用本项目实施过程中所产生的成果（包括发明、发现、可运行系统、源代码及相关技术资料、文档等），另行自行开发本合同业务范围内供纳税人</w:t>
      </w:r>
      <w:r>
        <w:rPr>
          <w:rFonts w:hint="eastAsia" w:ascii="宋体" w:hAnsi="宋体" w:eastAsia="宋体" w:cs="宋体"/>
          <w:color w:val="auto"/>
          <w:sz w:val="22"/>
          <w:szCs w:val="22"/>
          <w:highlight w:val="none"/>
          <w:lang w:eastAsia="zh-CN"/>
        </w:rPr>
        <w:t>缴费人</w:t>
      </w:r>
      <w:r>
        <w:rPr>
          <w:rFonts w:hint="eastAsia" w:ascii="宋体" w:hAnsi="宋体" w:eastAsia="宋体" w:cs="宋体"/>
          <w:color w:val="auto"/>
          <w:sz w:val="22"/>
          <w:szCs w:val="22"/>
          <w:highlight w:val="none"/>
        </w:rPr>
        <w:t>使用的软件或产品，或利用</w:t>
      </w:r>
      <w:r>
        <w:rPr>
          <w:rFonts w:hint="eastAsia" w:ascii="宋体" w:hAnsi="宋体" w:eastAsia="宋体" w:cs="宋体"/>
          <w:color w:val="auto"/>
          <w:sz w:val="22"/>
          <w:szCs w:val="22"/>
          <w:highlight w:val="none"/>
          <w:lang w:eastAsia="zh-CN"/>
        </w:rPr>
        <w:t>为税务机关提供信息化服务的</w:t>
      </w:r>
      <w:r>
        <w:rPr>
          <w:rFonts w:hint="eastAsia" w:ascii="宋体" w:hAnsi="宋体" w:eastAsia="宋体" w:cs="宋体"/>
          <w:color w:val="auto"/>
          <w:sz w:val="22"/>
          <w:szCs w:val="22"/>
          <w:highlight w:val="none"/>
        </w:rPr>
        <w:t>便利</w:t>
      </w:r>
      <w:r>
        <w:rPr>
          <w:rFonts w:hint="eastAsia" w:ascii="宋体" w:hAnsi="宋体" w:eastAsia="宋体" w:cs="宋体"/>
          <w:color w:val="auto"/>
          <w:sz w:val="22"/>
          <w:szCs w:val="22"/>
          <w:highlight w:val="none"/>
          <w:lang w:eastAsia="zh-CN"/>
        </w:rPr>
        <w:t>，向纳税人缴费人</w:t>
      </w:r>
      <w:r>
        <w:rPr>
          <w:rFonts w:hint="eastAsia" w:ascii="宋体" w:hAnsi="宋体" w:eastAsia="宋体" w:cs="宋体"/>
          <w:color w:val="auto"/>
          <w:sz w:val="22"/>
          <w:szCs w:val="22"/>
          <w:highlight w:val="none"/>
        </w:rPr>
        <w:t>搭车收费或变相收费的，</w:t>
      </w:r>
      <w:r>
        <w:rPr>
          <w:rFonts w:hint="eastAsia" w:ascii="宋体" w:hAnsi="宋体" w:eastAsia="宋体" w:cs="宋体"/>
          <w:color w:val="auto"/>
          <w:sz w:val="22"/>
          <w:szCs w:val="22"/>
          <w:highlight w:val="none"/>
          <w:lang w:eastAsia="zh-CN"/>
        </w:rPr>
        <w:t>或有其他失信行为的，</w:t>
      </w:r>
      <w:r>
        <w:rPr>
          <w:rFonts w:hint="eastAsia" w:ascii="宋体" w:hAnsi="宋体" w:eastAsia="宋体" w:cs="宋体"/>
          <w:color w:val="auto"/>
          <w:sz w:val="22"/>
          <w:szCs w:val="22"/>
          <w:highlight w:val="none"/>
        </w:rPr>
        <w:t>纳入国家税务总局失信名单。</w:t>
      </w:r>
    </w:p>
    <w:p>
      <w:pPr>
        <w:keepNext w:val="0"/>
        <w:keepLines w:val="0"/>
        <w:pageBreakBefore w:val="0"/>
        <w:widowControl w:val="0"/>
        <w:kinsoku/>
        <w:wordWrap/>
        <w:overflowPunct/>
        <w:topLinePunct/>
        <w:autoSpaceDE w:val="0"/>
        <w:autoSpaceDN w:val="0"/>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对于影响恶劣的严重违法失信行为，推送财政部纳入政府采购严重违法失信行为记录名单。</w:t>
      </w:r>
    </w:p>
    <w:p>
      <w:pPr>
        <w:keepNext w:val="0"/>
        <w:keepLines w:val="0"/>
        <w:pageBreakBefore w:val="0"/>
        <w:widowControl w:val="0"/>
        <w:kinsoku/>
        <w:wordWrap/>
        <w:overflowPunct/>
        <w:topLinePunct/>
        <w:autoSpaceDE w:val="0"/>
        <w:autoSpaceDN w:val="0"/>
        <w:bidi w:val="0"/>
        <w:adjustRightInd/>
        <w:snapToGrid/>
        <w:spacing w:line="40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9.6 如果乙方在本项目实施过程中发生违反网络安全规定行为造成不良后果的，自甲方做出认定之日起三年内，税务系统各单位可以拒绝乙方参与税务系统政府采购活动。</w:t>
      </w:r>
    </w:p>
    <w:p>
      <w:pPr>
        <w:keepNext w:val="0"/>
        <w:keepLines w:val="0"/>
        <w:pageBreakBefore w:val="0"/>
        <w:widowControl w:val="0"/>
        <w:kinsoku/>
        <w:wordWrap/>
        <w:overflowPunct/>
        <w:topLinePunct/>
        <w:autoSpaceDE w:val="0"/>
        <w:autoSpaceDN w:val="0"/>
        <w:bidi w:val="0"/>
        <w:adjustRightInd/>
        <w:snapToGrid/>
        <w:spacing w:line="40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不良后果指造成数据失窃或丢失、敏感信息泄露、主要业务系统瘫痪等网络安全事件。</w:t>
      </w:r>
    </w:p>
    <w:p>
      <w:pPr>
        <w:keepNext w:val="0"/>
        <w:keepLines w:val="0"/>
        <w:pageBreakBefore w:val="0"/>
        <w:widowControl w:val="0"/>
        <w:kinsoku/>
        <w:wordWrap/>
        <w:overflowPunct/>
        <w:topLinePunct/>
        <w:autoSpaceDE w:val="0"/>
        <w:autoSpaceDN w:val="0"/>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 xml:space="preserve"> 对于本协议未约定的、招标（采购）文件（技术部分）中约定的违约处理条款，按招标（采购）文件（技术部分）相关约定执行；对本协议与招标（采购）文件（技术部分）约定不同的违约处理条款，以本协议约定为准。</w:t>
      </w:r>
    </w:p>
    <w:p>
      <w:pPr>
        <w:keepNext w:val="0"/>
        <w:keepLines w:val="0"/>
        <w:pageBreakBefore w:val="0"/>
        <w:widowControl w:val="0"/>
        <w:kinsoku/>
        <w:wordWrap/>
        <w:overflowPunct/>
        <w:bidi w:val="0"/>
        <w:adjustRightInd/>
        <w:snapToGrid/>
        <w:spacing w:line="400" w:lineRule="exact"/>
        <w:ind w:firstLine="442" w:firstLineChars="200"/>
        <w:textAlignment w:val="auto"/>
        <w:outlineLvl w:val="1"/>
        <w:rPr>
          <w:rFonts w:hint="eastAsia" w:ascii="宋体" w:hAnsi="宋体" w:eastAsia="宋体" w:cs="宋体"/>
          <w:b/>
          <w:color w:val="auto"/>
          <w:sz w:val="22"/>
          <w:szCs w:val="22"/>
          <w:highlight w:val="none"/>
        </w:rPr>
      </w:pPr>
      <w:bookmarkStart w:id="70" w:name="_Toc22238"/>
      <w:bookmarkStart w:id="71" w:name="_Toc9396"/>
      <w:r>
        <w:rPr>
          <w:rFonts w:hint="eastAsia" w:ascii="宋体" w:hAnsi="宋体" w:eastAsia="宋体" w:cs="宋体"/>
          <w:b/>
          <w:color w:val="auto"/>
          <w:sz w:val="22"/>
          <w:szCs w:val="22"/>
          <w:highlight w:val="none"/>
          <w:lang w:val="en-US" w:eastAsia="zh-CN"/>
        </w:rPr>
        <w:t>10</w:t>
      </w:r>
      <w:r>
        <w:rPr>
          <w:rFonts w:hint="eastAsia" w:ascii="宋体" w:hAnsi="宋体" w:eastAsia="宋体" w:cs="宋体"/>
          <w:b/>
          <w:color w:val="auto"/>
          <w:sz w:val="22"/>
          <w:szCs w:val="22"/>
          <w:highlight w:val="none"/>
        </w:rPr>
        <w:t>. 不可抗力</w:t>
      </w:r>
      <w:bookmarkEnd w:id="70"/>
      <w:bookmarkEnd w:id="71"/>
    </w:p>
    <w:p>
      <w:pPr>
        <w:keepNext w:val="0"/>
        <w:keepLines w:val="0"/>
        <w:pageBreakBefore w:val="0"/>
        <w:widowControl w:val="0"/>
        <w:kinsoku/>
        <w:wordWrap/>
        <w:overflowPunct/>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 xml:space="preserve"> 本条所述的“不可抗力”系指双方不可预见、不可避免、不可克服的客观情况，但不包括双方的违约或疏忽。这些事件包括但不限于：战争、严重火灾、洪水、台风、地震等。</w:t>
      </w:r>
    </w:p>
    <w:p>
      <w:pPr>
        <w:keepNext w:val="0"/>
        <w:keepLines w:val="0"/>
        <w:pageBreakBefore w:val="0"/>
        <w:widowControl w:val="0"/>
        <w:kinsoku/>
        <w:wordWrap/>
        <w:overflowPunct/>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 xml:space="preserve"> 如果乙方因不可抗力而导致合同实施延误或不能履行合同义务，不应承担误期赔偿或终止合同的责任。</w:t>
      </w:r>
    </w:p>
    <w:p>
      <w:pPr>
        <w:keepNext w:val="0"/>
        <w:keepLines w:val="0"/>
        <w:pageBreakBefore w:val="0"/>
        <w:widowControl w:val="0"/>
        <w:kinsoku/>
        <w:wordWrap/>
        <w:overflowPunct/>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keepNext w:val="0"/>
        <w:keepLines w:val="0"/>
        <w:pageBreakBefore w:val="0"/>
        <w:widowControl w:val="0"/>
        <w:kinsoku/>
        <w:wordWrap/>
        <w:overflowPunct/>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.4 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pPr>
        <w:keepNext w:val="0"/>
        <w:keepLines w:val="0"/>
        <w:pageBreakBefore w:val="0"/>
        <w:widowControl w:val="0"/>
        <w:kinsoku/>
        <w:wordWrap/>
        <w:overflowPunct/>
        <w:bidi w:val="0"/>
        <w:adjustRightInd/>
        <w:snapToGrid/>
        <w:spacing w:line="400" w:lineRule="exact"/>
        <w:ind w:firstLine="442" w:firstLineChars="200"/>
        <w:textAlignment w:val="auto"/>
        <w:outlineLvl w:val="1"/>
        <w:rPr>
          <w:rFonts w:hint="eastAsia" w:ascii="宋体" w:hAnsi="宋体" w:eastAsia="宋体" w:cs="宋体"/>
          <w:b/>
          <w:color w:val="auto"/>
          <w:sz w:val="22"/>
          <w:szCs w:val="22"/>
          <w:highlight w:val="none"/>
        </w:rPr>
      </w:pPr>
      <w:bookmarkStart w:id="72" w:name="_Toc3785"/>
      <w:bookmarkStart w:id="73" w:name="_Toc12476"/>
      <w:r>
        <w:rPr>
          <w:rFonts w:hint="eastAsia" w:ascii="宋体" w:hAnsi="宋体" w:eastAsia="宋体" w:cs="宋体"/>
          <w:b/>
          <w:color w:val="auto"/>
          <w:sz w:val="22"/>
          <w:szCs w:val="22"/>
          <w:highlight w:val="none"/>
        </w:rPr>
        <w:t>1</w:t>
      </w:r>
      <w:r>
        <w:rPr>
          <w:rFonts w:hint="eastAsia" w:ascii="宋体" w:hAnsi="宋体" w:eastAsia="宋体" w:cs="宋体"/>
          <w:b/>
          <w:color w:val="auto"/>
          <w:sz w:val="22"/>
          <w:szCs w:val="22"/>
          <w:highlight w:val="none"/>
          <w:lang w:val="en-US" w:eastAsia="zh-CN"/>
        </w:rPr>
        <w:t>1</w:t>
      </w:r>
      <w:r>
        <w:rPr>
          <w:rFonts w:hint="eastAsia" w:ascii="宋体" w:hAnsi="宋体" w:eastAsia="宋体" w:cs="宋体"/>
          <w:b/>
          <w:color w:val="auto"/>
          <w:sz w:val="22"/>
          <w:szCs w:val="22"/>
          <w:highlight w:val="none"/>
        </w:rPr>
        <w:t>. 争端的解决</w:t>
      </w:r>
      <w:bookmarkEnd w:id="72"/>
      <w:bookmarkEnd w:id="73"/>
    </w:p>
    <w:p>
      <w:pPr>
        <w:keepNext w:val="0"/>
        <w:keepLines w:val="0"/>
        <w:pageBreakBefore w:val="0"/>
        <w:widowControl w:val="0"/>
        <w:kinsoku/>
        <w:wordWrap/>
        <w:overflowPunct/>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.1 甲乙双方应</w:t>
      </w:r>
      <w:r>
        <w:rPr>
          <w:rFonts w:hint="eastAsia" w:ascii="宋体" w:hAnsi="宋体" w:eastAsia="宋体" w:cs="宋体"/>
          <w:color w:val="auto"/>
          <w:sz w:val="22"/>
          <w:szCs w:val="22"/>
          <w:highlight w:val="none"/>
          <w:lang w:eastAsia="zh-CN"/>
        </w:rPr>
        <w:t>首先</w:t>
      </w:r>
      <w:r>
        <w:rPr>
          <w:rFonts w:hint="eastAsia" w:ascii="宋体" w:hAnsi="宋体" w:eastAsia="宋体" w:cs="宋体"/>
          <w:color w:val="auto"/>
          <w:sz w:val="22"/>
          <w:szCs w:val="22"/>
          <w:highlight w:val="none"/>
        </w:rPr>
        <w:t>通过友好协商解决在执行本合同中所发生的或与本合同有关的一切争端。如从协商开始</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天内仍不能解决，</w:t>
      </w:r>
      <w:r>
        <w:rPr>
          <w:rFonts w:hint="eastAsia" w:ascii="宋体" w:hAnsi="宋体" w:eastAsia="宋体" w:cs="宋体"/>
          <w:color w:val="auto"/>
          <w:sz w:val="22"/>
          <w:szCs w:val="22"/>
          <w:highlight w:val="none"/>
          <w:lang w:eastAsia="zh-CN"/>
        </w:rPr>
        <w:t>可以按合同约定的方式提起仲裁或诉讼</w:t>
      </w:r>
      <w:r>
        <w:rPr>
          <w:rFonts w:hint="eastAsia" w:ascii="宋体" w:hAnsi="宋体" w:eastAsia="宋体" w:cs="宋体"/>
          <w:color w:val="auto"/>
          <w:sz w:val="22"/>
          <w:szCs w:val="22"/>
          <w:highlight w:val="none"/>
        </w:rPr>
        <w:t>。</w:t>
      </w:r>
    </w:p>
    <w:p>
      <w:pPr>
        <w:keepNext w:val="0"/>
        <w:keepLines w:val="0"/>
        <w:pageBreakBefore w:val="0"/>
        <w:widowControl w:val="0"/>
        <w:kinsoku/>
        <w:wordWrap/>
        <w:overflowPunct/>
        <w:bidi w:val="0"/>
        <w:adjustRightInd/>
        <w:snapToGrid/>
        <w:spacing w:line="400" w:lineRule="exact"/>
        <w:ind w:left="239" w:leftChars="114" w:firstLine="220"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2.1</w:t>
      </w:r>
      <w:r>
        <w:rPr>
          <w:rFonts w:hint="eastAsia" w:ascii="宋体" w:hAnsi="宋体" w:eastAsia="宋体" w:cs="宋体"/>
          <w:color w:val="auto"/>
          <w:sz w:val="22"/>
          <w:szCs w:val="22"/>
          <w:highlight w:val="none"/>
        </w:rPr>
        <w:t>仲裁应</w:t>
      </w:r>
      <w:r>
        <w:rPr>
          <w:rFonts w:hint="eastAsia" w:ascii="宋体" w:hAnsi="宋体" w:eastAsia="宋体" w:cs="宋体"/>
          <w:color w:val="auto"/>
          <w:sz w:val="22"/>
          <w:szCs w:val="22"/>
          <w:highlight w:val="none"/>
          <w:lang w:eastAsia="zh-CN"/>
        </w:rPr>
        <w:t>向</w:t>
      </w:r>
      <w:r>
        <w:rPr>
          <w:rFonts w:hint="eastAsia" w:ascii="宋体" w:hAnsi="宋体" w:eastAsia="宋体" w:cs="宋体"/>
          <w:color w:val="auto"/>
          <w:sz w:val="22"/>
          <w:szCs w:val="22"/>
          <w:highlight w:val="none"/>
        </w:rPr>
        <w:t>甲方所在地或</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仲裁委员会申请仲裁。</w:t>
      </w:r>
    </w:p>
    <w:p>
      <w:pPr>
        <w:keepNext w:val="0"/>
        <w:keepLines w:val="0"/>
        <w:pageBreakBefore w:val="0"/>
        <w:widowControl w:val="0"/>
        <w:kinsoku/>
        <w:wordWrap/>
        <w:overflowPunct/>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11</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2.2</w:t>
      </w:r>
      <w:r>
        <w:rPr>
          <w:rFonts w:hint="eastAsia" w:ascii="宋体" w:hAnsi="宋体" w:eastAsia="宋体" w:cs="宋体"/>
          <w:color w:val="auto"/>
          <w:sz w:val="22"/>
          <w:szCs w:val="22"/>
          <w:highlight w:val="none"/>
        </w:rPr>
        <w:t xml:space="preserve"> 仲裁裁决应为最终裁决，对双方均具有约束力。</w:t>
      </w:r>
    </w:p>
    <w:p>
      <w:pPr>
        <w:keepNext w:val="0"/>
        <w:keepLines w:val="0"/>
        <w:pageBreakBefore w:val="0"/>
        <w:widowControl w:val="0"/>
        <w:kinsoku/>
        <w:wordWrap/>
        <w:overflowPunct/>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2.3</w:t>
      </w:r>
      <w:r>
        <w:rPr>
          <w:rFonts w:hint="eastAsia" w:ascii="宋体" w:hAnsi="宋体" w:eastAsia="宋体" w:cs="宋体"/>
          <w:color w:val="auto"/>
          <w:sz w:val="22"/>
          <w:szCs w:val="22"/>
          <w:highlight w:val="none"/>
        </w:rPr>
        <w:t xml:space="preserve"> 仲裁费除仲裁机关另有裁决外应由败诉方负担。</w:t>
      </w:r>
    </w:p>
    <w:p>
      <w:pPr>
        <w:keepNext w:val="0"/>
        <w:keepLines w:val="0"/>
        <w:pageBreakBefore w:val="0"/>
        <w:widowControl w:val="0"/>
        <w:kinsoku/>
        <w:wordWrap/>
        <w:overflowPunct/>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2.4</w:t>
      </w:r>
      <w:r>
        <w:rPr>
          <w:rFonts w:hint="eastAsia" w:ascii="宋体" w:hAnsi="宋体" w:eastAsia="宋体" w:cs="宋体"/>
          <w:color w:val="auto"/>
          <w:sz w:val="22"/>
          <w:szCs w:val="22"/>
          <w:highlight w:val="none"/>
        </w:rPr>
        <w:t>在仲裁期间，除正在进行仲裁部分外，本合同的其它部分应继续执行。</w:t>
      </w:r>
    </w:p>
    <w:p>
      <w:pPr>
        <w:keepNext w:val="0"/>
        <w:keepLines w:val="0"/>
        <w:pageBreakBefore w:val="0"/>
        <w:widowControl w:val="0"/>
        <w:kinsoku/>
        <w:wordWrap/>
        <w:overflowPunct/>
        <w:bidi w:val="0"/>
        <w:adjustRightInd/>
        <w:snapToGrid/>
        <w:spacing w:line="40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11.3.1诉讼应向甲方所在地或</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人民法院提起诉讼。</w:t>
      </w:r>
    </w:p>
    <w:p>
      <w:pPr>
        <w:keepNext w:val="0"/>
        <w:keepLines w:val="0"/>
        <w:pageBreakBefore w:val="0"/>
        <w:widowControl w:val="0"/>
        <w:kinsoku/>
        <w:wordWrap/>
        <w:overflowPunct/>
        <w:bidi w:val="0"/>
        <w:adjustRightInd/>
        <w:snapToGrid/>
        <w:spacing w:line="40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11.3.2诉讼费除人民法院另有判决外，应由败诉方负担。</w:t>
      </w:r>
    </w:p>
    <w:p>
      <w:pPr>
        <w:keepNext w:val="0"/>
        <w:keepLines w:val="0"/>
        <w:pageBreakBefore w:val="0"/>
        <w:widowControl w:val="0"/>
        <w:kinsoku/>
        <w:wordWrap/>
        <w:overflowPunct/>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11.3.3在诉讼期间，除正在进行诉讼部分外，本</w:t>
      </w:r>
      <w:r>
        <w:rPr>
          <w:rFonts w:hint="eastAsia" w:ascii="宋体" w:hAnsi="宋体" w:eastAsia="宋体" w:cs="宋体"/>
          <w:color w:val="auto"/>
          <w:sz w:val="22"/>
          <w:szCs w:val="22"/>
          <w:highlight w:val="none"/>
        </w:rPr>
        <w:t>合同的其它部分应继续执行。</w:t>
      </w:r>
    </w:p>
    <w:p>
      <w:pPr>
        <w:keepNext w:val="0"/>
        <w:keepLines w:val="0"/>
        <w:pageBreakBefore w:val="0"/>
        <w:widowControl w:val="0"/>
        <w:kinsoku/>
        <w:wordWrap/>
        <w:overflowPunct/>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bidi w:val="0"/>
        <w:adjustRightInd/>
        <w:snapToGrid/>
        <w:spacing w:line="400" w:lineRule="exact"/>
        <w:ind w:firstLine="442" w:firstLineChars="200"/>
        <w:textAlignment w:val="auto"/>
        <w:outlineLvl w:val="1"/>
        <w:rPr>
          <w:rFonts w:hint="eastAsia" w:ascii="宋体" w:hAnsi="宋体" w:eastAsia="宋体" w:cs="宋体"/>
          <w:b/>
          <w:color w:val="auto"/>
          <w:sz w:val="22"/>
          <w:szCs w:val="22"/>
          <w:highlight w:val="none"/>
        </w:rPr>
      </w:pPr>
      <w:bookmarkStart w:id="74" w:name="_Toc17450"/>
      <w:bookmarkStart w:id="75" w:name="_Toc7090"/>
      <w:r>
        <w:rPr>
          <w:rFonts w:hint="eastAsia" w:ascii="宋体" w:hAnsi="宋体" w:eastAsia="宋体" w:cs="宋体"/>
          <w:b/>
          <w:color w:val="auto"/>
          <w:sz w:val="22"/>
          <w:szCs w:val="22"/>
          <w:highlight w:val="none"/>
        </w:rPr>
        <w:t>1</w:t>
      </w:r>
      <w:r>
        <w:rPr>
          <w:rFonts w:hint="eastAsia" w:ascii="宋体" w:hAnsi="宋体" w:eastAsia="宋体" w:cs="宋体"/>
          <w:b/>
          <w:color w:val="auto"/>
          <w:sz w:val="22"/>
          <w:szCs w:val="22"/>
          <w:highlight w:val="none"/>
          <w:lang w:val="en-US" w:eastAsia="zh-CN"/>
        </w:rPr>
        <w:t>2</w:t>
      </w:r>
      <w:r>
        <w:rPr>
          <w:rFonts w:hint="eastAsia" w:ascii="宋体" w:hAnsi="宋体" w:eastAsia="宋体" w:cs="宋体"/>
          <w:b/>
          <w:color w:val="auto"/>
          <w:sz w:val="22"/>
          <w:szCs w:val="22"/>
          <w:highlight w:val="none"/>
        </w:rPr>
        <w:t>. 违约终止合同</w:t>
      </w:r>
      <w:bookmarkEnd w:id="74"/>
      <w:bookmarkEnd w:id="75"/>
    </w:p>
    <w:p>
      <w:pPr>
        <w:keepNext w:val="0"/>
        <w:keepLines w:val="0"/>
        <w:pageBreakBefore w:val="0"/>
        <w:widowControl w:val="0"/>
        <w:kinsoku/>
        <w:wordWrap/>
        <w:overflowPunct/>
        <w:topLinePunct/>
        <w:autoSpaceDE w:val="0"/>
        <w:autoSpaceDN w:val="0"/>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.1 若出现如下情况，在甲方对乙方违约行为而采取的任何补救措施不受影响的情况下，甲方可向乙方发出书面通知书，提出解除部分或全部合同。自甲方发出书面通知书之日起30日内，乙方应支付甲方合同总金额20%的违约金，并根据合同执行情况返还部分或全部已收取款项。乙方支付的违约金不足以弥补甲方损失的，应继续承担赔偿责任。本合同约定的损失，包括但不限于：直接损失、调查取证费、诉讼费、律师费等。</w:t>
      </w:r>
    </w:p>
    <w:p>
      <w:pPr>
        <w:keepNext w:val="0"/>
        <w:keepLines w:val="0"/>
        <w:pageBreakBefore w:val="0"/>
        <w:widowControl w:val="0"/>
        <w:kinsoku/>
        <w:wordWrap/>
        <w:overflowPunct/>
        <w:topLinePunct/>
        <w:autoSpaceDE w:val="0"/>
        <w:autoSpaceDN w:val="0"/>
        <w:bidi w:val="0"/>
        <w:adjustRightInd/>
        <w:snapToGrid/>
        <w:spacing w:line="400" w:lineRule="exact"/>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 xml:space="preserve">12.1.1 </w:t>
      </w:r>
      <w:r>
        <w:rPr>
          <w:rFonts w:hint="eastAsia" w:ascii="宋体" w:hAnsi="宋体" w:eastAsia="宋体" w:cs="宋体"/>
          <w:color w:val="auto"/>
          <w:sz w:val="22"/>
          <w:szCs w:val="22"/>
          <w:highlight w:val="none"/>
          <w:lang w:eastAsia="zh-CN"/>
        </w:rPr>
        <w:t>乙方不履行合同业务或者履行合同义务不符合合同约定；</w:t>
      </w:r>
    </w:p>
    <w:p>
      <w:pPr>
        <w:keepNext w:val="0"/>
        <w:keepLines w:val="0"/>
        <w:pageBreakBefore w:val="0"/>
        <w:widowControl w:val="0"/>
        <w:kinsoku/>
        <w:wordWrap/>
        <w:overflowPunct/>
        <w:topLinePunct/>
        <w:autoSpaceDE w:val="0"/>
        <w:autoSpaceDN w:val="0"/>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 xml:space="preserve"> 如果乙方未能在合同规定的期限或甲方同意延长的期限内提供服务；</w:t>
      </w:r>
    </w:p>
    <w:p>
      <w:pPr>
        <w:keepNext w:val="0"/>
        <w:keepLines w:val="0"/>
        <w:pageBreakBefore w:val="0"/>
        <w:widowControl w:val="0"/>
        <w:kinsoku/>
        <w:wordWrap/>
        <w:overflowPunct/>
        <w:topLinePunct/>
        <w:autoSpaceDE w:val="0"/>
        <w:autoSpaceDN w:val="0"/>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 xml:space="preserve"> 因乙方人员自身技术能力、经验不足等问题造成甲方发生重大紧急故障，带来重大影响和损失的；</w:t>
      </w:r>
    </w:p>
    <w:p>
      <w:pPr>
        <w:keepNext w:val="0"/>
        <w:keepLines w:val="0"/>
        <w:pageBreakBefore w:val="0"/>
        <w:widowControl w:val="0"/>
        <w:kinsoku/>
        <w:wordWrap/>
        <w:overflowPunct/>
        <w:topLinePunct/>
        <w:autoSpaceDE w:val="0"/>
        <w:autoSpaceDN w:val="0"/>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 xml:space="preserve"> 乙方对重大紧急故障没有及时响应，或不能在规定时间内解决处理故障、恢复正常运行的；</w:t>
      </w:r>
    </w:p>
    <w:p>
      <w:pPr>
        <w:keepNext w:val="0"/>
        <w:keepLines w:val="0"/>
        <w:pageBreakBefore w:val="0"/>
        <w:widowControl w:val="0"/>
        <w:kinsoku/>
        <w:wordWrap/>
        <w:overflowPunct/>
        <w:topLinePunct/>
        <w:autoSpaceDE w:val="0"/>
        <w:autoSpaceDN w:val="0"/>
        <w:bidi w:val="0"/>
        <w:adjustRightInd/>
        <w:snapToGrid/>
        <w:spacing w:line="400" w:lineRule="exact"/>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 xml:space="preserve"> 不能满足本项目技术需求的管理要求和规范，且经多次整改无明显改进的</w:t>
      </w:r>
      <w:r>
        <w:rPr>
          <w:rFonts w:hint="eastAsia" w:ascii="宋体" w:hAnsi="宋体" w:eastAsia="宋体" w:cs="宋体"/>
          <w:color w:val="auto"/>
          <w:sz w:val="22"/>
          <w:szCs w:val="22"/>
          <w:highlight w:val="none"/>
          <w:lang w:eastAsia="zh-CN"/>
        </w:rPr>
        <w:t>；</w:t>
      </w:r>
    </w:p>
    <w:p>
      <w:pPr>
        <w:keepNext w:val="0"/>
        <w:keepLines w:val="0"/>
        <w:pageBreakBefore w:val="0"/>
        <w:widowControl w:val="0"/>
        <w:kinsoku/>
        <w:wordWrap/>
        <w:overflowPunct/>
        <w:topLinePunct/>
        <w:autoSpaceDE w:val="0"/>
        <w:autoSpaceDN w:val="0"/>
        <w:bidi w:val="0"/>
        <w:adjustRightInd/>
        <w:snapToGrid/>
        <w:spacing w:line="400" w:lineRule="exact"/>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 xml:space="preserve"> 在合同服务期内，同一个应用系统在升级完善、运行维护支持服务过程中，出现5次经甲乙双方确认的用户投诉的</w:t>
      </w:r>
      <w:r>
        <w:rPr>
          <w:rFonts w:hint="eastAsia" w:ascii="宋体" w:hAnsi="宋体" w:eastAsia="宋体" w:cs="宋体"/>
          <w:color w:val="auto"/>
          <w:sz w:val="22"/>
          <w:szCs w:val="22"/>
          <w:highlight w:val="none"/>
          <w:lang w:eastAsia="zh-CN"/>
        </w:rPr>
        <w:t>；</w:t>
      </w:r>
    </w:p>
    <w:p>
      <w:pPr>
        <w:keepNext w:val="0"/>
        <w:keepLines w:val="0"/>
        <w:pageBreakBefore w:val="0"/>
        <w:widowControl w:val="0"/>
        <w:kinsoku/>
        <w:wordWrap/>
        <w:overflowPunct/>
        <w:topLinePunct/>
        <w:autoSpaceDE w:val="0"/>
        <w:autoSpaceDN w:val="0"/>
        <w:bidi w:val="0"/>
        <w:adjustRightInd/>
        <w:snapToGrid/>
        <w:spacing w:line="400" w:lineRule="exact"/>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 xml:space="preserve">12.1.7 </w:t>
      </w:r>
      <w:r>
        <w:rPr>
          <w:rFonts w:hint="eastAsia" w:ascii="宋体" w:hAnsi="宋体" w:eastAsia="宋体" w:cs="宋体"/>
          <w:color w:val="auto"/>
          <w:sz w:val="22"/>
          <w:szCs w:val="22"/>
          <w:highlight w:val="none"/>
        </w:rPr>
        <w:t>乙方利用本项目实施过程中所产生的成果（包括发明、发现、可运行系统、源代码及相关技术资料、文档等），另行自行开发本合同业务范围内供纳税人</w:t>
      </w:r>
      <w:r>
        <w:rPr>
          <w:rFonts w:hint="eastAsia" w:ascii="宋体" w:hAnsi="宋体" w:eastAsia="宋体" w:cs="宋体"/>
          <w:color w:val="auto"/>
          <w:sz w:val="22"/>
          <w:szCs w:val="22"/>
          <w:highlight w:val="none"/>
          <w:lang w:eastAsia="zh-CN"/>
        </w:rPr>
        <w:t>缴费人</w:t>
      </w:r>
      <w:r>
        <w:rPr>
          <w:rFonts w:hint="eastAsia" w:ascii="宋体" w:hAnsi="宋体" w:eastAsia="宋体" w:cs="宋体"/>
          <w:color w:val="auto"/>
          <w:sz w:val="22"/>
          <w:szCs w:val="22"/>
          <w:highlight w:val="none"/>
        </w:rPr>
        <w:t>使用的软件或产品的，或利用</w:t>
      </w:r>
      <w:r>
        <w:rPr>
          <w:rFonts w:hint="eastAsia" w:ascii="宋体" w:hAnsi="宋体" w:eastAsia="宋体" w:cs="宋体"/>
          <w:color w:val="auto"/>
          <w:sz w:val="22"/>
          <w:szCs w:val="22"/>
          <w:highlight w:val="none"/>
          <w:lang w:eastAsia="zh-CN"/>
        </w:rPr>
        <w:t>为税务机关提供信息化服务的</w:t>
      </w:r>
      <w:r>
        <w:rPr>
          <w:rFonts w:hint="eastAsia" w:ascii="宋体" w:hAnsi="宋体" w:eastAsia="宋体" w:cs="宋体"/>
          <w:color w:val="auto"/>
          <w:sz w:val="22"/>
          <w:szCs w:val="22"/>
          <w:highlight w:val="none"/>
        </w:rPr>
        <w:t>便利</w:t>
      </w:r>
      <w:r>
        <w:rPr>
          <w:rFonts w:hint="eastAsia" w:ascii="宋体" w:hAnsi="宋体" w:eastAsia="宋体" w:cs="宋体"/>
          <w:color w:val="auto"/>
          <w:sz w:val="22"/>
          <w:szCs w:val="22"/>
          <w:highlight w:val="none"/>
          <w:lang w:eastAsia="zh-CN"/>
        </w:rPr>
        <w:t>，向纳税人缴费人</w:t>
      </w:r>
      <w:r>
        <w:rPr>
          <w:rFonts w:hint="eastAsia" w:ascii="宋体" w:hAnsi="宋体" w:eastAsia="宋体" w:cs="宋体"/>
          <w:color w:val="auto"/>
          <w:sz w:val="22"/>
          <w:szCs w:val="22"/>
          <w:highlight w:val="none"/>
        </w:rPr>
        <w:t>搭车收费或变相收费的，</w:t>
      </w:r>
      <w:r>
        <w:rPr>
          <w:rFonts w:hint="eastAsia" w:ascii="宋体" w:hAnsi="宋体" w:eastAsia="宋体" w:cs="宋体"/>
          <w:color w:val="auto"/>
          <w:sz w:val="22"/>
          <w:szCs w:val="22"/>
          <w:highlight w:val="none"/>
          <w:lang w:eastAsia="zh-CN"/>
        </w:rPr>
        <w:t>或有其他失信行为的；</w:t>
      </w:r>
    </w:p>
    <w:p>
      <w:pPr>
        <w:keepNext w:val="0"/>
        <w:keepLines w:val="0"/>
        <w:pageBreakBefore w:val="0"/>
        <w:widowControl w:val="0"/>
        <w:kinsoku/>
        <w:wordWrap/>
        <w:overflowPunct/>
        <w:topLinePunct/>
        <w:autoSpaceDE w:val="0"/>
        <w:autoSpaceDN w:val="0"/>
        <w:bidi w:val="0"/>
        <w:adjustRightInd/>
        <w:snapToGrid/>
        <w:spacing w:line="40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12.1.8 乙方在本项目实施过程中发生违反网络安全规定行为造成不良后果的。</w:t>
      </w:r>
    </w:p>
    <w:p>
      <w:pPr>
        <w:keepNext w:val="0"/>
        <w:keepLines w:val="0"/>
        <w:pageBreakBefore w:val="0"/>
        <w:widowControl w:val="0"/>
        <w:kinsoku/>
        <w:wordWrap/>
        <w:overflowPunct/>
        <w:topLinePunct/>
        <w:autoSpaceDE w:val="0"/>
        <w:autoSpaceDN w:val="0"/>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 xml:space="preserve"> 乙方提供的服务侵犯甲方、第三方知识产权等合法权益的；</w:t>
      </w:r>
    </w:p>
    <w:p>
      <w:pPr>
        <w:keepNext w:val="0"/>
        <w:keepLines w:val="0"/>
        <w:pageBreakBefore w:val="0"/>
        <w:widowControl w:val="0"/>
        <w:kinsoku/>
        <w:wordWrap/>
        <w:overflowPunct/>
        <w:topLinePunct/>
        <w:autoSpaceDE w:val="0"/>
        <w:autoSpaceDN w:val="0"/>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 xml:space="preserve"> 乙方或乙方人员造成甲方或第三方经济损失而拒不赔偿的；</w:t>
      </w:r>
    </w:p>
    <w:p>
      <w:pPr>
        <w:keepNext w:val="0"/>
        <w:keepLines w:val="0"/>
        <w:pageBreakBefore w:val="0"/>
        <w:widowControl w:val="0"/>
        <w:kinsoku/>
        <w:wordWrap/>
        <w:overflowPunct/>
        <w:topLinePunct/>
        <w:autoSpaceDE w:val="0"/>
        <w:autoSpaceDN w:val="0"/>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.1.1</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 xml:space="preserve"> 乙方转让其应履行的合同义务，或未经甲方同意采取分包方式履行合同</w:t>
      </w:r>
    </w:p>
    <w:p>
      <w:pPr>
        <w:keepNext w:val="0"/>
        <w:keepLines w:val="0"/>
        <w:pageBreakBefore w:val="0"/>
        <w:widowControl w:val="0"/>
        <w:kinsoku/>
        <w:wordWrap/>
        <w:overflowPunct/>
        <w:topLinePunct/>
        <w:autoSpaceDE w:val="0"/>
        <w:autoSpaceDN w:val="0"/>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的；</w:t>
      </w:r>
    </w:p>
    <w:p>
      <w:pPr>
        <w:keepNext w:val="0"/>
        <w:keepLines w:val="0"/>
        <w:pageBreakBefore w:val="0"/>
        <w:widowControl w:val="0"/>
        <w:kinsoku/>
        <w:wordWrap/>
        <w:overflowPunct/>
        <w:topLinePunct/>
        <w:autoSpaceDE w:val="0"/>
        <w:autoSpaceDN w:val="0"/>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.1.1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 xml:space="preserve"> 乙方有其他严重违约行为的。</w:t>
      </w:r>
    </w:p>
    <w:p>
      <w:pPr>
        <w:keepNext w:val="0"/>
        <w:keepLines w:val="0"/>
        <w:pageBreakBefore w:val="0"/>
        <w:widowControl w:val="0"/>
        <w:kinsoku/>
        <w:wordWrap/>
        <w:overflowPunct/>
        <w:topLinePunct/>
        <w:autoSpaceDE w:val="0"/>
        <w:autoSpaceDN w:val="0"/>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.2 如果甲方根据上述第1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.1条的规定，终止了全部或部分合同，甲方可以适当的条件和方法购买乙方未能提供的服务，乙方应对甲方购买类似服务所超出的费用负责。同时，乙方应继续执行合同中未终止的部分。</w:t>
      </w:r>
    </w:p>
    <w:p>
      <w:pPr>
        <w:keepNext w:val="0"/>
        <w:keepLines w:val="0"/>
        <w:pageBreakBefore w:val="0"/>
        <w:widowControl w:val="0"/>
        <w:kinsoku/>
        <w:wordWrap/>
        <w:overflowPunct/>
        <w:bidi w:val="0"/>
        <w:adjustRightInd/>
        <w:snapToGrid/>
        <w:spacing w:line="400" w:lineRule="exact"/>
        <w:ind w:firstLine="442" w:firstLineChars="200"/>
        <w:textAlignment w:val="auto"/>
        <w:outlineLvl w:val="1"/>
        <w:rPr>
          <w:rFonts w:hint="eastAsia" w:ascii="宋体" w:hAnsi="宋体" w:eastAsia="宋体" w:cs="宋体"/>
          <w:b/>
          <w:color w:val="auto"/>
          <w:sz w:val="22"/>
          <w:szCs w:val="22"/>
          <w:highlight w:val="none"/>
        </w:rPr>
      </w:pPr>
      <w:bookmarkStart w:id="76" w:name="_Toc29805"/>
      <w:bookmarkStart w:id="77" w:name="_Toc32253"/>
      <w:r>
        <w:rPr>
          <w:rFonts w:hint="eastAsia" w:ascii="宋体" w:hAnsi="宋体" w:eastAsia="宋体" w:cs="宋体"/>
          <w:b/>
          <w:color w:val="auto"/>
          <w:sz w:val="22"/>
          <w:szCs w:val="22"/>
          <w:highlight w:val="none"/>
        </w:rPr>
        <w:t>1</w:t>
      </w:r>
      <w:r>
        <w:rPr>
          <w:rFonts w:hint="eastAsia" w:ascii="宋体" w:hAnsi="宋体" w:eastAsia="宋体" w:cs="宋体"/>
          <w:b/>
          <w:color w:val="auto"/>
          <w:sz w:val="22"/>
          <w:szCs w:val="22"/>
          <w:highlight w:val="none"/>
          <w:lang w:val="en-US" w:eastAsia="zh-CN"/>
        </w:rPr>
        <w:t>3</w:t>
      </w:r>
      <w:r>
        <w:rPr>
          <w:rFonts w:hint="eastAsia" w:ascii="宋体" w:hAnsi="宋体" w:eastAsia="宋体" w:cs="宋体"/>
          <w:b/>
          <w:color w:val="auto"/>
          <w:sz w:val="22"/>
          <w:szCs w:val="22"/>
          <w:highlight w:val="none"/>
        </w:rPr>
        <w:t>. 破产终止合同</w:t>
      </w:r>
      <w:bookmarkEnd w:id="76"/>
      <w:bookmarkEnd w:id="77"/>
    </w:p>
    <w:p>
      <w:pPr>
        <w:keepNext w:val="0"/>
        <w:keepLines w:val="0"/>
        <w:pageBreakBefore w:val="0"/>
        <w:widowControl w:val="0"/>
        <w:kinsoku/>
        <w:wordWrap/>
        <w:overflowPunct/>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.1 如果乙方破产或无清偿能力，甲方可在任何时候以书面形式通知乙方终止合同而不给乙方补偿。</w:t>
      </w:r>
    </w:p>
    <w:p>
      <w:pPr>
        <w:keepNext w:val="0"/>
        <w:keepLines w:val="0"/>
        <w:pageBreakBefore w:val="0"/>
        <w:widowControl w:val="0"/>
        <w:kinsoku/>
        <w:wordWrap/>
        <w:overflowPunct/>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.2该终止合同将不损害或影响甲方已经采取或将要采取的任何行动或补救措施的权力。</w:t>
      </w:r>
    </w:p>
    <w:p>
      <w:pPr>
        <w:keepNext w:val="0"/>
        <w:keepLines w:val="0"/>
        <w:pageBreakBefore w:val="0"/>
        <w:widowControl w:val="0"/>
        <w:kinsoku/>
        <w:wordWrap/>
        <w:overflowPunct/>
        <w:topLinePunct/>
        <w:autoSpaceDE w:val="0"/>
        <w:autoSpaceDN w:val="0"/>
        <w:bidi w:val="0"/>
        <w:adjustRightInd/>
        <w:snapToGrid/>
        <w:spacing w:line="400" w:lineRule="exact"/>
        <w:ind w:firstLine="442" w:firstLineChars="200"/>
        <w:textAlignment w:val="auto"/>
        <w:outlineLvl w:val="1"/>
        <w:rPr>
          <w:rFonts w:hint="eastAsia" w:ascii="宋体" w:hAnsi="宋体" w:eastAsia="宋体" w:cs="宋体"/>
          <w:b/>
          <w:color w:val="auto"/>
          <w:sz w:val="22"/>
          <w:szCs w:val="22"/>
          <w:highlight w:val="none"/>
        </w:rPr>
      </w:pPr>
      <w:bookmarkStart w:id="78" w:name="_Toc25634"/>
      <w:bookmarkStart w:id="79" w:name="_Toc21386"/>
      <w:r>
        <w:rPr>
          <w:rFonts w:hint="eastAsia" w:ascii="宋体" w:hAnsi="宋体" w:eastAsia="宋体" w:cs="宋体"/>
          <w:b/>
          <w:color w:val="auto"/>
          <w:sz w:val="22"/>
          <w:szCs w:val="22"/>
          <w:highlight w:val="none"/>
        </w:rPr>
        <w:t>1</w:t>
      </w:r>
      <w:r>
        <w:rPr>
          <w:rFonts w:hint="eastAsia" w:ascii="宋体" w:hAnsi="宋体" w:eastAsia="宋体" w:cs="宋体"/>
          <w:b/>
          <w:color w:val="auto"/>
          <w:sz w:val="22"/>
          <w:szCs w:val="22"/>
          <w:highlight w:val="none"/>
          <w:lang w:val="en-US" w:eastAsia="zh-CN"/>
        </w:rPr>
        <w:t>4</w:t>
      </w:r>
      <w:r>
        <w:rPr>
          <w:rFonts w:hint="eastAsia" w:ascii="宋体" w:hAnsi="宋体" w:eastAsia="宋体" w:cs="宋体"/>
          <w:b/>
          <w:color w:val="auto"/>
          <w:sz w:val="22"/>
          <w:szCs w:val="22"/>
          <w:highlight w:val="none"/>
        </w:rPr>
        <w:t>. 其他情况的终止合同</w:t>
      </w:r>
      <w:bookmarkEnd w:id="78"/>
      <w:bookmarkEnd w:id="79"/>
    </w:p>
    <w:p>
      <w:pPr>
        <w:keepNext w:val="0"/>
        <w:keepLines w:val="0"/>
        <w:pageBreakBefore w:val="0"/>
        <w:widowControl w:val="0"/>
        <w:kinsoku/>
        <w:wordWrap/>
        <w:overflowPunct/>
        <w:topLinePunct/>
        <w:autoSpaceDE w:val="0"/>
        <w:autoSpaceDN w:val="0"/>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.1 乙方在执行合同的过程中发生重大事故或变故，对履行合同有直接影响的，甲方可以提出终止合同而不给予乙方任何补偿。</w:t>
      </w:r>
    </w:p>
    <w:p>
      <w:pPr>
        <w:keepNext w:val="0"/>
        <w:keepLines w:val="0"/>
        <w:pageBreakBefore w:val="0"/>
        <w:widowControl w:val="0"/>
        <w:kinsoku/>
        <w:wordWrap/>
        <w:overflowPunct/>
        <w:topLinePunct/>
        <w:autoSpaceDE w:val="0"/>
        <w:autoSpaceDN w:val="0"/>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.2 在服务期内，由于甲方工作计划调整，推广使用新应用系统导致本项目相关服务停止的，甲方可以提出终止合同而不给予乙方任何补偿。</w:t>
      </w:r>
    </w:p>
    <w:p>
      <w:pPr>
        <w:keepNext w:val="0"/>
        <w:keepLines w:val="0"/>
        <w:pageBreakBefore w:val="0"/>
        <w:widowControl w:val="0"/>
        <w:tabs>
          <w:tab w:val="left" w:pos="700"/>
        </w:tabs>
        <w:kinsoku/>
        <w:wordWrap/>
        <w:overflowPunct/>
        <w:bidi w:val="0"/>
        <w:adjustRightInd/>
        <w:snapToGrid/>
        <w:spacing w:line="400" w:lineRule="exact"/>
        <w:ind w:firstLine="442" w:firstLineChars="200"/>
        <w:textAlignment w:val="auto"/>
        <w:outlineLvl w:val="1"/>
        <w:rPr>
          <w:rFonts w:hint="eastAsia" w:ascii="宋体" w:hAnsi="宋体" w:eastAsia="宋体" w:cs="宋体"/>
          <w:b/>
          <w:color w:val="auto"/>
          <w:sz w:val="22"/>
          <w:szCs w:val="22"/>
          <w:highlight w:val="none"/>
        </w:rPr>
      </w:pPr>
      <w:bookmarkStart w:id="80" w:name="_Toc26374"/>
      <w:bookmarkStart w:id="81" w:name="_Toc825"/>
      <w:r>
        <w:rPr>
          <w:rFonts w:hint="eastAsia" w:ascii="宋体" w:hAnsi="宋体" w:eastAsia="宋体" w:cs="宋体"/>
          <w:b/>
          <w:color w:val="auto"/>
          <w:sz w:val="22"/>
          <w:szCs w:val="22"/>
          <w:highlight w:val="none"/>
        </w:rPr>
        <w:t>1</w:t>
      </w:r>
      <w:r>
        <w:rPr>
          <w:rFonts w:hint="eastAsia" w:ascii="宋体" w:hAnsi="宋体" w:eastAsia="宋体" w:cs="宋体"/>
          <w:b/>
          <w:color w:val="auto"/>
          <w:sz w:val="22"/>
          <w:szCs w:val="22"/>
          <w:highlight w:val="none"/>
          <w:lang w:val="en-US" w:eastAsia="zh-CN"/>
        </w:rPr>
        <w:t>5</w:t>
      </w:r>
      <w:r>
        <w:rPr>
          <w:rFonts w:hint="eastAsia" w:ascii="宋体" w:hAnsi="宋体" w:eastAsia="宋体" w:cs="宋体"/>
          <w:b/>
          <w:color w:val="auto"/>
          <w:sz w:val="22"/>
          <w:szCs w:val="22"/>
          <w:highlight w:val="none"/>
        </w:rPr>
        <w:t>. 合同修改或变更</w:t>
      </w:r>
      <w:bookmarkEnd w:id="80"/>
      <w:bookmarkEnd w:id="81"/>
    </w:p>
    <w:p>
      <w:pPr>
        <w:keepNext w:val="0"/>
        <w:keepLines w:val="0"/>
        <w:pageBreakBefore w:val="0"/>
        <w:widowControl w:val="0"/>
        <w:kinsoku/>
        <w:wordWrap/>
        <w:overflowPunct/>
        <w:bidi w:val="0"/>
        <w:adjustRightInd/>
        <w:snapToGrid/>
        <w:spacing w:line="40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.1 合同如有未尽事宜，须经甲乙双方共同协商，做出补充约定，并签订书面补充合同或变更协议。补充合同或变更协议作为本合同的一部分，与本合同具有同等效力。</w:t>
      </w:r>
    </w:p>
    <w:p>
      <w:pPr>
        <w:keepNext w:val="0"/>
        <w:keepLines w:val="0"/>
        <w:pageBreakBefore w:val="0"/>
        <w:widowControl w:val="0"/>
        <w:kinsoku/>
        <w:wordWrap/>
        <w:overflowPunct/>
        <w:topLinePunct/>
        <w:autoSpaceDE w:val="0"/>
        <w:autoSpaceDN w:val="0"/>
        <w:bidi w:val="0"/>
        <w:adjustRightInd/>
        <w:snapToGrid/>
        <w:spacing w:line="400" w:lineRule="exact"/>
        <w:ind w:firstLine="440" w:firstLineChars="200"/>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.2 除了双方签署书面修改或变更协议，并成为本合同不可分割的一部分的情况之外，本合同的条款不得有任何变化或修改。</w:t>
      </w:r>
    </w:p>
    <w:p>
      <w:pPr>
        <w:keepNext w:val="0"/>
        <w:keepLines w:val="0"/>
        <w:pageBreakBefore w:val="0"/>
        <w:widowControl w:val="0"/>
        <w:kinsoku/>
        <w:wordWrap/>
        <w:overflowPunct/>
        <w:topLinePunct/>
        <w:autoSpaceDE w:val="0"/>
        <w:autoSpaceDN w:val="0"/>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.3 由于采购人项目统一规划等原因导致本项目停止部分服务的，甲方将启动合同变更程序，与乙方协商变更相关合同条款。</w:t>
      </w:r>
    </w:p>
    <w:p>
      <w:pPr>
        <w:keepNext w:val="0"/>
        <w:keepLines w:val="0"/>
        <w:pageBreakBefore w:val="0"/>
        <w:widowControl w:val="0"/>
        <w:kinsoku/>
        <w:wordWrap/>
        <w:overflowPunct/>
        <w:bidi w:val="0"/>
        <w:adjustRightInd/>
        <w:snapToGrid/>
        <w:spacing w:line="400" w:lineRule="exact"/>
        <w:ind w:firstLine="442" w:firstLineChars="200"/>
        <w:textAlignment w:val="auto"/>
        <w:outlineLvl w:val="1"/>
        <w:rPr>
          <w:rFonts w:hint="eastAsia" w:ascii="宋体" w:hAnsi="宋体" w:eastAsia="宋体" w:cs="宋体"/>
          <w:b/>
          <w:color w:val="auto"/>
          <w:sz w:val="22"/>
          <w:szCs w:val="22"/>
          <w:highlight w:val="none"/>
        </w:rPr>
      </w:pPr>
      <w:bookmarkStart w:id="82" w:name="_Toc12870"/>
      <w:bookmarkStart w:id="83" w:name="_Toc11723"/>
      <w:r>
        <w:rPr>
          <w:rFonts w:hint="eastAsia" w:ascii="宋体" w:hAnsi="宋体" w:eastAsia="宋体" w:cs="宋体"/>
          <w:b/>
          <w:color w:val="auto"/>
          <w:sz w:val="22"/>
          <w:szCs w:val="22"/>
          <w:highlight w:val="none"/>
        </w:rPr>
        <w:t>1</w:t>
      </w:r>
      <w:r>
        <w:rPr>
          <w:rFonts w:hint="eastAsia" w:ascii="宋体" w:hAnsi="宋体" w:eastAsia="宋体" w:cs="宋体"/>
          <w:b/>
          <w:color w:val="auto"/>
          <w:sz w:val="22"/>
          <w:szCs w:val="22"/>
          <w:highlight w:val="none"/>
          <w:lang w:val="en-US" w:eastAsia="zh-CN"/>
        </w:rPr>
        <w:t>6</w:t>
      </w:r>
      <w:r>
        <w:rPr>
          <w:rFonts w:hint="eastAsia" w:ascii="宋体" w:hAnsi="宋体" w:eastAsia="宋体" w:cs="宋体"/>
          <w:b/>
          <w:color w:val="auto"/>
          <w:sz w:val="22"/>
          <w:szCs w:val="22"/>
          <w:highlight w:val="none"/>
        </w:rPr>
        <w:t>. 转让和分包</w:t>
      </w:r>
      <w:bookmarkEnd w:id="82"/>
      <w:bookmarkEnd w:id="83"/>
    </w:p>
    <w:p>
      <w:pPr>
        <w:keepNext w:val="0"/>
        <w:keepLines w:val="0"/>
        <w:pageBreakBefore w:val="0"/>
        <w:widowControl w:val="0"/>
        <w:kinsoku/>
        <w:wordWrap/>
        <w:overflowPunct/>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.1 除甲方事先书面同意外，乙方不得部分转让或全部转让其应履行的合同义务。</w:t>
      </w:r>
    </w:p>
    <w:p>
      <w:pPr>
        <w:keepNext w:val="0"/>
        <w:keepLines w:val="0"/>
        <w:pageBreakBefore w:val="0"/>
        <w:widowControl w:val="0"/>
        <w:kinsoku/>
        <w:wordWrap/>
        <w:overflowPunct/>
        <w:bidi w:val="0"/>
        <w:adjustRightInd/>
        <w:snapToGrid/>
        <w:spacing w:line="40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16.2 未经甲方同意，乙方不得采取分包方式履行合同。经甲方同意分包履行合同的，乙方就采购项目及分包项目向甲方负责，分包供应商就分包项目承担责任。</w:t>
      </w:r>
    </w:p>
    <w:p>
      <w:pPr>
        <w:keepNext w:val="0"/>
        <w:keepLines w:val="0"/>
        <w:pageBreakBefore w:val="0"/>
        <w:widowControl w:val="0"/>
        <w:kinsoku/>
        <w:wordWrap/>
        <w:overflowPunct/>
        <w:topLinePunct/>
        <w:autoSpaceDE w:val="0"/>
        <w:autoSpaceDN w:val="0"/>
        <w:bidi w:val="0"/>
        <w:adjustRightInd/>
        <w:snapToGrid/>
        <w:spacing w:line="400" w:lineRule="exact"/>
        <w:ind w:firstLine="442" w:firstLineChars="200"/>
        <w:textAlignment w:val="auto"/>
        <w:outlineLvl w:val="1"/>
        <w:rPr>
          <w:rFonts w:hint="eastAsia" w:ascii="宋体" w:hAnsi="宋体" w:eastAsia="宋体" w:cs="宋体"/>
          <w:b/>
          <w:color w:val="auto"/>
          <w:sz w:val="22"/>
          <w:szCs w:val="22"/>
          <w:highlight w:val="none"/>
        </w:rPr>
      </w:pPr>
      <w:bookmarkStart w:id="84" w:name="_Toc15170"/>
      <w:bookmarkStart w:id="85" w:name="_Toc23771"/>
      <w:r>
        <w:rPr>
          <w:rFonts w:hint="eastAsia" w:ascii="宋体" w:hAnsi="宋体" w:eastAsia="宋体" w:cs="宋体"/>
          <w:b/>
          <w:color w:val="auto"/>
          <w:sz w:val="22"/>
          <w:szCs w:val="22"/>
          <w:highlight w:val="none"/>
        </w:rPr>
        <w:t>1</w:t>
      </w:r>
      <w:r>
        <w:rPr>
          <w:rFonts w:hint="eastAsia" w:ascii="宋体" w:hAnsi="宋体" w:eastAsia="宋体" w:cs="宋体"/>
          <w:b/>
          <w:color w:val="auto"/>
          <w:sz w:val="22"/>
          <w:szCs w:val="22"/>
          <w:highlight w:val="none"/>
          <w:lang w:val="en-US" w:eastAsia="zh-CN"/>
        </w:rPr>
        <w:t>7</w:t>
      </w:r>
      <w:r>
        <w:rPr>
          <w:rFonts w:hint="eastAsia" w:ascii="宋体" w:hAnsi="宋体" w:eastAsia="宋体" w:cs="宋体"/>
          <w:b/>
          <w:color w:val="auto"/>
          <w:sz w:val="22"/>
          <w:szCs w:val="22"/>
          <w:highlight w:val="none"/>
        </w:rPr>
        <w:t>. 合同语言</w:t>
      </w:r>
      <w:bookmarkEnd w:id="84"/>
      <w:bookmarkEnd w:id="85"/>
    </w:p>
    <w:p>
      <w:pPr>
        <w:keepNext w:val="0"/>
        <w:keepLines w:val="0"/>
        <w:pageBreakBefore w:val="0"/>
        <w:widowControl w:val="0"/>
        <w:kinsoku/>
        <w:wordWrap/>
        <w:overflowPunct/>
        <w:topLinePunct/>
        <w:autoSpaceDE w:val="0"/>
        <w:autoSpaceDN w:val="0"/>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.1 本合同语言为中文。</w:t>
      </w:r>
    </w:p>
    <w:p>
      <w:pPr>
        <w:keepNext w:val="0"/>
        <w:keepLines w:val="0"/>
        <w:pageBreakBefore w:val="0"/>
        <w:widowControl w:val="0"/>
        <w:kinsoku/>
        <w:wordWrap/>
        <w:overflowPunct/>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.2 双方交换的与合同有关的信件和其他文件应用合同语言书写。</w:t>
      </w:r>
    </w:p>
    <w:p>
      <w:pPr>
        <w:keepNext w:val="0"/>
        <w:keepLines w:val="0"/>
        <w:pageBreakBefore w:val="0"/>
        <w:widowControl w:val="0"/>
        <w:kinsoku/>
        <w:wordWrap/>
        <w:overflowPunct/>
        <w:bidi w:val="0"/>
        <w:adjustRightInd/>
        <w:snapToGrid/>
        <w:spacing w:line="400" w:lineRule="exact"/>
        <w:ind w:firstLine="442" w:firstLineChars="200"/>
        <w:textAlignment w:val="auto"/>
        <w:outlineLvl w:val="1"/>
        <w:rPr>
          <w:rFonts w:hint="eastAsia" w:ascii="宋体" w:hAnsi="宋体" w:eastAsia="宋体" w:cs="宋体"/>
          <w:b/>
          <w:color w:val="auto"/>
          <w:sz w:val="22"/>
          <w:szCs w:val="22"/>
          <w:highlight w:val="none"/>
        </w:rPr>
      </w:pPr>
      <w:bookmarkStart w:id="86" w:name="_Toc11412"/>
      <w:bookmarkStart w:id="87" w:name="_Toc12419"/>
      <w:r>
        <w:rPr>
          <w:rFonts w:hint="eastAsia" w:ascii="宋体" w:hAnsi="宋体" w:eastAsia="宋体" w:cs="宋体"/>
          <w:b/>
          <w:color w:val="auto"/>
          <w:sz w:val="22"/>
          <w:szCs w:val="22"/>
          <w:highlight w:val="none"/>
          <w:lang w:val="en-US" w:eastAsia="zh-CN"/>
        </w:rPr>
        <w:t>18</w:t>
      </w:r>
      <w:r>
        <w:rPr>
          <w:rFonts w:hint="eastAsia" w:ascii="宋体" w:hAnsi="宋体" w:eastAsia="宋体" w:cs="宋体"/>
          <w:b/>
          <w:color w:val="auto"/>
          <w:sz w:val="22"/>
          <w:szCs w:val="22"/>
          <w:highlight w:val="none"/>
        </w:rPr>
        <w:t>. 适用法律</w:t>
      </w:r>
      <w:bookmarkEnd w:id="86"/>
      <w:bookmarkEnd w:id="87"/>
    </w:p>
    <w:p>
      <w:pPr>
        <w:keepNext w:val="0"/>
        <w:keepLines w:val="0"/>
        <w:pageBreakBefore w:val="0"/>
        <w:widowControl w:val="0"/>
        <w:kinsoku/>
        <w:wordWrap/>
        <w:overflowPunct/>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18</w:t>
      </w:r>
      <w:r>
        <w:rPr>
          <w:rFonts w:hint="eastAsia" w:ascii="宋体" w:hAnsi="宋体" w:eastAsia="宋体" w:cs="宋体"/>
          <w:color w:val="auto"/>
          <w:sz w:val="22"/>
          <w:szCs w:val="22"/>
          <w:highlight w:val="none"/>
        </w:rPr>
        <w:t>.1 本合同按照中华人民共和国现行法律进行解释。</w:t>
      </w:r>
    </w:p>
    <w:p>
      <w:pPr>
        <w:keepNext w:val="0"/>
        <w:keepLines w:val="0"/>
        <w:pageBreakBefore w:val="0"/>
        <w:widowControl w:val="0"/>
        <w:kinsoku/>
        <w:wordWrap/>
        <w:overflowPunct/>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18</w:t>
      </w:r>
      <w:r>
        <w:rPr>
          <w:rFonts w:hint="eastAsia" w:ascii="宋体" w:hAnsi="宋体" w:eastAsia="宋体" w:cs="宋体"/>
          <w:color w:val="auto"/>
          <w:sz w:val="22"/>
          <w:szCs w:val="22"/>
          <w:highlight w:val="none"/>
        </w:rPr>
        <w:t>.2 本合同的履行、违约责任和解决争议的方法等适用《中华人民共和国</w:t>
      </w:r>
      <w:r>
        <w:rPr>
          <w:rFonts w:hint="eastAsia" w:ascii="宋体" w:hAnsi="宋体" w:eastAsia="宋体" w:cs="宋体"/>
          <w:color w:val="auto"/>
          <w:sz w:val="22"/>
          <w:szCs w:val="22"/>
          <w:highlight w:val="none"/>
          <w:lang w:eastAsia="zh-CN"/>
        </w:rPr>
        <w:t>民法典（合同编）</w:t>
      </w:r>
      <w:r>
        <w:rPr>
          <w:rFonts w:hint="eastAsia" w:ascii="宋体" w:hAnsi="宋体" w:eastAsia="宋体" w:cs="宋体"/>
          <w:color w:val="auto"/>
          <w:sz w:val="22"/>
          <w:szCs w:val="22"/>
          <w:highlight w:val="none"/>
        </w:rPr>
        <w:t>》。</w:t>
      </w:r>
    </w:p>
    <w:p>
      <w:pPr>
        <w:keepNext w:val="0"/>
        <w:keepLines w:val="0"/>
        <w:pageBreakBefore w:val="0"/>
        <w:widowControl w:val="0"/>
        <w:kinsoku/>
        <w:wordWrap/>
        <w:overflowPunct/>
        <w:topLinePunct/>
        <w:autoSpaceDE w:val="0"/>
        <w:autoSpaceDN w:val="0"/>
        <w:bidi w:val="0"/>
        <w:adjustRightInd/>
        <w:snapToGrid/>
        <w:spacing w:line="400" w:lineRule="exact"/>
        <w:ind w:firstLine="442" w:firstLineChars="200"/>
        <w:textAlignment w:val="auto"/>
        <w:outlineLvl w:val="1"/>
        <w:rPr>
          <w:rFonts w:hint="eastAsia" w:ascii="宋体" w:hAnsi="宋体" w:eastAsia="宋体" w:cs="宋体"/>
          <w:b/>
          <w:color w:val="auto"/>
          <w:sz w:val="22"/>
          <w:szCs w:val="22"/>
          <w:highlight w:val="none"/>
        </w:rPr>
      </w:pPr>
      <w:bookmarkStart w:id="88" w:name="_Toc1985"/>
      <w:bookmarkStart w:id="89" w:name="_Toc4664"/>
      <w:r>
        <w:rPr>
          <w:rFonts w:hint="eastAsia" w:ascii="宋体" w:hAnsi="宋体" w:eastAsia="宋体" w:cs="宋体"/>
          <w:b/>
          <w:color w:val="auto"/>
          <w:sz w:val="22"/>
          <w:szCs w:val="22"/>
          <w:highlight w:val="none"/>
          <w:lang w:val="en-US" w:eastAsia="zh-CN"/>
        </w:rPr>
        <w:t>19</w:t>
      </w:r>
      <w:r>
        <w:rPr>
          <w:rFonts w:hint="eastAsia" w:ascii="宋体" w:hAnsi="宋体" w:eastAsia="宋体" w:cs="宋体"/>
          <w:b/>
          <w:color w:val="auto"/>
          <w:sz w:val="22"/>
          <w:szCs w:val="22"/>
          <w:highlight w:val="none"/>
        </w:rPr>
        <w:t>. 税费</w:t>
      </w:r>
      <w:bookmarkEnd w:id="88"/>
      <w:bookmarkEnd w:id="89"/>
    </w:p>
    <w:p>
      <w:pPr>
        <w:keepNext w:val="0"/>
        <w:keepLines w:val="0"/>
        <w:pageBreakBefore w:val="0"/>
        <w:widowControl w:val="0"/>
        <w:kinsoku/>
        <w:wordWrap/>
        <w:overflowPunct/>
        <w:topLinePunct/>
        <w:autoSpaceDE w:val="0"/>
        <w:autoSpaceDN w:val="0"/>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19</w:t>
      </w:r>
      <w:r>
        <w:rPr>
          <w:rFonts w:hint="eastAsia" w:ascii="宋体" w:hAnsi="宋体" w:eastAsia="宋体" w:cs="宋体"/>
          <w:color w:val="auto"/>
          <w:sz w:val="22"/>
          <w:szCs w:val="22"/>
          <w:highlight w:val="none"/>
        </w:rPr>
        <w:t>.1 合同服务的所有税费均已包含于合同价中，甲方不再另行支付。</w:t>
      </w:r>
    </w:p>
    <w:p>
      <w:pPr>
        <w:keepNext w:val="0"/>
        <w:keepLines w:val="0"/>
        <w:pageBreakBefore w:val="0"/>
        <w:widowControl w:val="0"/>
        <w:tabs>
          <w:tab w:val="left" w:pos="700"/>
        </w:tabs>
        <w:kinsoku/>
        <w:wordWrap/>
        <w:overflowPunct/>
        <w:bidi w:val="0"/>
        <w:adjustRightInd/>
        <w:snapToGrid/>
        <w:spacing w:line="400" w:lineRule="exact"/>
        <w:ind w:firstLine="442" w:firstLineChars="200"/>
        <w:textAlignment w:val="auto"/>
        <w:outlineLvl w:val="1"/>
        <w:rPr>
          <w:rFonts w:hint="eastAsia" w:ascii="宋体" w:hAnsi="宋体" w:eastAsia="宋体" w:cs="宋体"/>
          <w:b/>
          <w:color w:val="auto"/>
          <w:sz w:val="22"/>
          <w:szCs w:val="22"/>
          <w:highlight w:val="none"/>
        </w:rPr>
      </w:pPr>
      <w:bookmarkStart w:id="90" w:name="_Toc11519"/>
      <w:bookmarkStart w:id="91" w:name="_Toc6527"/>
      <w:r>
        <w:rPr>
          <w:rFonts w:hint="eastAsia" w:ascii="宋体" w:hAnsi="宋体" w:eastAsia="宋体" w:cs="宋体"/>
          <w:b/>
          <w:color w:val="auto"/>
          <w:sz w:val="22"/>
          <w:szCs w:val="22"/>
          <w:highlight w:val="none"/>
          <w:lang w:val="en-US" w:eastAsia="zh-CN"/>
        </w:rPr>
        <w:t>20</w:t>
      </w:r>
      <w:r>
        <w:rPr>
          <w:rFonts w:hint="eastAsia" w:ascii="宋体" w:hAnsi="宋体" w:eastAsia="宋体" w:cs="宋体"/>
          <w:b/>
          <w:color w:val="auto"/>
          <w:sz w:val="22"/>
          <w:szCs w:val="22"/>
          <w:highlight w:val="none"/>
        </w:rPr>
        <w:t>. 合同生效</w:t>
      </w:r>
      <w:bookmarkEnd w:id="90"/>
      <w:bookmarkEnd w:id="91"/>
    </w:p>
    <w:p>
      <w:pPr>
        <w:keepNext w:val="0"/>
        <w:keepLines w:val="0"/>
        <w:pageBreakBefore w:val="0"/>
        <w:widowControl w:val="0"/>
        <w:kinsoku/>
        <w:wordWrap/>
        <w:overflowPunct/>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20</w:t>
      </w:r>
      <w:r>
        <w:rPr>
          <w:rFonts w:hint="eastAsia" w:ascii="宋体" w:hAnsi="宋体" w:eastAsia="宋体" w:cs="宋体"/>
          <w:color w:val="auto"/>
          <w:sz w:val="22"/>
          <w:szCs w:val="22"/>
          <w:highlight w:val="none"/>
        </w:rPr>
        <w:t>.1 本合同一式</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份，由甲乙双方法定代表人或被授权人签字并盖章后生效。</w:t>
      </w:r>
    </w:p>
    <w:p>
      <w:pPr>
        <w:keepNext w:val="0"/>
        <w:keepLines w:val="0"/>
        <w:pageBreakBefore w:val="0"/>
        <w:widowControl w:val="0"/>
        <w:kinsoku/>
        <w:wordWrap/>
        <w:overflowPunct/>
        <w:bidi w:val="0"/>
        <w:adjustRightInd/>
        <w:snapToGrid/>
        <w:spacing w:line="360" w:lineRule="auto"/>
        <w:textAlignment w:val="auto"/>
        <w:rPr>
          <w:rFonts w:hint="default" w:ascii="Times New Roman" w:hAnsi="Times New Roman" w:cs="Times New Roman"/>
          <w:color w:val="auto"/>
          <w:sz w:val="21"/>
          <w:szCs w:val="21"/>
          <w:highlight w:val="none"/>
        </w:rPr>
        <w:sectPr>
          <w:pgSz w:w="11907" w:h="16839"/>
          <w:pgMar w:top="1440" w:right="1746" w:bottom="1440" w:left="1746" w:header="1148" w:footer="709" w:gutter="0"/>
          <w:pgNumType w:fmt="decimal"/>
          <w:cols w:space="720" w:num="1"/>
          <w:docGrid w:linePitch="360" w:charSpace="0"/>
        </w:sectPr>
      </w:pPr>
    </w:p>
    <w:p>
      <w:pPr>
        <w:keepNext w:val="0"/>
        <w:keepLines w:val="0"/>
        <w:pageBreakBefore w:val="0"/>
        <w:widowControl w:val="0"/>
        <w:kinsoku/>
        <w:wordWrap/>
        <w:overflowPunct/>
        <w:topLinePunct/>
        <w:autoSpaceDE w:val="0"/>
        <w:autoSpaceDN w:val="0"/>
        <w:bidi w:val="0"/>
        <w:adjustRightInd/>
        <w:snapToGrid/>
        <w:spacing w:line="360" w:lineRule="auto"/>
        <w:jc w:val="center"/>
        <w:textAlignment w:val="auto"/>
        <w:outlineLvl w:val="0"/>
        <w:rPr>
          <w:rFonts w:hint="eastAsia" w:ascii="宋体" w:hAnsi="宋体" w:cs="宋体"/>
          <w:b/>
          <w:color w:val="auto"/>
          <w:sz w:val="24"/>
          <w:szCs w:val="24"/>
          <w:highlight w:val="none"/>
          <w:lang w:eastAsia="zh-CN"/>
        </w:rPr>
      </w:pPr>
      <w:bookmarkStart w:id="92" w:name="_Toc3171"/>
      <w:bookmarkStart w:id="93" w:name="_Toc30503"/>
      <w:r>
        <w:rPr>
          <w:rFonts w:hint="eastAsia" w:ascii="宋体" w:hAnsi="宋体" w:cs="宋体"/>
          <w:b/>
          <w:color w:val="auto"/>
          <w:sz w:val="24"/>
          <w:szCs w:val="24"/>
          <w:highlight w:val="none"/>
          <w:lang w:eastAsia="zh-CN"/>
        </w:rPr>
        <w:t>三</w:t>
      </w:r>
      <w:r>
        <w:rPr>
          <w:rFonts w:hint="eastAsia" w:ascii="宋体" w:hAnsi="宋体" w:cs="宋体"/>
          <w:b/>
          <w:color w:val="auto"/>
          <w:sz w:val="24"/>
          <w:szCs w:val="24"/>
          <w:highlight w:val="none"/>
          <w:lang w:val="en-US" w:eastAsia="zh-CN"/>
        </w:rPr>
        <w:t xml:space="preserve">   招标（采购）文件及投标（响应）文件</w:t>
      </w:r>
      <w:r>
        <w:rPr>
          <w:rFonts w:hint="eastAsia" w:ascii="宋体" w:hAnsi="宋体" w:cs="宋体"/>
          <w:b/>
          <w:color w:val="auto"/>
          <w:sz w:val="24"/>
          <w:szCs w:val="24"/>
          <w:highlight w:val="none"/>
          <w:lang w:eastAsia="zh-CN"/>
        </w:rPr>
        <w:t>（如有必要，可另附）</w:t>
      </w:r>
      <w:bookmarkEnd w:id="92"/>
      <w:bookmarkEnd w:id="93"/>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sz w:val="24"/>
          <w:szCs w:val="24"/>
          <w:highlight w:val="none"/>
        </w:rPr>
      </w:pPr>
      <w:r>
        <w:rPr>
          <w:rFonts w:hint="eastAsia" w:ascii="宋体" w:hAnsi="宋体" w:cs="宋体"/>
          <w:color w:val="auto"/>
          <w:sz w:val="24"/>
          <w:highlight w:val="none"/>
        </w:rPr>
        <w:br w:type="page"/>
      </w:r>
      <w:r>
        <w:rPr>
          <w:rFonts w:hint="eastAsia" w:ascii="宋体" w:hAnsi="宋体" w:cs="宋体"/>
          <w:b/>
          <w:color w:val="auto"/>
          <w:sz w:val="24"/>
          <w:szCs w:val="24"/>
          <w:highlight w:val="none"/>
          <w:lang w:eastAsia="zh-CN"/>
        </w:rPr>
        <w:t>四</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lang w:eastAsia="zh-CN"/>
        </w:rPr>
        <w:t>报价表（总报价表和分项报价表，如有需要可另附）</w:t>
      </w: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sectPr>
          <w:pgSz w:w="11906" w:h="16838"/>
          <w:pgMar w:top="1440" w:right="1752" w:bottom="1440" w:left="1752" w:header="851" w:footer="992" w:gutter="0"/>
          <w:pgNumType w:fmt="decimal"/>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28"/>
          <w:szCs w:val="28"/>
          <w:highlight w:val="none"/>
        </w:rPr>
      </w:pPr>
      <w:bookmarkStart w:id="94" w:name="_Toc132880668"/>
      <w:bookmarkStart w:id="95" w:name="_Toc22952"/>
      <w:r>
        <w:rPr>
          <w:rFonts w:hint="eastAsia" w:ascii="宋体" w:hAnsi="宋体" w:eastAsia="宋体" w:cs="宋体"/>
          <w:b/>
          <w:bCs/>
          <w:color w:val="auto"/>
          <w:sz w:val="28"/>
          <w:szCs w:val="28"/>
          <w:highlight w:val="none"/>
        </w:rPr>
        <w:t>第五章　响应文件格式</w:t>
      </w:r>
      <w:bookmarkEnd w:id="94"/>
      <w:bookmarkEnd w:id="95"/>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供应商必须按下列文本格式，如实提供具有法律效力的资格证明文件和真实有效的其他文件资料，任何不按下列文本格式提供或有实质性变更将由供应商承担风险。</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1.供应商应按照本章规定填写和提交全部格式文件以及其他有关资料，混乱的编排导致响应文件被误读或查找不到，后果由供应商承担。</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80" w:firstLineChars="200"/>
        <w:textAlignment w:val="auto"/>
        <w:outlineLvl w:val="1"/>
        <w:rPr>
          <w:rFonts w:hint="eastAsia" w:ascii="宋体" w:hAnsi="宋体" w:eastAsia="宋体" w:cs="宋体"/>
          <w:color w:val="auto"/>
          <w:sz w:val="24"/>
          <w:szCs w:val="24"/>
          <w:highlight w:val="none"/>
        </w:rPr>
      </w:pPr>
      <w:bookmarkStart w:id="96" w:name="_Toc32247"/>
      <w:bookmarkStart w:id="97" w:name="_Toc32231"/>
      <w:r>
        <w:rPr>
          <w:rFonts w:hint="eastAsia" w:ascii="宋体" w:hAnsi="宋体" w:eastAsia="宋体" w:cs="宋体"/>
          <w:color w:val="auto"/>
          <w:sz w:val="24"/>
          <w:szCs w:val="24"/>
          <w:highlight w:val="none"/>
        </w:rPr>
        <w:t>2.所附表格中要求回答的全部问题和信息都必须正面回答。</w:t>
      </w:r>
      <w:bookmarkEnd w:id="96"/>
      <w:bookmarkEnd w:id="97"/>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3.资格声明文件的签字人应保证全部声明和问题的回答是真实的和准确的。</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4.磋商小组将应用供应商提交的资料并根据自己的判断，决定供应商履行合同的合格性及能力。</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80" w:firstLineChars="200"/>
        <w:textAlignment w:val="auto"/>
        <w:outlineLvl w:val="1"/>
        <w:rPr>
          <w:rFonts w:hint="eastAsia" w:ascii="宋体" w:hAnsi="宋体" w:eastAsia="宋体" w:cs="宋体"/>
          <w:color w:val="auto"/>
          <w:sz w:val="24"/>
          <w:szCs w:val="24"/>
          <w:highlight w:val="none"/>
        </w:rPr>
      </w:pPr>
      <w:bookmarkStart w:id="98" w:name="_Toc22828"/>
      <w:bookmarkStart w:id="99" w:name="_Toc13140"/>
      <w:r>
        <w:rPr>
          <w:rFonts w:hint="eastAsia" w:ascii="宋体" w:hAnsi="宋体" w:eastAsia="宋体" w:cs="宋体"/>
          <w:color w:val="auto"/>
          <w:sz w:val="24"/>
          <w:szCs w:val="24"/>
          <w:highlight w:val="none"/>
        </w:rPr>
        <w:t>5.全部文件应按供应商须知中规定的语言提交。</w:t>
      </w:r>
      <w:bookmarkEnd w:id="98"/>
      <w:bookmarkEnd w:id="99"/>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6.以下格式文件为要求填写内容的固定格式，供应商不得擅自修改格式，其他未提供格式的文件和资料由供应商自行设计编制格式填写。</w:t>
      </w:r>
    </w:p>
    <w:p>
      <w:pPr>
        <w:adjustRightInd w:val="0"/>
        <w:snapToGrid w:val="0"/>
        <w:spacing w:beforeLines="20" w:after="4" w:line="360" w:lineRule="auto"/>
        <w:ind w:firstLine="482" w:firstLineChars="200"/>
        <w:jc w:val="center"/>
        <w:rPr>
          <w:rFonts w:hint="eastAsia" w:ascii="宋体" w:hAnsi="宋体" w:eastAsia="宋体" w:cs="宋体"/>
          <w:b/>
          <w:bCs/>
          <w:color w:val="auto"/>
          <w:sz w:val="24"/>
          <w:szCs w:val="24"/>
          <w:highlight w:val="none"/>
        </w:rPr>
      </w:pPr>
    </w:p>
    <w:p>
      <w:pPr>
        <w:ind w:firstLine="482" w:firstLineChars="200"/>
        <w:jc w:val="center"/>
        <w:rPr>
          <w:rFonts w:hint="eastAsia" w:ascii="宋体" w:hAnsi="宋体" w:eastAsia="宋体" w:cs="宋体"/>
          <w:b/>
          <w:bCs/>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b/>
          <w:bCs/>
          <w:color w:val="auto"/>
          <w:sz w:val="24"/>
          <w:szCs w:val="24"/>
          <w:highlight w:val="none"/>
        </w:rPr>
      </w:pPr>
    </w:p>
    <w:p>
      <w:pPr>
        <w:adjustRightInd w:val="0"/>
        <w:snapToGrid w:val="0"/>
        <w:spacing w:after="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pPr>
        <w:spacing w:line="600" w:lineRule="auto"/>
        <w:jc w:val="center"/>
        <w:rPr>
          <w:rFonts w:hint="eastAsia" w:ascii="宋体" w:hAnsi="宋体" w:eastAsia="宋体" w:cs="宋体"/>
          <w:b/>
          <w:color w:val="auto"/>
          <w:kern w:val="0"/>
          <w:sz w:val="24"/>
          <w:szCs w:val="24"/>
          <w:highlight w:val="none"/>
        </w:rPr>
      </w:pPr>
    </w:p>
    <w:p>
      <w:pPr>
        <w:pStyle w:val="12"/>
        <w:rPr>
          <w:rFonts w:hint="eastAsia" w:ascii="宋体" w:hAnsi="宋体" w:eastAsia="宋体" w:cs="宋体"/>
          <w:b/>
          <w:color w:val="auto"/>
          <w:kern w:val="0"/>
          <w:sz w:val="24"/>
          <w:szCs w:val="24"/>
          <w:highlight w:val="none"/>
        </w:rPr>
      </w:pPr>
    </w:p>
    <w:p>
      <w:pPr>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eastAsia" w:ascii="宋体" w:hAnsi="宋体" w:eastAsia="宋体" w:cs="宋体"/>
          <w:b/>
          <w:bCs w:val="0"/>
          <w:color w:val="auto"/>
          <w:kern w:val="0"/>
          <w:sz w:val="52"/>
          <w:szCs w:val="52"/>
          <w:highlight w:val="none"/>
        </w:rPr>
      </w:pPr>
      <w:r>
        <w:rPr>
          <w:rFonts w:hint="eastAsia" w:ascii="宋体" w:hAnsi="宋体" w:eastAsia="宋体" w:cs="宋体"/>
          <w:b/>
          <w:bCs w:val="0"/>
          <w:color w:val="auto"/>
          <w:kern w:val="0"/>
          <w:sz w:val="52"/>
          <w:szCs w:val="52"/>
          <w:highlight w:val="none"/>
        </w:rPr>
        <w:t>响  应  文  件</w:t>
      </w:r>
    </w:p>
    <w:p>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eastAsia" w:ascii="宋体" w:hAnsi="宋体" w:eastAsia="宋体" w:cs="宋体"/>
          <w:b/>
          <w:bCs w:val="0"/>
          <w:color w:val="auto"/>
          <w:kern w:val="0"/>
          <w:sz w:val="52"/>
          <w:szCs w:val="52"/>
          <w:highlight w:val="none"/>
        </w:rPr>
      </w:pPr>
      <w:r>
        <w:rPr>
          <w:rFonts w:hint="eastAsia" w:ascii="宋体" w:hAnsi="宋体" w:eastAsia="宋体" w:cs="宋体"/>
          <w:b/>
          <w:bCs w:val="0"/>
          <w:color w:val="auto"/>
          <w:kern w:val="0"/>
          <w:sz w:val="52"/>
          <w:szCs w:val="52"/>
          <w:highlight w:val="none"/>
        </w:rPr>
        <w:t>商务部分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52"/>
          <w:szCs w:val="5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val="0"/>
          <w:color w:val="auto"/>
          <w:kern w:val="0"/>
          <w:sz w:val="52"/>
          <w:szCs w:val="52"/>
          <w:highlight w:val="none"/>
        </w:rPr>
      </w:pPr>
      <w:r>
        <w:rPr>
          <w:rFonts w:hint="eastAsia" w:ascii="宋体" w:hAnsi="宋体" w:eastAsia="宋体" w:cs="宋体"/>
          <w:b/>
          <w:bCs w:val="0"/>
          <w:color w:val="auto"/>
          <w:kern w:val="0"/>
          <w:sz w:val="52"/>
          <w:szCs w:val="52"/>
          <w:highlight w:val="none"/>
        </w:rPr>
        <w:t>（填写正本或副本）</w:t>
      </w:r>
    </w:p>
    <w:p>
      <w:pPr>
        <w:spacing w:line="360" w:lineRule="auto"/>
        <w:ind w:firstLine="640" w:firstLineChars="200"/>
        <w:jc w:val="center"/>
        <w:rPr>
          <w:rFonts w:hint="eastAsia" w:ascii="宋体" w:hAnsi="宋体" w:eastAsia="宋体" w:cs="宋体"/>
          <w:b w:val="0"/>
          <w:bCs/>
          <w:color w:val="auto"/>
          <w:kern w:val="0"/>
          <w:sz w:val="32"/>
          <w:szCs w:val="32"/>
          <w:highlight w:val="none"/>
        </w:rPr>
      </w:pPr>
    </w:p>
    <w:p>
      <w:pPr>
        <w:pStyle w:val="12"/>
        <w:rPr>
          <w:rFonts w:hint="eastAsia" w:ascii="宋体" w:hAnsi="宋体" w:eastAsia="宋体" w:cs="宋体"/>
          <w:b w:val="0"/>
          <w:bCs/>
          <w:color w:val="auto"/>
          <w:kern w:val="0"/>
          <w:sz w:val="32"/>
          <w:szCs w:val="32"/>
          <w:highlight w:val="none"/>
        </w:rPr>
      </w:pPr>
    </w:p>
    <w:p>
      <w:pPr>
        <w:rPr>
          <w:rFonts w:hint="eastAsia" w:ascii="宋体" w:hAnsi="宋体" w:eastAsia="宋体" w:cs="宋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宋体" w:hAnsi="宋体" w:eastAsia="宋体" w:cs="宋体"/>
          <w:b w:val="0"/>
          <w:bCs/>
          <w:color w:val="auto"/>
          <w:kern w:val="0"/>
          <w:sz w:val="32"/>
          <w:szCs w:val="32"/>
          <w:highlight w:val="none"/>
        </w:rPr>
      </w:pPr>
      <w:r>
        <w:rPr>
          <w:rFonts w:hint="eastAsia" w:ascii="宋体" w:hAnsi="宋体" w:eastAsia="宋体" w:cs="宋体"/>
          <w:b w:val="0"/>
          <w:bCs/>
          <w:color w:val="auto"/>
          <w:kern w:val="0"/>
          <w:sz w:val="32"/>
          <w:szCs w:val="32"/>
          <w:highlight w:val="none"/>
        </w:rPr>
        <w:t>项目名称：</w:t>
      </w:r>
      <w:r>
        <w:rPr>
          <w:rFonts w:hint="eastAsia" w:ascii="宋体" w:hAnsi="宋体" w:eastAsia="宋体" w:cs="宋体"/>
          <w:b w:val="0"/>
          <w:bCs/>
          <w:color w:val="auto"/>
          <w:kern w:val="0"/>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宋体" w:hAnsi="宋体" w:eastAsia="宋体" w:cs="宋体"/>
          <w:b w:val="0"/>
          <w:bCs/>
          <w:color w:val="auto"/>
          <w:kern w:val="0"/>
          <w:sz w:val="32"/>
          <w:szCs w:val="32"/>
          <w:highlight w:val="none"/>
        </w:rPr>
      </w:pPr>
      <w:r>
        <w:rPr>
          <w:rFonts w:hint="eastAsia" w:ascii="宋体" w:hAnsi="宋体" w:eastAsia="宋体" w:cs="宋体"/>
          <w:b w:val="0"/>
          <w:bCs/>
          <w:color w:val="auto"/>
          <w:kern w:val="0"/>
          <w:sz w:val="32"/>
          <w:szCs w:val="32"/>
          <w:highlight w:val="none"/>
        </w:rPr>
        <w:t>项目编号：</w:t>
      </w:r>
      <w:r>
        <w:rPr>
          <w:rFonts w:hint="eastAsia" w:ascii="宋体" w:hAnsi="宋体" w:eastAsia="宋体" w:cs="宋体"/>
          <w:b w:val="0"/>
          <w:bCs/>
          <w:color w:val="auto"/>
          <w:kern w:val="0"/>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宋体" w:hAnsi="宋体" w:eastAsia="宋体" w:cs="宋体"/>
          <w:b w:val="0"/>
          <w:bCs/>
          <w:color w:val="auto"/>
          <w:kern w:val="0"/>
          <w:sz w:val="32"/>
          <w:szCs w:val="32"/>
          <w:highlight w:val="none"/>
        </w:rPr>
      </w:pPr>
      <w:r>
        <w:rPr>
          <w:rFonts w:hint="eastAsia" w:ascii="宋体" w:hAnsi="宋体" w:eastAsia="宋体" w:cs="宋体"/>
          <w:b w:val="0"/>
          <w:bCs/>
          <w:color w:val="auto"/>
          <w:kern w:val="0"/>
          <w:sz w:val="32"/>
          <w:szCs w:val="32"/>
          <w:highlight w:val="none"/>
        </w:rPr>
        <w:t>所投采购包：</w:t>
      </w:r>
      <w:r>
        <w:rPr>
          <w:rFonts w:hint="eastAsia" w:ascii="宋体" w:hAnsi="宋体" w:eastAsia="宋体" w:cs="宋体"/>
          <w:b w:val="0"/>
          <w:bCs/>
          <w:color w:val="auto"/>
          <w:kern w:val="0"/>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640" w:firstLineChars="200"/>
        <w:jc w:val="center"/>
        <w:textAlignment w:val="auto"/>
        <w:rPr>
          <w:rFonts w:hint="eastAsia" w:ascii="宋体" w:hAnsi="宋体" w:eastAsia="宋体" w:cs="宋体"/>
          <w:b w:val="0"/>
          <w:bCs/>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宋体" w:hAnsi="宋体" w:eastAsia="宋体" w:cs="宋体"/>
          <w:b w:val="0"/>
          <w:bCs/>
          <w:color w:val="auto"/>
          <w:kern w:val="0"/>
          <w:sz w:val="32"/>
          <w:szCs w:val="32"/>
          <w:highlight w:val="none"/>
        </w:rPr>
      </w:pPr>
      <w:r>
        <w:rPr>
          <w:rFonts w:hint="eastAsia" w:ascii="宋体" w:hAnsi="宋体" w:eastAsia="宋体" w:cs="宋体"/>
          <w:b w:val="0"/>
          <w:bCs/>
          <w:color w:val="auto"/>
          <w:kern w:val="0"/>
          <w:sz w:val="32"/>
          <w:szCs w:val="32"/>
          <w:highlight w:val="none"/>
        </w:rPr>
        <w:t>供应商：</w:t>
      </w:r>
      <w:r>
        <w:rPr>
          <w:rFonts w:hint="eastAsia" w:ascii="宋体" w:hAnsi="宋体" w:eastAsia="宋体" w:cs="宋体"/>
          <w:b w:val="0"/>
          <w:bCs/>
          <w:color w:val="auto"/>
          <w:kern w:val="0"/>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宋体" w:hAnsi="宋体" w:eastAsia="宋体" w:cs="宋体"/>
          <w:b w:val="0"/>
          <w:bCs/>
          <w:color w:val="auto"/>
          <w:kern w:val="0"/>
          <w:sz w:val="32"/>
          <w:szCs w:val="32"/>
          <w:highlight w:val="none"/>
        </w:rPr>
      </w:pPr>
      <w:r>
        <w:rPr>
          <w:rFonts w:hint="eastAsia" w:ascii="宋体" w:hAnsi="宋体" w:eastAsia="宋体" w:cs="宋体"/>
          <w:b w:val="0"/>
          <w:bCs/>
          <w:color w:val="auto"/>
          <w:kern w:val="0"/>
          <w:sz w:val="32"/>
          <w:szCs w:val="32"/>
          <w:highlight w:val="none"/>
        </w:rPr>
        <w:t>日  期：</w:t>
      </w:r>
      <w:r>
        <w:rPr>
          <w:rFonts w:hint="eastAsia" w:ascii="宋体" w:hAnsi="宋体" w:eastAsia="宋体" w:cs="宋体"/>
          <w:b w:val="0"/>
          <w:bCs/>
          <w:color w:val="auto"/>
          <w:kern w:val="0"/>
          <w:sz w:val="32"/>
          <w:szCs w:val="32"/>
          <w:highlight w:val="none"/>
          <w:u w:val="single"/>
        </w:rPr>
        <w:t xml:space="preserve">                 </w:t>
      </w:r>
    </w:p>
    <w:p>
      <w:pPr>
        <w:widowControl/>
        <w:spacing w:after="0" w:line="24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32"/>
          <w:szCs w:val="32"/>
          <w:highlight w:val="none"/>
        </w:rPr>
        <w:t>格式1  授权委托书</w:t>
      </w:r>
    </w:p>
    <w:p>
      <w:pPr>
        <w:adjustRightInd w:val="0"/>
        <w:snapToGrid w:val="0"/>
        <w:spacing w:after="0"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28"/>
          <w:szCs w:val="28"/>
          <w:highlight w:val="none"/>
        </w:rPr>
        <w:t>1-1法定代表人授权委托书</w:t>
      </w:r>
    </w:p>
    <w:p>
      <w:pPr>
        <w:adjustRightInd w:val="0"/>
        <w:snapToGrid w:val="0"/>
        <w:spacing w:after="0"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(适用于授权代表参加磋商)</w:t>
      </w:r>
    </w:p>
    <w:p>
      <w:pPr>
        <w:pStyle w:val="14"/>
        <w:keepNext w:val="0"/>
        <w:keepLines w:val="0"/>
        <w:pageBreakBefore w:val="0"/>
        <w:widowControl w:val="0"/>
        <w:kinsoku/>
        <w:wordWrap/>
        <w:overflowPunct/>
        <w:bidi w:val="0"/>
        <w:spacing w:line="400" w:lineRule="exact"/>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致____________(采购人或采购代理机构)：</w:t>
      </w:r>
    </w:p>
    <w:p>
      <w:pPr>
        <w:keepNext w:val="0"/>
        <w:keepLines w:val="0"/>
        <w:pageBreakBefore w:val="0"/>
        <w:widowControl w:val="0"/>
        <w:kinsoku/>
        <w:wordWrap/>
        <w:overflowPunct/>
        <w:topLinePunct/>
        <w:autoSpaceDE w:val="0"/>
        <w:autoSpaceDN w:val="0"/>
        <w:bidi w:val="0"/>
        <w:adjustRightInd w:val="0"/>
        <w:snapToGrid w:val="0"/>
        <w:spacing w:after="0"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本授权书声明：注册于___________ （供应商住址）的___________（供应商名称）法定代表人_______（姓名、职务）代表本公司授权_______（授权代表姓名、职务）为本公司的合法磋商代表，就贵方组织的《</w:t>
      </w:r>
      <w:r>
        <w:rPr>
          <w:rFonts w:hint="eastAsia" w:ascii="宋体" w:hAnsi="宋体" w:eastAsia="宋体" w:cs="宋体"/>
          <w:color w:val="auto"/>
          <w:sz w:val="24"/>
          <w:szCs w:val="24"/>
          <w:highlight w:val="none"/>
          <w:u w:val="single"/>
        </w:rPr>
        <w:t xml:space="preserve">          项目</w:t>
      </w:r>
      <w:r>
        <w:rPr>
          <w:rFonts w:hint="eastAsia" w:ascii="宋体" w:hAnsi="宋体" w:eastAsia="宋体" w:cs="宋体"/>
          <w:color w:val="auto"/>
          <w:sz w:val="24"/>
          <w:szCs w:val="24"/>
          <w:highlight w:val="none"/>
        </w:rPr>
        <w:t>》（项目编号：_______）</w:t>
      </w:r>
      <w:r>
        <w:rPr>
          <w:rFonts w:hint="eastAsia" w:ascii="宋体" w:hAnsi="宋体" w:eastAsia="宋体" w:cs="宋体"/>
          <w:color w:val="auto"/>
          <w:kern w:val="0"/>
          <w:sz w:val="24"/>
          <w:szCs w:val="24"/>
          <w:highlight w:val="none"/>
        </w:rPr>
        <w:t>磋商、澄清、</w:t>
      </w:r>
      <w:r>
        <w:rPr>
          <w:rFonts w:hint="eastAsia" w:ascii="宋体" w:hAnsi="宋体" w:eastAsia="宋体" w:cs="宋体"/>
          <w:color w:val="auto"/>
          <w:sz w:val="24"/>
          <w:szCs w:val="24"/>
          <w:highlight w:val="none"/>
        </w:rPr>
        <w:t>合同的执行，以本公司名义处理一切与之有关的事务。</w:t>
      </w:r>
    </w:p>
    <w:p>
      <w:pPr>
        <w:keepNext w:val="0"/>
        <w:keepLines w:val="0"/>
        <w:pageBreakBefore w:val="0"/>
        <w:widowControl w:val="0"/>
        <w:kinsoku/>
        <w:wordWrap/>
        <w:overflowPunct/>
        <w:topLinePunct/>
        <w:autoSpaceDE w:val="0"/>
        <w:autoSpaceDN w:val="0"/>
        <w:bidi w:val="0"/>
        <w:adjustRightInd w:val="0"/>
        <w:snapToGrid w:val="0"/>
        <w:spacing w:after="0"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本授权书于______年______月_____日生效，特此声明。</w:t>
      </w:r>
    </w:p>
    <w:p>
      <w:pPr>
        <w:pStyle w:val="14"/>
        <w:keepNext w:val="0"/>
        <w:keepLines w:val="0"/>
        <w:pageBreakBefore w:val="0"/>
        <w:widowControl w:val="0"/>
        <w:kinsoku/>
        <w:wordWrap/>
        <w:overflowPunct/>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授权代表无转委托权。</w:t>
      </w:r>
    </w:p>
    <w:p>
      <w:pPr>
        <w:pStyle w:val="14"/>
        <w:adjustRightInd w:val="0"/>
        <w:snapToGrid w:val="0"/>
        <w:spacing w:line="360" w:lineRule="auto"/>
        <w:rPr>
          <w:rFonts w:hint="eastAsia" w:ascii="宋体" w:hAnsi="宋体" w:eastAsia="宋体" w:cs="宋体"/>
          <w:color w:val="auto"/>
          <w:sz w:val="24"/>
          <w:szCs w:val="24"/>
          <w:highlight w:val="none"/>
        </w:rPr>
      </w:pPr>
    </w:p>
    <w:tbl>
      <w:tblPr>
        <w:tblStyle w:val="28"/>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noWrap/>
            <w:vAlign w:val="center"/>
          </w:tcPr>
          <w:p>
            <w:pPr>
              <w:pStyle w:val="14"/>
              <w:adjustRightInd w:val="0"/>
              <w:snapToGrid w:val="0"/>
              <w:spacing w:line="360" w:lineRule="auto"/>
              <w:jc w:val="center"/>
              <w:rPr>
                <w:rFonts w:hint="eastAsia" w:ascii="宋体" w:hAnsi="宋体" w:eastAsia="宋体" w:cs="宋体"/>
                <w:color w:val="auto"/>
                <w:sz w:val="24"/>
                <w:szCs w:val="24"/>
                <w:highlight w:val="none"/>
              </w:rPr>
            </w:pPr>
          </w:p>
          <w:p>
            <w:pPr>
              <w:pStyle w:val="14"/>
              <w:adjustRightInd w:val="0"/>
              <w:snapToGrid w:val="0"/>
              <w:spacing w:line="360" w:lineRule="auto"/>
              <w:jc w:val="center"/>
              <w:rPr>
                <w:rFonts w:hint="eastAsia" w:ascii="宋体" w:hAnsi="宋体" w:eastAsia="宋体" w:cs="宋体"/>
                <w:color w:val="auto"/>
                <w:sz w:val="24"/>
                <w:szCs w:val="24"/>
                <w:highlight w:val="none"/>
              </w:rPr>
            </w:pPr>
          </w:p>
          <w:p>
            <w:pPr>
              <w:pStyle w:val="14"/>
              <w:adjustRightInd w:val="0"/>
              <w:snapToGrid w:val="0"/>
              <w:spacing w:line="360" w:lineRule="auto"/>
              <w:jc w:val="center"/>
              <w:rPr>
                <w:rFonts w:hint="eastAsia" w:ascii="宋体" w:hAnsi="宋体" w:eastAsia="宋体" w:cs="宋体"/>
                <w:b/>
                <w:color w:val="auto"/>
                <w:sz w:val="24"/>
                <w:szCs w:val="24"/>
                <w:highlight w:val="none"/>
              </w:rPr>
            </w:pPr>
          </w:p>
          <w:p>
            <w:pPr>
              <w:pStyle w:val="14"/>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法定代表人</w:t>
            </w:r>
            <w:r>
              <w:rPr>
                <w:rFonts w:hint="eastAsia" w:ascii="宋体" w:hAnsi="宋体" w:eastAsia="宋体" w:cs="宋体"/>
                <w:b/>
                <w:color w:val="auto"/>
                <w:sz w:val="24"/>
                <w:szCs w:val="24"/>
                <w:highlight w:val="none"/>
                <w:lang w:val="en-US" w:eastAsia="zh-CN"/>
              </w:rPr>
              <w:t>与</w:t>
            </w:r>
            <w:r>
              <w:rPr>
                <w:rFonts w:hint="eastAsia" w:ascii="宋体" w:hAnsi="宋体" w:eastAsia="宋体" w:cs="宋体"/>
                <w:b/>
                <w:color w:val="auto"/>
                <w:sz w:val="24"/>
                <w:szCs w:val="24"/>
                <w:highlight w:val="none"/>
              </w:rPr>
              <w:t>授权代表</w:t>
            </w:r>
            <w:r>
              <w:rPr>
                <w:rFonts w:hint="eastAsia" w:ascii="宋体" w:hAnsi="宋体" w:eastAsia="宋体" w:cs="宋体"/>
                <w:color w:val="auto"/>
                <w:sz w:val="24"/>
                <w:szCs w:val="24"/>
                <w:highlight w:val="none"/>
              </w:rPr>
              <w:t>身份证复印件</w:t>
            </w:r>
          </w:p>
          <w:p>
            <w:pPr>
              <w:pStyle w:val="14"/>
              <w:adjustRightInd w:val="0"/>
              <w:snapToGrid w:val="0"/>
              <w:spacing w:line="360" w:lineRule="auto"/>
              <w:jc w:val="center"/>
              <w:rPr>
                <w:rFonts w:hint="eastAsia" w:ascii="宋体" w:hAnsi="宋体" w:eastAsia="宋体" w:cs="宋体"/>
                <w:color w:val="auto"/>
                <w:sz w:val="24"/>
                <w:szCs w:val="24"/>
                <w:highlight w:val="none"/>
              </w:rPr>
            </w:pPr>
          </w:p>
          <w:p>
            <w:pPr>
              <w:pStyle w:val="14"/>
              <w:adjustRightInd w:val="0"/>
              <w:snapToGrid w:val="0"/>
              <w:spacing w:line="360" w:lineRule="auto"/>
              <w:jc w:val="center"/>
              <w:rPr>
                <w:rFonts w:hint="eastAsia" w:ascii="宋体" w:hAnsi="宋体" w:eastAsia="宋体" w:cs="宋体"/>
                <w:color w:val="auto"/>
                <w:sz w:val="24"/>
                <w:szCs w:val="24"/>
                <w:highlight w:val="none"/>
              </w:rPr>
            </w:pPr>
          </w:p>
          <w:p>
            <w:pPr>
              <w:pStyle w:val="14"/>
              <w:adjustRightInd w:val="0"/>
              <w:snapToGrid w:val="0"/>
              <w:spacing w:line="360" w:lineRule="auto"/>
              <w:jc w:val="center"/>
              <w:rPr>
                <w:rFonts w:hint="eastAsia" w:ascii="宋体" w:hAnsi="宋体" w:eastAsia="宋体" w:cs="宋体"/>
                <w:color w:val="auto"/>
                <w:sz w:val="24"/>
                <w:szCs w:val="24"/>
                <w:highlight w:val="none"/>
              </w:rPr>
            </w:pPr>
          </w:p>
        </w:tc>
      </w:tr>
    </w:tbl>
    <w:p>
      <w:pPr>
        <w:pStyle w:val="14"/>
        <w:keepNext w:val="0"/>
        <w:keepLines w:val="0"/>
        <w:pageBreakBefore w:val="0"/>
        <w:widowControl w:val="0"/>
        <w:kinsoku/>
        <w:wordWrap/>
        <w:overflowPunct/>
        <w:bidi w:val="0"/>
        <w:adjustRightInd w:val="0"/>
        <w:snapToGrid w:val="0"/>
        <w:spacing w:line="400" w:lineRule="exact"/>
        <w:jc w:val="left"/>
        <w:textAlignment w:val="auto"/>
        <w:rPr>
          <w:rFonts w:hint="eastAsia" w:ascii="宋体" w:hAnsi="宋体" w:eastAsia="宋体" w:cs="宋体"/>
          <w:color w:val="auto"/>
          <w:sz w:val="24"/>
          <w:szCs w:val="24"/>
          <w:highlight w:val="none"/>
        </w:rPr>
      </w:pPr>
    </w:p>
    <w:p>
      <w:pPr>
        <w:keepNext w:val="0"/>
        <w:keepLines w:val="0"/>
        <w:pageBreakBefore w:val="0"/>
        <w:widowControl w:val="0"/>
        <w:tabs>
          <w:tab w:val="left" w:pos="1230"/>
        </w:tabs>
        <w:kinsoku/>
        <w:wordWrap/>
        <w:overflowPunct/>
        <w:topLinePunct/>
        <w:autoSpaceDE w:val="0"/>
        <w:autoSpaceDN w:val="0"/>
        <w:bidi w:val="0"/>
        <w:adjustRightInd w:val="0"/>
        <w:snapToGrid w:val="0"/>
        <w:spacing w:after="0" w:line="400" w:lineRule="exact"/>
        <w:ind w:left="3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供应商名称（公章）：________________</w:t>
      </w:r>
    </w:p>
    <w:p>
      <w:pPr>
        <w:keepNext w:val="0"/>
        <w:keepLines w:val="0"/>
        <w:pageBreakBefore w:val="0"/>
        <w:widowControl w:val="0"/>
        <w:tabs>
          <w:tab w:val="left" w:pos="1230"/>
        </w:tabs>
        <w:kinsoku/>
        <w:wordWrap/>
        <w:overflowPunct/>
        <w:topLinePunct/>
        <w:autoSpaceDE w:val="0"/>
        <w:autoSpaceDN w:val="0"/>
        <w:bidi w:val="0"/>
        <w:adjustRightInd w:val="0"/>
        <w:snapToGrid w:val="0"/>
        <w:spacing w:after="0" w:line="400" w:lineRule="exact"/>
        <w:ind w:left="3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法定代表人（签字或签章）：________________</w:t>
      </w:r>
    </w:p>
    <w:p>
      <w:pPr>
        <w:keepNext w:val="0"/>
        <w:keepLines w:val="0"/>
        <w:pageBreakBefore w:val="0"/>
        <w:widowControl w:val="0"/>
        <w:tabs>
          <w:tab w:val="left" w:pos="1230"/>
        </w:tabs>
        <w:kinsoku/>
        <w:wordWrap/>
        <w:overflowPunct/>
        <w:topLinePunct/>
        <w:autoSpaceDE w:val="0"/>
        <w:autoSpaceDN w:val="0"/>
        <w:bidi w:val="0"/>
        <w:adjustRightInd w:val="0"/>
        <w:snapToGrid w:val="0"/>
        <w:spacing w:after="0" w:line="400" w:lineRule="exact"/>
        <w:ind w:left="3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授权代表（签字）：________________</w:t>
      </w:r>
    </w:p>
    <w:p>
      <w:pPr>
        <w:keepNext w:val="0"/>
        <w:keepLines w:val="0"/>
        <w:pageBreakBefore w:val="0"/>
        <w:widowControl w:val="0"/>
        <w:tabs>
          <w:tab w:val="left" w:pos="1230"/>
        </w:tabs>
        <w:kinsoku/>
        <w:wordWrap/>
        <w:overflowPunct/>
        <w:topLinePunct/>
        <w:autoSpaceDE w:val="0"/>
        <w:autoSpaceDN w:val="0"/>
        <w:bidi w:val="0"/>
        <w:adjustRightInd w:val="0"/>
        <w:snapToGrid w:val="0"/>
        <w:spacing w:after="0" w:line="400" w:lineRule="exact"/>
        <w:ind w:left="3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授权代表联系电话：____________</w:t>
      </w:r>
    </w:p>
    <w:p>
      <w:pPr>
        <w:keepNext w:val="0"/>
        <w:keepLines w:val="0"/>
        <w:pageBreakBefore w:val="0"/>
        <w:widowControl w:val="0"/>
        <w:tabs>
          <w:tab w:val="left" w:pos="1230"/>
        </w:tabs>
        <w:kinsoku/>
        <w:wordWrap/>
        <w:overflowPunct/>
        <w:topLinePunct/>
        <w:autoSpaceDE w:val="0"/>
        <w:autoSpaceDN w:val="0"/>
        <w:bidi w:val="0"/>
        <w:adjustRightInd w:val="0"/>
        <w:snapToGrid w:val="0"/>
        <w:spacing w:after="0" w:line="400" w:lineRule="exact"/>
        <w:ind w:left="3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日期：____________</w:t>
      </w:r>
    </w:p>
    <w:p>
      <w:pPr>
        <w:keepNext w:val="0"/>
        <w:keepLines w:val="0"/>
        <w:pageBreakBefore w:val="0"/>
        <w:widowControl w:val="0"/>
        <w:kinsoku/>
        <w:wordWrap/>
        <w:overflowPunct/>
        <w:topLinePunct/>
        <w:autoSpaceDE w:val="0"/>
        <w:autoSpaceDN w:val="0"/>
        <w:bidi w:val="0"/>
        <w:adjustRightInd w:val="0"/>
        <w:snapToGrid w:val="0"/>
        <w:spacing w:after="0" w:line="400" w:lineRule="exact"/>
        <w:jc w:val="lef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autoSpaceDE w:val="0"/>
        <w:autoSpaceDN w:val="0"/>
        <w:bidi w:val="0"/>
        <w:adjustRightInd w:val="0"/>
        <w:snapToGrid w:val="0"/>
        <w:spacing w:after="0" w:line="400" w:lineRule="exact"/>
        <w:jc w:val="left"/>
        <w:textAlignment w:val="auto"/>
        <w:rPr>
          <w:rFonts w:hint="eastAsia" w:ascii="宋体" w:hAnsi="宋体" w:eastAsia="宋体" w:cs="宋体"/>
          <w:i/>
          <w:iCs/>
          <w:color w:val="auto"/>
          <w:sz w:val="24"/>
          <w:szCs w:val="24"/>
          <w:highlight w:val="none"/>
        </w:rPr>
      </w:pPr>
      <w:r>
        <w:rPr>
          <w:rFonts w:hint="eastAsia" w:ascii="宋体" w:hAnsi="宋体" w:eastAsia="宋体" w:cs="宋体"/>
          <w:color w:val="auto"/>
          <w:sz w:val="24"/>
          <w:szCs w:val="24"/>
          <w:highlight w:val="none"/>
        </w:rPr>
        <w:t>特别说明：</w:t>
      </w:r>
    </w:p>
    <w:p>
      <w:pPr>
        <w:keepNext w:val="0"/>
        <w:keepLines w:val="0"/>
        <w:pageBreakBefore w:val="0"/>
        <w:widowControl w:val="0"/>
        <w:tabs>
          <w:tab w:val="left" w:pos="312"/>
        </w:tabs>
        <w:kinsoku/>
        <w:wordWrap/>
        <w:overflowPunct/>
        <w:topLinePunct/>
        <w:autoSpaceDE w:val="0"/>
        <w:autoSpaceDN w:val="0"/>
        <w:bidi w:val="0"/>
        <w:adjustRightInd w:val="0"/>
        <w:snapToGrid w:val="0"/>
        <w:spacing w:after="0"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如由授权代表参与磋商活动的，须同时提供《法定代表人授权委托书》和授权代表身份证复印件。《法定代表人授权委托书》应当按本格式要求加盖与供应商名称全称一致的标准公章，并签署法定代表人或授权代表的全名或加盖名章。</w:t>
      </w:r>
    </w:p>
    <w:p>
      <w:pPr>
        <w:adjustRightInd w:val="0"/>
        <w:snapToGrid w:val="0"/>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8"/>
          <w:szCs w:val="28"/>
          <w:highlight w:val="none"/>
        </w:rPr>
        <w:t>1-2法定代表人身份证明复印件</w:t>
      </w:r>
    </w:p>
    <w:p>
      <w:pPr>
        <w:adjustRightInd w:val="0"/>
        <w:snapToGrid w:val="0"/>
        <w:spacing w:after="0"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(适用于法定代表人参加磋商)</w:t>
      </w:r>
    </w:p>
    <w:p>
      <w:pPr>
        <w:topLinePunct/>
        <w:autoSpaceDE w:val="0"/>
        <w:autoSpaceDN w:val="0"/>
        <w:adjustRightInd w:val="0"/>
        <w:snapToGrid w:val="0"/>
        <w:spacing w:after="0" w:line="360" w:lineRule="auto"/>
        <w:ind w:firstLine="480" w:firstLineChars="200"/>
        <w:rPr>
          <w:rFonts w:hint="eastAsia" w:ascii="宋体" w:hAnsi="宋体" w:eastAsia="宋体" w:cs="宋体"/>
          <w:color w:val="auto"/>
          <w:sz w:val="24"/>
          <w:szCs w:val="24"/>
          <w:highlight w:val="none"/>
        </w:rPr>
      </w:pPr>
    </w:p>
    <w:tbl>
      <w:tblPr>
        <w:tblStyle w:val="28"/>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89" w:type="dxa"/>
            <w:noWrap/>
            <w:vAlign w:val="center"/>
          </w:tcPr>
          <w:p>
            <w:pPr>
              <w:pStyle w:val="14"/>
              <w:adjustRightInd w:val="0"/>
              <w:snapToGrid w:val="0"/>
              <w:spacing w:line="360" w:lineRule="auto"/>
              <w:jc w:val="center"/>
              <w:rPr>
                <w:rFonts w:hint="eastAsia" w:ascii="宋体" w:hAnsi="宋体" w:eastAsia="宋体" w:cs="宋体"/>
                <w:color w:val="auto"/>
                <w:sz w:val="24"/>
                <w:szCs w:val="24"/>
                <w:highlight w:val="none"/>
              </w:rPr>
            </w:pPr>
          </w:p>
          <w:p>
            <w:pPr>
              <w:pStyle w:val="14"/>
              <w:adjustRightInd w:val="0"/>
              <w:snapToGrid w:val="0"/>
              <w:spacing w:line="360" w:lineRule="auto"/>
              <w:jc w:val="center"/>
              <w:rPr>
                <w:rFonts w:hint="eastAsia" w:ascii="宋体" w:hAnsi="宋体" w:eastAsia="宋体" w:cs="宋体"/>
                <w:color w:val="auto"/>
                <w:sz w:val="24"/>
                <w:szCs w:val="24"/>
                <w:highlight w:val="none"/>
              </w:rPr>
            </w:pPr>
          </w:p>
          <w:p>
            <w:pPr>
              <w:pStyle w:val="14"/>
              <w:adjustRightInd w:val="0"/>
              <w:snapToGrid w:val="0"/>
              <w:spacing w:line="360" w:lineRule="auto"/>
              <w:jc w:val="center"/>
              <w:rPr>
                <w:rFonts w:hint="eastAsia" w:ascii="宋体" w:hAnsi="宋体" w:eastAsia="宋体" w:cs="宋体"/>
                <w:color w:val="auto"/>
                <w:sz w:val="24"/>
                <w:szCs w:val="24"/>
                <w:highlight w:val="none"/>
              </w:rPr>
            </w:pPr>
          </w:p>
          <w:p>
            <w:pPr>
              <w:pStyle w:val="14"/>
              <w:adjustRightInd w:val="0"/>
              <w:snapToGrid w:val="0"/>
              <w:spacing w:line="360" w:lineRule="auto"/>
              <w:jc w:val="center"/>
              <w:rPr>
                <w:rFonts w:hint="eastAsia" w:ascii="宋体" w:hAnsi="宋体" w:eastAsia="宋体" w:cs="宋体"/>
                <w:color w:val="auto"/>
                <w:sz w:val="24"/>
                <w:szCs w:val="24"/>
                <w:highlight w:val="none"/>
              </w:rPr>
            </w:pPr>
          </w:p>
          <w:p>
            <w:pPr>
              <w:pStyle w:val="14"/>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法定代表人身份证明复印件</w:t>
            </w:r>
          </w:p>
          <w:p>
            <w:pPr>
              <w:pStyle w:val="14"/>
              <w:adjustRightInd w:val="0"/>
              <w:snapToGrid w:val="0"/>
              <w:spacing w:line="360" w:lineRule="auto"/>
              <w:jc w:val="center"/>
              <w:rPr>
                <w:rFonts w:hint="eastAsia" w:ascii="宋体" w:hAnsi="宋体" w:eastAsia="宋体" w:cs="宋体"/>
                <w:color w:val="auto"/>
                <w:sz w:val="24"/>
                <w:szCs w:val="24"/>
                <w:highlight w:val="none"/>
              </w:rPr>
            </w:pPr>
          </w:p>
          <w:p>
            <w:pPr>
              <w:pStyle w:val="14"/>
              <w:adjustRightInd w:val="0"/>
              <w:snapToGrid w:val="0"/>
              <w:spacing w:line="360" w:lineRule="auto"/>
              <w:jc w:val="center"/>
              <w:rPr>
                <w:rFonts w:hint="eastAsia" w:ascii="宋体" w:hAnsi="宋体" w:eastAsia="宋体" w:cs="宋体"/>
                <w:color w:val="auto"/>
                <w:sz w:val="24"/>
                <w:szCs w:val="24"/>
                <w:highlight w:val="none"/>
              </w:rPr>
            </w:pPr>
          </w:p>
          <w:p>
            <w:pPr>
              <w:pStyle w:val="14"/>
              <w:adjustRightInd w:val="0"/>
              <w:snapToGrid w:val="0"/>
              <w:spacing w:line="360" w:lineRule="auto"/>
              <w:jc w:val="center"/>
              <w:rPr>
                <w:rFonts w:hint="eastAsia" w:ascii="宋体" w:hAnsi="宋体" w:eastAsia="宋体" w:cs="宋体"/>
                <w:color w:val="auto"/>
                <w:sz w:val="24"/>
                <w:szCs w:val="24"/>
                <w:highlight w:val="none"/>
              </w:rPr>
            </w:pPr>
          </w:p>
          <w:p>
            <w:pPr>
              <w:pStyle w:val="14"/>
              <w:adjustRightInd w:val="0"/>
              <w:snapToGrid w:val="0"/>
              <w:spacing w:line="360" w:lineRule="auto"/>
              <w:jc w:val="center"/>
              <w:rPr>
                <w:rFonts w:hint="eastAsia" w:ascii="宋体" w:hAnsi="宋体" w:eastAsia="宋体" w:cs="宋体"/>
                <w:color w:val="auto"/>
                <w:sz w:val="24"/>
                <w:szCs w:val="24"/>
                <w:highlight w:val="none"/>
              </w:rPr>
            </w:pPr>
          </w:p>
        </w:tc>
      </w:tr>
    </w:tbl>
    <w:p>
      <w:pPr>
        <w:topLinePunct/>
        <w:autoSpaceDE w:val="0"/>
        <w:autoSpaceDN w:val="0"/>
        <w:adjustRightInd w:val="0"/>
        <w:snapToGrid w:val="0"/>
        <w:spacing w:after="0" w:line="360" w:lineRule="auto"/>
        <w:jc w:val="left"/>
        <w:rPr>
          <w:rFonts w:hint="eastAsia" w:ascii="宋体" w:hAnsi="宋体" w:eastAsia="宋体" w:cs="宋体"/>
          <w:color w:val="auto"/>
          <w:sz w:val="24"/>
          <w:szCs w:val="24"/>
          <w:highlight w:val="none"/>
        </w:rPr>
      </w:pPr>
    </w:p>
    <w:p>
      <w:pPr>
        <w:topLinePunct/>
        <w:autoSpaceDE w:val="0"/>
        <w:autoSpaceDN w:val="0"/>
        <w:adjustRightInd w:val="0"/>
        <w:snapToGrid w:val="0"/>
        <w:spacing w:after="0" w:line="360" w:lineRule="auto"/>
        <w:jc w:val="left"/>
        <w:rPr>
          <w:rFonts w:hint="eastAsia" w:ascii="宋体" w:hAnsi="宋体" w:eastAsia="宋体" w:cs="宋体"/>
          <w:i/>
          <w:iCs/>
          <w:color w:val="auto"/>
          <w:sz w:val="24"/>
          <w:szCs w:val="24"/>
          <w:highlight w:val="none"/>
        </w:rPr>
      </w:pPr>
      <w:r>
        <w:rPr>
          <w:rFonts w:hint="eastAsia" w:ascii="宋体" w:hAnsi="宋体" w:eastAsia="宋体" w:cs="宋体"/>
          <w:color w:val="auto"/>
          <w:sz w:val="24"/>
          <w:szCs w:val="24"/>
          <w:highlight w:val="none"/>
        </w:rPr>
        <w:t>特别说明：</w:t>
      </w:r>
    </w:p>
    <w:p>
      <w:pPr>
        <w:tabs>
          <w:tab w:val="left" w:pos="312"/>
        </w:tabs>
        <w:topLinePunct/>
        <w:autoSpaceDE w:val="0"/>
        <w:autoSpaceDN w:val="0"/>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供应商如由</w:t>
      </w:r>
      <w:r>
        <w:rPr>
          <w:rFonts w:hint="eastAsia" w:ascii="宋体" w:hAnsi="宋体" w:eastAsia="宋体" w:cs="宋体"/>
          <w:b/>
          <w:bCs/>
          <w:color w:val="auto"/>
          <w:sz w:val="24"/>
          <w:szCs w:val="24"/>
          <w:highlight w:val="none"/>
        </w:rPr>
        <w:t>法定代表人作为磋商代表参与磋商活动的，仅须提供法定代表人身份证复印件</w:t>
      </w:r>
      <w:r>
        <w:rPr>
          <w:rFonts w:hint="eastAsia" w:ascii="宋体" w:hAnsi="宋体" w:eastAsia="宋体" w:cs="宋体"/>
          <w:color w:val="auto"/>
          <w:sz w:val="24"/>
          <w:szCs w:val="24"/>
          <w:highlight w:val="none"/>
        </w:rPr>
        <w:t>。</w:t>
      </w:r>
    </w:p>
    <w:p>
      <w:pPr>
        <w:pStyle w:val="14"/>
        <w:ind w:firstLine="480" w:firstLineChars="200"/>
        <w:rPr>
          <w:rFonts w:hint="eastAsia" w:ascii="宋体" w:hAnsi="宋体" w:eastAsia="宋体" w:cs="宋体"/>
          <w:color w:val="auto"/>
          <w:sz w:val="24"/>
          <w:szCs w:val="24"/>
          <w:highlight w:val="none"/>
        </w:rPr>
      </w:pPr>
    </w:p>
    <w:p>
      <w:pPr>
        <w:widowControl/>
        <w:spacing w:after="0"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8"/>
          <w:szCs w:val="28"/>
          <w:highlight w:val="none"/>
        </w:rPr>
        <w:t>1-3自然人授权委托书</w:t>
      </w:r>
    </w:p>
    <w:p>
      <w:pPr>
        <w:adjustRightInd w:val="0"/>
        <w:snapToGrid w:val="0"/>
        <w:spacing w:after="0"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(适用于自然人参加磋商)</w:t>
      </w:r>
    </w:p>
    <w:p>
      <w:pPr>
        <w:pStyle w:val="14"/>
        <w:rPr>
          <w:rFonts w:hint="eastAsia" w:ascii="宋体" w:hAnsi="宋体" w:eastAsia="宋体" w:cs="宋体"/>
          <w:b w:val="0"/>
          <w:bCs w:val="0"/>
          <w:color w:val="auto"/>
          <w:sz w:val="24"/>
          <w:szCs w:val="24"/>
          <w:highlight w:val="none"/>
        </w:rPr>
      </w:pPr>
    </w:p>
    <w:p>
      <w:pPr>
        <w:pStyle w:val="1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致____________(采购人或采购代理机构)：</w:t>
      </w:r>
    </w:p>
    <w:p>
      <w:pPr>
        <w:pStyle w:val="1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本授权书声明：我________(姓名、身份证号码)系自然人，现授权委托____________(姓名、身份证号码)以本人名义参加《</w:t>
      </w:r>
      <w:r>
        <w:rPr>
          <w:rFonts w:hint="eastAsia" w:ascii="宋体" w:hAnsi="宋体" w:eastAsia="宋体" w:cs="宋体"/>
          <w:color w:val="auto"/>
          <w:sz w:val="24"/>
          <w:szCs w:val="24"/>
          <w:highlight w:val="none"/>
          <w:u w:val="single"/>
        </w:rPr>
        <w:t xml:space="preserve">          项目</w:t>
      </w:r>
      <w:r>
        <w:rPr>
          <w:rFonts w:hint="eastAsia" w:ascii="宋体" w:hAnsi="宋体" w:eastAsia="宋体" w:cs="宋体"/>
          <w:color w:val="auto"/>
          <w:sz w:val="24"/>
          <w:szCs w:val="24"/>
          <w:highlight w:val="none"/>
        </w:rPr>
        <w:t>》（项目编号：    ）的磋商活动，并代表本人全权办理针对上述项目的磋商、签约等具体事务和签署相关文件。</w:t>
      </w:r>
    </w:p>
    <w:p>
      <w:pPr>
        <w:pStyle w:val="1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本人对被授权人的签字事项负全部责任。</w:t>
      </w:r>
    </w:p>
    <w:p>
      <w:pPr>
        <w:pStyle w:val="1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授权委托代理期限：从　　年　　月　　日起至　　年　　月　　日止。</w:t>
      </w:r>
    </w:p>
    <w:p>
      <w:pPr>
        <w:pStyle w:val="14"/>
        <w:spacing w:line="360" w:lineRule="auto"/>
        <w:ind w:firstLine="480" w:firstLineChars="200"/>
        <w:rPr>
          <w:rFonts w:hint="eastAsia" w:ascii="宋体" w:hAnsi="宋体" w:eastAsia="宋体" w:cs="宋体"/>
          <w:color w:val="auto"/>
          <w:sz w:val="24"/>
          <w:szCs w:val="24"/>
          <w:highlight w:val="none"/>
        </w:rPr>
      </w:pPr>
    </w:p>
    <w:p>
      <w:pPr>
        <w:pStyle w:val="1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代理人无转委托权，特此委托。</w:t>
      </w:r>
    </w:p>
    <w:p>
      <w:pPr>
        <w:pStyle w:val="14"/>
        <w:spacing w:line="360" w:lineRule="auto"/>
        <w:ind w:firstLine="480" w:firstLineChars="200"/>
        <w:rPr>
          <w:rFonts w:hint="eastAsia" w:ascii="宋体" w:hAnsi="宋体" w:eastAsia="宋体" w:cs="宋体"/>
          <w:color w:val="auto"/>
          <w:sz w:val="24"/>
          <w:szCs w:val="24"/>
          <w:highlight w:val="none"/>
        </w:rPr>
      </w:pPr>
    </w:p>
    <w:p>
      <w:pPr>
        <w:pStyle w:val="1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我已在下面签字，以资证明。</w:t>
      </w:r>
    </w:p>
    <w:p>
      <w:pPr>
        <w:pStyle w:val="14"/>
        <w:spacing w:line="360" w:lineRule="auto"/>
        <w:ind w:firstLine="480" w:firstLineChars="200"/>
        <w:rPr>
          <w:rFonts w:hint="eastAsia" w:ascii="宋体" w:hAnsi="宋体" w:eastAsia="宋体" w:cs="宋体"/>
          <w:color w:val="auto"/>
          <w:sz w:val="24"/>
          <w:szCs w:val="24"/>
          <w:highlight w:val="none"/>
        </w:rPr>
      </w:pPr>
    </w:p>
    <w:p>
      <w:pPr>
        <w:pStyle w:val="1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自然人签字并在签名处加盖食指指印：　　　　年　　月　　日</w:t>
      </w:r>
    </w:p>
    <w:p>
      <w:pPr>
        <w:pStyle w:val="14"/>
        <w:spacing w:line="360" w:lineRule="auto"/>
        <w:ind w:firstLine="480" w:firstLineChars="200"/>
        <w:rPr>
          <w:rFonts w:hint="eastAsia" w:ascii="宋体" w:hAnsi="宋体" w:eastAsia="宋体" w:cs="宋体"/>
          <w:color w:val="auto"/>
          <w:sz w:val="24"/>
          <w:szCs w:val="24"/>
          <w:highlight w:val="none"/>
        </w:rPr>
      </w:pPr>
    </w:p>
    <w:p>
      <w:pPr>
        <w:topLinePunct/>
        <w:autoSpaceDE w:val="0"/>
        <w:autoSpaceDN w:val="0"/>
        <w:adjustRightInd w:val="0"/>
        <w:snapToGrid w:val="0"/>
        <w:spacing w:after="0" w:line="360" w:lineRule="auto"/>
        <w:jc w:val="left"/>
        <w:rPr>
          <w:rFonts w:hint="eastAsia" w:ascii="宋体" w:hAnsi="宋体" w:eastAsia="宋体" w:cs="宋体"/>
          <w:color w:val="auto"/>
          <w:sz w:val="24"/>
          <w:szCs w:val="24"/>
          <w:highlight w:val="none"/>
        </w:rPr>
      </w:pPr>
    </w:p>
    <w:p>
      <w:pPr>
        <w:topLinePunct/>
        <w:autoSpaceDE w:val="0"/>
        <w:autoSpaceDN w:val="0"/>
        <w:adjustRightInd w:val="0"/>
        <w:snapToGrid w:val="0"/>
        <w:spacing w:after="0" w:line="360" w:lineRule="auto"/>
        <w:jc w:val="left"/>
        <w:rPr>
          <w:rFonts w:hint="eastAsia" w:ascii="宋体" w:hAnsi="宋体" w:eastAsia="宋体" w:cs="宋体"/>
          <w:i/>
          <w:iCs/>
          <w:color w:val="auto"/>
          <w:sz w:val="24"/>
          <w:szCs w:val="24"/>
          <w:highlight w:val="none"/>
        </w:rPr>
      </w:pPr>
      <w:r>
        <w:rPr>
          <w:rFonts w:hint="eastAsia" w:ascii="宋体" w:hAnsi="宋体" w:eastAsia="宋体" w:cs="宋体"/>
          <w:color w:val="auto"/>
          <w:sz w:val="24"/>
          <w:szCs w:val="24"/>
          <w:highlight w:val="none"/>
        </w:rPr>
        <w:t>特别说明：</w:t>
      </w:r>
    </w:p>
    <w:p>
      <w:pPr>
        <w:tabs>
          <w:tab w:val="left" w:pos="312"/>
        </w:tabs>
        <w:topLinePunct/>
        <w:autoSpaceDE w:val="0"/>
        <w:autoSpaceDN w:val="0"/>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供应商如由</w:t>
      </w:r>
      <w:r>
        <w:rPr>
          <w:rFonts w:hint="eastAsia" w:ascii="宋体" w:hAnsi="宋体" w:eastAsia="宋体" w:cs="宋体"/>
          <w:b/>
          <w:bCs/>
          <w:color w:val="auto"/>
          <w:sz w:val="24"/>
          <w:szCs w:val="24"/>
          <w:highlight w:val="none"/>
        </w:rPr>
        <w:t>被授权人参与磋商活动的，</w:t>
      </w:r>
      <w:r>
        <w:rPr>
          <w:rFonts w:hint="eastAsia" w:ascii="宋体" w:hAnsi="宋体" w:eastAsia="宋体" w:cs="宋体"/>
          <w:color w:val="auto"/>
          <w:sz w:val="24"/>
          <w:szCs w:val="24"/>
          <w:highlight w:val="none"/>
        </w:rPr>
        <w:t>须提供《自然人授权委托书》，《自然人授权委托书》应当按本格式要求签字并由自然人在签名处加盖食指指印。</w:t>
      </w:r>
    </w:p>
    <w:p>
      <w:pPr>
        <w:pStyle w:val="14"/>
        <w:spacing w:line="360" w:lineRule="auto"/>
        <w:ind w:firstLine="480" w:firstLineChars="200"/>
        <w:rPr>
          <w:rFonts w:hint="eastAsia" w:ascii="宋体" w:hAnsi="宋体" w:eastAsia="宋体" w:cs="宋体"/>
          <w:color w:val="auto"/>
          <w:sz w:val="24"/>
          <w:szCs w:val="24"/>
          <w:highlight w:val="none"/>
        </w:rPr>
      </w:pPr>
    </w:p>
    <w:p>
      <w:pPr>
        <w:pStyle w:val="14"/>
        <w:ind w:firstLine="480" w:firstLineChars="200"/>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kern w:val="2"/>
          <w:sz w:val="32"/>
          <w:szCs w:val="32"/>
          <w:highlight w:val="none"/>
          <w:lang w:val="en-US" w:eastAsia="zh-CN" w:bidi="ar-SA"/>
        </w:rPr>
        <w:t>格式2  磋商响应函</w:t>
      </w:r>
    </w:p>
    <w:p>
      <w:pPr>
        <w:pStyle w:val="14"/>
        <w:topLinePunct/>
        <w:autoSpaceDE w:val="0"/>
        <w:autoSpaceDN w:val="0"/>
        <w:adjustRightInd w:val="0"/>
        <w:snapToGrid w:val="0"/>
        <w:spacing w:line="360" w:lineRule="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autoSpaceDE w:val="0"/>
        <w:autoSpaceDN w:val="0"/>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致________（采购人或采购代理机构）：</w:t>
      </w:r>
    </w:p>
    <w:p>
      <w:pPr>
        <w:pStyle w:val="14"/>
        <w:keepNext w:val="0"/>
        <w:keepLines w:val="0"/>
        <w:pageBreakBefore w:val="0"/>
        <w:widowControl w:val="0"/>
        <w:kinsoku/>
        <w:wordWrap/>
        <w:overflowPunct/>
        <w:topLinePunct/>
        <w:autoSpaceDE w:val="0"/>
        <w:autoSpaceDN w:val="0"/>
        <w:bidi w:val="0"/>
        <w:adjustRightInd w:val="0"/>
        <w:snapToGrid w:val="0"/>
        <w:spacing w:line="400" w:lineRule="exact"/>
        <w:ind w:firstLine="489" w:firstLineChars="2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根据______（项目名称）（项目编号：______）的磋商邀请，______（姓名、职务）代表供应商______（供应商名称、地址）参加项目磋商的有关活动。据此函，作如下承诺：</w:t>
      </w:r>
    </w:p>
    <w:p>
      <w:pPr>
        <w:pStyle w:val="38"/>
        <w:keepNext w:val="0"/>
        <w:keepLines w:val="0"/>
        <w:pageBreakBefore w:val="0"/>
        <w:widowControl w:val="0"/>
        <w:numPr>
          <w:ilvl w:val="0"/>
          <w:numId w:val="0"/>
        </w:numPr>
        <w:tabs>
          <w:tab w:val="left" w:pos="420"/>
        </w:tabs>
        <w:kinsoku/>
        <w:wordWrap/>
        <w:overflowPunct/>
        <w:topLinePunct/>
        <w:autoSpaceDE w:val="0"/>
        <w:autoSpaceDN w:val="0"/>
        <w:bidi w:val="0"/>
        <w:snapToGrid w:val="0"/>
        <w:spacing w:after="0" w:line="400" w:lineRule="exact"/>
        <w:ind w:firstLine="489" w:firstLineChars="204"/>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1.同意在本项目采购文件中规定的开标日起</w:t>
      </w:r>
      <w:r>
        <w:rPr>
          <w:rFonts w:hint="eastAsia" w:ascii="宋体" w:hAnsi="宋体" w:eastAsia="宋体" w:cs="宋体"/>
          <w:color w:val="auto"/>
          <w:sz w:val="24"/>
          <w:szCs w:val="24"/>
          <w:highlight w:val="none"/>
          <w:u w:val="single"/>
          <w:lang w:val="en-US" w:eastAsia="zh-CN"/>
        </w:rPr>
        <w:t xml:space="preserve"> 90 </w:t>
      </w:r>
      <w:r>
        <w:rPr>
          <w:rFonts w:hint="eastAsia" w:ascii="宋体" w:hAnsi="宋体" w:eastAsia="宋体" w:cs="宋体"/>
          <w:color w:val="auto"/>
          <w:sz w:val="24"/>
          <w:szCs w:val="24"/>
          <w:highlight w:val="none"/>
          <w:u w:val="none"/>
        </w:rPr>
        <w:t>天</w:t>
      </w:r>
      <w:r>
        <w:rPr>
          <w:rFonts w:hint="eastAsia" w:ascii="宋体" w:hAnsi="宋体" w:eastAsia="宋体" w:cs="宋体"/>
          <w:color w:val="auto"/>
          <w:sz w:val="24"/>
          <w:szCs w:val="24"/>
          <w:highlight w:val="none"/>
        </w:rPr>
        <w:t>遵守本响应文件中的承诺，且在期满之前均具有约束力。</w:t>
      </w:r>
    </w:p>
    <w:p>
      <w:pPr>
        <w:pStyle w:val="38"/>
        <w:keepNext w:val="0"/>
        <w:keepLines w:val="0"/>
        <w:pageBreakBefore w:val="0"/>
        <w:widowControl w:val="0"/>
        <w:numPr>
          <w:ilvl w:val="0"/>
          <w:numId w:val="0"/>
        </w:numPr>
        <w:tabs>
          <w:tab w:val="left" w:pos="420"/>
        </w:tabs>
        <w:kinsoku/>
        <w:wordWrap/>
        <w:overflowPunct/>
        <w:topLinePunct/>
        <w:autoSpaceDE w:val="0"/>
        <w:autoSpaceDN w:val="0"/>
        <w:bidi w:val="0"/>
        <w:snapToGrid w:val="0"/>
        <w:spacing w:after="0" w:line="400" w:lineRule="exact"/>
        <w:ind w:firstLine="489" w:firstLineChars="204"/>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2.具备政府采购相关法律法规规定的参加政府采购活动的供应商应当具备的条件：</w:t>
      </w:r>
    </w:p>
    <w:p>
      <w:pPr>
        <w:keepNext w:val="0"/>
        <w:keepLines w:val="0"/>
        <w:pageBreakBefore w:val="0"/>
        <w:widowControl w:val="0"/>
        <w:tabs>
          <w:tab w:val="left" w:pos="700"/>
        </w:tabs>
        <w:kinsoku/>
        <w:wordWrap/>
        <w:overflowPunct/>
        <w:topLinePunct/>
        <w:autoSpaceDE w:val="0"/>
        <w:autoSpaceDN w:val="0"/>
        <w:bidi w:val="0"/>
        <w:adjustRightInd w:val="0"/>
        <w:snapToGrid w:val="0"/>
        <w:spacing w:after="0" w:line="400" w:lineRule="exact"/>
        <w:ind w:firstLine="489" w:firstLineChars="204"/>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pPr>
        <w:keepNext w:val="0"/>
        <w:keepLines w:val="0"/>
        <w:pageBreakBefore w:val="0"/>
        <w:widowControl w:val="0"/>
        <w:tabs>
          <w:tab w:val="left" w:pos="700"/>
        </w:tabs>
        <w:kinsoku/>
        <w:wordWrap/>
        <w:overflowPunct/>
        <w:topLinePunct/>
        <w:autoSpaceDE w:val="0"/>
        <w:autoSpaceDN w:val="0"/>
        <w:bidi w:val="0"/>
        <w:adjustRightInd w:val="0"/>
        <w:snapToGrid w:val="0"/>
        <w:spacing w:after="0" w:line="400" w:lineRule="exact"/>
        <w:ind w:firstLine="489" w:firstLineChars="204"/>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pPr>
        <w:keepNext w:val="0"/>
        <w:keepLines w:val="0"/>
        <w:pageBreakBefore w:val="0"/>
        <w:widowControl w:val="0"/>
        <w:tabs>
          <w:tab w:val="left" w:pos="700"/>
        </w:tabs>
        <w:kinsoku/>
        <w:wordWrap/>
        <w:overflowPunct/>
        <w:topLinePunct/>
        <w:autoSpaceDE w:val="0"/>
        <w:autoSpaceDN w:val="0"/>
        <w:bidi w:val="0"/>
        <w:adjustRightInd w:val="0"/>
        <w:snapToGrid w:val="0"/>
        <w:spacing w:after="0" w:line="400" w:lineRule="exact"/>
        <w:ind w:firstLine="489" w:firstLineChars="204"/>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pPr>
        <w:keepNext w:val="0"/>
        <w:keepLines w:val="0"/>
        <w:pageBreakBefore w:val="0"/>
        <w:widowControl w:val="0"/>
        <w:tabs>
          <w:tab w:val="left" w:pos="700"/>
        </w:tabs>
        <w:kinsoku/>
        <w:wordWrap/>
        <w:overflowPunct/>
        <w:topLinePunct/>
        <w:autoSpaceDE w:val="0"/>
        <w:autoSpaceDN w:val="0"/>
        <w:bidi w:val="0"/>
        <w:adjustRightInd w:val="0"/>
        <w:snapToGrid w:val="0"/>
        <w:spacing w:after="0" w:line="400" w:lineRule="exact"/>
        <w:ind w:firstLine="489" w:firstLineChars="204"/>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pPr>
        <w:keepNext w:val="0"/>
        <w:keepLines w:val="0"/>
        <w:pageBreakBefore w:val="0"/>
        <w:widowControl w:val="0"/>
        <w:tabs>
          <w:tab w:val="left" w:pos="700"/>
        </w:tabs>
        <w:kinsoku/>
        <w:wordWrap/>
        <w:overflowPunct/>
        <w:topLinePunct/>
        <w:autoSpaceDE w:val="0"/>
        <w:autoSpaceDN w:val="0"/>
        <w:bidi w:val="0"/>
        <w:adjustRightInd w:val="0"/>
        <w:snapToGrid w:val="0"/>
        <w:spacing w:after="0" w:line="400" w:lineRule="exact"/>
        <w:ind w:firstLine="489" w:firstLineChars="204"/>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（5）参加此项采购活动前三年内，在经营活动中没有重大违法记录。</w:t>
      </w:r>
    </w:p>
    <w:p>
      <w:pPr>
        <w:keepNext w:val="0"/>
        <w:keepLines w:val="0"/>
        <w:pageBreakBefore w:val="0"/>
        <w:widowControl w:val="0"/>
        <w:tabs>
          <w:tab w:val="left" w:pos="700"/>
        </w:tabs>
        <w:kinsoku/>
        <w:wordWrap/>
        <w:overflowPunct/>
        <w:topLinePunct/>
        <w:autoSpaceDE w:val="0"/>
        <w:autoSpaceDN w:val="0"/>
        <w:bidi w:val="0"/>
        <w:adjustRightInd w:val="0"/>
        <w:snapToGrid w:val="0"/>
        <w:spacing w:after="0" w:line="400" w:lineRule="exact"/>
        <w:ind w:firstLine="489" w:firstLineChars="204"/>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（6）法律、行政法规规定的其他条件。 </w:t>
      </w:r>
    </w:p>
    <w:p>
      <w:pPr>
        <w:pStyle w:val="38"/>
        <w:keepNext w:val="0"/>
        <w:keepLines w:val="0"/>
        <w:pageBreakBefore w:val="0"/>
        <w:widowControl w:val="0"/>
        <w:numPr>
          <w:ilvl w:val="0"/>
          <w:numId w:val="0"/>
        </w:numPr>
        <w:tabs>
          <w:tab w:val="left" w:pos="420"/>
        </w:tabs>
        <w:kinsoku/>
        <w:wordWrap/>
        <w:overflowPunct/>
        <w:topLinePunct/>
        <w:autoSpaceDE w:val="0"/>
        <w:autoSpaceDN w:val="0"/>
        <w:bidi w:val="0"/>
        <w:snapToGrid w:val="0"/>
        <w:spacing w:after="0" w:line="400" w:lineRule="exact"/>
        <w:ind w:firstLine="489" w:firstLineChars="204"/>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3.具备本项目采购文件中规定的其他要求和资质条件。</w:t>
      </w:r>
    </w:p>
    <w:p>
      <w:pPr>
        <w:pStyle w:val="38"/>
        <w:keepNext w:val="0"/>
        <w:keepLines w:val="0"/>
        <w:pageBreakBefore w:val="0"/>
        <w:widowControl w:val="0"/>
        <w:numPr>
          <w:ilvl w:val="0"/>
          <w:numId w:val="0"/>
        </w:numPr>
        <w:tabs>
          <w:tab w:val="left" w:pos="420"/>
        </w:tabs>
        <w:kinsoku/>
        <w:wordWrap/>
        <w:overflowPunct/>
        <w:topLinePunct/>
        <w:autoSpaceDE w:val="0"/>
        <w:autoSpaceDN w:val="0"/>
        <w:bidi w:val="0"/>
        <w:snapToGrid w:val="0"/>
        <w:spacing w:after="0" w:line="400" w:lineRule="exact"/>
        <w:ind w:firstLine="489" w:firstLineChars="204"/>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4.提供供应商须知规定的全部响应文件。</w:t>
      </w:r>
    </w:p>
    <w:p>
      <w:pPr>
        <w:pStyle w:val="38"/>
        <w:keepNext w:val="0"/>
        <w:keepLines w:val="0"/>
        <w:pageBreakBefore w:val="0"/>
        <w:widowControl w:val="0"/>
        <w:numPr>
          <w:ilvl w:val="0"/>
          <w:numId w:val="0"/>
        </w:numPr>
        <w:tabs>
          <w:tab w:val="left" w:pos="420"/>
        </w:tabs>
        <w:kinsoku/>
        <w:wordWrap/>
        <w:overflowPunct/>
        <w:topLinePunct/>
        <w:autoSpaceDE w:val="0"/>
        <w:autoSpaceDN w:val="0"/>
        <w:bidi w:val="0"/>
        <w:snapToGrid w:val="0"/>
        <w:spacing w:after="0" w:line="400" w:lineRule="exact"/>
        <w:ind w:firstLine="489" w:firstLineChars="204"/>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5.已详细审阅全部采购文件（包括</w:t>
      </w:r>
      <w:r>
        <w:rPr>
          <w:rFonts w:hint="eastAsia" w:ascii="宋体" w:hAnsi="宋体" w:eastAsia="宋体" w:cs="宋体"/>
          <w:color w:val="auto"/>
          <w:sz w:val="24"/>
          <w:szCs w:val="24"/>
          <w:highlight w:val="none"/>
          <w:lang w:val="en-US" w:eastAsia="zh-CN"/>
        </w:rPr>
        <w:t>项目采购需求和</w:t>
      </w:r>
      <w:r>
        <w:rPr>
          <w:rFonts w:hint="eastAsia" w:ascii="宋体" w:hAnsi="宋体" w:eastAsia="宋体" w:cs="宋体"/>
          <w:color w:val="auto"/>
          <w:sz w:val="24"/>
          <w:szCs w:val="24"/>
          <w:highlight w:val="none"/>
        </w:rPr>
        <w:t>采购文件澄清函），理解供应商须知的所有条款。</w:t>
      </w:r>
    </w:p>
    <w:p>
      <w:pPr>
        <w:pStyle w:val="38"/>
        <w:keepNext w:val="0"/>
        <w:keepLines w:val="0"/>
        <w:pageBreakBefore w:val="0"/>
        <w:widowControl w:val="0"/>
        <w:numPr>
          <w:ilvl w:val="0"/>
          <w:numId w:val="0"/>
        </w:numPr>
        <w:tabs>
          <w:tab w:val="left" w:pos="420"/>
        </w:tabs>
        <w:kinsoku/>
        <w:wordWrap/>
        <w:overflowPunct/>
        <w:topLinePunct/>
        <w:autoSpaceDE w:val="0"/>
        <w:autoSpaceDN w:val="0"/>
        <w:bidi w:val="0"/>
        <w:snapToGrid w:val="0"/>
        <w:spacing w:after="0" w:line="400" w:lineRule="exact"/>
        <w:ind w:firstLine="489" w:firstLineChars="204"/>
        <w:jc w:val="left"/>
        <w:textAlignment w:val="auto"/>
        <w:outlineLvl w:val="1"/>
        <w:rPr>
          <w:rFonts w:hint="eastAsia" w:ascii="宋体" w:hAnsi="宋体" w:eastAsia="宋体" w:cs="宋体"/>
          <w:color w:val="auto"/>
          <w:sz w:val="24"/>
          <w:szCs w:val="24"/>
          <w:highlight w:val="none"/>
        </w:rPr>
      </w:pPr>
      <w:bookmarkStart w:id="100" w:name="_Toc27055"/>
      <w:bookmarkStart w:id="101" w:name="_Toc23619"/>
      <w:r>
        <w:rPr>
          <w:rFonts w:hint="eastAsia" w:ascii="宋体" w:hAnsi="宋体" w:eastAsia="宋体" w:cs="宋体"/>
          <w:color w:val="auto"/>
          <w:sz w:val="24"/>
          <w:szCs w:val="24"/>
          <w:highlight w:val="none"/>
        </w:rPr>
        <w:t>6.完全理解贵方“最低报价不能作为成交的保证”的规定。</w:t>
      </w:r>
      <w:bookmarkEnd w:id="100"/>
      <w:bookmarkEnd w:id="101"/>
    </w:p>
    <w:p>
      <w:pPr>
        <w:pStyle w:val="38"/>
        <w:keepNext w:val="0"/>
        <w:keepLines w:val="0"/>
        <w:pageBreakBefore w:val="0"/>
        <w:widowControl w:val="0"/>
        <w:numPr>
          <w:ilvl w:val="0"/>
          <w:numId w:val="0"/>
        </w:numPr>
        <w:tabs>
          <w:tab w:val="left" w:pos="420"/>
        </w:tabs>
        <w:kinsoku/>
        <w:wordWrap/>
        <w:overflowPunct/>
        <w:topLinePunct/>
        <w:autoSpaceDE w:val="0"/>
        <w:autoSpaceDN w:val="0"/>
        <w:bidi w:val="0"/>
        <w:snapToGrid w:val="0"/>
        <w:spacing w:after="0" w:line="400" w:lineRule="exact"/>
        <w:ind w:firstLine="489" w:firstLineChars="204"/>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7.接受采购文件中全部合同条款，且无任何异议；保证忠实地执行双方所签订的合同，并承担合同规定的责任和义务。</w:t>
      </w:r>
    </w:p>
    <w:p>
      <w:pPr>
        <w:pStyle w:val="38"/>
        <w:keepNext w:val="0"/>
        <w:keepLines w:val="0"/>
        <w:pageBreakBefore w:val="0"/>
        <w:widowControl w:val="0"/>
        <w:numPr>
          <w:ilvl w:val="0"/>
          <w:numId w:val="0"/>
        </w:numPr>
        <w:tabs>
          <w:tab w:val="left" w:pos="420"/>
        </w:tabs>
        <w:kinsoku/>
        <w:wordWrap/>
        <w:overflowPunct/>
        <w:topLinePunct/>
        <w:autoSpaceDE w:val="0"/>
        <w:autoSpaceDN w:val="0"/>
        <w:bidi w:val="0"/>
        <w:snapToGrid w:val="0"/>
        <w:spacing w:after="0" w:line="400" w:lineRule="exact"/>
        <w:ind w:firstLine="489" w:firstLineChars="204"/>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8.完全满足和响应采购文件中的各项商务和技术要求，若有偏差，已在响应文件中明确说明。</w:t>
      </w:r>
    </w:p>
    <w:p>
      <w:pPr>
        <w:pStyle w:val="38"/>
        <w:keepNext w:val="0"/>
        <w:keepLines w:val="0"/>
        <w:pageBreakBefore w:val="0"/>
        <w:widowControl w:val="0"/>
        <w:numPr>
          <w:ilvl w:val="0"/>
          <w:numId w:val="0"/>
        </w:numPr>
        <w:tabs>
          <w:tab w:val="left" w:pos="420"/>
        </w:tabs>
        <w:kinsoku/>
        <w:wordWrap/>
        <w:overflowPunct/>
        <w:topLinePunct/>
        <w:autoSpaceDE w:val="0"/>
        <w:autoSpaceDN w:val="0"/>
        <w:bidi w:val="0"/>
        <w:snapToGrid w:val="0"/>
        <w:spacing w:after="0" w:line="400" w:lineRule="exact"/>
        <w:ind w:firstLine="489" w:firstLineChars="204"/>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9.愿意提供任何与磋商有关的数据、情况和技术资料等。若贵方需要，愿意提供一切证明材料。</w:t>
      </w:r>
    </w:p>
    <w:p>
      <w:pPr>
        <w:pStyle w:val="38"/>
        <w:keepNext w:val="0"/>
        <w:keepLines w:val="0"/>
        <w:pageBreakBefore w:val="0"/>
        <w:widowControl w:val="0"/>
        <w:numPr>
          <w:ilvl w:val="0"/>
          <w:numId w:val="0"/>
        </w:numPr>
        <w:tabs>
          <w:tab w:val="left" w:pos="420"/>
        </w:tabs>
        <w:kinsoku/>
        <w:wordWrap/>
        <w:overflowPunct/>
        <w:topLinePunct/>
        <w:autoSpaceDE w:val="0"/>
        <w:autoSpaceDN w:val="0"/>
        <w:bidi w:val="0"/>
        <w:snapToGrid w:val="0"/>
        <w:spacing w:after="0" w:line="400" w:lineRule="exact"/>
        <w:ind w:firstLine="489" w:firstLineChars="204"/>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10.我方已详细审核全部响应文件、参考资料及有关附件，确认无误。</w:t>
      </w:r>
    </w:p>
    <w:p>
      <w:pPr>
        <w:pStyle w:val="38"/>
        <w:keepNext w:val="0"/>
        <w:keepLines w:val="0"/>
        <w:pageBreakBefore w:val="0"/>
        <w:widowControl w:val="0"/>
        <w:numPr>
          <w:ilvl w:val="0"/>
          <w:numId w:val="0"/>
        </w:numPr>
        <w:tabs>
          <w:tab w:val="left" w:pos="420"/>
        </w:tabs>
        <w:kinsoku/>
        <w:wordWrap/>
        <w:overflowPunct/>
        <w:topLinePunct/>
        <w:autoSpaceDE w:val="0"/>
        <w:autoSpaceDN w:val="0"/>
        <w:bidi w:val="0"/>
        <w:snapToGrid w:val="0"/>
        <w:spacing w:after="0" w:line="400" w:lineRule="exact"/>
        <w:ind w:firstLine="489" w:firstLineChars="204"/>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11.对本次采购内容及与本项目有关的知识产权、技术资料、商业秘密及相关信息保密。</w:t>
      </w:r>
    </w:p>
    <w:p>
      <w:pPr>
        <w:pStyle w:val="38"/>
        <w:keepNext w:val="0"/>
        <w:keepLines w:val="0"/>
        <w:pageBreakBefore w:val="0"/>
        <w:widowControl w:val="0"/>
        <w:numPr>
          <w:ilvl w:val="0"/>
          <w:numId w:val="0"/>
        </w:numPr>
        <w:tabs>
          <w:tab w:val="left" w:pos="420"/>
        </w:tabs>
        <w:kinsoku/>
        <w:wordWrap/>
        <w:overflowPunct/>
        <w:topLinePunct/>
        <w:autoSpaceDE w:val="0"/>
        <w:autoSpaceDN w:val="0"/>
        <w:bidi w:val="0"/>
        <w:snapToGrid w:val="0"/>
        <w:spacing w:after="0" w:line="400" w:lineRule="exact"/>
        <w:ind w:firstLine="489" w:firstLineChars="204"/>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12.已知悉并承诺遵守《税务系统信息化服务商失信行为记录名单制度(试行) 》关于失信行为进行记录和结果应用的相关规定，及对于违反网络安全规定行为造成不良后果、“围猎”税务人员、违法违规聘用离职税务人员、国家税务总局发票电子化改革领导小组办公室认定的失信行为，3年内限制参加税务系统政府采购活动的相关规定。</w:t>
      </w:r>
    </w:p>
    <w:p>
      <w:pPr>
        <w:pStyle w:val="38"/>
        <w:keepNext w:val="0"/>
        <w:keepLines w:val="0"/>
        <w:pageBreakBefore w:val="0"/>
        <w:widowControl w:val="0"/>
        <w:numPr>
          <w:ilvl w:val="0"/>
          <w:numId w:val="0"/>
        </w:numPr>
        <w:tabs>
          <w:tab w:val="left" w:pos="420"/>
        </w:tabs>
        <w:kinsoku/>
        <w:wordWrap/>
        <w:overflowPunct/>
        <w:topLinePunct/>
        <w:autoSpaceDE w:val="0"/>
        <w:autoSpaceDN w:val="0"/>
        <w:bidi w:val="0"/>
        <w:snapToGrid w:val="0"/>
        <w:spacing w:after="0" w:line="400" w:lineRule="exact"/>
        <w:ind w:firstLine="489" w:firstLineChars="204"/>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13.已知悉并承诺遵守采购文件中关于供应链安全管理的全部要求。</w:t>
      </w:r>
    </w:p>
    <w:p>
      <w:pPr>
        <w:pStyle w:val="38"/>
        <w:numPr>
          <w:ilvl w:val="0"/>
          <w:numId w:val="0"/>
        </w:numPr>
        <w:tabs>
          <w:tab w:val="left" w:pos="420"/>
        </w:tabs>
        <w:topLinePunct/>
        <w:autoSpaceDE w:val="0"/>
        <w:autoSpaceDN w:val="0"/>
        <w:snapToGrid w:val="0"/>
        <w:spacing w:after="0" w:line="360" w:lineRule="auto"/>
        <w:ind w:firstLine="489" w:firstLineChars="204"/>
        <w:rPr>
          <w:rFonts w:hint="eastAsia" w:ascii="宋体" w:hAnsi="宋体" w:eastAsia="宋体" w:cs="宋体"/>
          <w:color w:val="auto"/>
          <w:sz w:val="24"/>
          <w:szCs w:val="24"/>
          <w:highlight w:val="none"/>
        </w:rPr>
      </w:pPr>
    </w:p>
    <w:p>
      <w:pPr>
        <w:pStyle w:val="38"/>
        <w:numPr>
          <w:ilvl w:val="0"/>
          <w:numId w:val="0"/>
        </w:numPr>
        <w:tabs>
          <w:tab w:val="left" w:pos="420"/>
        </w:tabs>
        <w:topLinePunct/>
        <w:autoSpaceDE w:val="0"/>
        <w:autoSpaceDN w:val="0"/>
        <w:snapToGrid w:val="0"/>
        <w:spacing w:after="0" w:line="360" w:lineRule="auto"/>
        <w:jc w:val="left"/>
        <w:rPr>
          <w:rFonts w:hint="eastAsia" w:ascii="宋体" w:hAnsi="宋体" w:eastAsia="宋体" w:cs="宋体"/>
          <w:color w:val="auto"/>
          <w:sz w:val="24"/>
          <w:szCs w:val="24"/>
          <w:highlight w:val="none"/>
        </w:rPr>
      </w:pPr>
    </w:p>
    <w:p>
      <w:pPr>
        <w:pStyle w:val="38"/>
        <w:numPr>
          <w:ilvl w:val="0"/>
          <w:numId w:val="0"/>
        </w:numPr>
        <w:tabs>
          <w:tab w:val="left" w:pos="420"/>
        </w:tabs>
        <w:topLinePunct/>
        <w:autoSpaceDE w:val="0"/>
        <w:autoSpaceDN w:val="0"/>
        <w:snapToGrid w:val="0"/>
        <w:spacing w:after="0" w:line="360" w:lineRule="auto"/>
        <w:ind w:firstLine="489" w:firstLineChars="20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供应商名称（公章）：____________</w:t>
      </w:r>
    </w:p>
    <w:p>
      <w:pPr>
        <w:pStyle w:val="38"/>
        <w:numPr>
          <w:ilvl w:val="0"/>
          <w:numId w:val="0"/>
        </w:numPr>
        <w:tabs>
          <w:tab w:val="left" w:pos="420"/>
        </w:tabs>
        <w:topLinePunct/>
        <w:autoSpaceDE w:val="0"/>
        <w:autoSpaceDN w:val="0"/>
        <w:snapToGrid w:val="0"/>
        <w:spacing w:after="0" w:line="360" w:lineRule="auto"/>
        <w:ind w:firstLine="489" w:firstLineChars="20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法定代表人（签字或签章）/授权代表（签字）：____________</w:t>
      </w:r>
    </w:p>
    <w:p>
      <w:pPr>
        <w:pStyle w:val="38"/>
        <w:numPr>
          <w:ilvl w:val="0"/>
          <w:numId w:val="0"/>
        </w:numPr>
        <w:tabs>
          <w:tab w:val="left" w:pos="420"/>
        </w:tabs>
        <w:topLinePunct/>
        <w:autoSpaceDE w:val="0"/>
        <w:autoSpaceDN w:val="0"/>
        <w:snapToGrid w:val="0"/>
        <w:spacing w:after="0" w:line="360" w:lineRule="auto"/>
        <w:ind w:firstLine="489" w:firstLineChars="20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供应商地址：____________</w:t>
      </w:r>
    </w:p>
    <w:p>
      <w:pPr>
        <w:pStyle w:val="38"/>
        <w:numPr>
          <w:ilvl w:val="0"/>
          <w:numId w:val="0"/>
        </w:numPr>
        <w:tabs>
          <w:tab w:val="left" w:pos="420"/>
        </w:tabs>
        <w:topLinePunct/>
        <w:autoSpaceDE w:val="0"/>
        <w:autoSpaceDN w:val="0"/>
        <w:snapToGrid w:val="0"/>
        <w:spacing w:after="0" w:line="360" w:lineRule="auto"/>
        <w:ind w:firstLine="489" w:firstLineChars="20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邮编：____________</w:t>
      </w:r>
    </w:p>
    <w:p>
      <w:pPr>
        <w:pStyle w:val="38"/>
        <w:numPr>
          <w:ilvl w:val="0"/>
          <w:numId w:val="0"/>
        </w:numPr>
        <w:tabs>
          <w:tab w:val="left" w:pos="420"/>
        </w:tabs>
        <w:topLinePunct/>
        <w:autoSpaceDE w:val="0"/>
        <w:autoSpaceDN w:val="0"/>
        <w:snapToGrid w:val="0"/>
        <w:spacing w:after="0" w:line="360" w:lineRule="auto"/>
        <w:ind w:firstLine="489" w:firstLineChars="20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电话：____________</w:t>
      </w:r>
    </w:p>
    <w:p>
      <w:pPr>
        <w:pStyle w:val="38"/>
        <w:numPr>
          <w:ilvl w:val="0"/>
          <w:numId w:val="0"/>
        </w:numPr>
        <w:tabs>
          <w:tab w:val="left" w:pos="420"/>
        </w:tabs>
        <w:topLinePunct/>
        <w:autoSpaceDE w:val="0"/>
        <w:autoSpaceDN w:val="0"/>
        <w:snapToGrid w:val="0"/>
        <w:spacing w:after="0" w:line="360" w:lineRule="auto"/>
        <w:ind w:firstLine="489" w:firstLineChars="20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传真：____________</w:t>
      </w:r>
    </w:p>
    <w:p>
      <w:pPr>
        <w:pStyle w:val="38"/>
        <w:numPr>
          <w:ilvl w:val="0"/>
          <w:numId w:val="0"/>
        </w:numPr>
        <w:tabs>
          <w:tab w:val="left" w:pos="420"/>
        </w:tabs>
        <w:topLinePunct/>
        <w:autoSpaceDE w:val="0"/>
        <w:autoSpaceDN w:val="0"/>
        <w:snapToGrid w:val="0"/>
        <w:spacing w:after="0" w:line="360" w:lineRule="auto"/>
        <w:ind w:left="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期：____________          </w:t>
      </w:r>
    </w:p>
    <w:p>
      <w:pPr>
        <w:tabs>
          <w:tab w:val="left" w:pos="1230"/>
        </w:tabs>
        <w:topLinePunct/>
        <w:autoSpaceDE w:val="0"/>
        <w:autoSpaceDN w:val="0"/>
        <w:snapToGrid w:val="0"/>
        <w:spacing w:line="400" w:lineRule="exact"/>
        <w:ind w:left="360"/>
        <w:rPr>
          <w:rFonts w:hint="eastAsia" w:ascii="宋体" w:hAnsi="宋体" w:eastAsia="宋体" w:cs="宋体"/>
          <w:color w:val="auto"/>
          <w:sz w:val="24"/>
          <w:szCs w:val="24"/>
          <w:highlight w:val="none"/>
        </w:rPr>
      </w:pPr>
    </w:p>
    <w:p>
      <w:pPr>
        <w:ind w:firstLine="480" w:firstLineChars="200"/>
        <w:rPr>
          <w:rFonts w:hint="eastAsia" w:ascii="宋体" w:hAnsi="宋体" w:eastAsia="宋体" w:cs="宋体"/>
          <w:color w:val="auto"/>
          <w:sz w:val="24"/>
          <w:szCs w:val="24"/>
          <w:highlight w:val="none"/>
        </w:rPr>
      </w:pPr>
    </w:p>
    <w:p>
      <w:pPr>
        <w:adjustRightInd w:val="0"/>
        <w:snapToGrid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特别说明：</w:t>
      </w:r>
    </w:p>
    <w:p>
      <w:pPr>
        <w:adjustRightInd w:val="0"/>
        <w:snapToGrid w:val="0"/>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供应商应当按上述格式要求加盖与供应商名称全称一致的标准公章，并签署法定代表人或</w:t>
      </w:r>
      <w:r>
        <w:rPr>
          <w:rFonts w:hint="eastAsia" w:ascii="宋体" w:hAnsi="宋体" w:eastAsia="宋体" w:cs="宋体"/>
          <w:bCs/>
          <w:color w:val="auto"/>
          <w:sz w:val="24"/>
          <w:szCs w:val="24"/>
          <w:highlight w:val="none"/>
        </w:rPr>
        <w:t>授权代表</w:t>
      </w:r>
      <w:r>
        <w:rPr>
          <w:rFonts w:hint="eastAsia" w:ascii="宋体" w:hAnsi="宋体" w:eastAsia="宋体" w:cs="宋体"/>
          <w:color w:val="auto"/>
          <w:sz w:val="24"/>
          <w:szCs w:val="24"/>
          <w:highlight w:val="none"/>
        </w:rPr>
        <w:t>的全名或加盖名章。</w:t>
      </w:r>
    </w:p>
    <w:p>
      <w:pPr>
        <w:adjustRightInd w:val="0"/>
        <w:snapToGrid w:val="0"/>
        <w:spacing w:after="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32"/>
          <w:szCs w:val="32"/>
          <w:highlight w:val="none"/>
        </w:rPr>
        <w:t>格式3  磋商报价表</w:t>
      </w:r>
    </w:p>
    <w:p>
      <w:pPr>
        <w:widowControl/>
        <w:spacing w:after="0" w:line="240" w:lineRule="auto"/>
        <w:jc w:val="center"/>
        <w:outlineLvl w:val="1"/>
        <w:rPr>
          <w:rFonts w:hint="eastAsia" w:ascii="宋体" w:hAnsi="宋体" w:eastAsia="宋体" w:cs="宋体"/>
          <w:b/>
          <w:bCs/>
          <w:color w:val="auto"/>
          <w:kern w:val="2"/>
          <w:sz w:val="24"/>
          <w:szCs w:val="24"/>
          <w:highlight w:val="none"/>
        </w:rPr>
      </w:pPr>
      <w:bookmarkStart w:id="102" w:name="_Toc32364"/>
      <w:bookmarkStart w:id="103" w:name="_Toc14016"/>
      <w:r>
        <w:rPr>
          <w:rFonts w:hint="eastAsia" w:ascii="宋体" w:hAnsi="宋体" w:eastAsia="宋体" w:cs="宋体"/>
          <w:b/>
          <w:bCs/>
          <w:color w:val="auto"/>
          <w:sz w:val="28"/>
          <w:szCs w:val="28"/>
          <w:highlight w:val="none"/>
        </w:rPr>
        <w:t>1.报价一览表（总报价表）</w:t>
      </w:r>
      <w:bookmarkEnd w:id="102"/>
      <w:bookmarkEnd w:id="103"/>
    </w:p>
    <w:p>
      <w:pPr>
        <w:pStyle w:val="14"/>
        <w:topLinePunct/>
        <w:autoSpaceDE w:val="0"/>
        <w:autoSpaceDN w:val="0"/>
        <w:adjustRightInd w:val="0"/>
        <w:snapToGrid w:val="0"/>
        <w:spacing w:line="360" w:lineRule="auto"/>
        <w:ind w:left="2"/>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(服务类项目适用)</w:t>
      </w:r>
    </w:p>
    <w:p>
      <w:pPr>
        <w:topLinePunct/>
        <w:autoSpaceDE w:val="0"/>
        <w:autoSpaceDN w:val="0"/>
        <w:adjustRightInd w:val="0"/>
        <w:snapToGrid w:val="0"/>
        <w:spacing w:after="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adjustRightInd w:val="0"/>
        <w:snapToGrid w:val="0"/>
        <w:spacing w:after="0" w:line="360" w:lineRule="auto"/>
        <w:ind w:right="840"/>
        <w:rPr>
          <w:rFonts w:hint="eastAsia" w:ascii="宋体" w:hAnsi="宋体" w:eastAsia="宋体" w:cs="宋体"/>
          <w:bCs/>
          <w:color w:val="auto"/>
          <w:w w:val="150"/>
          <w:sz w:val="24"/>
          <w:szCs w:val="24"/>
          <w:highlight w:val="none"/>
        </w:rPr>
      </w:pPr>
      <w:r>
        <w:rPr>
          <w:rFonts w:hint="eastAsia" w:ascii="宋体" w:hAnsi="宋体" w:eastAsia="宋体" w:cs="宋体"/>
          <w:color w:val="auto"/>
          <w:sz w:val="24"/>
          <w:szCs w:val="24"/>
          <w:highlight w:val="none"/>
        </w:rPr>
        <w:t>采购包号：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价格单位：人民币   元</w:t>
      </w:r>
    </w:p>
    <w:tbl>
      <w:tblPr>
        <w:tblStyle w:val="28"/>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3650"/>
        <w:gridCol w:w="4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259" w:type="dxa"/>
            <w:noWrap/>
            <w:vAlign w:val="center"/>
          </w:tcPr>
          <w:p>
            <w:pPr>
              <w:adjustRightInd w:val="0"/>
              <w:snapToGrid w:val="0"/>
              <w:spacing w:beforeLines="20" w:afterLines="20"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3650" w:type="dxa"/>
            <w:noWrap/>
            <w:vAlign w:val="center"/>
          </w:tcPr>
          <w:p>
            <w:pPr>
              <w:adjustRightInd w:val="0"/>
              <w:snapToGrid w:val="0"/>
              <w:spacing w:beforeLines="20" w:afterLines="20"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w:t>
            </w:r>
          </w:p>
        </w:tc>
        <w:tc>
          <w:tcPr>
            <w:tcW w:w="4423" w:type="dxa"/>
            <w:noWrap/>
            <w:vAlign w:val="center"/>
          </w:tcPr>
          <w:p>
            <w:pPr>
              <w:adjustRightInd w:val="0"/>
              <w:snapToGrid w:val="0"/>
              <w:spacing w:beforeLines="20" w:afterLines="20"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价格小计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59" w:type="dxa"/>
            <w:noWrap/>
            <w:vAlign w:val="center"/>
          </w:tcPr>
          <w:p>
            <w:pPr>
              <w:adjustRightInd w:val="0"/>
              <w:snapToGrid w:val="0"/>
              <w:spacing w:beforeLines="20" w:afterLines="20" w:line="240" w:lineRule="auto"/>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w:t>
            </w:r>
          </w:p>
        </w:tc>
        <w:tc>
          <w:tcPr>
            <w:tcW w:w="3650" w:type="dxa"/>
            <w:noWrap/>
            <w:vAlign w:val="center"/>
          </w:tcPr>
          <w:p>
            <w:pPr>
              <w:spacing w:line="46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国家税务总局南平市税务局12366热线服务外包采购项目</w:t>
            </w:r>
          </w:p>
        </w:tc>
        <w:tc>
          <w:tcPr>
            <w:tcW w:w="4423" w:type="dxa"/>
            <w:noWrap/>
            <w:vAlign w:val="center"/>
          </w:tcPr>
          <w:p>
            <w:pPr>
              <w:adjustRightInd w:val="0"/>
              <w:snapToGrid w:val="0"/>
              <w:spacing w:beforeLines="20" w:afterLines="20" w:line="240" w:lineRule="auto"/>
              <w:jc w:val="center"/>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909" w:type="dxa"/>
            <w:gridSpan w:val="2"/>
            <w:noWrap/>
            <w:vAlign w:val="center"/>
          </w:tcPr>
          <w:p>
            <w:pPr>
              <w:adjustRightInd w:val="0"/>
              <w:snapToGrid w:val="0"/>
              <w:spacing w:beforeLines="20" w:afterLines="2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报价合计（小写）</w:t>
            </w:r>
          </w:p>
        </w:tc>
        <w:tc>
          <w:tcPr>
            <w:tcW w:w="4423" w:type="dxa"/>
            <w:noWrap/>
            <w:vAlign w:val="center"/>
          </w:tcPr>
          <w:p>
            <w:pPr>
              <w:adjustRightInd w:val="0"/>
              <w:snapToGrid w:val="0"/>
              <w:spacing w:beforeLines="20" w:afterLines="2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909" w:type="dxa"/>
            <w:gridSpan w:val="2"/>
            <w:noWrap/>
            <w:vAlign w:val="center"/>
          </w:tcPr>
          <w:p>
            <w:pPr>
              <w:adjustRightInd w:val="0"/>
              <w:snapToGrid w:val="0"/>
              <w:spacing w:beforeLines="20" w:afterLines="20" w:line="240"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报价合计（大写）</w:t>
            </w:r>
          </w:p>
        </w:tc>
        <w:tc>
          <w:tcPr>
            <w:tcW w:w="4423" w:type="dxa"/>
            <w:noWrap/>
            <w:vAlign w:val="center"/>
          </w:tcPr>
          <w:p>
            <w:pPr>
              <w:adjustRightInd w:val="0"/>
              <w:snapToGrid w:val="0"/>
              <w:spacing w:beforeLines="20" w:afterLines="2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909" w:type="dxa"/>
            <w:gridSpan w:val="2"/>
            <w:noWrap/>
            <w:vAlign w:val="center"/>
          </w:tcPr>
          <w:p>
            <w:pPr>
              <w:adjustRightInd w:val="0"/>
              <w:snapToGrid w:val="0"/>
              <w:spacing w:beforeLines="20" w:afterLines="2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w:t>
            </w:r>
          </w:p>
        </w:tc>
        <w:tc>
          <w:tcPr>
            <w:tcW w:w="4423" w:type="dxa"/>
            <w:noWrap/>
            <w:vAlign w:val="center"/>
          </w:tcPr>
          <w:p>
            <w:pPr>
              <w:adjustRightInd w:val="0"/>
              <w:snapToGrid w:val="0"/>
              <w:spacing w:beforeLines="20" w:afterLines="20"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1年（12</w:t>
            </w:r>
            <w:r>
              <w:rPr>
                <w:rFonts w:hint="eastAsia" w:ascii="宋体" w:hAnsi="宋体" w:eastAsia="宋体" w:cs="宋体"/>
                <w:color w:val="auto"/>
                <w:sz w:val="24"/>
                <w:szCs w:val="24"/>
                <w:highlight w:val="none"/>
              </w:rPr>
              <w:t>个月</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909" w:type="dxa"/>
            <w:gridSpan w:val="2"/>
            <w:noWrap/>
            <w:vAlign w:val="center"/>
          </w:tcPr>
          <w:p>
            <w:pPr>
              <w:adjustRightInd w:val="0"/>
              <w:snapToGrid w:val="0"/>
              <w:spacing w:beforeLines="20" w:afterLines="2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4423" w:type="dxa"/>
            <w:noWrap/>
            <w:vAlign w:val="center"/>
          </w:tcPr>
          <w:p>
            <w:pPr>
              <w:adjustRightInd w:val="0"/>
              <w:snapToGrid w:val="0"/>
              <w:spacing w:beforeLines="20" w:afterLines="20" w:line="240" w:lineRule="auto"/>
              <w:jc w:val="center"/>
              <w:rPr>
                <w:rFonts w:hint="eastAsia" w:ascii="宋体" w:hAnsi="宋体" w:eastAsia="宋体" w:cs="宋体"/>
                <w:color w:val="auto"/>
                <w:sz w:val="24"/>
                <w:szCs w:val="24"/>
                <w:highlight w:val="none"/>
              </w:rPr>
            </w:pPr>
          </w:p>
        </w:tc>
      </w:tr>
    </w:tbl>
    <w:p>
      <w:pPr>
        <w:topLinePunct/>
        <w:autoSpaceDE w:val="0"/>
        <w:autoSpaceDN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特别说明：</w:t>
      </w:r>
    </w:p>
    <w:p>
      <w:pPr>
        <w:topLinePunct/>
        <w:autoSpaceDE w:val="0"/>
        <w:autoSpaceDN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1.本项目总价及分项报价均不接受任何形式的赠送、“零”报价和折扣报价。</w:t>
      </w:r>
    </w:p>
    <w:p>
      <w:pPr>
        <w:topLinePunct/>
        <w:autoSpaceDE w:val="0"/>
        <w:autoSpaceDN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2.本项目执行中所发生的所有费用均计入总报价中，采购人不再另行支付其他任何费用。</w:t>
      </w:r>
    </w:p>
    <w:p>
      <w:pPr>
        <w:topLinePunct/>
        <w:autoSpaceDE w:val="0"/>
        <w:autoSpaceDN w:val="0"/>
        <w:spacing w:after="0" w:line="360" w:lineRule="auto"/>
        <w:ind w:firstLine="480" w:firstLineChars="200"/>
        <w:outlineLvl w:val="1"/>
        <w:rPr>
          <w:rFonts w:hint="eastAsia" w:ascii="宋体" w:hAnsi="宋体" w:eastAsia="宋体" w:cs="宋体"/>
          <w:color w:val="auto"/>
          <w:sz w:val="24"/>
          <w:szCs w:val="24"/>
          <w:highlight w:val="none"/>
        </w:rPr>
      </w:pPr>
      <w:bookmarkStart w:id="104" w:name="_Toc10069"/>
      <w:bookmarkStart w:id="105" w:name="_Toc21660"/>
      <w:r>
        <w:rPr>
          <w:rFonts w:hint="eastAsia" w:ascii="宋体" w:hAnsi="宋体" w:eastAsia="宋体" w:cs="宋体"/>
          <w:color w:val="auto"/>
          <w:sz w:val="24"/>
          <w:szCs w:val="24"/>
          <w:highlight w:val="none"/>
        </w:rPr>
        <w:t>3.供应商应根据《采购文件-技术部分》相关要求填报。</w:t>
      </w:r>
      <w:bookmarkEnd w:id="104"/>
      <w:bookmarkEnd w:id="105"/>
    </w:p>
    <w:p>
      <w:pPr>
        <w:topLinePunct/>
        <w:autoSpaceDE w:val="0"/>
        <w:autoSpaceDN w:val="0"/>
        <w:adjustRightInd w:val="0"/>
        <w:snapToGrid w:val="0"/>
        <w:spacing w:after="0" w:line="360" w:lineRule="auto"/>
        <w:ind w:firstLine="600" w:firstLineChars="250"/>
        <w:jc w:val="left"/>
        <w:rPr>
          <w:rFonts w:hint="eastAsia" w:ascii="宋体" w:hAnsi="宋体" w:eastAsia="宋体" w:cs="宋体"/>
          <w:color w:val="auto"/>
          <w:sz w:val="24"/>
          <w:szCs w:val="24"/>
          <w:highlight w:val="none"/>
        </w:rPr>
      </w:pPr>
    </w:p>
    <w:p>
      <w:pPr>
        <w:tabs>
          <w:tab w:val="left" w:pos="1230"/>
        </w:tabs>
        <w:topLinePunct/>
        <w:autoSpaceDE w:val="0"/>
        <w:autoSpaceDN w:val="0"/>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rPr>
        <w:t>（全称并加盖公章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pPr>
        <w:tabs>
          <w:tab w:val="left" w:pos="1230"/>
        </w:tabs>
        <w:topLinePunct/>
        <w:autoSpaceDE w:val="0"/>
        <w:autoSpaceDN w:val="0"/>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授权代表（签字或盖章）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pPr>
        <w:tabs>
          <w:tab w:val="left" w:pos="1230"/>
        </w:tabs>
        <w:topLinePunct/>
        <w:autoSpaceDE w:val="0"/>
        <w:autoSpaceDN w:val="0"/>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pPr>
        <w:tabs>
          <w:tab w:val="left" w:pos="1230"/>
        </w:tabs>
        <w:topLinePunct/>
        <w:autoSpaceDE w:val="0"/>
        <w:autoSpaceDN w:val="0"/>
        <w:adjustRightInd w:val="0"/>
        <w:snapToGrid w:val="0"/>
        <w:spacing w:after="0" w:line="360" w:lineRule="auto"/>
        <w:rPr>
          <w:rFonts w:hint="eastAsia" w:ascii="宋体" w:hAnsi="宋体" w:eastAsia="宋体" w:cs="宋体"/>
          <w:color w:val="auto"/>
          <w:sz w:val="24"/>
          <w:szCs w:val="24"/>
          <w:highlight w:val="none"/>
        </w:rPr>
      </w:pPr>
    </w:p>
    <w:p>
      <w:pPr>
        <w:adjustRightInd w:val="0"/>
        <w:snapToGrid w:val="0"/>
        <w:spacing w:after="0" w:line="360" w:lineRule="auto"/>
        <w:jc w:val="center"/>
        <w:outlineLvl w:val="1"/>
        <w:rPr>
          <w:rFonts w:hint="eastAsia" w:ascii="宋体" w:hAnsi="宋体" w:eastAsia="宋体" w:cs="宋体"/>
          <w:b/>
          <w:bCs/>
          <w:color w:val="auto"/>
          <w:sz w:val="28"/>
          <w:szCs w:val="28"/>
          <w:highlight w:val="none"/>
        </w:rPr>
      </w:pPr>
      <w:r>
        <w:rPr>
          <w:rFonts w:hint="eastAsia" w:ascii="宋体" w:hAnsi="宋体" w:eastAsia="宋体" w:cs="宋体"/>
          <w:color w:val="auto"/>
          <w:sz w:val="24"/>
          <w:szCs w:val="24"/>
          <w:highlight w:val="none"/>
        </w:rPr>
        <w:br w:type="page"/>
      </w:r>
      <w:bookmarkStart w:id="106" w:name="_Toc11134"/>
      <w:bookmarkStart w:id="107" w:name="_Toc2415"/>
      <w:r>
        <w:rPr>
          <w:rFonts w:hint="eastAsia" w:ascii="宋体" w:hAnsi="宋体" w:eastAsia="宋体" w:cs="宋体"/>
          <w:b/>
          <w:bCs/>
          <w:color w:val="auto"/>
          <w:sz w:val="28"/>
          <w:szCs w:val="28"/>
          <w:highlight w:val="none"/>
        </w:rPr>
        <w:t>2.分项报价表</w:t>
      </w:r>
      <w:bookmarkEnd w:id="106"/>
      <w:bookmarkEnd w:id="107"/>
    </w:p>
    <w:p>
      <w:pPr>
        <w:widowControl/>
        <w:spacing w:after="0" w:line="24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2.1 分项报价表</w:t>
      </w:r>
    </w:p>
    <w:p>
      <w:pPr>
        <w:pStyle w:val="14"/>
        <w:topLinePunct/>
        <w:autoSpaceDE w:val="0"/>
        <w:autoSpaceDN w:val="0"/>
        <w:adjustRightInd w:val="0"/>
        <w:snapToGrid w:val="0"/>
        <w:spacing w:line="360" w:lineRule="auto"/>
        <w:ind w:left="2"/>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（服务类项目适用)</w:t>
      </w:r>
    </w:p>
    <w:p>
      <w:pPr>
        <w:topLinePunct/>
        <w:autoSpaceDE w:val="0"/>
        <w:autoSpaceDN w:val="0"/>
        <w:adjustRightInd w:val="0"/>
        <w:snapToGrid w:val="0"/>
        <w:spacing w:after="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adjustRightInd w:val="0"/>
        <w:snapToGrid w:val="0"/>
        <w:spacing w:after="0" w:line="360" w:lineRule="auto"/>
        <w:ind w:right="840"/>
        <w:rPr>
          <w:rFonts w:hint="eastAsia" w:ascii="宋体" w:hAnsi="宋体" w:eastAsia="宋体" w:cs="宋体"/>
          <w:bCs/>
          <w:color w:val="auto"/>
          <w:w w:val="150"/>
          <w:sz w:val="24"/>
          <w:szCs w:val="24"/>
          <w:highlight w:val="none"/>
        </w:rPr>
      </w:pPr>
      <w:r>
        <w:rPr>
          <w:rFonts w:hint="eastAsia" w:ascii="宋体" w:hAnsi="宋体" w:eastAsia="宋体" w:cs="宋体"/>
          <w:color w:val="auto"/>
          <w:sz w:val="24"/>
          <w:szCs w:val="24"/>
          <w:highlight w:val="none"/>
        </w:rPr>
        <w:t>采购包号：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价格单位：人民币   元</w:t>
      </w:r>
    </w:p>
    <w:tbl>
      <w:tblPr>
        <w:tblStyle w:val="28"/>
        <w:tblW w:w="9181" w:type="dxa"/>
        <w:jc w:val="center"/>
        <w:tblLayout w:type="fixed"/>
        <w:tblCellMar>
          <w:top w:w="0" w:type="dxa"/>
          <w:left w:w="108" w:type="dxa"/>
          <w:bottom w:w="0" w:type="dxa"/>
          <w:right w:w="108" w:type="dxa"/>
        </w:tblCellMar>
      </w:tblPr>
      <w:tblGrid>
        <w:gridCol w:w="644"/>
        <w:gridCol w:w="1691"/>
        <w:gridCol w:w="2331"/>
        <w:gridCol w:w="1271"/>
        <w:gridCol w:w="1259"/>
        <w:gridCol w:w="1342"/>
        <w:gridCol w:w="643"/>
      </w:tblGrid>
      <w:tr>
        <w:tblPrEx>
          <w:tblCellMar>
            <w:top w:w="0" w:type="dxa"/>
            <w:left w:w="108" w:type="dxa"/>
            <w:bottom w:w="0" w:type="dxa"/>
            <w:right w:w="108" w:type="dxa"/>
          </w:tblCellMar>
        </w:tblPrEx>
        <w:trPr>
          <w:trHeight w:val="409"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692" w:type="dxa"/>
            <w:tcBorders>
              <w:top w:val="single" w:color="auto" w:sz="4" w:space="0"/>
              <w:left w:val="nil"/>
              <w:bottom w:val="single" w:color="auto" w:sz="4" w:space="0"/>
              <w:right w:val="single" w:color="auto" w:sz="4" w:space="0"/>
            </w:tcBorders>
            <w:noWrap w:val="0"/>
            <w:vAlign w:val="center"/>
          </w:tcPr>
          <w:p>
            <w:pPr>
              <w:widowControl/>
              <w:spacing w:after="0" w:line="240" w:lineRule="auto"/>
              <w:ind w:left="-84" w:leftChars="-40" w:firstLine="94" w:firstLineChars="39"/>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c>
          <w:tcPr>
            <w:tcW w:w="2332" w:type="dxa"/>
            <w:tcBorders>
              <w:top w:val="single" w:color="auto" w:sz="4" w:space="0"/>
              <w:left w:val="nil"/>
              <w:bottom w:val="single" w:color="auto" w:sz="4" w:space="0"/>
              <w:right w:val="single" w:color="auto" w:sz="4" w:space="0"/>
            </w:tcBorders>
            <w:noWrap w:val="0"/>
            <w:vAlign w:val="center"/>
          </w:tcPr>
          <w:p>
            <w:pPr>
              <w:widowControl/>
              <w:spacing w:after="0"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内容描述</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…费用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…费用</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小计</w:t>
            </w:r>
          </w:p>
          <w:p>
            <w:pPr>
              <w:widowControl/>
              <w:spacing w:after="0"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（元）</w:t>
            </w:r>
          </w:p>
        </w:tc>
        <w:tc>
          <w:tcPr>
            <w:tcW w:w="643" w:type="dxa"/>
            <w:tcBorders>
              <w:top w:val="single" w:color="auto" w:sz="4" w:space="0"/>
              <w:left w:val="nil"/>
              <w:bottom w:val="single" w:color="auto" w:sz="4" w:space="0"/>
              <w:right w:val="single" w:color="auto" w:sz="4" w:space="0"/>
            </w:tcBorders>
            <w:noWrap w:val="0"/>
            <w:vAlign w:val="center"/>
          </w:tcPr>
          <w:p>
            <w:pPr>
              <w:spacing w:after="0"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tblPrEx>
          <w:tblCellMar>
            <w:top w:w="0" w:type="dxa"/>
            <w:left w:w="108" w:type="dxa"/>
            <w:bottom w:w="0" w:type="dxa"/>
            <w:right w:w="108" w:type="dxa"/>
          </w:tblCellMar>
        </w:tblPrEx>
        <w:trPr>
          <w:trHeight w:val="671"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92" w:type="dxa"/>
            <w:tcBorders>
              <w:top w:val="single" w:color="auto" w:sz="4" w:space="0"/>
              <w:left w:val="nil"/>
              <w:bottom w:val="single" w:color="auto" w:sz="4" w:space="0"/>
              <w:right w:val="single" w:color="auto" w:sz="4" w:space="0"/>
            </w:tcBorders>
            <w:noWrap w:val="0"/>
            <w:vAlign w:val="center"/>
          </w:tcPr>
          <w:p>
            <w:pPr>
              <w:spacing w:after="0" w:line="240" w:lineRule="auto"/>
              <w:jc w:val="center"/>
              <w:rPr>
                <w:rFonts w:hint="eastAsia" w:ascii="宋体" w:hAnsi="宋体" w:eastAsia="宋体" w:cs="宋体"/>
                <w:color w:val="auto"/>
                <w:sz w:val="24"/>
                <w:szCs w:val="24"/>
                <w:highlight w:val="none"/>
              </w:rPr>
            </w:pPr>
          </w:p>
        </w:tc>
        <w:tc>
          <w:tcPr>
            <w:tcW w:w="2332" w:type="dxa"/>
            <w:tcBorders>
              <w:top w:val="single" w:color="auto" w:sz="4" w:space="0"/>
              <w:left w:val="nil"/>
              <w:bottom w:val="single" w:color="auto" w:sz="4" w:space="0"/>
              <w:right w:val="single" w:color="auto" w:sz="4" w:space="0"/>
            </w:tcBorders>
            <w:noWrap w:val="0"/>
            <w:vAlign w:val="center"/>
          </w:tcPr>
          <w:p>
            <w:pPr>
              <w:tabs>
                <w:tab w:val="left" w:pos="425"/>
              </w:tabs>
              <w:snapToGrid w:val="0"/>
              <w:spacing w:after="0" w:line="240" w:lineRule="auto"/>
              <w:jc w:val="center"/>
              <w:rPr>
                <w:rFonts w:hint="eastAsia" w:ascii="宋体" w:hAnsi="宋体" w:eastAsia="宋体" w:cs="宋体"/>
                <w:color w:val="auto"/>
                <w:sz w:val="24"/>
                <w:szCs w:val="24"/>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eastAsia" w:ascii="宋体" w:hAnsi="宋体" w:eastAsia="宋体" w:cs="宋体"/>
                <w:color w:val="auto"/>
                <w:sz w:val="24"/>
                <w:szCs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eastAsia" w:ascii="宋体" w:hAnsi="宋体" w:eastAsia="宋体" w:cs="宋体"/>
                <w:color w:val="auto"/>
                <w:sz w:val="24"/>
                <w:szCs w:val="24"/>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71"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92" w:type="dxa"/>
            <w:tcBorders>
              <w:top w:val="single" w:color="auto" w:sz="4" w:space="0"/>
              <w:left w:val="nil"/>
              <w:bottom w:val="single" w:color="auto" w:sz="4" w:space="0"/>
              <w:right w:val="single" w:color="auto" w:sz="4" w:space="0"/>
            </w:tcBorders>
            <w:noWrap w:val="0"/>
            <w:vAlign w:val="center"/>
          </w:tcPr>
          <w:p>
            <w:pPr>
              <w:spacing w:after="0" w:line="240" w:lineRule="auto"/>
              <w:jc w:val="center"/>
              <w:rPr>
                <w:rFonts w:hint="eastAsia" w:ascii="宋体" w:hAnsi="宋体" w:eastAsia="宋体" w:cs="宋体"/>
                <w:color w:val="auto"/>
                <w:sz w:val="24"/>
                <w:szCs w:val="24"/>
                <w:highlight w:val="none"/>
              </w:rPr>
            </w:pPr>
          </w:p>
        </w:tc>
        <w:tc>
          <w:tcPr>
            <w:tcW w:w="2332" w:type="dxa"/>
            <w:tcBorders>
              <w:top w:val="single" w:color="auto" w:sz="4" w:space="0"/>
              <w:left w:val="nil"/>
              <w:bottom w:val="single" w:color="auto" w:sz="4" w:space="0"/>
              <w:right w:val="single" w:color="auto" w:sz="4" w:space="0"/>
            </w:tcBorders>
            <w:noWrap w:val="0"/>
            <w:vAlign w:val="center"/>
          </w:tcPr>
          <w:p>
            <w:pPr>
              <w:tabs>
                <w:tab w:val="left" w:pos="425"/>
              </w:tabs>
              <w:snapToGrid w:val="0"/>
              <w:spacing w:after="0" w:line="240" w:lineRule="auto"/>
              <w:jc w:val="center"/>
              <w:rPr>
                <w:rFonts w:hint="eastAsia" w:ascii="宋体" w:hAnsi="宋体" w:eastAsia="宋体" w:cs="宋体"/>
                <w:color w:val="auto"/>
                <w:sz w:val="24"/>
                <w:szCs w:val="24"/>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eastAsia" w:ascii="宋体" w:hAnsi="宋体" w:eastAsia="宋体" w:cs="宋体"/>
                <w:color w:val="auto"/>
                <w:sz w:val="24"/>
                <w:szCs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eastAsia" w:ascii="宋体" w:hAnsi="宋体" w:eastAsia="宋体" w:cs="宋体"/>
                <w:color w:val="auto"/>
                <w:sz w:val="24"/>
                <w:szCs w:val="24"/>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71"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92" w:type="dxa"/>
            <w:tcBorders>
              <w:top w:val="single" w:color="auto" w:sz="4" w:space="0"/>
              <w:left w:val="nil"/>
              <w:bottom w:val="single" w:color="auto" w:sz="4" w:space="0"/>
              <w:right w:val="single" w:color="auto" w:sz="4" w:space="0"/>
            </w:tcBorders>
            <w:noWrap w:val="0"/>
            <w:vAlign w:val="center"/>
          </w:tcPr>
          <w:p>
            <w:pPr>
              <w:spacing w:after="0" w:line="240" w:lineRule="auto"/>
              <w:jc w:val="center"/>
              <w:rPr>
                <w:rFonts w:hint="eastAsia" w:ascii="宋体" w:hAnsi="宋体" w:eastAsia="宋体" w:cs="宋体"/>
                <w:color w:val="auto"/>
                <w:sz w:val="24"/>
                <w:szCs w:val="24"/>
                <w:highlight w:val="none"/>
              </w:rPr>
            </w:pPr>
          </w:p>
        </w:tc>
        <w:tc>
          <w:tcPr>
            <w:tcW w:w="2332" w:type="dxa"/>
            <w:tcBorders>
              <w:top w:val="single" w:color="auto" w:sz="4" w:space="0"/>
              <w:left w:val="nil"/>
              <w:bottom w:val="single" w:color="auto" w:sz="4" w:space="0"/>
              <w:right w:val="single" w:color="auto" w:sz="4" w:space="0"/>
            </w:tcBorders>
            <w:noWrap w:val="0"/>
            <w:vAlign w:val="center"/>
          </w:tcPr>
          <w:p>
            <w:pPr>
              <w:tabs>
                <w:tab w:val="left" w:pos="425"/>
              </w:tabs>
              <w:snapToGrid w:val="0"/>
              <w:spacing w:after="0" w:line="240" w:lineRule="auto"/>
              <w:jc w:val="center"/>
              <w:rPr>
                <w:rFonts w:hint="eastAsia" w:ascii="宋体" w:hAnsi="宋体" w:eastAsia="宋体" w:cs="宋体"/>
                <w:color w:val="auto"/>
                <w:sz w:val="24"/>
                <w:szCs w:val="24"/>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eastAsia" w:ascii="宋体" w:hAnsi="宋体" w:eastAsia="宋体" w:cs="宋体"/>
                <w:color w:val="auto"/>
                <w:sz w:val="24"/>
                <w:szCs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eastAsia" w:ascii="宋体" w:hAnsi="宋体" w:eastAsia="宋体" w:cs="宋体"/>
                <w:color w:val="auto"/>
                <w:sz w:val="24"/>
                <w:szCs w:val="24"/>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08" w:hRule="atLeast"/>
          <w:tblHeader/>
          <w:jc w:val="center"/>
        </w:trPr>
        <w:tc>
          <w:tcPr>
            <w:tcW w:w="644" w:type="dxa"/>
            <w:tcBorders>
              <w:top w:val="nil"/>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692" w:type="dxa"/>
            <w:tcBorders>
              <w:top w:val="nil"/>
              <w:left w:val="nil"/>
              <w:bottom w:val="single" w:color="auto" w:sz="4" w:space="0"/>
              <w:right w:val="single" w:color="auto" w:sz="4" w:space="0"/>
            </w:tcBorders>
            <w:noWrap w:val="0"/>
            <w:vAlign w:val="center"/>
          </w:tcPr>
          <w:p>
            <w:pPr>
              <w:spacing w:after="0" w:line="240" w:lineRule="auto"/>
              <w:jc w:val="center"/>
              <w:rPr>
                <w:rFonts w:hint="eastAsia" w:ascii="宋体" w:hAnsi="宋体" w:eastAsia="宋体" w:cs="宋体"/>
                <w:color w:val="auto"/>
                <w:sz w:val="24"/>
                <w:szCs w:val="24"/>
                <w:highlight w:val="none"/>
              </w:rPr>
            </w:pPr>
          </w:p>
        </w:tc>
        <w:tc>
          <w:tcPr>
            <w:tcW w:w="2332" w:type="dxa"/>
            <w:tcBorders>
              <w:top w:val="nil"/>
              <w:left w:val="nil"/>
              <w:bottom w:val="single" w:color="auto" w:sz="4" w:space="0"/>
              <w:right w:val="single" w:color="auto" w:sz="4" w:space="0"/>
            </w:tcBorders>
            <w:noWrap w:val="0"/>
            <w:vAlign w:val="center"/>
          </w:tcPr>
          <w:p>
            <w:pPr>
              <w:tabs>
                <w:tab w:val="left" w:pos="425"/>
              </w:tabs>
              <w:snapToGrid w:val="0"/>
              <w:spacing w:after="0" w:line="240" w:lineRule="auto"/>
              <w:jc w:val="center"/>
              <w:rPr>
                <w:rFonts w:hint="eastAsia" w:ascii="宋体" w:hAnsi="宋体" w:eastAsia="宋体" w:cs="宋体"/>
                <w:color w:val="auto"/>
                <w:sz w:val="24"/>
                <w:szCs w:val="24"/>
                <w:highlight w:val="none"/>
              </w:rPr>
            </w:pPr>
          </w:p>
        </w:tc>
        <w:tc>
          <w:tcPr>
            <w:tcW w:w="1267" w:type="dxa"/>
            <w:tcBorders>
              <w:top w:val="nil"/>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eastAsia" w:ascii="宋体" w:hAnsi="宋体" w:eastAsia="宋体" w:cs="宋体"/>
                <w:color w:val="auto"/>
                <w:sz w:val="24"/>
                <w:szCs w:val="24"/>
                <w:highlight w:val="none"/>
              </w:rPr>
            </w:pPr>
          </w:p>
        </w:tc>
        <w:tc>
          <w:tcPr>
            <w:tcW w:w="1260" w:type="dxa"/>
            <w:tcBorders>
              <w:top w:val="nil"/>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eastAsia" w:ascii="宋体" w:hAnsi="宋体" w:eastAsia="宋体" w:cs="宋体"/>
                <w:color w:val="auto"/>
                <w:sz w:val="24"/>
                <w:szCs w:val="24"/>
                <w:highlight w:val="none"/>
              </w:rPr>
            </w:pPr>
          </w:p>
        </w:tc>
        <w:tc>
          <w:tcPr>
            <w:tcW w:w="1343" w:type="dxa"/>
            <w:tcBorders>
              <w:top w:val="nil"/>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eastAsia" w:ascii="宋体" w:hAnsi="宋体" w:eastAsia="宋体" w:cs="宋体"/>
                <w:color w:val="auto"/>
                <w:sz w:val="24"/>
                <w:szCs w:val="24"/>
                <w:highlight w:val="none"/>
              </w:rPr>
            </w:pPr>
          </w:p>
        </w:tc>
        <w:tc>
          <w:tcPr>
            <w:tcW w:w="643" w:type="dxa"/>
            <w:tcBorders>
              <w:top w:val="nil"/>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16"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692" w:type="dxa"/>
            <w:tcBorders>
              <w:top w:val="single" w:color="auto" w:sz="4" w:space="0"/>
              <w:left w:val="nil"/>
              <w:bottom w:val="single" w:color="auto" w:sz="4" w:space="0"/>
              <w:right w:val="single" w:color="auto" w:sz="4" w:space="0"/>
            </w:tcBorders>
            <w:noWrap w:val="0"/>
            <w:vAlign w:val="center"/>
          </w:tcPr>
          <w:p>
            <w:pPr>
              <w:tabs>
                <w:tab w:val="left" w:pos="425"/>
              </w:tabs>
              <w:snapToGrid w:val="0"/>
              <w:spacing w:after="0" w:line="240" w:lineRule="auto"/>
              <w:jc w:val="center"/>
              <w:rPr>
                <w:rFonts w:hint="eastAsia" w:ascii="宋体" w:hAnsi="宋体" w:eastAsia="宋体" w:cs="宋体"/>
                <w:color w:val="auto"/>
                <w:sz w:val="24"/>
                <w:szCs w:val="24"/>
                <w:highlight w:val="none"/>
              </w:rPr>
            </w:pPr>
          </w:p>
        </w:tc>
        <w:tc>
          <w:tcPr>
            <w:tcW w:w="2332" w:type="dxa"/>
            <w:tcBorders>
              <w:top w:val="single" w:color="auto" w:sz="4" w:space="0"/>
              <w:left w:val="nil"/>
              <w:bottom w:val="single" w:color="auto" w:sz="4" w:space="0"/>
              <w:right w:val="single" w:color="auto" w:sz="4" w:space="0"/>
            </w:tcBorders>
            <w:noWrap w:val="0"/>
            <w:vAlign w:val="center"/>
          </w:tcPr>
          <w:p>
            <w:pPr>
              <w:tabs>
                <w:tab w:val="left" w:pos="425"/>
              </w:tabs>
              <w:snapToGrid w:val="0"/>
              <w:spacing w:after="0" w:line="240" w:lineRule="auto"/>
              <w:jc w:val="center"/>
              <w:rPr>
                <w:rFonts w:hint="eastAsia" w:ascii="宋体" w:hAnsi="宋体" w:eastAsia="宋体" w:cs="宋体"/>
                <w:color w:val="auto"/>
                <w:sz w:val="24"/>
                <w:szCs w:val="24"/>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eastAsia" w:ascii="宋体" w:hAnsi="宋体" w:eastAsia="宋体" w:cs="宋体"/>
                <w:color w:val="auto"/>
                <w:sz w:val="24"/>
                <w:szCs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eastAsia" w:ascii="宋体" w:hAnsi="宋体" w:eastAsia="宋体" w:cs="宋体"/>
                <w:color w:val="auto"/>
                <w:sz w:val="24"/>
                <w:szCs w:val="24"/>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10"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92" w:type="dxa"/>
            <w:tcBorders>
              <w:top w:val="single" w:color="auto" w:sz="4" w:space="0"/>
              <w:left w:val="nil"/>
              <w:bottom w:val="single" w:color="auto" w:sz="4" w:space="0"/>
              <w:right w:val="single" w:color="auto" w:sz="4" w:space="0"/>
            </w:tcBorders>
            <w:noWrap w:val="0"/>
            <w:vAlign w:val="center"/>
          </w:tcPr>
          <w:p>
            <w:pPr>
              <w:tabs>
                <w:tab w:val="left" w:pos="425"/>
              </w:tabs>
              <w:snapToGrid w:val="0"/>
              <w:spacing w:after="0" w:line="240" w:lineRule="auto"/>
              <w:jc w:val="center"/>
              <w:rPr>
                <w:rFonts w:hint="eastAsia" w:ascii="宋体" w:hAnsi="宋体" w:eastAsia="宋体" w:cs="宋体"/>
                <w:color w:val="auto"/>
                <w:sz w:val="24"/>
                <w:szCs w:val="24"/>
                <w:highlight w:val="none"/>
              </w:rPr>
            </w:pPr>
          </w:p>
        </w:tc>
        <w:tc>
          <w:tcPr>
            <w:tcW w:w="2332" w:type="dxa"/>
            <w:tcBorders>
              <w:top w:val="single" w:color="auto" w:sz="4" w:space="0"/>
              <w:left w:val="nil"/>
              <w:bottom w:val="single" w:color="auto" w:sz="4" w:space="0"/>
              <w:right w:val="single" w:color="auto" w:sz="4" w:space="0"/>
            </w:tcBorders>
            <w:noWrap w:val="0"/>
            <w:vAlign w:val="center"/>
          </w:tcPr>
          <w:p>
            <w:pPr>
              <w:tabs>
                <w:tab w:val="left" w:pos="425"/>
              </w:tabs>
              <w:snapToGrid w:val="0"/>
              <w:spacing w:after="0" w:line="240" w:lineRule="auto"/>
              <w:jc w:val="center"/>
              <w:rPr>
                <w:rFonts w:hint="eastAsia" w:ascii="宋体" w:hAnsi="宋体" w:eastAsia="宋体" w:cs="宋体"/>
                <w:color w:val="auto"/>
                <w:sz w:val="24"/>
                <w:szCs w:val="24"/>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eastAsia" w:ascii="宋体" w:hAnsi="宋体" w:eastAsia="宋体" w:cs="宋体"/>
                <w:color w:val="auto"/>
                <w:sz w:val="24"/>
                <w:szCs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eastAsia" w:ascii="宋体" w:hAnsi="宋体" w:eastAsia="宋体" w:cs="宋体"/>
                <w:color w:val="auto"/>
                <w:sz w:val="24"/>
                <w:szCs w:val="24"/>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10" w:hRule="atLeast"/>
          <w:tblHeader/>
          <w:jc w:val="center"/>
        </w:trPr>
        <w:tc>
          <w:tcPr>
            <w:tcW w:w="4668"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   计</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eastAsia" w:ascii="宋体" w:hAnsi="宋体" w:eastAsia="宋体" w:cs="宋体"/>
                <w:color w:val="auto"/>
                <w:sz w:val="24"/>
                <w:szCs w:val="24"/>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eastAsia" w:ascii="宋体" w:hAnsi="宋体" w:eastAsia="宋体" w:cs="宋体"/>
                <w:color w:val="auto"/>
                <w:sz w:val="24"/>
                <w:szCs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eastAsia" w:ascii="宋体" w:hAnsi="宋体" w:eastAsia="宋体" w:cs="宋体"/>
                <w:color w:val="auto"/>
                <w:sz w:val="24"/>
                <w:szCs w:val="24"/>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eastAsia" w:ascii="宋体" w:hAnsi="宋体" w:eastAsia="宋体" w:cs="宋体"/>
                <w:color w:val="auto"/>
                <w:sz w:val="24"/>
                <w:szCs w:val="24"/>
                <w:highlight w:val="none"/>
              </w:rPr>
            </w:pPr>
          </w:p>
        </w:tc>
      </w:tr>
    </w:tbl>
    <w:p>
      <w:pPr>
        <w:topLinePunct/>
        <w:autoSpaceDE w:val="0"/>
        <w:autoSpaceDN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特别说明：</w:t>
      </w:r>
    </w:p>
    <w:p>
      <w:pPr>
        <w:topLinePunct/>
        <w:autoSpaceDE w:val="0"/>
        <w:autoSpaceDN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1.本项目总价及分项报价均不接受任何形式的赠送、“零”报价和折扣报价。</w:t>
      </w:r>
    </w:p>
    <w:p>
      <w:pPr>
        <w:topLinePunct/>
        <w:autoSpaceDE w:val="0"/>
        <w:autoSpaceDN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2.本表中小计=数量×单价。</w:t>
      </w:r>
    </w:p>
    <w:p>
      <w:pPr>
        <w:topLinePunct/>
        <w:autoSpaceDE w:val="0"/>
        <w:autoSpaceDN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3.本表仅供参考，可扩展。</w:t>
      </w:r>
    </w:p>
    <w:p>
      <w:pPr>
        <w:pStyle w:val="14"/>
        <w:ind w:firstLine="480" w:firstLineChars="200"/>
        <w:rPr>
          <w:rFonts w:hint="eastAsia" w:ascii="宋体" w:hAnsi="宋体" w:eastAsia="宋体" w:cs="宋体"/>
          <w:color w:val="auto"/>
          <w:sz w:val="24"/>
          <w:szCs w:val="24"/>
          <w:highlight w:val="none"/>
        </w:rPr>
      </w:pPr>
    </w:p>
    <w:p>
      <w:pPr>
        <w:tabs>
          <w:tab w:val="left" w:pos="1230"/>
        </w:tabs>
        <w:topLinePunct/>
        <w:autoSpaceDE w:val="0"/>
        <w:autoSpaceDN w:val="0"/>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rPr>
        <w:t>（全称并加盖公章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pPr>
        <w:tabs>
          <w:tab w:val="left" w:pos="1230"/>
        </w:tabs>
        <w:topLinePunct/>
        <w:autoSpaceDE w:val="0"/>
        <w:autoSpaceDN w:val="0"/>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授权代表（签字或盖章）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pPr>
        <w:tabs>
          <w:tab w:val="left" w:pos="1230"/>
        </w:tabs>
        <w:topLinePunct/>
        <w:autoSpaceDE w:val="0"/>
        <w:autoSpaceDN w:val="0"/>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pPr>
        <w:pStyle w:val="14"/>
        <w:spacing w:line="400" w:lineRule="exact"/>
        <w:ind w:firstLine="482" w:firstLineChars="200"/>
        <w:jc w:val="center"/>
        <w:rPr>
          <w:rFonts w:hint="eastAsia" w:hAnsi="宋体" w:cs="宋体"/>
          <w:color w:val="auto"/>
          <w:sz w:val="24"/>
          <w:szCs w:val="24"/>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kern w:val="2"/>
          <w:sz w:val="28"/>
          <w:szCs w:val="28"/>
          <w:highlight w:val="none"/>
          <w:lang w:val="en-US" w:eastAsia="zh-CN" w:bidi="ar-SA"/>
        </w:rPr>
        <w:t>3.最后报价承诺书</w:t>
      </w:r>
    </w:p>
    <w:p>
      <w:pPr>
        <w:pStyle w:val="14"/>
        <w:spacing w:line="400" w:lineRule="exact"/>
        <w:ind w:firstLine="480" w:firstLineChars="200"/>
        <w:jc w:val="center"/>
        <w:rPr>
          <w:rFonts w:hint="eastAsia" w:hAnsi="宋体" w:cs="宋体"/>
          <w:color w:val="auto"/>
          <w:sz w:val="24"/>
          <w:szCs w:val="24"/>
        </w:rPr>
      </w:pPr>
      <w:r>
        <w:rPr>
          <w:rFonts w:hint="eastAsia" w:hAnsi="宋体" w:cs="宋体"/>
          <w:color w:val="auto"/>
          <w:sz w:val="24"/>
          <w:szCs w:val="24"/>
        </w:rPr>
        <w:t>(第</w:t>
      </w:r>
      <w:r>
        <w:rPr>
          <w:rFonts w:hint="eastAsia" w:hAnsi="宋体" w:cs="宋体"/>
          <w:color w:val="auto"/>
          <w:sz w:val="24"/>
          <w:szCs w:val="24"/>
          <w:u w:val="single"/>
          <w:lang w:val="en-US" w:eastAsia="zh-CN"/>
        </w:rPr>
        <w:t xml:space="preserve">        </w:t>
      </w:r>
      <w:r>
        <w:rPr>
          <w:rFonts w:hint="eastAsia" w:hAnsi="宋体" w:cs="宋体"/>
          <w:color w:val="auto"/>
          <w:sz w:val="24"/>
          <w:szCs w:val="24"/>
        </w:rPr>
        <w:t>次报价书)</w:t>
      </w:r>
    </w:p>
    <w:p>
      <w:pPr>
        <w:pStyle w:val="14"/>
        <w:spacing w:line="400" w:lineRule="exact"/>
        <w:ind w:firstLine="480" w:firstLineChars="200"/>
        <w:jc w:val="center"/>
        <w:rPr>
          <w:rFonts w:hint="eastAsia" w:hAnsi="宋体" w:cs="宋体"/>
          <w:color w:val="auto"/>
          <w:sz w:val="24"/>
          <w:szCs w:val="24"/>
        </w:rPr>
      </w:pPr>
    </w:p>
    <w:p>
      <w:pPr>
        <w:topLinePunct/>
        <w:autoSpaceDE w:val="0"/>
        <w:autoSpaceDN w:val="0"/>
        <w:adjustRightInd w:val="0"/>
        <w:snapToGrid w:val="0"/>
        <w:spacing w:after="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adjustRightInd w:val="0"/>
        <w:snapToGrid w:val="0"/>
        <w:spacing w:after="0" w:line="360" w:lineRule="auto"/>
        <w:ind w:right="840"/>
        <w:rPr>
          <w:rFonts w:hint="eastAsia" w:hAnsi="宋体" w:cs="宋体"/>
          <w:color w:val="auto"/>
          <w:sz w:val="24"/>
          <w:szCs w:val="24"/>
        </w:rPr>
      </w:pPr>
      <w:r>
        <w:rPr>
          <w:rFonts w:hint="eastAsia" w:ascii="宋体" w:hAnsi="宋体" w:eastAsia="宋体" w:cs="宋体"/>
          <w:color w:val="auto"/>
          <w:sz w:val="24"/>
          <w:szCs w:val="24"/>
          <w:highlight w:val="none"/>
        </w:rPr>
        <w:t>采购包号：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价格单位：人民币   元</w:t>
      </w:r>
    </w:p>
    <w:tbl>
      <w:tblPr>
        <w:tblStyle w:val="28"/>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5"/>
        <w:gridCol w:w="6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665" w:type="dxa"/>
            <w:noWrap w:val="0"/>
            <w:vAlign w:val="center"/>
          </w:tcPr>
          <w:p>
            <w:pPr>
              <w:pStyle w:val="14"/>
              <w:spacing w:line="400" w:lineRule="exact"/>
              <w:jc w:val="center"/>
              <w:rPr>
                <w:rFonts w:hint="eastAsia" w:hAnsi="宋体" w:cs="宋体"/>
                <w:color w:val="auto"/>
                <w:kern w:val="2"/>
                <w:sz w:val="24"/>
                <w:szCs w:val="24"/>
                <w:lang w:val="en-US" w:eastAsia="zh-CN"/>
              </w:rPr>
            </w:pPr>
            <w:r>
              <w:rPr>
                <w:rFonts w:hint="eastAsia" w:hAnsi="宋体" w:cs="宋体"/>
                <w:color w:val="auto"/>
                <w:kern w:val="2"/>
                <w:sz w:val="24"/>
                <w:szCs w:val="24"/>
                <w:lang w:val="en-US" w:eastAsia="zh-CN"/>
              </w:rPr>
              <w:t>供应商名称</w:t>
            </w:r>
          </w:p>
        </w:tc>
        <w:tc>
          <w:tcPr>
            <w:tcW w:w="6356" w:type="dxa"/>
            <w:noWrap w:val="0"/>
            <w:vAlign w:val="center"/>
          </w:tcPr>
          <w:p>
            <w:pPr>
              <w:pStyle w:val="14"/>
              <w:spacing w:line="400" w:lineRule="exact"/>
              <w:jc w:val="center"/>
              <w:rPr>
                <w:rFonts w:hint="eastAsia" w:hAnsi="宋体" w:cs="宋体"/>
                <w:color w:val="auto"/>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665" w:type="dxa"/>
            <w:noWrap w:val="0"/>
            <w:vAlign w:val="center"/>
          </w:tcPr>
          <w:p>
            <w:pPr>
              <w:pStyle w:val="14"/>
              <w:spacing w:line="400" w:lineRule="exact"/>
              <w:jc w:val="center"/>
              <w:rPr>
                <w:rFonts w:hint="eastAsia" w:hAnsi="宋体" w:cs="宋体"/>
                <w:color w:val="auto"/>
                <w:kern w:val="2"/>
                <w:sz w:val="24"/>
                <w:szCs w:val="24"/>
                <w:lang w:val="en-US" w:eastAsia="zh-CN"/>
              </w:rPr>
            </w:pPr>
            <w:r>
              <w:rPr>
                <w:rFonts w:hint="eastAsia" w:hAnsi="宋体" w:cs="宋体"/>
                <w:color w:val="auto"/>
                <w:kern w:val="2"/>
                <w:sz w:val="24"/>
                <w:szCs w:val="24"/>
                <w:lang w:val="en-US" w:eastAsia="zh-CN"/>
              </w:rPr>
              <w:t>磋商范围</w:t>
            </w:r>
          </w:p>
        </w:tc>
        <w:tc>
          <w:tcPr>
            <w:tcW w:w="6356" w:type="dxa"/>
            <w:noWrap w:val="0"/>
            <w:vAlign w:val="center"/>
          </w:tcPr>
          <w:p>
            <w:pPr>
              <w:pStyle w:val="14"/>
              <w:spacing w:line="400" w:lineRule="exact"/>
              <w:jc w:val="left"/>
              <w:rPr>
                <w:rFonts w:hint="eastAsia" w:hAnsi="宋体" w:cs="宋体"/>
                <w:color w:val="auto"/>
                <w:kern w:val="2"/>
                <w:sz w:val="24"/>
                <w:szCs w:val="24"/>
                <w:lang w:val="en-US" w:eastAsia="zh-CN"/>
              </w:rPr>
            </w:pPr>
            <w:r>
              <w:rPr>
                <w:rFonts w:hint="eastAsia" w:hAnsi="宋体" w:cs="宋体"/>
                <w:color w:val="auto"/>
                <w:kern w:val="2"/>
                <w:sz w:val="24"/>
                <w:szCs w:val="24"/>
                <w:lang w:val="en-US" w:eastAsia="zh-CN"/>
              </w:rPr>
              <w:t>第</w:t>
            </w:r>
            <w:r>
              <w:rPr>
                <w:rFonts w:hint="eastAsia" w:hAnsi="宋体" w:cs="宋体"/>
                <w:color w:val="auto"/>
                <w:kern w:val="2"/>
                <w:sz w:val="24"/>
                <w:szCs w:val="24"/>
                <w:u w:val="single"/>
                <w:lang w:val="en-US" w:eastAsia="zh-CN"/>
              </w:rPr>
              <w:t>1</w:t>
            </w:r>
            <w:r>
              <w:rPr>
                <w:rFonts w:hint="eastAsia" w:hAnsi="宋体" w:cs="宋体"/>
                <w:color w:val="auto"/>
                <w:kern w:val="2"/>
                <w:sz w:val="24"/>
                <w:szCs w:val="24"/>
                <w:lang w:val="en-US" w:eastAsia="zh-CN"/>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2665" w:type="dxa"/>
            <w:noWrap w:val="0"/>
            <w:vAlign w:val="center"/>
          </w:tcPr>
          <w:p>
            <w:pPr>
              <w:pStyle w:val="14"/>
              <w:spacing w:line="400" w:lineRule="exact"/>
              <w:jc w:val="center"/>
              <w:rPr>
                <w:rFonts w:hint="eastAsia" w:hAnsi="宋体" w:cs="宋体"/>
                <w:color w:val="auto"/>
                <w:kern w:val="2"/>
                <w:sz w:val="24"/>
                <w:szCs w:val="24"/>
                <w:lang w:val="en-US" w:eastAsia="zh-CN"/>
              </w:rPr>
            </w:pPr>
            <w:r>
              <w:rPr>
                <w:rFonts w:hint="eastAsia" w:hAnsi="宋体" w:cs="宋体"/>
                <w:color w:val="auto"/>
                <w:kern w:val="2"/>
                <w:sz w:val="24"/>
                <w:szCs w:val="24"/>
                <w:lang w:val="en-US" w:eastAsia="zh-CN"/>
              </w:rPr>
              <w:t>最后报价</w:t>
            </w:r>
          </w:p>
          <w:p>
            <w:pPr>
              <w:pStyle w:val="14"/>
              <w:spacing w:line="400" w:lineRule="exact"/>
              <w:jc w:val="center"/>
              <w:rPr>
                <w:rFonts w:hint="eastAsia" w:hAnsi="宋体" w:cs="宋体"/>
                <w:color w:val="auto"/>
                <w:kern w:val="2"/>
                <w:sz w:val="24"/>
                <w:szCs w:val="24"/>
                <w:lang w:val="en-US" w:eastAsia="zh-CN"/>
              </w:rPr>
            </w:pPr>
            <w:r>
              <w:rPr>
                <w:rFonts w:hint="eastAsia" w:hAnsi="宋体" w:cs="宋体"/>
                <w:color w:val="auto"/>
                <w:kern w:val="2"/>
                <w:sz w:val="24"/>
                <w:szCs w:val="24"/>
                <w:lang w:val="en-US" w:eastAsia="zh-CN"/>
              </w:rPr>
              <w:t>(详见备注说明)</w:t>
            </w:r>
          </w:p>
        </w:tc>
        <w:tc>
          <w:tcPr>
            <w:tcW w:w="6356" w:type="dxa"/>
            <w:noWrap w:val="0"/>
            <w:vAlign w:val="center"/>
          </w:tcPr>
          <w:p>
            <w:pPr>
              <w:pStyle w:val="14"/>
              <w:spacing w:line="400" w:lineRule="exact"/>
              <w:jc w:val="left"/>
              <w:rPr>
                <w:rFonts w:hint="eastAsia" w:hAnsi="宋体" w:cs="宋体"/>
                <w:color w:val="auto"/>
                <w:kern w:val="2"/>
                <w:sz w:val="24"/>
                <w:szCs w:val="24"/>
                <w:lang w:val="en-US" w:eastAsia="zh-CN"/>
              </w:rPr>
            </w:pPr>
            <w:r>
              <w:rPr>
                <w:rFonts w:hint="eastAsia" w:hAnsi="宋体" w:cs="宋体"/>
                <w:color w:val="auto"/>
                <w:kern w:val="2"/>
                <w:sz w:val="24"/>
                <w:szCs w:val="24"/>
                <w:lang w:val="en-US" w:eastAsia="zh-CN"/>
              </w:rPr>
              <w:t>第</w:t>
            </w:r>
            <w:r>
              <w:rPr>
                <w:rFonts w:hint="eastAsia" w:hAnsi="宋体" w:cs="宋体"/>
                <w:color w:val="auto"/>
                <w:kern w:val="2"/>
                <w:sz w:val="24"/>
                <w:szCs w:val="24"/>
                <w:u w:val="single"/>
                <w:lang w:val="en-US" w:eastAsia="zh-CN"/>
              </w:rPr>
              <w:t>1</w:t>
            </w:r>
            <w:r>
              <w:rPr>
                <w:rFonts w:hint="eastAsia" w:hAnsi="宋体" w:cs="宋体"/>
                <w:color w:val="auto"/>
                <w:kern w:val="2"/>
                <w:sz w:val="24"/>
                <w:szCs w:val="24"/>
                <w:lang w:val="en-US" w:eastAsia="zh-CN"/>
              </w:rPr>
              <w:t>包</w:t>
            </w:r>
          </w:p>
          <w:p>
            <w:pPr>
              <w:pStyle w:val="14"/>
              <w:spacing w:line="400" w:lineRule="exact"/>
              <w:jc w:val="left"/>
              <w:rPr>
                <w:rFonts w:hint="eastAsia" w:hAnsi="宋体" w:cs="宋体"/>
                <w:color w:val="auto"/>
                <w:kern w:val="2"/>
                <w:sz w:val="24"/>
                <w:szCs w:val="24"/>
                <w:lang w:val="en-US" w:eastAsia="zh-CN"/>
              </w:rPr>
            </w:pPr>
          </w:p>
          <w:p>
            <w:pPr>
              <w:pStyle w:val="14"/>
              <w:spacing w:line="400" w:lineRule="exact"/>
              <w:jc w:val="left"/>
              <w:rPr>
                <w:rFonts w:hint="eastAsia" w:hAnsi="宋体" w:cs="宋体"/>
                <w:color w:val="auto"/>
                <w:kern w:val="2"/>
                <w:sz w:val="24"/>
                <w:szCs w:val="24"/>
                <w:u w:val="single"/>
                <w:lang w:val="en-US" w:eastAsia="zh-CN"/>
              </w:rPr>
            </w:pPr>
            <w:r>
              <w:rPr>
                <w:rFonts w:hint="eastAsia" w:hAnsi="宋体" w:cs="宋体"/>
                <w:color w:val="auto"/>
                <w:kern w:val="2"/>
                <w:sz w:val="24"/>
                <w:szCs w:val="24"/>
                <w:lang w:val="en-US" w:eastAsia="zh-CN"/>
              </w:rPr>
              <w:t>人民币大写：</w:t>
            </w:r>
            <w:r>
              <w:rPr>
                <w:rFonts w:hint="eastAsia" w:hAnsi="宋体" w:cs="宋体"/>
                <w:color w:val="auto"/>
                <w:kern w:val="2"/>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665" w:type="dxa"/>
            <w:noWrap w:val="0"/>
            <w:vAlign w:val="center"/>
          </w:tcPr>
          <w:p>
            <w:pPr>
              <w:pStyle w:val="14"/>
              <w:spacing w:line="400" w:lineRule="exact"/>
              <w:jc w:val="center"/>
              <w:rPr>
                <w:rFonts w:hint="eastAsia" w:hAnsi="宋体" w:cs="宋体"/>
                <w:color w:val="auto"/>
                <w:kern w:val="2"/>
                <w:sz w:val="24"/>
                <w:szCs w:val="24"/>
                <w:lang w:val="en-US" w:eastAsia="zh-CN"/>
              </w:rPr>
            </w:pPr>
            <w:r>
              <w:rPr>
                <w:rFonts w:hint="eastAsia" w:hAnsi="宋体" w:cs="宋体"/>
                <w:color w:val="auto"/>
                <w:kern w:val="2"/>
                <w:sz w:val="24"/>
                <w:szCs w:val="24"/>
                <w:lang w:val="en-US" w:eastAsia="zh-CN"/>
              </w:rPr>
              <w:t>服务期限</w:t>
            </w:r>
          </w:p>
        </w:tc>
        <w:tc>
          <w:tcPr>
            <w:tcW w:w="6356" w:type="dxa"/>
            <w:noWrap w:val="0"/>
            <w:vAlign w:val="center"/>
          </w:tcPr>
          <w:p>
            <w:pPr>
              <w:pStyle w:val="14"/>
              <w:spacing w:line="400" w:lineRule="exact"/>
              <w:jc w:val="center"/>
              <w:rPr>
                <w:rFonts w:hint="eastAsia" w:hAnsi="宋体" w:cs="宋体"/>
                <w:color w:val="auto"/>
                <w:kern w:val="2"/>
                <w:sz w:val="24"/>
                <w:szCs w:val="24"/>
                <w:lang w:val="en-US" w:eastAsia="zh-CN"/>
              </w:rPr>
            </w:pPr>
            <w:r>
              <w:rPr>
                <w:rFonts w:hint="eastAsia" w:ascii="宋体" w:hAnsi="宋体" w:eastAsia="宋体" w:cs="宋体"/>
                <w:color w:val="auto"/>
                <w:sz w:val="24"/>
                <w:szCs w:val="24"/>
                <w:highlight w:val="none"/>
                <w:lang w:val="en-US" w:eastAsia="zh-CN"/>
              </w:rPr>
              <w:t>1年（12</w:t>
            </w:r>
            <w:r>
              <w:rPr>
                <w:rFonts w:hint="eastAsia" w:ascii="宋体" w:hAnsi="宋体" w:eastAsia="宋体" w:cs="宋体"/>
                <w:color w:val="auto"/>
                <w:sz w:val="24"/>
                <w:szCs w:val="24"/>
                <w:highlight w:val="none"/>
              </w:rPr>
              <w:t>个月</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665" w:type="dxa"/>
            <w:noWrap w:val="0"/>
            <w:vAlign w:val="center"/>
          </w:tcPr>
          <w:p>
            <w:pPr>
              <w:pStyle w:val="14"/>
              <w:spacing w:line="400" w:lineRule="exact"/>
              <w:jc w:val="center"/>
              <w:rPr>
                <w:rFonts w:hint="eastAsia" w:hAnsi="宋体" w:cs="宋体"/>
                <w:color w:val="auto"/>
                <w:kern w:val="2"/>
                <w:sz w:val="24"/>
                <w:szCs w:val="24"/>
                <w:lang w:val="en-US" w:eastAsia="zh-CN"/>
              </w:rPr>
            </w:pPr>
            <w:r>
              <w:rPr>
                <w:rFonts w:hint="eastAsia" w:hAnsi="宋体" w:cs="宋体"/>
                <w:color w:val="auto"/>
                <w:kern w:val="2"/>
                <w:sz w:val="24"/>
                <w:szCs w:val="24"/>
                <w:lang w:val="en-US" w:eastAsia="zh-CN"/>
              </w:rPr>
              <w:t>备注说明</w:t>
            </w:r>
          </w:p>
        </w:tc>
        <w:tc>
          <w:tcPr>
            <w:tcW w:w="6356" w:type="dxa"/>
            <w:noWrap w:val="0"/>
            <w:vAlign w:val="center"/>
          </w:tcPr>
          <w:p>
            <w:pPr>
              <w:pStyle w:val="14"/>
              <w:spacing w:line="400" w:lineRule="exact"/>
              <w:jc w:val="center"/>
              <w:rPr>
                <w:rFonts w:hint="eastAsia" w:hAnsi="宋体" w:cs="宋体"/>
                <w:color w:val="auto"/>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2665" w:type="dxa"/>
            <w:noWrap w:val="0"/>
            <w:vAlign w:val="center"/>
          </w:tcPr>
          <w:p>
            <w:pPr>
              <w:pStyle w:val="14"/>
              <w:spacing w:line="400" w:lineRule="exact"/>
              <w:jc w:val="center"/>
              <w:rPr>
                <w:rFonts w:hint="eastAsia" w:hAnsi="宋体" w:cs="宋体"/>
                <w:color w:val="auto"/>
                <w:kern w:val="2"/>
                <w:sz w:val="24"/>
                <w:szCs w:val="24"/>
                <w:lang w:val="en-US" w:eastAsia="zh-CN"/>
              </w:rPr>
            </w:pPr>
            <w:r>
              <w:rPr>
                <w:rFonts w:hint="eastAsia" w:hAnsi="宋体" w:cs="宋体"/>
                <w:color w:val="auto"/>
                <w:kern w:val="2"/>
                <w:sz w:val="24"/>
                <w:szCs w:val="24"/>
                <w:lang w:val="en-US" w:eastAsia="zh-CN"/>
              </w:rPr>
              <w:t>磋商小组签字</w:t>
            </w:r>
          </w:p>
        </w:tc>
        <w:tc>
          <w:tcPr>
            <w:tcW w:w="6356" w:type="dxa"/>
            <w:noWrap w:val="0"/>
            <w:vAlign w:val="center"/>
          </w:tcPr>
          <w:p>
            <w:pPr>
              <w:pStyle w:val="14"/>
              <w:spacing w:line="400" w:lineRule="exact"/>
              <w:jc w:val="center"/>
              <w:rPr>
                <w:rFonts w:hint="eastAsia" w:hAnsi="宋体" w:cs="宋体"/>
                <w:color w:val="auto"/>
                <w:kern w:val="2"/>
                <w:sz w:val="24"/>
                <w:szCs w:val="24"/>
                <w:lang w:val="en-US" w:eastAsia="zh-CN"/>
              </w:rPr>
            </w:pPr>
          </w:p>
        </w:tc>
      </w:tr>
    </w:tbl>
    <w:p>
      <w:pPr>
        <w:pStyle w:val="14"/>
        <w:spacing w:line="400" w:lineRule="exact"/>
        <w:ind w:firstLine="480" w:firstLineChars="200"/>
        <w:jc w:val="right"/>
        <w:rPr>
          <w:rFonts w:hint="eastAsia" w:hAnsi="宋体" w:cs="宋体"/>
          <w:color w:val="auto"/>
          <w:sz w:val="24"/>
          <w:szCs w:val="24"/>
        </w:rPr>
      </w:pPr>
      <w:r>
        <w:rPr>
          <w:rFonts w:hint="eastAsia" w:hAnsi="宋体" w:cs="宋体"/>
          <w:color w:val="auto"/>
          <w:sz w:val="24"/>
          <w:szCs w:val="24"/>
        </w:rPr>
        <w:t>供应商公章或授权代表签字：</w:t>
      </w:r>
      <w:r>
        <w:rPr>
          <w:rFonts w:hint="eastAsia" w:hAnsi="宋体" w:cs="宋体"/>
          <w:color w:val="auto"/>
          <w:sz w:val="24"/>
          <w:szCs w:val="24"/>
        </w:rPr>
        <w:tab/>
      </w:r>
      <w:r>
        <w:rPr>
          <w:rFonts w:hint="eastAsia" w:hAnsi="宋体" w:cs="宋体"/>
          <w:color w:val="auto"/>
          <w:sz w:val="24"/>
          <w:szCs w:val="24"/>
        </w:rPr>
        <w:tab/>
      </w:r>
    </w:p>
    <w:p>
      <w:pPr>
        <w:pStyle w:val="14"/>
        <w:spacing w:line="400" w:lineRule="exact"/>
        <w:ind w:firstLine="480" w:firstLineChars="200"/>
        <w:jc w:val="right"/>
        <w:rPr>
          <w:rFonts w:hint="eastAsia" w:hAnsi="宋体" w:cs="宋体"/>
          <w:color w:val="auto"/>
          <w:sz w:val="24"/>
          <w:szCs w:val="24"/>
        </w:rPr>
      </w:pPr>
      <w:r>
        <w:rPr>
          <w:rFonts w:hint="eastAsia" w:hAnsi="宋体" w:cs="宋体"/>
          <w:color w:val="auto"/>
          <w:sz w:val="24"/>
          <w:szCs w:val="24"/>
        </w:rPr>
        <w:t>年　　月　　日</w:t>
      </w:r>
      <w:r>
        <w:rPr>
          <w:rFonts w:hint="eastAsia" w:hAnsi="宋体" w:cs="宋体"/>
          <w:color w:val="auto"/>
          <w:sz w:val="24"/>
          <w:szCs w:val="24"/>
        </w:rPr>
        <w:tab/>
      </w:r>
      <w:r>
        <w:rPr>
          <w:rFonts w:hint="eastAsia" w:hAnsi="宋体" w:cs="宋体"/>
          <w:color w:val="auto"/>
          <w:sz w:val="24"/>
          <w:szCs w:val="24"/>
        </w:rPr>
        <w:tab/>
      </w:r>
      <w:r>
        <w:rPr>
          <w:rFonts w:hint="eastAsia" w:hAnsi="宋体" w:cs="宋体"/>
          <w:color w:val="auto"/>
          <w:sz w:val="24"/>
          <w:szCs w:val="24"/>
        </w:rPr>
        <w:tab/>
      </w:r>
    </w:p>
    <w:p>
      <w:pPr>
        <w:pStyle w:val="14"/>
        <w:spacing w:line="400" w:lineRule="exact"/>
        <w:ind w:firstLine="480" w:firstLineChars="200"/>
        <w:rPr>
          <w:rFonts w:hint="eastAsia" w:hAnsi="宋体" w:cs="宋体"/>
          <w:color w:val="auto"/>
          <w:sz w:val="24"/>
          <w:szCs w:val="24"/>
        </w:rPr>
      </w:pPr>
    </w:p>
    <w:p>
      <w:pPr>
        <w:pStyle w:val="14"/>
        <w:spacing w:line="400" w:lineRule="exact"/>
        <w:ind w:firstLine="480" w:firstLineChars="200"/>
        <w:rPr>
          <w:rFonts w:hint="eastAsia" w:hAnsi="宋体" w:cs="宋体"/>
          <w:color w:val="auto"/>
          <w:sz w:val="24"/>
          <w:szCs w:val="24"/>
        </w:rPr>
      </w:pPr>
      <w:r>
        <w:rPr>
          <w:rFonts w:hint="eastAsia" w:hAnsi="宋体" w:cs="宋体"/>
          <w:color w:val="auto"/>
          <w:sz w:val="24"/>
          <w:szCs w:val="24"/>
        </w:rPr>
        <w:t>注：本页《最</w:t>
      </w:r>
      <w:r>
        <w:rPr>
          <w:rFonts w:hint="eastAsia" w:hAnsi="宋体" w:cs="宋体"/>
          <w:color w:val="auto"/>
          <w:sz w:val="24"/>
          <w:szCs w:val="24"/>
          <w:lang w:val="en-US" w:eastAsia="zh-CN"/>
        </w:rPr>
        <w:t>后</w:t>
      </w:r>
      <w:r>
        <w:rPr>
          <w:rFonts w:hint="eastAsia" w:hAnsi="宋体" w:cs="宋体"/>
          <w:color w:val="auto"/>
          <w:sz w:val="24"/>
          <w:szCs w:val="24"/>
        </w:rPr>
        <w:t>报价承诺书》由供应商在磋商现场依磋商情况填写，请加盖公章后带至磋商现场备填(不需装订在响应文件内)。</w:t>
      </w:r>
    </w:p>
    <w:p>
      <w:pPr>
        <w:pStyle w:val="14"/>
        <w:spacing w:line="400" w:lineRule="exact"/>
        <w:ind w:firstLine="480" w:firstLineChars="200"/>
        <w:rPr>
          <w:rFonts w:hint="eastAsia" w:hAnsi="宋体" w:cs="宋体"/>
          <w:color w:val="auto"/>
          <w:sz w:val="24"/>
          <w:szCs w:val="24"/>
        </w:rPr>
      </w:pPr>
    </w:p>
    <w:p>
      <w:pPr>
        <w:pStyle w:val="14"/>
        <w:spacing w:line="400" w:lineRule="exact"/>
        <w:ind w:firstLine="480" w:firstLineChars="200"/>
        <w:rPr>
          <w:rFonts w:hint="eastAsia" w:hAnsi="宋体" w:cs="宋体"/>
          <w:color w:val="auto"/>
          <w:sz w:val="24"/>
          <w:szCs w:val="24"/>
        </w:rPr>
      </w:pPr>
      <w:r>
        <w:rPr>
          <w:rFonts w:hint="eastAsia" w:hAnsi="宋体" w:cs="宋体"/>
          <w:color w:val="auto"/>
          <w:sz w:val="24"/>
          <w:szCs w:val="24"/>
        </w:rPr>
        <w:t>　　</w:t>
      </w:r>
    </w:p>
    <w:p>
      <w:pPr>
        <w:widowControl/>
        <w:spacing w:after="0"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32"/>
          <w:szCs w:val="32"/>
          <w:highlight w:val="none"/>
        </w:rPr>
        <w:t>格式4  商务条款偏离表</w:t>
      </w:r>
    </w:p>
    <w:tbl>
      <w:tblPr>
        <w:tblStyle w:val="28"/>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999"/>
        <w:gridCol w:w="1575"/>
        <w:gridCol w:w="1575"/>
        <w:gridCol w:w="1749"/>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99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采购文件条目号</w:t>
            </w:r>
          </w:p>
        </w:tc>
        <w:tc>
          <w:tcPr>
            <w:tcW w:w="15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采购文件</w:t>
            </w:r>
          </w:p>
          <w:p>
            <w:pPr>
              <w:topLinePunct/>
              <w:autoSpaceDE w:val="0"/>
              <w:autoSpaceDN w:val="0"/>
              <w:spacing w:beforeLines="20" w:after="4"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商务条款</w:t>
            </w:r>
          </w:p>
        </w:tc>
        <w:tc>
          <w:tcPr>
            <w:tcW w:w="15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w:t>
            </w:r>
          </w:p>
          <w:p>
            <w:pPr>
              <w:topLinePunct/>
              <w:autoSpaceDE w:val="0"/>
              <w:autoSpaceDN w:val="0"/>
              <w:spacing w:beforeLines="20" w:after="4"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商务条款</w:t>
            </w:r>
          </w:p>
        </w:tc>
        <w:tc>
          <w:tcPr>
            <w:tcW w:w="174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偏离</w:t>
            </w:r>
          </w:p>
          <w:p>
            <w:pPr>
              <w:topLinePunct/>
              <w:autoSpaceDE w:val="0"/>
              <w:autoSpaceDN w:val="0"/>
              <w:spacing w:beforeLines="20" w:after="4"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（无/正/负）</w:t>
            </w:r>
          </w:p>
        </w:tc>
        <w:tc>
          <w:tcPr>
            <w:tcW w:w="125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99"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4" w:line="240" w:lineRule="auto"/>
              <w:jc w:val="center"/>
              <w:rPr>
                <w:rFonts w:hint="eastAsia" w:ascii="宋体" w:hAnsi="宋体" w:eastAsia="宋体" w:cs="宋体"/>
                <w:color w:val="auto"/>
                <w:sz w:val="24"/>
                <w:szCs w:val="24"/>
                <w:highlight w:val="none"/>
              </w:rPr>
            </w:pPr>
          </w:p>
        </w:tc>
        <w:tc>
          <w:tcPr>
            <w:tcW w:w="157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4" w:line="240" w:lineRule="auto"/>
              <w:jc w:val="center"/>
              <w:rPr>
                <w:rFonts w:hint="eastAsia" w:ascii="宋体" w:hAnsi="宋体" w:eastAsia="宋体" w:cs="宋体"/>
                <w:b/>
                <w:bCs/>
                <w:color w:val="auto"/>
                <w:sz w:val="24"/>
                <w:szCs w:val="24"/>
                <w:highlight w:val="none"/>
              </w:rPr>
            </w:pPr>
          </w:p>
        </w:tc>
        <w:tc>
          <w:tcPr>
            <w:tcW w:w="157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4" w:line="240" w:lineRule="auto"/>
              <w:jc w:val="center"/>
              <w:rPr>
                <w:rFonts w:hint="eastAsia" w:ascii="宋体" w:hAnsi="宋体" w:eastAsia="宋体" w:cs="宋体"/>
                <w:b/>
                <w:bCs/>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4" w:line="240" w:lineRule="auto"/>
              <w:jc w:val="center"/>
              <w:rPr>
                <w:rFonts w:hint="eastAsia" w:ascii="宋体" w:hAnsi="宋体" w:eastAsia="宋体" w:cs="宋体"/>
                <w:b/>
                <w:bCs/>
                <w:color w:val="auto"/>
                <w:sz w:val="24"/>
                <w:szCs w:val="24"/>
                <w:highlight w:val="none"/>
              </w:rPr>
            </w:pPr>
          </w:p>
        </w:tc>
        <w:tc>
          <w:tcPr>
            <w:tcW w:w="1250"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4" w:line="24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999"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4" w:line="240" w:lineRule="auto"/>
              <w:jc w:val="center"/>
              <w:rPr>
                <w:rFonts w:hint="eastAsia" w:ascii="宋体" w:hAnsi="宋体" w:eastAsia="宋体" w:cs="宋体"/>
                <w:color w:val="auto"/>
                <w:sz w:val="24"/>
                <w:szCs w:val="24"/>
                <w:highlight w:val="none"/>
              </w:rPr>
            </w:pPr>
          </w:p>
        </w:tc>
        <w:tc>
          <w:tcPr>
            <w:tcW w:w="157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4" w:line="240" w:lineRule="auto"/>
              <w:jc w:val="center"/>
              <w:rPr>
                <w:rFonts w:hint="eastAsia" w:ascii="宋体" w:hAnsi="宋体" w:eastAsia="宋体" w:cs="宋体"/>
                <w:b/>
                <w:bCs/>
                <w:color w:val="auto"/>
                <w:sz w:val="24"/>
                <w:szCs w:val="24"/>
                <w:highlight w:val="none"/>
              </w:rPr>
            </w:pPr>
          </w:p>
        </w:tc>
        <w:tc>
          <w:tcPr>
            <w:tcW w:w="157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4" w:line="240" w:lineRule="auto"/>
              <w:jc w:val="center"/>
              <w:rPr>
                <w:rFonts w:hint="eastAsia" w:ascii="宋体" w:hAnsi="宋体" w:eastAsia="宋体" w:cs="宋体"/>
                <w:b/>
                <w:bCs/>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4" w:line="240" w:lineRule="auto"/>
              <w:jc w:val="center"/>
              <w:rPr>
                <w:rFonts w:hint="eastAsia" w:ascii="宋体" w:hAnsi="宋体" w:eastAsia="宋体" w:cs="宋体"/>
                <w:b/>
                <w:bCs/>
                <w:color w:val="auto"/>
                <w:sz w:val="24"/>
                <w:szCs w:val="24"/>
                <w:highlight w:val="none"/>
              </w:rPr>
            </w:pPr>
          </w:p>
        </w:tc>
        <w:tc>
          <w:tcPr>
            <w:tcW w:w="1250"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4" w:line="24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999"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4" w:line="240" w:lineRule="auto"/>
              <w:jc w:val="center"/>
              <w:rPr>
                <w:rFonts w:hint="eastAsia" w:ascii="宋体" w:hAnsi="宋体" w:eastAsia="宋体" w:cs="宋体"/>
                <w:color w:val="auto"/>
                <w:sz w:val="24"/>
                <w:szCs w:val="24"/>
                <w:highlight w:val="none"/>
              </w:rPr>
            </w:pPr>
          </w:p>
        </w:tc>
        <w:tc>
          <w:tcPr>
            <w:tcW w:w="157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4" w:line="240" w:lineRule="auto"/>
              <w:jc w:val="center"/>
              <w:rPr>
                <w:rFonts w:hint="eastAsia" w:ascii="宋体" w:hAnsi="宋体" w:eastAsia="宋体" w:cs="宋体"/>
                <w:b/>
                <w:bCs/>
                <w:color w:val="auto"/>
                <w:sz w:val="24"/>
                <w:szCs w:val="24"/>
                <w:highlight w:val="none"/>
              </w:rPr>
            </w:pPr>
          </w:p>
        </w:tc>
        <w:tc>
          <w:tcPr>
            <w:tcW w:w="157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4" w:line="240" w:lineRule="auto"/>
              <w:jc w:val="center"/>
              <w:rPr>
                <w:rFonts w:hint="eastAsia" w:ascii="宋体" w:hAnsi="宋体" w:eastAsia="宋体" w:cs="宋体"/>
                <w:b/>
                <w:bCs/>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4" w:line="240" w:lineRule="auto"/>
              <w:jc w:val="center"/>
              <w:rPr>
                <w:rFonts w:hint="eastAsia" w:ascii="宋体" w:hAnsi="宋体" w:eastAsia="宋体" w:cs="宋体"/>
                <w:b/>
                <w:bCs/>
                <w:color w:val="auto"/>
                <w:sz w:val="24"/>
                <w:szCs w:val="24"/>
                <w:highlight w:val="none"/>
              </w:rPr>
            </w:pPr>
          </w:p>
        </w:tc>
        <w:tc>
          <w:tcPr>
            <w:tcW w:w="1250"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4" w:line="24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999"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4" w:line="240" w:lineRule="auto"/>
              <w:jc w:val="center"/>
              <w:rPr>
                <w:rFonts w:hint="eastAsia" w:ascii="宋体" w:hAnsi="宋体" w:eastAsia="宋体" w:cs="宋体"/>
                <w:color w:val="auto"/>
                <w:sz w:val="24"/>
                <w:szCs w:val="24"/>
                <w:highlight w:val="none"/>
              </w:rPr>
            </w:pPr>
          </w:p>
        </w:tc>
        <w:tc>
          <w:tcPr>
            <w:tcW w:w="157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4" w:line="240" w:lineRule="auto"/>
              <w:jc w:val="center"/>
              <w:rPr>
                <w:rFonts w:hint="eastAsia" w:ascii="宋体" w:hAnsi="宋体" w:eastAsia="宋体" w:cs="宋体"/>
                <w:b/>
                <w:bCs/>
                <w:color w:val="auto"/>
                <w:sz w:val="24"/>
                <w:szCs w:val="24"/>
                <w:highlight w:val="none"/>
              </w:rPr>
            </w:pPr>
          </w:p>
        </w:tc>
        <w:tc>
          <w:tcPr>
            <w:tcW w:w="157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4" w:line="240" w:lineRule="auto"/>
              <w:jc w:val="center"/>
              <w:rPr>
                <w:rFonts w:hint="eastAsia" w:ascii="宋体" w:hAnsi="宋体" w:eastAsia="宋体" w:cs="宋体"/>
                <w:b/>
                <w:bCs/>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4" w:line="240" w:lineRule="auto"/>
              <w:jc w:val="center"/>
              <w:rPr>
                <w:rFonts w:hint="eastAsia" w:ascii="宋体" w:hAnsi="宋体" w:eastAsia="宋体" w:cs="宋体"/>
                <w:b/>
                <w:bCs/>
                <w:color w:val="auto"/>
                <w:sz w:val="24"/>
                <w:szCs w:val="24"/>
                <w:highlight w:val="none"/>
              </w:rPr>
            </w:pPr>
          </w:p>
        </w:tc>
        <w:tc>
          <w:tcPr>
            <w:tcW w:w="1250"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4" w:line="24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999"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4" w:line="240" w:lineRule="auto"/>
              <w:jc w:val="center"/>
              <w:rPr>
                <w:rFonts w:hint="eastAsia" w:ascii="宋体" w:hAnsi="宋体" w:eastAsia="宋体" w:cs="宋体"/>
                <w:color w:val="auto"/>
                <w:sz w:val="24"/>
                <w:szCs w:val="24"/>
                <w:highlight w:val="none"/>
              </w:rPr>
            </w:pPr>
          </w:p>
        </w:tc>
        <w:tc>
          <w:tcPr>
            <w:tcW w:w="157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4" w:line="240" w:lineRule="auto"/>
              <w:jc w:val="center"/>
              <w:rPr>
                <w:rFonts w:hint="eastAsia" w:ascii="宋体" w:hAnsi="宋体" w:eastAsia="宋体" w:cs="宋体"/>
                <w:b/>
                <w:bCs/>
                <w:color w:val="auto"/>
                <w:sz w:val="24"/>
                <w:szCs w:val="24"/>
                <w:highlight w:val="none"/>
              </w:rPr>
            </w:pPr>
          </w:p>
        </w:tc>
        <w:tc>
          <w:tcPr>
            <w:tcW w:w="157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4" w:line="240" w:lineRule="auto"/>
              <w:jc w:val="center"/>
              <w:rPr>
                <w:rFonts w:hint="eastAsia" w:ascii="宋体" w:hAnsi="宋体" w:eastAsia="宋体" w:cs="宋体"/>
                <w:b/>
                <w:bCs/>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4" w:line="240" w:lineRule="auto"/>
              <w:jc w:val="center"/>
              <w:rPr>
                <w:rFonts w:hint="eastAsia" w:ascii="宋体" w:hAnsi="宋体" w:eastAsia="宋体" w:cs="宋体"/>
                <w:b/>
                <w:bCs/>
                <w:color w:val="auto"/>
                <w:sz w:val="24"/>
                <w:szCs w:val="24"/>
                <w:highlight w:val="none"/>
              </w:rPr>
            </w:pPr>
          </w:p>
        </w:tc>
        <w:tc>
          <w:tcPr>
            <w:tcW w:w="1250"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4" w:line="240" w:lineRule="auto"/>
              <w:jc w:val="center"/>
              <w:rPr>
                <w:rFonts w:hint="eastAsia" w:ascii="宋体" w:hAnsi="宋体" w:eastAsia="宋体" w:cs="宋体"/>
                <w:b/>
                <w:bCs/>
                <w:color w:val="auto"/>
                <w:sz w:val="24"/>
                <w:szCs w:val="24"/>
                <w:highlight w:val="none"/>
              </w:rPr>
            </w:pPr>
          </w:p>
        </w:tc>
      </w:tr>
    </w:tbl>
    <w:p>
      <w:pPr>
        <w:topLinePunct/>
        <w:autoSpaceDE w:val="0"/>
        <w:autoSpaceDN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特别说明：</w:t>
      </w:r>
    </w:p>
    <w:p>
      <w:pPr>
        <w:topLinePunct/>
        <w:autoSpaceDE w:val="0"/>
        <w:autoSpaceDN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1.商务条款无需条对条应答，如无偏离，请在此表中填写“无偏离”；如有偏离，请在此表中应答为“正/负偏离”并说明偏离情况。</w:t>
      </w:r>
    </w:p>
    <w:p>
      <w:pPr>
        <w:topLinePunct/>
        <w:autoSpaceDE w:val="0"/>
        <w:autoSpaceDN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2.如《采购文件-商务部分》中有标注★号的，则为实质性要求，必须满足，如应答为“负偏离”，将导致响应无效。</w:t>
      </w:r>
    </w:p>
    <w:p>
      <w:pPr>
        <w:topLinePunct/>
        <w:autoSpaceDE w:val="0"/>
        <w:autoSpaceDN w:val="0"/>
        <w:spacing w:after="0" w:line="360" w:lineRule="auto"/>
        <w:ind w:firstLine="480" w:firstLineChars="200"/>
        <w:outlineLvl w:val="1"/>
        <w:rPr>
          <w:rFonts w:hint="eastAsia" w:ascii="宋体" w:hAnsi="宋体" w:eastAsia="宋体" w:cs="宋体"/>
          <w:color w:val="auto"/>
          <w:sz w:val="24"/>
          <w:szCs w:val="24"/>
          <w:highlight w:val="none"/>
        </w:rPr>
      </w:pPr>
      <w:bookmarkStart w:id="108" w:name="_Toc22038"/>
      <w:bookmarkStart w:id="109" w:name="_Toc11302"/>
      <w:r>
        <w:rPr>
          <w:rFonts w:hint="eastAsia" w:ascii="宋体" w:hAnsi="宋体" w:eastAsia="宋体" w:cs="宋体"/>
          <w:color w:val="auto"/>
          <w:sz w:val="24"/>
          <w:szCs w:val="24"/>
          <w:highlight w:val="none"/>
        </w:rPr>
        <w:t>3.本表可扩展。</w:t>
      </w:r>
      <w:bookmarkEnd w:id="108"/>
      <w:bookmarkEnd w:id="109"/>
    </w:p>
    <w:p>
      <w:pPr>
        <w:topLinePunct/>
        <w:autoSpaceDE w:val="0"/>
        <w:autoSpaceDN w:val="0"/>
        <w:spacing w:line="500" w:lineRule="exact"/>
        <w:rPr>
          <w:rFonts w:hint="eastAsia" w:ascii="宋体" w:hAnsi="宋体" w:eastAsia="宋体" w:cs="宋体"/>
          <w:color w:val="auto"/>
          <w:sz w:val="24"/>
          <w:szCs w:val="24"/>
          <w:highlight w:val="none"/>
        </w:rPr>
      </w:pPr>
    </w:p>
    <w:p>
      <w:pPr>
        <w:tabs>
          <w:tab w:val="left" w:pos="1230"/>
        </w:tabs>
        <w:topLinePunct/>
        <w:autoSpaceDE w:val="0"/>
        <w:autoSpaceDN w:val="0"/>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rPr>
        <w:t>（全称并加盖公章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pPr>
        <w:tabs>
          <w:tab w:val="left" w:pos="1230"/>
        </w:tabs>
        <w:topLinePunct/>
        <w:autoSpaceDE w:val="0"/>
        <w:autoSpaceDN w:val="0"/>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授权代表（签字或盖章）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pPr>
        <w:tabs>
          <w:tab w:val="left" w:pos="1230"/>
        </w:tabs>
        <w:topLinePunct/>
        <w:autoSpaceDE w:val="0"/>
        <w:autoSpaceDN w:val="0"/>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pPr>
        <w:rPr>
          <w:rFonts w:hint="eastAsia" w:ascii="宋体" w:hAnsi="宋体" w:eastAsia="宋体" w:cs="宋体"/>
          <w:b/>
          <w:bCs/>
          <w:color w:val="auto"/>
          <w:sz w:val="24"/>
          <w:szCs w:val="24"/>
          <w:highlight w:val="none"/>
        </w:rPr>
      </w:pPr>
    </w:p>
    <w:p>
      <w:pPr>
        <w:snapToGrid w:val="0"/>
        <w:spacing w:after="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32"/>
          <w:szCs w:val="32"/>
          <w:highlight w:val="none"/>
        </w:rPr>
        <w:t>格式5  供应商具备资格证明文件</w:t>
      </w:r>
    </w:p>
    <w:p>
      <w:pPr>
        <w:adjustRightInd w:val="0"/>
        <w:snapToGrid w:val="0"/>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5-1供应商基本情况</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1560"/>
        <w:gridCol w:w="1700"/>
        <w:gridCol w:w="2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pct"/>
            <w:noWrap w:val="0"/>
            <w:vAlign w:val="center"/>
          </w:tcPr>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c>
          <w:tcPr>
            <w:tcW w:w="905" w:type="pct"/>
            <w:noWrap w:val="0"/>
            <w:vAlign w:val="center"/>
          </w:tcPr>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986" w:type="pct"/>
            <w:noWrap w:val="0"/>
            <w:vAlign w:val="center"/>
          </w:tcPr>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564" w:type="pct"/>
            <w:noWrap w:val="0"/>
            <w:vAlign w:val="center"/>
          </w:tcPr>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pct"/>
            <w:noWrap w:val="0"/>
            <w:vAlign w:val="center"/>
          </w:tcPr>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905" w:type="pct"/>
            <w:noWrap w:val="0"/>
            <w:vAlign w:val="center"/>
          </w:tcPr>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986" w:type="pct"/>
            <w:noWrap w:val="0"/>
            <w:vAlign w:val="center"/>
          </w:tcPr>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564" w:type="pct"/>
            <w:noWrap w:val="0"/>
            <w:vAlign w:val="center"/>
          </w:tcPr>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pct"/>
            <w:noWrap w:val="0"/>
            <w:vAlign w:val="center"/>
          </w:tcPr>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p>
        </w:tc>
        <w:tc>
          <w:tcPr>
            <w:tcW w:w="905" w:type="pct"/>
            <w:noWrap w:val="0"/>
            <w:vAlign w:val="center"/>
          </w:tcPr>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986" w:type="pct"/>
            <w:noWrap w:val="0"/>
            <w:vAlign w:val="center"/>
          </w:tcPr>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564" w:type="pct"/>
            <w:noWrap w:val="0"/>
            <w:vAlign w:val="center"/>
          </w:tcPr>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pct"/>
            <w:noWrap w:val="0"/>
            <w:vAlign w:val="center"/>
          </w:tcPr>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905" w:type="pct"/>
            <w:noWrap w:val="0"/>
            <w:vAlign w:val="center"/>
          </w:tcPr>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986" w:type="pct"/>
            <w:noWrap w:val="0"/>
            <w:vAlign w:val="center"/>
          </w:tcPr>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1564" w:type="pct"/>
            <w:noWrap w:val="0"/>
            <w:vAlign w:val="center"/>
          </w:tcPr>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pct"/>
            <w:noWrap w:val="0"/>
            <w:vAlign w:val="center"/>
          </w:tcPr>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上年营业收入</w:t>
            </w:r>
          </w:p>
        </w:tc>
        <w:tc>
          <w:tcPr>
            <w:tcW w:w="905" w:type="pct"/>
            <w:noWrap w:val="0"/>
            <w:vAlign w:val="center"/>
          </w:tcPr>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986" w:type="pct"/>
            <w:noWrap w:val="0"/>
            <w:vAlign w:val="center"/>
          </w:tcPr>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c>
          <w:tcPr>
            <w:tcW w:w="1564" w:type="pct"/>
            <w:noWrap w:val="0"/>
            <w:vAlign w:val="center"/>
          </w:tcPr>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pct"/>
            <w:noWrap w:val="0"/>
            <w:vAlign w:val="center"/>
          </w:tcPr>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基本账户开户行及账号</w:t>
            </w:r>
          </w:p>
        </w:tc>
        <w:tc>
          <w:tcPr>
            <w:tcW w:w="3456" w:type="pct"/>
            <w:gridSpan w:val="3"/>
            <w:noWrap w:val="0"/>
            <w:vAlign w:val="center"/>
          </w:tcPr>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pct"/>
            <w:noWrap w:val="0"/>
            <w:vAlign w:val="center"/>
          </w:tcPr>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税务登记机关</w:t>
            </w:r>
          </w:p>
        </w:tc>
        <w:tc>
          <w:tcPr>
            <w:tcW w:w="3456" w:type="pct"/>
            <w:gridSpan w:val="3"/>
            <w:noWrap w:val="0"/>
            <w:vAlign w:val="center"/>
          </w:tcPr>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pct"/>
            <w:noWrap w:val="0"/>
            <w:vAlign w:val="center"/>
          </w:tcPr>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资质名称</w:t>
            </w:r>
          </w:p>
        </w:tc>
        <w:tc>
          <w:tcPr>
            <w:tcW w:w="905" w:type="pct"/>
            <w:noWrap w:val="0"/>
            <w:vAlign w:val="center"/>
          </w:tcPr>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等级</w:t>
            </w:r>
          </w:p>
        </w:tc>
        <w:tc>
          <w:tcPr>
            <w:tcW w:w="986" w:type="pct"/>
            <w:noWrap w:val="0"/>
            <w:vAlign w:val="center"/>
          </w:tcPr>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发证机关</w:t>
            </w:r>
          </w:p>
        </w:tc>
        <w:tc>
          <w:tcPr>
            <w:tcW w:w="1564" w:type="pct"/>
            <w:noWrap w:val="0"/>
            <w:vAlign w:val="center"/>
          </w:tcPr>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pct"/>
            <w:noWrap w:val="0"/>
            <w:vAlign w:val="center"/>
          </w:tcPr>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905" w:type="pct"/>
            <w:noWrap w:val="0"/>
            <w:vAlign w:val="center"/>
          </w:tcPr>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986" w:type="pct"/>
            <w:noWrap w:val="0"/>
            <w:vAlign w:val="center"/>
          </w:tcPr>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564" w:type="pct"/>
            <w:noWrap w:val="0"/>
            <w:vAlign w:val="center"/>
          </w:tcPr>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pct"/>
            <w:noWrap w:val="0"/>
            <w:vAlign w:val="center"/>
          </w:tcPr>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905" w:type="pct"/>
            <w:noWrap w:val="0"/>
            <w:vAlign w:val="center"/>
          </w:tcPr>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986" w:type="pct"/>
            <w:noWrap w:val="0"/>
            <w:vAlign w:val="center"/>
          </w:tcPr>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564" w:type="pct"/>
            <w:noWrap w:val="0"/>
            <w:vAlign w:val="center"/>
          </w:tcPr>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pct"/>
            <w:noWrap w:val="0"/>
            <w:vAlign w:val="center"/>
          </w:tcPr>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3456" w:type="pct"/>
            <w:gridSpan w:val="3"/>
            <w:noWrap w:val="0"/>
            <w:vAlign w:val="center"/>
          </w:tcPr>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bl>
    <w:p>
      <w:pPr>
        <w:topLinePunct/>
        <w:autoSpaceDE w:val="0"/>
        <w:autoSpaceDN w:val="0"/>
        <w:spacing w:line="500" w:lineRule="exact"/>
        <w:rPr>
          <w:rFonts w:hint="eastAsia" w:ascii="宋体" w:hAnsi="宋体" w:eastAsia="宋体" w:cs="宋体"/>
          <w:color w:val="auto"/>
          <w:sz w:val="24"/>
          <w:szCs w:val="24"/>
          <w:highlight w:val="none"/>
        </w:rPr>
      </w:pPr>
    </w:p>
    <w:p>
      <w:pPr>
        <w:tabs>
          <w:tab w:val="left" w:pos="1230"/>
        </w:tabs>
        <w:topLinePunct/>
        <w:autoSpaceDE w:val="0"/>
        <w:autoSpaceDN w:val="0"/>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rPr>
        <w:t>（全称并加盖公章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pPr>
        <w:tabs>
          <w:tab w:val="left" w:pos="1230"/>
        </w:tabs>
        <w:topLinePunct/>
        <w:autoSpaceDE w:val="0"/>
        <w:autoSpaceDN w:val="0"/>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授权代表（签字或盖章）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pPr>
        <w:tabs>
          <w:tab w:val="left" w:pos="1230"/>
        </w:tabs>
        <w:topLinePunct/>
        <w:autoSpaceDE w:val="0"/>
        <w:autoSpaceDN w:val="0"/>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pPr>
        <w:pStyle w:val="14"/>
        <w:ind w:firstLine="480" w:firstLineChars="200"/>
        <w:rPr>
          <w:rFonts w:hint="eastAsia" w:ascii="宋体" w:hAnsi="宋体" w:eastAsia="宋体" w:cs="宋体"/>
          <w:color w:val="auto"/>
          <w:sz w:val="24"/>
          <w:szCs w:val="24"/>
          <w:highlight w:val="none"/>
        </w:rPr>
      </w:pPr>
    </w:p>
    <w:p>
      <w:pPr>
        <w:widowControl/>
        <w:spacing w:after="0" w:line="24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8"/>
          <w:szCs w:val="28"/>
          <w:highlight w:val="none"/>
        </w:rPr>
        <w:t>5-</w:t>
      </w: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 xml:space="preserve"> 财务状况报告</w:t>
      </w:r>
    </w:p>
    <w:p>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根据资格条件要求提供相应材料。</w:t>
      </w:r>
    </w:p>
    <w:p>
      <w:pPr>
        <w:spacing w:line="360" w:lineRule="auto"/>
        <w:ind w:firstLine="480" w:firstLineChars="200"/>
        <w:jc w:val="left"/>
        <w:rPr>
          <w:rFonts w:hint="eastAsia" w:ascii="宋体" w:hAnsi="宋体" w:eastAsia="宋体" w:cs="宋体"/>
          <w:color w:val="auto"/>
          <w:kern w:val="0"/>
          <w:sz w:val="24"/>
          <w:szCs w:val="24"/>
          <w:highlight w:val="none"/>
        </w:rPr>
      </w:pPr>
    </w:p>
    <w:p>
      <w:pPr>
        <w:spacing w:line="360" w:lineRule="auto"/>
        <w:ind w:firstLine="480" w:firstLineChars="200"/>
        <w:jc w:val="left"/>
        <w:rPr>
          <w:rFonts w:hint="eastAsia" w:ascii="宋体" w:hAnsi="宋体" w:eastAsia="宋体" w:cs="宋体"/>
          <w:color w:val="auto"/>
          <w:kern w:val="0"/>
          <w:sz w:val="24"/>
          <w:szCs w:val="24"/>
          <w:highlight w:val="none"/>
        </w:rPr>
      </w:pPr>
    </w:p>
    <w:p>
      <w:pPr>
        <w:adjustRightInd w:val="0"/>
        <w:snapToGrid w:val="0"/>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5-</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依法缴纳税收的相关材料</w:t>
      </w:r>
    </w:p>
    <w:p>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根据资格条件要求提供相应材料。</w:t>
      </w:r>
    </w:p>
    <w:p>
      <w:pPr>
        <w:spacing w:line="360" w:lineRule="auto"/>
        <w:ind w:firstLine="480" w:firstLineChars="200"/>
        <w:jc w:val="left"/>
        <w:rPr>
          <w:rFonts w:hint="eastAsia" w:ascii="宋体" w:hAnsi="宋体" w:eastAsia="宋体" w:cs="宋体"/>
          <w:color w:val="auto"/>
          <w:kern w:val="0"/>
          <w:sz w:val="24"/>
          <w:szCs w:val="24"/>
          <w:highlight w:val="none"/>
        </w:rPr>
      </w:pPr>
    </w:p>
    <w:p>
      <w:pPr>
        <w:spacing w:line="360" w:lineRule="auto"/>
        <w:ind w:firstLine="480" w:firstLineChars="200"/>
        <w:jc w:val="left"/>
        <w:rPr>
          <w:rFonts w:hint="eastAsia" w:ascii="宋体" w:hAnsi="宋体" w:eastAsia="宋体" w:cs="宋体"/>
          <w:color w:val="auto"/>
          <w:kern w:val="0"/>
          <w:sz w:val="24"/>
          <w:szCs w:val="24"/>
          <w:highlight w:val="none"/>
        </w:rPr>
      </w:pPr>
    </w:p>
    <w:p>
      <w:pPr>
        <w:adjustRightInd w:val="0"/>
        <w:snapToGrid w:val="0"/>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5-</w:t>
      </w: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依法缴纳社会保障资金的相关材料</w:t>
      </w:r>
    </w:p>
    <w:p>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根据资格条件要求提供相应材料。</w:t>
      </w:r>
    </w:p>
    <w:p>
      <w:pPr>
        <w:spacing w:line="360" w:lineRule="auto"/>
        <w:ind w:firstLine="480" w:firstLineChars="200"/>
        <w:jc w:val="left"/>
        <w:rPr>
          <w:rFonts w:hint="eastAsia" w:ascii="宋体" w:hAnsi="宋体" w:eastAsia="宋体" w:cs="宋体"/>
          <w:color w:val="auto"/>
          <w:kern w:val="0"/>
          <w:sz w:val="24"/>
          <w:szCs w:val="24"/>
          <w:highlight w:val="none"/>
        </w:rPr>
      </w:pPr>
    </w:p>
    <w:p>
      <w:pPr>
        <w:spacing w:line="360" w:lineRule="auto"/>
        <w:ind w:firstLine="480" w:firstLineChars="200"/>
        <w:jc w:val="left"/>
        <w:rPr>
          <w:rFonts w:hint="eastAsia" w:ascii="宋体" w:hAnsi="宋体" w:eastAsia="宋体" w:cs="宋体"/>
          <w:color w:val="auto"/>
          <w:kern w:val="0"/>
          <w:sz w:val="24"/>
          <w:szCs w:val="24"/>
          <w:highlight w:val="none"/>
        </w:rPr>
      </w:pPr>
    </w:p>
    <w:p>
      <w:pPr>
        <w:adjustRightInd w:val="0"/>
        <w:snapToGrid w:val="0"/>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5-</w:t>
      </w: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具备履行合同所必需的设备和专业技术能力的声明函</w:t>
      </w:r>
    </w:p>
    <w:p>
      <w:pPr>
        <w:pStyle w:val="14"/>
        <w:snapToGrid w:val="0"/>
        <w:spacing w:line="360" w:lineRule="auto"/>
        <w:rPr>
          <w:rFonts w:hint="eastAsia" w:ascii="宋体" w:hAnsi="宋体" w:eastAsia="宋体" w:cs="宋体"/>
          <w:color w:val="auto"/>
          <w:sz w:val="24"/>
          <w:szCs w:val="24"/>
          <w:highlight w:val="none"/>
        </w:rPr>
      </w:pPr>
    </w:p>
    <w:p>
      <w:pPr>
        <w:pStyle w:val="14"/>
        <w:keepNext w:val="0"/>
        <w:keepLines w:val="0"/>
        <w:pageBreakBefore w:val="0"/>
        <w:kinsoku/>
        <w:wordWrap/>
        <w:overflowPunct/>
        <w:topLinePunct w:val="0"/>
        <w:autoSpaceDE/>
        <w:autoSpaceDN/>
        <w:bidi w:val="0"/>
        <w:adjustRightInd/>
        <w:snapToGrid w:val="0"/>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致________（采购人或采购代理机构）：</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400" w:lineRule="exact"/>
        <w:ind w:firstLine="420"/>
        <w:textAlignment w:val="auto"/>
        <w:rPr>
          <w:rFonts w:hint="eastAsia" w:ascii="宋体" w:hAnsi="宋体" w:cs="宋体"/>
          <w:color w:val="auto"/>
          <w:kern w:val="2"/>
        </w:rPr>
      </w:pPr>
      <w:r>
        <w:rPr>
          <w:rFonts w:hint="eastAsia" w:ascii="宋体" w:hAnsi="宋体" w:cs="宋体"/>
          <w:color w:val="auto"/>
          <w:kern w:val="2"/>
        </w:rPr>
        <w:t>我方具备履行合同所必需的设备和专业技术能力，否则产生不利后果由我方承担责任。</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400" w:lineRule="exact"/>
        <w:ind w:firstLine="420"/>
        <w:textAlignment w:val="auto"/>
        <w:rPr>
          <w:rFonts w:hint="eastAsia" w:ascii="宋体" w:hAnsi="宋体" w:eastAsia="宋体" w:cs="宋体"/>
          <w:color w:val="auto"/>
          <w:kern w:val="2"/>
          <w:lang w:eastAsia="zh-CN"/>
        </w:rPr>
      </w:pPr>
      <w:r>
        <w:rPr>
          <w:rFonts w:hint="eastAsia" w:ascii="宋体" w:hAnsi="宋体" w:cs="宋体"/>
          <w:color w:val="auto"/>
          <w:kern w:val="2"/>
        </w:rPr>
        <w:t>特此声明</w:t>
      </w:r>
      <w:r>
        <w:rPr>
          <w:rFonts w:hint="eastAsia" w:ascii="宋体" w:hAnsi="宋体" w:cs="宋体"/>
          <w:color w:val="auto"/>
          <w:kern w:val="2"/>
          <w:lang w:eastAsia="zh-CN"/>
        </w:rPr>
        <w:t>！</w:t>
      </w:r>
    </w:p>
    <w:p>
      <w:pPr>
        <w:keepNext w:val="0"/>
        <w:keepLines w:val="0"/>
        <w:pageBreakBefore w:val="0"/>
        <w:kinsoku/>
        <w:wordWrap/>
        <w:overflowPunct/>
        <w:topLinePunct w:val="0"/>
        <w:autoSpaceDE/>
        <w:autoSpaceDN/>
        <w:bidi w:val="0"/>
        <w:adjustRightInd/>
        <w:spacing w:beforeAutospacing="0" w:afterAutospacing="0" w:line="400" w:lineRule="exact"/>
        <w:ind w:firstLine="480" w:firstLineChars="200"/>
        <w:jc w:val="left"/>
        <w:textAlignment w:val="auto"/>
        <w:rPr>
          <w:rFonts w:hint="eastAsia" w:ascii="宋体" w:hAnsi="宋体" w:eastAsia="宋体" w:cs="宋体"/>
          <w:color w:val="auto"/>
          <w:kern w:val="0"/>
          <w:sz w:val="24"/>
          <w:szCs w:val="24"/>
          <w:highlight w:val="none"/>
        </w:rPr>
      </w:pPr>
    </w:p>
    <w:p>
      <w:pPr>
        <w:keepNext w:val="0"/>
        <w:keepLines w:val="0"/>
        <w:pageBreakBefore w:val="0"/>
        <w:kinsoku/>
        <w:wordWrap/>
        <w:overflowPunct/>
        <w:topLinePunct w:val="0"/>
        <w:autoSpaceDE/>
        <w:autoSpaceDN/>
        <w:bidi w:val="0"/>
        <w:adjustRightInd/>
        <w:snapToGrid w:val="0"/>
        <w:spacing w:beforeAutospacing="0" w:afterAutospacing="0"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（请供应商根据实际情况如实声明，否则视为提供虚假材料。）</w:t>
      </w:r>
    </w:p>
    <w:p>
      <w:pPr>
        <w:snapToGrid w:val="0"/>
        <w:spacing w:after="0" w:line="360" w:lineRule="auto"/>
        <w:ind w:firstLine="480" w:firstLineChars="200"/>
        <w:rPr>
          <w:rFonts w:hint="eastAsia" w:ascii="宋体" w:hAnsi="宋体" w:eastAsia="宋体" w:cs="宋体"/>
          <w:color w:val="auto"/>
          <w:sz w:val="24"/>
          <w:szCs w:val="24"/>
          <w:highlight w:val="none"/>
        </w:rPr>
      </w:pPr>
    </w:p>
    <w:p>
      <w:pPr>
        <w:tabs>
          <w:tab w:val="left" w:pos="1230"/>
        </w:tabs>
        <w:topLinePunct/>
        <w:autoSpaceDE w:val="0"/>
        <w:autoSpaceDN w:val="0"/>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rPr>
        <w:t>（全称并加盖公章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pPr>
        <w:tabs>
          <w:tab w:val="left" w:pos="1230"/>
        </w:tabs>
        <w:topLinePunct/>
        <w:autoSpaceDE w:val="0"/>
        <w:autoSpaceDN w:val="0"/>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授权代表（签字或盖章）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pPr>
        <w:tabs>
          <w:tab w:val="left" w:pos="1230"/>
        </w:tabs>
        <w:topLinePunct/>
        <w:autoSpaceDE w:val="0"/>
        <w:autoSpaceDN w:val="0"/>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pPr>
        <w:adjustRightInd w:val="0"/>
        <w:snapToGrid w:val="0"/>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8"/>
          <w:szCs w:val="28"/>
          <w:highlight w:val="none"/>
        </w:rPr>
        <w:t>5-</w:t>
      </w: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sz w:val="28"/>
          <w:szCs w:val="28"/>
          <w:highlight w:val="none"/>
        </w:rPr>
        <w:t>参加本次政府采购活动前三年内在经营活动中</w:t>
      </w:r>
    </w:p>
    <w:p>
      <w:pPr>
        <w:adjustRightInd w:val="0"/>
        <w:snapToGrid w:val="0"/>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没有重大违法记录的书面声明</w:t>
      </w:r>
    </w:p>
    <w:p>
      <w:pPr>
        <w:pStyle w:val="14"/>
        <w:topLinePunct/>
        <w:autoSpaceDE w:val="0"/>
        <w:autoSpaceDN w:val="0"/>
        <w:snapToGrid w:val="0"/>
        <w:spacing w:line="360" w:lineRule="auto"/>
        <w:jc w:val="center"/>
        <w:rPr>
          <w:rFonts w:hint="eastAsia" w:ascii="宋体" w:hAnsi="宋体" w:eastAsia="宋体" w:cs="宋体"/>
          <w:b/>
          <w:color w:val="auto"/>
          <w:w w:val="150"/>
          <w:sz w:val="24"/>
          <w:szCs w:val="24"/>
          <w:highlight w:val="none"/>
        </w:rPr>
      </w:pPr>
    </w:p>
    <w:p>
      <w:pPr>
        <w:pStyle w:val="14"/>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致________（采购人或采购代理机构）：</w:t>
      </w:r>
    </w:p>
    <w:p>
      <w:pPr>
        <w:pStyle w:val="1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我单位在参加本次采购活动前三年内在经营活动中没有《政府采购法》第二十二条第一款第（五）项所称重大违法记录，包括：</w:t>
      </w:r>
    </w:p>
    <w:p>
      <w:pPr>
        <w:pStyle w:val="1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我单位未因经营活动中的违法行为受到刑事处罚或者责令停产停业、吊销许可证或者执照、较大数额罚款等行政处罚。</w:t>
      </w:r>
    </w:p>
    <w:p>
      <w:pPr>
        <w:pStyle w:val="1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snapToGrid w:val="0"/>
        <w:spacing w:after="0" w:line="360" w:lineRule="auto"/>
        <w:ind w:firstLine="480" w:firstLineChars="200"/>
        <w:rPr>
          <w:rFonts w:hint="eastAsia" w:ascii="宋体" w:hAnsi="宋体" w:eastAsia="宋体" w:cs="宋体"/>
          <w:color w:val="auto"/>
          <w:sz w:val="24"/>
          <w:szCs w:val="24"/>
          <w:highlight w:val="none"/>
        </w:rPr>
      </w:pPr>
    </w:p>
    <w:p>
      <w:pPr>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（请供应商根据实际情况如实声明，否则视为提供虚假材料。）</w:t>
      </w:r>
    </w:p>
    <w:p>
      <w:pPr>
        <w:snapToGrid w:val="0"/>
        <w:spacing w:after="0" w:line="360" w:lineRule="auto"/>
        <w:ind w:firstLine="480" w:firstLineChars="200"/>
        <w:rPr>
          <w:rFonts w:hint="eastAsia" w:ascii="宋体" w:hAnsi="宋体" w:eastAsia="宋体" w:cs="宋体"/>
          <w:color w:val="auto"/>
          <w:sz w:val="24"/>
          <w:szCs w:val="24"/>
          <w:highlight w:val="none"/>
        </w:rPr>
      </w:pPr>
    </w:p>
    <w:p>
      <w:pPr>
        <w:tabs>
          <w:tab w:val="left" w:pos="1230"/>
        </w:tabs>
        <w:topLinePunct/>
        <w:autoSpaceDE w:val="0"/>
        <w:autoSpaceDN w:val="0"/>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rPr>
        <w:t>（全称并加盖公章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pPr>
        <w:tabs>
          <w:tab w:val="left" w:pos="1230"/>
        </w:tabs>
        <w:topLinePunct/>
        <w:autoSpaceDE w:val="0"/>
        <w:autoSpaceDN w:val="0"/>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授权代表（签字或盖章）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pPr>
        <w:tabs>
          <w:tab w:val="left" w:pos="1230"/>
        </w:tabs>
        <w:topLinePunct/>
        <w:autoSpaceDE w:val="0"/>
        <w:autoSpaceDN w:val="0"/>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pPr>
        <w:keepNext w:val="0"/>
        <w:keepLines w:val="0"/>
        <w:pageBreakBefore w:val="0"/>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28"/>
          <w:szCs w:val="28"/>
          <w:highlight w:val="none"/>
        </w:rPr>
        <w:t>5-</w:t>
      </w:r>
      <w:r>
        <w:rPr>
          <w:rFonts w:hint="eastAsia" w:ascii="宋体" w:hAnsi="宋体" w:eastAsia="宋体" w:cs="宋体"/>
          <w:b/>
          <w:bCs/>
          <w:color w:val="auto"/>
          <w:sz w:val="28"/>
          <w:szCs w:val="28"/>
          <w:highlight w:val="none"/>
          <w:lang w:val="en-US" w:eastAsia="zh-CN"/>
        </w:rPr>
        <w:t>7</w:t>
      </w:r>
      <w:r>
        <w:rPr>
          <w:rFonts w:hint="eastAsia" w:ascii="宋体" w:hAnsi="宋体" w:eastAsia="宋体" w:cs="宋体"/>
          <w:b/>
          <w:bCs/>
          <w:color w:val="auto"/>
          <w:sz w:val="28"/>
          <w:szCs w:val="28"/>
          <w:highlight w:val="none"/>
        </w:rPr>
        <w:t>参加政府采购活动前</w:t>
      </w:r>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rPr>
        <w:t>年内无行贿犯罪记录的书面声明</w:t>
      </w:r>
    </w:p>
    <w:p>
      <w:pPr>
        <w:widowControl/>
        <w:spacing w:after="0" w:line="240" w:lineRule="auto"/>
        <w:jc w:val="center"/>
        <w:rPr>
          <w:rFonts w:hint="eastAsia" w:ascii="宋体" w:hAnsi="宋体" w:eastAsia="宋体" w:cs="宋体"/>
          <w:color w:val="auto"/>
          <w:sz w:val="24"/>
          <w:szCs w:val="24"/>
          <w:highlight w:val="none"/>
        </w:rPr>
      </w:pPr>
    </w:p>
    <w:p>
      <w:pPr>
        <w:pStyle w:val="14"/>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致________（采购人或采购代理机构）：</w:t>
      </w:r>
    </w:p>
    <w:p>
      <w:pPr>
        <w:pStyle w:val="14"/>
        <w:spacing w:line="400" w:lineRule="exact"/>
        <w:ind w:firstLine="480" w:firstLineChars="200"/>
        <w:rPr>
          <w:rFonts w:hint="eastAsia" w:hAnsi="宋体" w:cs="宋体"/>
          <w:color w:val="auto"/>
          <w:sz w:val="24"/>
          <w:szCs w:val="24"/>
        </w:rPr>
      </w:pPr>
      <w:r>
        <w:rPr>
          <w:rFonts w:hint="eastAsia" w:hAnsi="宋体" w:cs="宋体"/>
          <w:color w:val="auto"/>
          <w:sz w:val="24"/>
          <w:szCs w:val="24"/>
        </w:rPr>
        <w:t>我单位在参加采购活动前三年内无行贿犯罪记录。</w:t>
      </w:r>
    </w:p>
    <w:p>
      <w:pPr>
        <w:pStyle w:val="1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snapToGrid w:val="0"/>
        <w:spacing w:after="0" w:line="360" w:lineRule="auto"/>
        <w:ind w:firstLine="480" w:firstLineChars="200"/>
        <w:rPr>
          <w:rFonts w:hint="eastAsia" w:ascii="宋体" w:hAnsi="宋体" w:eastAsia="宋体" w:cs="宋体"/>
          <w:color w:val="auto"/>
          <w:sz w:val="24"/>
          <w:szCs w:val="24"/>
          <w:highlight w:val="none"/>
        </w:rPr>
      </w:pPr>
    </w:p>
    <w:p>
      <w:pPr>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（请供应商根据实际情况如实声明，否则视为提供虚假材料。）</w:t>
      </w:r>
    </w:p>
    <w:p>
      <w:pPr>
        <w:snapToGrid w:val="0"/>
        <w:spacing w:after="0" w:line="360" w:lineRule="auto"/>
        <w:ind w:firstLine="480" w:firstLineChars="200"/>
        <w:rPr>
          <w:rFonts w:hint="eastAsia" w:ascii="宋体" w:hAnsi="宋体" w:eastAsia="宋体" w:cs="宋体"/>
          <w:color w:val="auto"/>
          <w:sz w:val="24"/>
          <w:szCs w:val="24"/>
          <w:highlight w:val="none"/>
        </w:rPr>
      </w:pPr>
    </w:p>
    <w:p>
      <w:pPr>
        <w:tabs>
          <w:tab w:val="left" w:pos="1230"/>
        </w:tabs>
        <w:topLinePunct/>
        <w:autoSpaceDE w:val="0"/>
        <w:autoSpaceDN w:val="0"/>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rPr>
        <w:t>（全称并加盖公章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pPr>
        <w:tabs>
          <w:tab w:val="left" w:pos="1230"/>
        </w:tabs>
        <w:topLinePunct/>
        <w:autoSpaceDE w:val="0"/>
        <w:autoSpaceDN w:val="0"/>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授权代表（签字或盖章）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pPr>
        <w:tabs>
          <w:tab w:val="left" w:pos="1230"/>
        </w:tabs>
        <w:topLinePunct/>
        <w:autoSpaceDE w:val="0"/>
        <w:autoSpaceDN w:val="0"/>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pPr>
        <w:widowControl/>
        <w:spacing w:after="0" w:line="240" w:lineRule="auto"/>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28"/>
          <w:szCs w:val="28"/>
          <w:highlight w:val="none"/>
        </w:rPr>
        <w:t>5-</w:t>
      </w:r>
      <w:r>
        <w:rPr>
          <w:rFonts w:hint="eastAsia" w:ascii="宋体" w:hAnsi="宋体" w:eastAsia="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具备法律、行政法规规定的其他条件的证明材料</w:t>
      </w:r>
    </w:p>
    <w:p>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根据资格条件要求提供相应材料。</w:t>
      </w:r>
    </w:p>
    <w:p>
      <w:pPr>
        <w:snapToGrid w:val="0"/>
        <w:spacing w:after="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32"/>
          <w:szCs w:val="32"/>
          <w:highlight w:val="none"/>
        </w:rPr>
        <w:t>格式6  中小企业声明函</w:t>
      </w:r>
    </w:p>
    <w:p>
      <w:pPr>
        <w:widowControl/>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中小企业声明函（工程、服务）</w:t>
      </w:r>
    </w:p>
    <w:p>
      <w:pPr>
        <w:widowControl/>
        <w:spacing w:after="0" w:line="360" w:lineRule="auto"/>
        <w:ind w:firstLine="480" w:firstLineChars="200"/>
        <w:jc w:val="left"/>
        <w:rPr>
          <w:rFonts w:hint="eastAsia" w:ascii="宋体" w:hAnsi="宋体" w:eastAsia="宋体" w:cs="宋体"/>
          <w:color w:val="auto"/>
          <w:kern w:val="0"/>
          <w:sz w:val="24"/>
          <w:szCs w:val="24"/>
          <w:highlight w:val="none"/>
        </w:rPr>
      </w:pPr>
    </w:p>
    <w:p>
      <w:pPr>
        <w:pStyle w:val="1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i w:val="0"/>
          <w:iCs w:val="0"/>
          <w:color w:val="auto"/>
          <w:sz w:val="24"/>
          <w:szCs w:val="24"/>
          <w:highlight w:val="none"/>
          <w:u w:val="single"/>
        </w:rPr>
        <w:t>国家税务总局</w:t>
      </w:r>
      <w:r>
        <w:rPr>
          <w:rFonts w:hint="eastAsia" w:ascii="宋体" w:hAnsi="宋体" w:eastAsia="宋体" w:cs="宋体"/>
          <w:i w:val="0"/>
          <w:iCs w:val="0"/>
          <w:color w:val="auto"/>
          <w:sz w:val="24"/>
          <w:szCs w:val="24"/>
          <w:highlight w:val="none"/>
          <w:u w:val="single"/>
          <w:lang w:eastAsia="zh-CN"/>
        </w:rPr>
        <w:t>南平市税务局</w:t>
      </w:r>
      <w:r>
        <w:rPr>
          <w:rFonts w:hint="eastAsia" w:ascii="宋体" w:hAnsi="宋体" w:eastAsia="宋体" w:cs="宋体"/>
          <w:color w:val="auto"/>
          <w:sz w:val="24"/>
          <w:szCs w:val="24"/>
          <w:highlight w:val="none"/>
        </w:rPr>
        <w:t>的</w:t>
      </w:r>
      <w:r>
        <w:rPr>
          <w:rFonts w:hint="eastAsia" w:hAnsi="宋体" w:cs="宋体"/>
          <w:i w:val="0"/>
          <w:iCs w:val="0"/>
          <w:color w:val="auto"/>
          <w:sz w:val="24"/>
          <w:szCs w:val="24"/>
          <w:highlight w:val="none"/>
          <w:u w:val="single"/>
          <w:lang w:eastAsia="zh-CN"/>
        </w:rPr>
        <w:t>国家税务总局南平市税务局12366热线服务外包采购项目</w:t>
      </w:r>
      <w:r>
        <w:rPr>
          <w:rFonts w:hint="eastAsia" w:ascii="宋体" w:hAnsi="宋体" w:eastAsia="宋体" w:cs="宋体"/>
          <w:color w:val="auto"/>
          <w:sz w:val="24"/>
          <w:szCs w:val="24"/>
          <w:highlight w:val="none"/>
        </w:rPr>
        <w:t>采购活动，服务全部由符合政策要求的中小企业承接。相关企业（含联合体中的中小企业、签订分包意向协议的中小企业）的具体情况如下：</w:t>
      </w:r>
    </w:p>
    <w:p>
      <w:pPr>
        <w:pStyle w:val="14"/>
        <w:snapToGrid w:val="0"/>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i w:val="0"/>
          <w:iCs w:val="0"/>
          <w:color w:val="auto"/>
          <w:sz w:val="24"/>
          <w:szCs w:val="24"/>
          <w:highlight w:val="none"/>
        </w:rPr>
        <w:t>.</w:t>
      </w:r>
      <w:r>
        <w:rPr>
          <w:rFonts w:hint="eastAsia" w:hAnsi="宋体" w:cs="宋体"/>
          <w:i w:val="0"/>
          <w:iCs w:val="0"/>
          <w:color w:val="auto"/>
          <w:sz w:val="24"/>
          <w:szCs w:val="24"/>
          <w:highlight w:val="none"/>
          <w:u w:val="single"/>
          <w:lang w:eastAsia="zh-CN"/>
        </w:rPr>
        <w:t>国家税务总局南平市税务局12366热线服务外包采购项目</w:t>
      </w:r>
      <w:r>
        <w:rPr>
          <w:rFonts w:hint="eastAsia" w:ascii="宋体" w:hAnsi="宋体" w:eastAsia="宋体" w:cs="宋体"/>
          <w:i w:val="0"/>
          <w:iCs w:val="0"/>
          <w:color w:val="auto"/>
          <w:sz w:val="24"/>
          <w:szCs w:val="24"/>
          <w:highlight w:val="none"/>
        </w:rPr>
        <w:t>，</w:t>
      </w:r>
      <w:r>
        <w:rPr>
          <w:rFonts w:hint="eastAsia" w:ascii="宋体" w:hAnsi="宋体" w:eastAsia="宋体" w:cs="宋体"/>
          <w:color w:val="auto"/>
          <w:sz w:val="24"/>
          <w:szCs w:val="24"/>
          <w:highlight w:val="none"/>
        </w:rPr>
        <w:t>属于</w:t>
      </w:r>
      <w:r>
        <w:rPr>
          <w:rFonts w:hint="eastAsia" w:ascii="宋体" w:hAnsi="宋体" w:eastAsia="宋体" w:cs="宋体"/>
          <w:i w:val="0"/>
          <w:iCs w:val="0"/>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w:t>
      </w:r>
      <w:r>
        <w:rPr>
          <w:rFonts w:hint="eastAsia" w:ascii="宋体" w:hAnsi="宋体" w:eastAsia="宋体" w:cs="宋体"/>
          <w:i w:val="0"/>
          <w:iCs w:val="0"/>
          <w:color w:val="auto"/>
          <w:sz w:val="24"/>
          <w:szCs w:val="24"/>
          <w:highlight w:val="none"/>
        </w:rPr>
        <w:t>）企业为</w:t>
      </w:r>
      <w:r>
        <w:rPr>
          <w:rFonts w:hint="eastAsia" w:ascii="宋体" w:hAnsi="宋体" w:eastAsia="宋体" w:cs="宋体"/>
          <w:i w:val="0"/>
          <w:iCs w:val="0"/>
          <w:color w:val="auto"/>
          <w:sz w:val="24"/>
          <w:szCs w:val="24"/>
          <w:highlight w:val="none"/>
          <w:u w:val="single"/>
        </w:rPr>
        <w:t>（企业名称）</w:t>
      </w:r>
      <w:r>
        <w:rPr>
          <w:rFonts w:hint="eastAsia" w:ascii="宋体" w:hAnsi="宋体" w:eastAsia="宋体" w:cs="宋体"/>
          <w:i w:val="0"/>
          <w:iCs w:val="0"/>
          <w:color w:val="auto"/>
          <w:sz w:val="24"/>
          <w:szCs w:val="24"/>
          <w:highlight w:val="none"/>
        </w:rPr>
        <w:t>，从业人员</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人，营业收入为</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万元，资产总额为</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万元</w:t>
      </w:r>
      <w:r>
        <w:rPr>
          <w:rFonts w:hint="eastAsia" w:ascii="宋体" w:hAnsi="宋体" w:eastAsia="宋体" w:cs="宋体"/>
          <w:i w:val="0"/>
          <w:iCs w:val="0"/>
          <w:color w:val="auto"/>
          <w:sz w:val="24"/>
          <w:szCs w:val="24"/>
          <w:highlight w:val="none"/>
          <w:vertAlign w:val="superscript"/>
        </w:rPr>
        <w:t>1</w:t>
      </w:r>
      <w:r>
        <w:rPr>
          <w:rFonts w:hint="eastAsia" w:ascii="宋体" w:hAnsi="宋体" w:eastAsia="宋体" w:cs="宋体"/>
          <w:i w:val="0"/>
          <w:iCs w:val="0"/>
          <w:color w:val="auto"/>
          <w:sz w:val="24"/>
          <w:szCs w:val="24"/>
          <w:highlight w:val="none"/>
        </w:rPr>
        <w:t>，属于</w:t>
      </w:r>
      <w:r>
        <w:rPr>
          <w:rFonts w:hint="eastAsia" w:ascii="宋体" w:hAnsi="宋体" w:eastAsia="宋体" w:cs="宋体"/>
          <w:i w:val="0"/>
          <w:iCs w:val="0"/>
          <w:color w:val="auto"/>
          <w:sz w:val="24"/>
          <w:szCs w:val="24"/>
          <w:highlight w:val="none"/>
          <w:u w:val="single"/>
        </w:rPr>
        <w:t>（中型企业、小型企业、微型企业）</w:t>
      </w:r>
      <w:r>
        <w:rPr>
          <w:rFonts w:hint="eastAsia" w:ascii="宋体" w:hAnsi="宋体" w:eastAsia="宋体" w:cs="宋体"/>
          <w:i w:val="0"/>
          <w:iCs w:val="0"/>
          <w:color w:val="auto"/>
          <w:sz w:val="24"/>
          <w:szCs w:val="24"/>
          <w:highlight w:val="none"/>
        </w:rPr>
        <w:t xml:space="preserve">； </w:t>
      </w:r>
    </w:p>
    <w:p>
      <w:pPr>
        <w:pStyle w:val="14"/>
        <w:snapToGrid w:val="0"/>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u w:val="single"/>
        </w:rPr>
        <w:t xml:space="preserve"> （标的名称） </w:t>
      </w:r>
      <w:r>
        <w:rPr>
          <w:rFonts w:hint="eastAsia" w:ascii="宋体" w:hAnsi="宋体" w:eastAsia="宋体" w:cs="宋体"/>
          <w:i w:val="0"/>
          <w:iCs w:val="0"/>
          <w:color w:val="auto"/>
          <w:sz w:val="24"/>
          <w:szCs w:val="24"/>
          <w:highlight w:val="none"/>
        </w:rPr>
        <w:t>，属于</w:t>
      </w:r>
      <w:r>
        <w:rPr>
          <w:rFonts w:hint="eastAsia" w:ascii="宋体" w:hAnsi="宋体" w:eastAsia="宋体" w:cs="宋体"/>
          <w:i w:val="0"/>
          <w:iCs w:val="0"/>
          <w:color w:val="auto"/>
          <w:sz w:val="24"/>
          <w:szCs w:val="24"/>
          <w:highlight w:val="none"/>
          <w:u w:val="single"/>
        </w:rPr>
        <w:t>（采购文件中明确的所属行业）</w:t>
      </w:r>
      <w:r>
        <w:rPr>
          <w:rFonts w:hint="eastAsia" w:ascii="宋体" w:hAnsi="宋体" w:eastAsia="宋体" w:cs="宋体"/>
          <w:i w:val="0"/>
          <w:iCs w:val="0"/>
          <w:color w:val="auto"/>
          <w:sz w:val="24"/>
          <w:szCs w:val="24"/>
          <w:highlight w:val="none"/>
        </w:rPr>
        <w:t>；承建（承接）企业为</w:t>
      </w:r>
      <w:r>
        <w:rPr>
          <w:rFonts w:hint="eastAsia" w:ascii="宋体" w:hAnsi="宋体" w:eastAsia="宋体" w:cs="宋体"/>
          <w:i w:val="0"/>
          <w:iCs w:val="0"/>
          <w:color w:val="auto"/>
          <w:sz w:val="24"/>
          <w:szCs w:val="24"/>
          <w:highlight w:val="none"/>
          <w:u w:val="single"/>
        </w:rPr>
        <w:t>（企业名称）</w:t>
      </w:r>
      <w:r>
        <w:rPr>
          <w:rFonts w:hint="eastAsia" w:ascii="宋体" w:hAnsi="宋体" w:eastAsia="宋体" w:cs="宋体"/>
          <w:i w:val="0"/>
          <w:iCs w:val="0"/>
          <w:color w:val="auto"/>
          <w:sz w:val="24"/>
          <w:szCs w:val="24"/>
          <w:highlight w:val="none"/>
        </w:rPr>
        <w:t>，从业人员</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人，营业收入为</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万元，资产总额为</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万元</w:t>
      </w:r>
      <w:r>
        <w:rPr>
          <w:rFonts w:hint="eastAsia" w:ascii="宋体" w:hAnsi="宋体" w:eastAsia="宋体" w:cs="宋体"/>
          <w:i w:val="0"/>
          <w:iCs w:val="0"/>
          <w:color w:val="auto"/>
          <w:sz w:val="24"/>
          <w:szCs w:val="24"/>
          <w:highlight w:val="none"/>
          <w:vertAlign w:val="superscript"/>
        </w:rPr>
        <w:t>1</w:t>
      </w:r>
      <w:r>
        <w:rPr>
          <w:rFonts w:hint="eastAsia" w:ascii="宋体" w:hAnsi="宋体" w:eastAsia="宋体" w:cs="宋体"/>
          <w:i w:val="0"/>
          <w:iCs w:val="0"/>
          <w:color w:val="auto"/>
          <w:sz w:val="24"/>
          <w:szCs w:val="24"/>
          <w:highlight w:val="none"/>
        </w:rPr>
        <w:t>，属于</w:t>
      </w:r>
      <w:r>
        <w:rPr>
          <w:rFonts w:hint="eastAsia" w:ascii="宋体" w:hAnsi="宋体" w:eastAsia="宋体" w:cs="宋体"/>
          <w:i w:val="0"/>
          <w:iCs w:val="0"/>
          <w:color w:val="auto"/>
          <w:sz w:val="24"/>
          <w:szCs w:val="24"/>
          <w:highlight w:val="none"/>
          <w:u w:val="single"/>
        </w:rPr>
        <w:t>（中型企业、小型企业、微型企业）</w:t>
      </w:r>
      <w:r>
        <w:rPr>
          <w:rFonts w:hint="eastAsia" w:ascii="宋体" w:hAnsi="宋体" w:eastAsia="宋体" w:cs="宋体"/>
          <w:i w:val="0"/>
          <w:iCs w:val="0"/>
          <w:color w:val="auto"/>
          <w:sz w:val="24"/>
          <w:szCs w:val="24"/>
          <w:highlight w:val="none"/>
        </w:rPr>
        <w:t xml:space="preserve">； </w:t>
      </w:r>
    </w:p>
    <w:p>
      <w:pPr>
        <w:pStyle w:val="1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1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pStyle w:val="1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本企业对上述声明内容的真实性负责。如有虚假，将依法承担相应责任。 </w:t>
      </w:r>
    </w:p>
    <w:p>
      <w:pPr>
        <w:pStyle w:val="14"/>
        <w:snapToGrid w:val="0"/>
        <w:spacing w:line="360" w:lineRule="auto"/>
        <w:ind w:firstLine="480" w:firstLineChars="200"/>
        <w:rPr>
          <w:rFonts w:hint="eastAsia" w:ascii="宋体" w:hAnsi="宋体" w:eastAsia="宋体" w:cs="宋体"/>
          <w:color w:val="auto"/>
          <w:sz w:val="24"/>
          <w:szCs w:val="24"/>
          <w:highlight w:val="none"/>
        </w:rPr>
      </w:pPr>
    </w:p>
    <w:p>
      <w:pPr>
        <w:pStyle w:val="14"/>
        <w:snapToGrid w:val="0"/>
        <w:spacing w:line="360" w:lineRule="auto"/>
        <w:ind w:firstLine="480" w:firstLineChars="200"/>
        <w:rPr>
          <w:rFonts w:hint="eastAsia" w:ascii="宋体" w:hAnsi="宋体" w:eastAsia="宋体" w:cs="宋体"/>
          <w:color w:val="auto"/>
          <w:sz w:val="24"/>
          <w:szCs w:val="24"/>
          <w:highlight w:val="none"/>
        </w:rPr>
      </w:pPr>
    </w:p>
    <w:p>
      <w:pPr>
        <w:tabs>
          <w:tab w:val="left" w:pos="1230"/>
        </w:tabs>
        <w:topLinePunct/>
        <w:autoSpaceDE w:val="0"/>
        <w:autoSpaceDN w:val="0"/>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rPr>
        <w:t>（全称并加盖公章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pPr>
        <w:tabs>
          <w:tab w:val="left" w:pos="1230"/>
        </w:tabs>
        <w:topLinePunct/>
        <w:autoSpaceDE w:val="0"/>
        <w:autoSpaceDN w:val="0"/>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pPr>
        <w:pStyle w:val="14"/>
        <w:snapToGrid w:val="0"/>
        <w:spacing w:line="360" w:lineRule="auto"/>
        <w:ind w:firstLine="480" w:firstLineChars="200"/>
        <w:rPr>
          <w:rFonts w:hint="eastAsia" w:ascii="宋体" w:hAnsi="宋体" w:eastAsia="宋体" w:cs="宋体"/>
          <w:color w:val="auto"/>
          <w:sz w:val="24"/>
          <w:szCs w:val="24"/>
          <w:highlight w:val="none"/>
        </w:rPr>
      </w:pPr>
    </w:p>
    <w:p>
      <w:pPr>
        <w:pStyle w:val="14"/>
        <w:snapToGrid w:val="0"/>
        <w:spacing w:line="360" w:lineRule="auto"/>
        <w:ind w:firstLine="480" w:firstLineChars="200"/>
        <w:rPr>
          <w:rFonts w:hint="eastAsia" w:ascii="宋体" w:hAnsi="宋体" w:eastAsia="宋体" w:cs="宋体"/>
          <w:color w:val="auto"/>
          <w:sz w:val="24"/>
          <w:szCs w:val="24"/>
          <w:highlight w:val="none"/>
        </w:rPr>
      </w:pPr>
    </w:p>
    <w:p>
      <w:pPr>
        <w:widowControl/>
        <w:rPr>
          <w:rFonts w:hint="eastAsia" w:ascii="宋体" w:hAnsi="宋体" w:eastAsia="宋体" w:cs="宋体"/>
          <w:color w:val="auto"/>
          <w:sz w:val="24"/>
          <w:szCs w:val="24"/>
          <w:highlight w:val="none"/>
        </w:rPr>
      </w:pPr>
    </w:p>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1从业人员、营业收入、资产总额填报上一年度数据，无上一年度数据的新成立企业可不填报。</w:t>
      </w:r>
    </w:p>
    <w:p>
      <w:pPr>
        <w:pStyle w:val="14"/>
        <w:snapToGrid w:val="0"/>
        <w:spacing w:line="360" w:lineRule="auto"/>
        <w:ind w:firstLine="480" w:firstLineChars="200"/>
        <w:rPr>
          <w:rFonts w:hint="eastAsia" w:ascii="宋体" w:hAnsi="宋体" w:eastAsia="宋体" w:cs="宋体"/>
          <w:color w:val="auto"/>
          <w:sz w:val="24"/>
          <w:szCs w:val="24"/>
          <w:highlight w:val="none"/>
        </w:rPr>
      </w:pPr>
    </w:p>
    <w:p>
      <w:pPr>
        <w:pStyle w:val="14"/>
        <w:topLinePunct/>
        <w:autoSpaceDE w:val="0"/>
        <w:autoSpaceDN w:val="0"/>
        <w:spacing w:line="460" w:lineRule="exact"/>
        <w:jc w:val="center"/>
        <w:outlineLvl w:val="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br w:type="page"/>
      </w:r>
      <w:bookmarkStart w:id="110" w:name="_Toc15089"/>
      <w:bookmarkStart w:id="111" w:name="_Toc5684"/>
      <w:r>
        <w:rPr>
          <w:rFonts w:hint="eastAsia" w:ascii="宋体" w:hAnsi="宋体" w:eastAsia="宋体" w:cs="宋体"/>
          <w:b/>
          <w:bCs/>
          <w:color w:val="auto"/>
          <w:kern w:val="2"/>
          <w:sz w:val="32"/>
          <w:szCs w:val="32"/>
          <w:highlight w:val="none"/>
          <w:lang w:val="en-US" w:eastAsia="zh-CN" w:bidi="ar-SA"/>
        </w:rPr>
        <w:t>格式7  残疾人福利性单位声明函</w:t>
      </w:r>
      <w:bookmarkEnd w:id="110"/>
      <w:bookmarkEnd w:id="111"/>
    </w:p>
    <w:p>
      <w:pPr>
        <w:spacing w:line="588" w:lineRule="exact"/>
        <w:rPr>
          <w:rFonts w:hint="eastAsia" w:ascii="宋体" w:hAnsi="宋体" w:eastAsia="宋体" w:cs="宋体"/>
          <w:b/>
          <w:color w:val="auto"/>
          <w:spacing w:val="6"/>
          <w:sz w:val="24"/>
          <w:szCs w:val="24"/>
          <w:highlight w:val="none"/>
        </w:rPr>
      </w:pPr>
    </w:p>
    <w:p>
      <w:pPr>
        <w:spacing w:line="588"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pPr>
        <w:spacing w:line="588" w:lineRule="exact"/>
        <w:ind w:firstLine="504" w:firstLineChars="200"/>
        <w:rPr>
          <w:rFonts w:hint="eastAsia" w:ascii="宋体" w:hAnsi="宋体" w:eastAsia="宋体" w:cs="宋体"/>
          <w:color w:val="auto"/>
          <w:spacing w:val="6"/>
          <w:sz w:val="24"/>
          <w:szCs w:val="24"/>
          <w:highlight w:val="none"/>
        </w:rPr>
      </w:pPr>
    </w:p>
    <w:p>
      <w:pPr>
        <w:tabs>
          <w:tab w:val="left" w:pos="1230"/>
        </w:tabs>
        <w:topLinePunct/>
        <w:autoSpaceDE w:val="0"/>
        <w:autoSpaceDN w:val="0"/>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rPr>
        <w:t>（全称并加盖公章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pPr>
        <w:tabs>
          <w:tab w:val="left" w:pos="1230"/>
        </w:tabs>
        <w:topLinePunct/>
        <w:autoSpaceDE w:val="0"/>
        <w:autoSpaceDN w:val="0"/>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pPr>
        <w:topLinePunct/>
        <w:autoSpaceDE w:val="0"/>
        <w:autoSpaceDN w:val="0"/>
        <w:spacing w:line="460" w:lineRule="exact"/>
        <w:jc w:val="center"/>
        <w:rPr>
          <w:rFonts w:hint="eastAsia" w:ascii="宋体" w:hAnsi="宋体" w:eastAsia="宋体" w:cs="宋体"/>
          <w:color w:val="auto"/>
          <w:spacing w:val="6"/>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bookmarkStart w:id="112" w:name="_Toc2129800646"/>
      <w:bookmarkStart w:id="113" w:name="_Toc989815653"/>
      <w:bookmarkStart w:id="114" w:name="_Toc18814"/>
      <w:bookmarkStart w:id="115" w:name="_Toc1229686241"/>
      <w:bookmarkStart w:id="116" w:name="_Toc665197788"/>
      <w:bookmarkStart w:id="117" w:name="_Toc1093498656"/>
      <w:bookmarkStart w:id="118" w:name="_Toc315564887"/>
      <w:bookmarkStart w:id="119" w:name="_Toc240142232"/>
      <w:bookmarkStart w:id="120" w:name="_Toc579775874"/>
      <w:bookmarkStart w:id="121" w:name="_Toc1062827402"/>
      <w:r>
        <w:rPr>
          <w:rFonts w:hint="eastAsia" w:ascii="宋体" w:hAnsi="宋体" w:eastAsia="宋体" w:cs="宋体"/>
          <w:b/>
          <w:bCs/>
          <w:color w:val="auto"/>
          <w:sz w:val="24"/>
          <w:szCs w:val="24"/>
          <w:highlight w:val="none"/>
        </w:rPr>
        <w:br w:type="page"/>
      </w:r>
    </w:p>
    <w:p>
      <w:pPr>
        <w:adjustRightInd w:val="0"/>
        <w:snapToGrid w:val="0"/>
        <w:spacing w:after="0" w:line="360" w:lineRule="auto"/>
        <w:jc w:val="center"/>
        <w:rPr>
          <w:rFonts w:hint="eastAsia" w:ascii="宋体" w:hAnsi="宋体" w:eastAsia="宋体" w:cs="宋体"/>
          <w:b/>
          <w:bCs/>
          <w:color w:val="auto"/>
          <w:sz w:val="24"/>
          <w:szCs w:val="24"/>
          <w:highlight w:val="none"/>
        </w:rPr>
      </w:pPr>
    </w:p>
    <w:p>
      <w:pPr>
        <w:spacing w:line="600" w:lineRule="auto"/>
        <w:jc w:val="center"/>
        <w:rPr>
          <w:rFonts w:hint="eastAsia" w:ascii="宋体" w:hAnsi="宋体" w:eastAsia="宋体" w:cs="宋体"/>
          <w:b/>
          <w:color w:val="auto"/>
          <w:kern w:val="0"/>
          <w:sz w:val="24"/>
          <w:szCs w:val="24"/>
          <w:highlight w:val="none"/>
        </w:rPr>
      </w:pPr>
    </w:p>
    <w:p>
      <w:pPr>
        <w:pStyle w:val="12"/>
        <w:rPr>
          <w:rFonts w:hint="eastAsia" w:ascii="宋体" w:hAnsi="宋体" w:eastAsia="宋体" w:cs="宋体"/>
          <w:b/>
          <w:color w:val="auto"/>
          <w:kern w:val="0"/>
          <w:sz w:val="24"/>
          <w:szCs w:val="24"/>
          <w:highlight w:val="none"/>
        </w:rPr>
      </w:pPr>
    </w:p>
    <w:p>
      <w:pPr>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eastAsia" w:ascii="宋体" w:hAnsi="宋体" w:eastAsia="宋体" w:cs="宋体"/>
          <w:b/>
          <w:bCs w:val="0"/>
          <w:color w:val="auto"/>
          <w:kern w:val="0"/>
          <w:sz w:val="52"/>
          <w:szCs w:val="52"/>
          <w:highlight w:val="none"/>
        </w:rPr>
      </w:pPr>
      <w:r>
        <w:rPr>
          <w:rFonts w:hint="eastAsia" w:ascii="宋体" w:hAnsi="宋体" w:eastAsia="宋体" w:cs="宋体"/>
          <w:b/>
          <w:bCs w:val="0"/>
          <w:color w:val="auto"/>
          <w:kern w:val="0"/>
          <w:sz w:val="52"/>
          <w:szCs w:val="52"/>
          <w:highlight w:val="none"/>
        </w:rPr>
        <w:t>响  应  文  件</w:t>
      </w:r>
    </w:p>
    <w:p>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eastAsia" w:ascii="宋体" w:hAnsi="宋体" w:eastAsia="宋体" w:cs="宋体"/>
          <w:b/>
          <w:bCs w:val="0"/>
          <w:color w:val="auto"/>
          <w:kern w:val="0"/>
          <w:sz w:val="52"/>
          <w:szCs w:val="52"/>
          <w:highlight w:val="none"/>
        </w:rPr>
      </w:pPr>
      <w:r>
        <w:rPr>
          <w:rFonts w:hint="eastAsia" w:ascii="宋体" w:hAnsi="宋体" w:eastAsia="宋体" w:cs="宋体"/>
          <w:b/>
          <w:bCs w:val="0"/>
          <w:color w:val="auto"/>
          <w:kern w:val="0"/>
          <w:sz w:val="52"/>
          <w:szCs w:val="52"/>
          <w:highlight w:val="none"/>
          <w:lang w:val="en-US" w:eastAsia="zh-CN"/>
        </w:rPr>
        <w:t>技术</w:t>
      </w:r>
      <w:r>
        <w:rPr>
          <w:rFonts w:hint="eastAsia" w:ascii="宋体" w:hAnsi="宋体" w:eastAsia="宋体" w:cs="宋体"/>
          <w:b/>
          <w:bCs w:val="0"/>
          <w:color w:val="auto"/>
          <w:kern w:val="0"/>
          <w:sz w:val="52"/>
          <w:szCs w:val="52"/>
          <w:highlight w:val="none"/>
        </w:rPr>
        <w:t>部分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52"/>
          <w:szCs w:val="5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val="0"/>
          <w:color w:val="auto"/>
          <w:kern w:val="0"/>
          <w:sz w:val="52"/>
          <w:szCs w:val="52"/>
          <w:highlight w:val="none"/>
        </w:rPr>
      </w:pPr>
      <w:r>
        <w:rPr>
          <w:rFonts w:hint="eastAsia" w:ascii="宋体" w:hAnsi="宋体" w:eastAsia="宋体" w:cs="宋体"/>
          <w:b/>
          <w:bCs w:val="0"/>
          <w:color w:val="auto"/>
          <w:kern w:val="0"/>
          <w:sz w:val="52"/>
          <w:szCs w:val="52"/>
          <w:highlight w:val="none"/>
        </w:rPr>
        <w:t>（填写正本或副本）</w:t>
      </w:r>
    </w:p>
    <w:p>
      <w:pPr>
        <w:spacing w:line="360" w:lineRule="auto"/>
        <w:ind w:firstLine="640" w:firstLineChars="200"/>
        <w:jc w:val="center"/>
        <w:rPr>
          <w:rFonts w:hint="eastAsia" w:ascii="宋体" w:hAnsi="宋体" w:eastAsia="宋体" w:cs="宋体"/>
          <w:b w:val="0"/>
          <w:bCs/>
          <w:color w:val="auto"/>
          <w:kern w:val="0"/>
          <w:sz w:val="32"/>
          <w:szCs w:val="32"/>
          <w:highlight w:val="none"/>
        </w:rPr>
      </w:pPr>
    </w:p>
    <w:p>
      <w:pPr>
        <w:pStyle w:val="12"/>
        <w:rPr>
          <w:rFonts w:hint="eastAsia" w:ascii="宋体" w:hAnsi="宋体" w:eastAsia="宋体" w:cs="宋体"/>
          <w:b w:val="0"/>
          <w:bCs/>
          <w:color w:val="auto"/>
          <w:kern w:val="0"/>
          <w:sz w:val="32"/>
          <w:szCs w:val="32"/>
          <w:highlight w:val="none"/>
        </w:rPr>
      </w:pPr>
    </w:p>
    <w:p>
      <w:pPr>
        <w:rPr>
          <w:rFonts w:hint="eastAsia" w:ascii="宋体" w:hAnsi="宋体" w:eastAsia="宋体" w:cs="宋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宋体" w:hAnsi="宋体" w:eastAsia="宋体" w:cs="宋体"/>
          <w:b w:val="0"/>
          <w:bCs/>
          <w:color w:val="auto"/>
          <w:kern w:val="0"/>
          <w:sz w:val="32"/>
          <w:szCs w:val="32"/>
          <w:highlight w:val="none"/>
        </w:rPr>
      </w:pPr>
      <w:r>
        <w:rPr>
          <w:rFonts w:hint="eastAsia" w:ascii="宋体" w:hAnsi="宋体" w:eastAsia="宋体" w:cs="宋体"/>
          <w:b w:val="0"/>
          <w:bCs/>
          <w:color w:val="auto"/>
          <w:kern w:val="0"/>
          <w:sz w:val="32"/>
          <w:szCs w:val="32"/>
          <w:highlight w:val="none"/>
        </w:rPr>
        <w:t>项目名称：</w:t>
      </w:r>
      <w:r>
        <w:rPr>
          <w:rFonts w:hint="eastAsia" w:ascii="宋体" w:hAnsi="宋体" w:eastAsia="宋体" w:cs="宋体"/>
          <w:b w:val="0"/>
          <w:bCs/>
          <w:color w:val="auto"/>
          <w:kern w:val="0"/>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宋体" w:hAnsi="宋体" w:eastAsia="宋体" w:cs="宋体"/>
          <w:b w:val="0"/>
          <w:bCs/>
          <w:color w:val="auto"/>
          <w:kern w:val="0"/>
          <w:sz w:val="32"/>
          <w:szCs w:val="32"/>
          <w:highlight w:val="none"/>
        </w:rPr>
      </w:pPr>
      <w:r>
        <w:rPr>
          <w:rFonts w:hint="eastAsia" w:ascii="宋体" w:hAnsi="宋体" w:eastAsia="宋体" w:cs="宋体"/>
          <w:b w:val="0"/>
          <w:bCs/>
          <w:color w:val="auto"/>
          <w:kern w:val="0"/>
          <w:sz w:val="32"/>
          <w:szCs w:val="32"/>
          <w:highlight w:val="none"/>
        </w:rPr>
        <w:t>项目编号：</w:t>
      </w:r>
      <w:r>
        <w:rPr>
          <w:rFonts w:hint="eastAsia" w:ascii="宋体" w:hAnsi="宋体" w:eastAsia="宋体" w:cs="宋体"/>
          <w:b w:val="0"/>
          <w:bCs/>
          <w:color w:val="auto"/>
          <w:kern w:val="0"/>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宋体" w:hAnsi="宋体" w:eastAsia="宋体" w:cs="宋体"/>
          <w:b w:val="0"/>
          <w:bCs/>
          <w:color w:val="auto"/>
          <w:kern w:val="0"/>
          <w:sz w:val="32"/>
          <w:szCs w:val="32"/>
          <w:highlight w:val="none"/>
        </w:rPr>
      </w:pPr>
      <w:r>
        <w:rPr>
          <w:rFonts w:hint="eastAsia" w:ascii="宋体" w:hAnsi="宋体" w:eastAsia="宋体" w:cs="宋体"/>
          <w:b w:val="0"/>
          <w:bCs/>
          <w:color w:val="auto"/>
          <w:kern w:val="0"/>
          <w:sz w:val="32"/>
          <w:szCs w:val="32"/>
          <w:highlight w:val="none"/>
        </w:rPr>
        <w:t>所投采购包：</w:t>
      </w:r>
      <w:r>
        <w:rPr>
          <w:rFonts w:hint="eastAsia" w:ascii="宋体" w:hAnsi="宋体" w:eastAsia="宋体" w:cs="宋体"/>
          <w:b w:val="0"/>
          <w:bCs/>
          <w:color w:val="auto"/>
          <w:kern w:val="0"/>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640" w:firstLineChars="200"/>
        <w:jc w:val="center"/>
        <w:textAlignment w:val="auto"/>
        <w:rPr>
          <w:rFonts w:hint="eastAsia" w:ascii="宋体" w:hAnsi="宋体" w:eastAsia="宋体" w:cs="宋体"/>
          <w:b w:val="0"/>
          <w:bCs/>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宋体" w:hAnsi="宋体" w:eastAsia="宋体" w:cs="宋体"/>
          <w:b w:val="0"/>
          <w:bCs/>
          <w:color w:val="auto"/>
          <w:kern w:val="0"/>
          <w:sz w:val="32"/>
          <w:szCs w:val="32"/>
          <w:highlight w:val="none"/>
        </w:rPr>
      </w:pPr>
      <w:r>
        <w:rPr>
          <w:rFonts w:hint="eastAsia" w:ascii="宋体" w:hAnsi="宋体" w:eastAsia="宋体" w:cs="宋体"/>
          <w:b w:val="0"/>
          <w:bCs/>
          <w:color w:val="auto"/>
          <w:kern w:val="0"/>
          <w:sz w:val="32"/>
          <w:szCs w:val="32"/>
          <w:highlight w:val="none"/>
        </w:rPr>
        <w:t>供应商：</w:t>
      </w:r>
      <w:r>
        <w:rPr>
          <w:rFonts w:hint="eastAsia" w:ascii="宋体" w:hAnsi="宋体" w:eastAsia="宋体" w:cs="宋体"/>
          <w:b w:val="0"/>
          <w:bCs/>
          <w:color w:val="auto"/>
          <w:kern w:val="0"/>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宋体" w:hAnsi="宋体" w:eastAsia="宋体" w:cs="宋体"/>
          <w:b w:val="0"/>
          <w:bCs/>
          <w:color w:val="auto"/>
          <w:kern w:val="0"/>
          <w:sz w:val="32"/>
          <w:szCs w:val="32"/>
          <w:highlight w:val="none"/>
        </w:rPr>
      </w:pPr>
      <w:r>
        <w:rPr>
          <w:rFonts w:hint="eastAsia" w:ascii="宋体" w:hAnsi="宋体" w:eastAsia="宋体" w:cs="宋体"/>
          <w:b w:val="0"/>
          <w:bCs/>
          <w:color w:val="auto"/>
          <w:kern w:val="0"/>
          <w:sz w:val="32"/>
          <w:szCs w:val="32"/>
          <w:highlight w:val="none"/>
        </w:rPr>
        <w:t>日  期：</w:t>
      </w:r>
      <w:r>
        <w:rPr>
          <w:rFonts w:hint="eastAsia" w:ascii="宋体" w:hAnsi="宋体" w:eastAsia="宋体" w:cs="宋体"/>
          <w:b w:val="0"/>
          <w:bCs/>
          <w:color w:val="auto"/>
          <w:kern w:val="0"/>
          <w:sz w:val="32"/>
          <w:szCs w:val="32"/>
          <w:highlight w:val="none"/>
          <w:u w:val="single"/>
        </w:rPr>
        <w:t xml:space="preserve">                 </w:t>
      </w:r>
    </w:p>
    <w:p>
      <w:pPr>
        <w:spacing w:line="600" w:lineRule="auto"/>
        <w:jc w:val="center"/>
        <w:rPr>
          <w:rFonts w:hint="eastAsia" w:ascii="宋体" w:hAnsi="宋体" w:eastAsia="宋体" w:cs="宋体"/>
          <w:b/>
          <w:color w:val="auto"/>
          <w:kern w:val="0"/>
          <w:sz w:val="24"/>
          <w:szCs w:val="24"/>
          <w:highlight w:val="none"/>
        </w:rPr>
      </w:pPr>
    </w:p>
    <w:p>
      <w:pPr>
        <w:pStyle w:val="12"/>
        <w:rPr>
          <w:rFonts w:hint="eastAsia" w:ascii="宋体" w:hAnsi="宋体" w:eastAsia="宋体" w:cs="宋体"/>
          <w:b/>
          <w:color w:val="auto"/>
          <w:kern w:val="0"/>
          <w:sz w:val="24"/>
          <w:szCs w:val="24"/>
          <w:highlight w:val="none"/>
        </w:rPr>
      </w:pPr>
    </w:p>
    <w:p>
      <w:pPr>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kern w:val="0"/>
          <w:sz w:val="24"/>
          <w:szCs w:val="24"/>
          <w:highlight w:val="none"/>
        </w:rPr>
      </w:pPr>
    </w:p>
    <w:p>
      <w:pPr>
        <w:widowControl/>
        <w:spacing w:after="0"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bookmarkEnd w:id="112"/>
      <w:bookmarkEnd w:id="113"/>
      <w:bookmarkEnd w:id="114"/>
      <w:bookmarkEnd w:id="115"/>
      <w:bookmarkEnd w:id="116"/>
      <w:bookmarkEnd w:id="117"/>
      <w:bookmarkEnd w:id="118"/>
      <w:bookmarkEnd w:id="119"/>
      <w:bookmarkEnd w:id="120"/>
      <w:bookmarkEnd w:id="121"/>
      <w:r>
        <w:rPr>
          <w:rFonts w:hint="eastAsia" w:ascii="宋体" w:hAnsi="宋体" w:eastAsia="宋体" w:cs="宋体"/>
          <w:b/>
          <w:bCs/>
          <w:color w:val="auto"/>
          <w:sz w:val="32"/>
          <w:szCs w:val="32"/>
          <w:highlight w:val="none"/>
        </w:rPr>
        <w:t>格式</w:t>
      </w:r>
      <w:r>
        <w:rPr>
          <w:rFonts w:hint="eastAsia" w:ascii="宋体" w:hAnsi="宋体" w:eastAsia="宋体" w:cs="宋体"/>
          <w:b/>
          <w:bCs/>
          <w:color w:val="auto"/>
          <w:sz w:val="32"/>
          <w:szCs w:val="32"/>
          <w:highlight w:val="none"/>
          <w:lang w:val="en-US" w:eastAsia="zh-CN"/>
        </w:rPr>
        <w:t>8</w:t>
      </w:r>
      <w:r>
        <w:rPr>
          <w:rFonts w:hint="eastAsia" w:ascii="宋体" w:hAnsi="宋体" w:eastAsia="宋体" w:cs="宋体"/>
          <w:b/>
          <w:bCs/>
          <w:color w:val="auto"/>
          <w:sz w:val="32"/>
          <w:szCs w:val="32"/>
          <w:highlight w:val="none"/>
        </w:rPr>
        <w:t xml:space="preserve"> 技术条款偏离表</w:t>
      </w:r>
    </w:p>
    <w:tbl>
      <w:tblPr>
        <w:tblStyle w:val="28"/>
        <w:tblW w:w="916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28"/>
        <w:gridCol w:w="1516"/>
        <w:gridCol w:w="2116"/>
        <w:gridCol w:w="1684"/>
        <w:gridCol w:w="2090"/>
        <w:gridCol w:w="8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516" w:type="dxa"/>
            <w:noWrap/>
            <w:vAlign w:val="top"/>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采购文件</w:t>
            </w:r>
          </w:p>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技术部分序号</w:t>
            </w:r>
          </w:p>
        </w:tc>
        <w:tc>
          <w:tcPr>
            <w:tcW w:w="2116" w:type="dxa"/>
            <w:noWrap/>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采购文件</w:t>
            </w:r>
          </w:p>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技术部分内容要求</w:t>
            </w:r>
          </w:p>
        </w:tc>
        <w:tc>
          <w:tcPr>
            <w:tcW w:w="1684" w:type="dxa"/>
            <w:noWrap/>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w:t>
            </w:r>
          </w:p>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应答情况</w:t>
            </w:r>
          </w:p>
        </w:tc>
        <w:tc>
          <w:tcPr>
            <w:tcW w:w="2090" w:type="dxa"/>
            <w:noWrap/>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偏离（无/正/负）</w:t>
            </w:r>
          </w:p>
        </w:tc>
        <w:tc>
          <w:tcPr>
            <w:tcW w:w="832" w:type="dxa"/>
            <w:noWrap/>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16" w:type="dxa"/>
            <w:noWrap/>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50" w:leftChars="24" w:right="55" w:rightChars="26"/>
              <w:jc w:val="center"/>
              <w:textAlignment w:val="auto"/>
              <w:rPr>
                <w:rFonts w:hint="eastAsia" w:ascii="宋体" w:hAnsi="宋体" w:eastAsia="宋体" w:cs="宋体"/>
                <w:color w:val="auto"/>
                <w:sz w:val="24"/>
                <w:szCs w:val="24"/>
                <w:highlight w:val="none"/>
              </w:rPr>
            </w:pPr>
          </w:p>
        </w:tc>
        <w:tc>
          <w:tcPr>
            <w:tcW w:w="2116" w:type="dxa"/>
            <w:noWrap/>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50" w:leftChars="24" w:right="55" w:rightChars="26"/>
              <w:jc w:val="center"/>
              <w:textAlignment w:val="auto"/>
              <w:rPr>
                <w:rFonts w:hint="eastAsia" w:ascii="宋体" w:hAnsi="宋体" w:eastAsia="宋体" w:cs="宋体"/>
                <w:color w:val="auto"/>
                <w:sz w:val="24"/>
                <w:szCs w:val="24"/>
                <w:highlight w:val="none"/>
              </w:rPr>
            </w:pPr>
          </w:p>
        </w:tc>
        <w:tc>
          <w:tcPr>
            <w:tcW w:w="1684" w:type="dxa"/>
            <w:noWrap/>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color w:val="auto"/>
                <w:sz w:val="24"/>
                <w:szCs w:val="24"/>
                <w:highlight w:val="none"/>
              </w:rPr>
            </w:pPr>
          </w:p>
        </w:tc>
        <w:tc>
          <w:tcPr>
            <w:tcW w:w="2090" w:type="dxa"/>
            <w:noWrap/>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color w:val="auto"/>
                <w:sz w:val="24"/>
                <w:szCs w:val="24"/>
                <w:highlight w:val="none"/>
              </w:rPr>
            </w:pPr>
          </w:p>
        </w:tc>
        <w:tc>
          <w:tcPr>
            <w:tcW w:w="832" w:type="dxa"/>
            <w:noWrap/>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516" w:type="dxa"/>
            <w:noWrap/>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50" w:leftChars="24" w:right="55" w:rightChars="26"/>
              <w:jc w:val="center"/>
              <w:textAlignment w:val="auto"/>
              <w:rPr>
                <w:rFonts w:hint="eastAsia" w:ascii="宋体" w:hAnsi="宋体" w:eastAsia="宋体" w:cs="宋体"/>
                <w:color w:val="auto"/>
                <w:sz w:val="24"/>
                <w:szCs w:val="24"/>
                <w:highlight w:val="none"/>
              </w:rPr>
            </w:pPr>
          </w:p>
        </w:tc>
        <w:tc>
          <w:tcPr>
            <w:tcW w:w="2116" w:type="dxa"/>
            <w:noWrap/>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50" w:leftChars="24" w:right="55" w:rightChars="26"/>
              <w:jc w:val="center"/>
              <w:textAlignment w:val="auto"/>
              <w:rPr>
                <w:rFonts w:hint="eastAsia" w:ascii="宋体" w:hAnsi="宋体" w:eastAsia="宋体" w:cs="宋体"/>
                <w:color w:val="auto"/>
                <w:sz w:val="24"/>
                <w:szCs w:val="24"/>
                <w:highlight w:val="none"/>
              </w:rPr>
            </w:pPr>
          </w:p>
        </w:tc>
        <w:tc>
          <w:tcPr>
            <w:tcW w:w="1684" w:type="dxa"/>
            <w:noWrap/>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color w:val="auto"/>
                <w:sz w:val="24"/>
                <w:szCs w:val="24"/>
                <w:highlight w:val="none"/>
              </w:rPr>
            </w:pPr>
          </w:p>
        </w:tc>
        <w:tc>
          <w:tcPr>
            <w:tcW w:w="2090" w:type="dxa"/>
            <w:noWrap/>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color w:val="auto"/>
                <w:sz w:val="24"/>
                <w:szCs w:val="24"/>
                <w:highlight w:val="none"/>
              </w:rPr>
            </w:pPr>
          </w:p>
        </w:tc>
        <w:tc>
          <w:tcPr>
            <w:tcW w:w="832" w:type="dxa"/>
            <w:noWrap/>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516" w:type="dxa"/>
            <w:noWrap/>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50" w:leftChars="24" w:right="55" w:rightChars="26"/>
              <w:jc w:val="center"/>
              <w:textAlignment w:val="auto"/>
              <w:rPr>
                <w:rFonts w:hint="eastAsia" w:ascii="宋体" w:hAnsi="宋体" w:eastAsia="宋体" w:cs="宋体"/>
                <w:color w:val="auto"/>
                <w:sz w:val="24"/>
                <w:szCs w:val="24"/>
                <w:highlight w:val="none"/>
              </w:rPr>
            </w:pPr>
          </w:p>
        </w:tc>
        <w:tc>
          <w:tcPr>
            <w:tcW w:w="2116" w:type="dxa"/>
            <w:noWrap/>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50" w:leftChars="24" w:right="55" w:rightChars="26"/>
              <w:jc w:val="center"/>
              <w:textAlignment w:val="auto"/>
              <w:rPr>
                <w:rFonts w:hint="eastAsia" w:ascii="宋体" w:hAnsi="宋体" w:eastAsia="宋体" w:cs="宋体"/>
                <w:color w:val="auto"/>
                <w:sz w:val="24"/>
                <w:szCs w:val="24"/>
                <w:highlight w:val="none"/>
              </w:rPr>
            </w:pPr>
          </w:p>
        </w:tc>
        <w:tc>
          <w:tcPr>
            <w:tcW w:w="1684" w:type="dxa"/>
            <w:noWrap/>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color w:val="auto"/>
                <w:sz w:val="24"/>
                <w:szCs w:val="24"/>
                <w:highlight w:val="none"/>
              </w:rPr>
            </w:pPr>
          </w:p>
        </w:tc>
        <w:tc>
          <w:tcPr>
            <w:tcW w:w="2090" w:type="dxa"/>
            <w:noWrap/>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color w:val="auto"/>
                <w:sz w:val="24"/>
                <w:szCs w:val="24"/>
                <w:highlight w:val="none"/>
              </w:rPr>
            </w:pPr>
          </w:p>
        </w:tc>
        <w:tc>
          <w:tcPr>
            <w:tcW w:w="832" w:type="dxa"/>
            <w:noWrap/>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516" w:type="dxa"/>
            <w:noWrap/>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50" w:leftChars="24" w:right="55" w:rightChars="26"/>
              <w:jc w:val="center"/>
              <w:textAlignment w:val="auto"/>
              <w:rPr>
                <w:rFonts w:hint="eastAsia" w:ascii="宋体" w:hAnsi="宋体" w:eastAsia="宋体" w:cs="宋体"/>
                <w:color w:val="auto"/>
                <w:sz w:val="24"/>
                <w:szCs w:val="24"/>
                <w:highlight w:val="none"/>
              </w:rPr>
            </w:pPr>
          </w:p>
        </w:tc>
        <w:tc>
          <w:tcPr>
            <w:tcW w:w="2116" w:type="dxa"/>
            <w:noWrap/>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50" w:leftChars="24" w:right="55" w:rightChars="26"/>
              <w:jc w:val="center"/>
              <w:textAlignment w:val="auto"/>
              <w:rPr>
                <w:rFonts w:hint="eastAsia" w:ascii="宋体" w:hAnsi="宋体" w:eastAsia="宋体" w:cs="宋体"/>
                <w:color w:val="auto"/>
                <w:sz w:val="24"/>
                <w:szCs w:val="24"/>
                <w:highlight w:val="none"/>
              </w:rPr>
            </w:pPr>
          </w:p>
        </w:tc>
        <w:tc>
          <w:tcPr>
            <w:tcW w:w="1684" w:type="dxa"/>
            <w:noWrap/>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color w:val="auto"/>
                <w:sz w:val="24"/>
                <w:szCs w:val="24"/>
                <w:highlight w:val="none"/>
              </w:rPr>
            </w:pPr>
          </w:p>
        </w:tc>
        <w:tc>
          <w:tcPr>
            <w:tcW w:w="2090" w:type="dxa"/>
            <w:noWrap/>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color w:val="auto"/>
                <w:sz w:val="24"/>
                <w:szCs w:val="24"/>
                <w:highlight w:val="none"/>
              </w:rPr>
            </w:pPr>
          </w:p>
        </w:tc>
        <w:tc>
          <w:tcPr>
            <w:tcW w:w="832" w:type="dxa"/>
            <w:noWrap/>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516" w:type="dxa"/>
            <w:noWrap/>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color w:val="auto"/>
                <w:sz w:val="24"/>
                <w:szCs w:val="24"/>
                <w:highlight w:val="none"/>
              </w:rPr>
            </w:pPr>
          </w:p>
        </w:tc>
        <w:tc>
          <w:tcPr>
            <w:tcW w:w="2116" w:type="dxa"/>
            <w:noWrap/>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color w:val="auto"/>
                <w:sz w:val="24"/>
                <w:szCs w:val="24"/>
                <w:highlight w:val="none"/>
              </w:rPr>
            </w:pPr>
          </w:p>
        </w:tc>
        <w:tc>
          <w:tcPr>
            <w:tcW w:w="1684" w:type="dxa"/>
            <w:noWrap/>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color w:val="auto"/>
                <w:sz w:val="24"/>
                <w:szCs w:val="24"/>
                <w:highlight w:val="none"/>
              </w:rPr>
            </w:pPr>
          </w:p>
        </w:tc>
        <w:tc>
          <w:tcPr>
            <w:tcW w:w="2090" w:type="dxa"/>
            <w:noWrap/>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color w:val="auto"/>
                <w:sz w:val="24"/>
                <w:szCs w:val="24"/>
                <w:highlight w:val="none"/>
              </w:rPr>
            </w:pPr>
          </w:p>
        </w:tc>
        <w:tc>
          <w:tcPr>
            <w:tcW w:w="832" w:type="dxa"/>
            <w:noWrap/>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516" w:type="dxa"/>
            <w:noWrap/>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color w:val="auto"/>
                <w:sz w:val="24"/>
                <w:szCs w:val="24"/>
                <w:highlight w:val="none"/>
              </w:rPr>
            </w:pPr>
          </w:p>
        </w:tc>
        <w:tc>
          <w:tcPr>
            <w:tcW w:w="2116" w:type="dxa"/>
            <w:noWrap/>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color w:val="auto"/>
                <w:sz w:val="24"/>
                <w:szCs w:val="24"/>
                <w:highlight w:val="none"/>
              </w:rPr>
            </w:pPr>
          </w:p>
        </w:tc>
        <w:tc>
          <w:tcPr>
            <w:tcW w:w="1684" w:type="dxa"/>
            <w:noWrap/>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color w:val="auto"/>
                <w:sz w:val="24"/>
                <w:szCs w:val="24"/>
                <w:highlight w:val="none"/>
              </w:rPr>
            </w:pPr>
          </w:p>
        </w:tc>
        <w:tc>
          <w:tcPr>
            <w:tcW w:w="2090" w:type="dxa"/>
            <w:noWrap/>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color w:val="auto"/>
                <w:sz w:val="24"/>
                <w:szCs w:val="24"/>
                <w:highlight w:val="none"/>
              </w:rPr>
            </w:pPr>
          </w:p>
        </w:tc>
        <w:tc>
          <w:tcPr>
            <w:tcW w:w="832" w:type="dxa"/>
            <w:noWrap/>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color w:val="auto"/>
                <w:sz w:val="24"/>
                <w:szCs w:val="24"/>
                <w:highlight w:val="none"/>
              </w:rPr>
            </w:pPr>
          </w:p>
        </w:tc>
      </w:tr>
    </w:tbl>
    <w:p>
      <w:pPr>
        <w:topLinePunct/>
        <w:autoSpaceDE w:val="0"/>
        <w:autoSpaceDN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特别说明：</w:t>
      </w:r>
    </w:p>
    <w:p>
      <w:pPr>
        <w:topLinePunct/>
        <w:autoSpaceDE w:val="0"/>
        <w:autoSpaceDN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请按照</w:t>
      </w:r>
      <w:r>
        <w:rPr>
          <w:rFonts w:hint="eastAsia" w:ascii="宋体" w:hAnsi="宋体" w:eastAsia="宋体" w:cs="宋体"/>
          <w:color w:val="auto"/>
          <w:sz w:val="24"/>
          <w:szCs w:val="24"/>
          <w:highlight w:val="none"/>
        </w:rPr>
        <w:t>《采购文件-技术部分》内容</w:t>
      </w:r>
      <w:r>
        <w:rPr>
          <w:rFonts w:hint="eastAsia" w:ascii="宋体" w:hAnsi="宋体" w:cs="宋体"/>
          <w:color w:val="auto"/>
          <w:sz w:val="24"/>
          <w:szCs w:val="24"/>
          <w:highlight w:val="none"/>
          <w:lang w:val="en-US" w:eastAsia="zh-CN"/>
        </w:rPr>
        <w:t>要求，</w:t>
      </w:r>
      <w:r>
        <w:rPr>
          <w:rFonts w:hint="eastAsia" w:ascii="宋体" w:hAnsi="宋体" w:eastAsia="宋体" w:cs="宋体"/>
          <w:color w:val="auto"/>
          <w:sz w:val="24"/>
          <w:szCs w:val="24"/>
          <w:highlight w:val="none"/>
        </w:rPr>
        <w:t>条对条应答。如有偏离，请在此表中应答为“正/负偏离”并说明偏离情况；</w:t>
      </w:r>
    </w:p>
    <w:p>
      <w:pPr>
        <w:topLinePunct/>
        <w:autoSpaceDE w:val="0"/>
        <w:autoSpaceDN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.如《采购文件-技术部分》中有标注★号的，则为实质性要求，必须满足，如应答为“负偏离”，将导致响应无效。</w:t>
      </w:r>
    </w:p>
    <w:p>
      <w:pPr>
        <w:adjustRightInd w:val="0"/>
        <w:snapToGrid w:val="0"/>
        <w:spacing w:line="360" w:lineRule="auto"/>
        <w:ind w:firstLine="480" w:firstLineChars="200"/>
        <w:rPr>
          <w:rFonts w:hint="eastAsia" w:ascii="宋体" w:hAnsi="宋体" w:eastAsia="宋体" w:cs="宋体"/>
          <w:color w:val="auto"/>
          <w:sz w:val="24"/>
          <w:szCs w:val="24"/>
          <w:highlight w:val="none"/>
        </w:rPr>
      </w:pPr>
    </w:p>
    <w:p>
      <w:pPr>
        <w:pStyle w:val="39"/>
        <w:spacing w:after="156"/>
        <w:ind w:firstLine="400"/>
        <w:rPr>
          <w:rFonts w:hint="eastAsia" w:ascii="宋体" w:hAnsi="宋体" w:eastAsia="宋体" w:cs="宋体"/>
          <w:color w:val="auto"/>
          <w:sz w:val="24"/>
          <w:szCs w:val="24"/>
          <w:highlight w:val="none"/>
        </w:rPr>
      </w:pPr>
    </w:p>
    <w:p>
      <w:pPr>
        <w:tabs>
          <w:tab w:val="left" w:pos="1230"/>
        </w:tabs>
        <w:topLinePunct/>
        <w:autoSpaceDE w:val="0"/>
        <w:autoSpaceDN w:val="0"/>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rPr>
        <w:t>（全称并加盖公章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pPr>
        <w:tabs>
          <w:tab w:val="left" w:pos="1230"/>
        </w:tabs>
        <w:topLinePunct/>
        <w:autoSpaceDE w:val="0"/>
        <w:autoSpaceDN w:val="0"/>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授权代表（签字或盖章）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pPr>
        <w:tabs>
          <w:tab w:val="left" w:pos="1230"/>
        </w:tabs>
        <w:topLinePunct/>
        <w:autoSpaceDE w:val="0"/>
        <w:autoSpaceDN w:val="0"/>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pPr>
        <w:jc w:val="center"/>
        <w:rPr>
          <w:rFonts w:hint="eastAsia" w:ascii="宋体" w:hAnsi="宋体" w:eastAsia="宋体" w:cs="宋体"/>
          <w:color w:val="auto"/>
          <w:sz w:val="24"/>
          <w:szCs w:val="24"/>
          <w:highlight w:val="none"/>
        </w:rPr>
        <w:sectPr>
          <w:pgSz w:w="11906" w:h="16838"/>
          <w:pgMar w:top="1440" w:right="1752" w:bottom="1440" w:left="1752" w:header="851" w:footer="992" w:gutter="0"/>
          <w:pgNumType w:fmt="decimal"/>
          <w:cols w:space="720" w:num="1"/>
          <w:titlePg/>
          <w:docGrid w:type="lines" w:linePitch="312" w:charSpace="0"/>
        </w:sectPr>
      </w:pPr>
    </w:p>
    <w:p>
      <w:pPr>
        <w:widowControl/>
        <w:spacing w:after="0" w:line="24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格式</w:t>
      </w:r>
      <w:r>
        <w:rPr>
          <w:rFonts w:hint="eastAsia" w:ascii="宋体" w:hAnsi="宋体" w:eastAsia="宋体" w:cs="宋体"/>
          <w:b/>
          <w:bCs/>
          <w:color w:val="auto"/>
          <w:sz w:val="32"/>
          <w:szCs w:val="32"/>
          <w:highlight w:val="none"/>
          <w:lang w:val="en-US" w:eastAsia="zh-CN"/>
        </w:rPr>
        <w:t>9</w:t>
      </w:r>
      <w:r>
        <w:rPr>
          <w:rFonts w:hint="eastAsia" w:ascii="宋体" w:hAnsi="宋体" w:eastAsia="宋体" w:cs="宋体"/>
          <w:b/>
          <w:bCs/>
          <w:color w:val="auto"/>
          <w:sz w:val="32"/>
          <w:szCs w:val="32"/>
          <w:highlight w:val="none"/>
        </w:rPr>
        <w:t>服务方案、实施方案及技术方案</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0"/>
        <w:jc w:val="center"/>
        <w:textAlignment w:val="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after="0" w:line="36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服务方案说明</w:t>
      </w:r>
    </w:p>
    <w:p>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服务类项目供应商应根据第六章规定编写服务方案说明。服务方案说明包括但不限于：</w:t>
      </w:r>
    </w:p>
    <w:p>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(1)服务目标、范围和任务；</w:t>
      </w:r>
    </w:p>
    <w:p>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(2)服务方案；</w:t>
      </w:r>
    </w:p>
    <w:p>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(3)服务团队组织安排计划；</w:t>
      </w:r>
    </w:p>
    <w:p>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(4)工作流程；</w:t>
      </w:r>
    </w:p>
    <w:p>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(5)进度计划及保证措施；</w:t>
      </w:r>
    </w:p>
    <w:p>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(6)质量保证措施；</w:t>
      </w:r>
    </w:p>
    <w:p>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(7)合理化建议；</w:t>
      </w:r>
    </w:p>
    <w:p>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(8)其他。</w:t>
      </w:r>
    </w:p>
    <w:p>
      <w:pPr>
        <w:spacing w:after="0" w:line="24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after="0" w:line="360" w:lineRule="auto"/>
        <w:ind w:firstLine="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实施方案</w:t>
      </w:r>
    </w:p>
    <w:p>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(示例略)</w:t>
      </w:r>
    </w:p>
    <w:p>
      <w:pPr>
        <w:spacing w:after="0" w:line="24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after="0" w:line="360" w:lineRule="auto"/>
        <w:ind w:firstLine="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技术方案</w:t>
      </w:r>
    </w:p>
    <w:p>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(示例略)</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rPr>
        <w:br w:type="page"/>
      </w:r>
      <w:r>
        <w:rPr>
          <w:rFonts w:hint="eastAsia" w:ascii="宋体" w:hAnsi="宋体" w:eastAsia="宋体" w:cs="宋体"/>
          <w:b/>
          <w:bCs/>
          <w:color w:val="auto"/>
          <w:sz w:val="32"/>
          <w:szCs w:val="32"/>
          <w:highlight w:val="none"/>
        </w:rPr>
        <w:t>格式1</w:t>
      </w:r>
      <w:r>
        <w:rPr>
          <w:rFonts w:hint="eastAsia" w:ascii="宋体" w:hAnsi="宋体" w:eastAsia="宋体" w:cs="宋体"/>
          <w:b/>
          <w:bCs/>
          <w:color w:val="auto"/>
          <w:sz w:val="32"/>
          <w:szCs w:val="32"/>
          <w:highlight w:val="none"/>
          <w:lang w:val="en-US" w:eastAsia="zh-CN"/>
        </w:rPr>
        <w:t>0</w:t>
      </w:r>
      <w:r>
        <w:rPr>
          <w:rFonts w:hint="eastAsia" w:ascii="宋体" w:hAnsi="宋体" w:eastAsia="宋体" w:cs="宋体"/>
          <w:b/>
          <w:bCs/>
          <w:color w:val="auto"/>
          <w:sz w:val="32"/>
          <w:szCs w:val="32"/>
          <w:highlight w:val="none"/>
        </w:rPr>
        <w:t xml:space="preserve"> 技术力量一览表</w:t>
      </w:r>
    </w:p>
    <w:tbl>
      <w:tblPr>
        <w:tblStyle w:val="28"/>
        <w:tblW w:w="8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356"/>
        <w:gridCol w:w="1187"/>
        <w:gridCol w:w="1189"/>
        <w:gridCol w:w="1275"/>
        <w:gridCol w:w="1243"/>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3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姓 名</w:t>
            </w:r>
          </w:p>
        </w:tc>
        <w:tc>
          <w:tcPr>
            <w:tcW w:w="11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技术职称</w:t>
            </w:r>
          </w:p>
        </w:tc>
        <w:tc>
          <w:tcPr>
            <w:tcW w:w="11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人员级别</w:t>
            </w: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工作年限</w:t>
            </w:r>
          </w:p>
        </w:tc>
        <w:tc>
          <w:tcPr>
            <w:tcW w:w="12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本项目中担任职务</w:t>
            </w:r>
          </w:p>
        </w:tc>
        <w:tc>
          <w:tcPr>
            <w:tcW w:w="14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认证情况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84"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after="0" w:line="400" w:lineRule="exact"/>
              <w:jc w:val="lef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一、</w:t>
            </w:r>
            <w:r>
              <w:rPr>
                <w:rFonts w:hint="eastAsia" w:ascii="宋体" w:hAnsi="宋体" w:eastAsia="宋体" w:cs="宋体"/>
                <w:b w:val="0"/>
                <w:bCs w:val="0"/>
                <w:color w:val="auto"/>
                <w:sz w:val="24"/>
                <w:szCs w:val="24"/>
                <w:highlight w:val="none"/>
              </w:rPr>
              <w:t>项目管理人员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3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left"/>
              <w:textAlignment w:val="auto"/>
              <w:rPr>
                <w:rFonts w:hint="eastAsia" w:ascii="宋体" w:hAnsi="宋体" w:eastAsia="宋体" w:cs="宋体"/>
                <w:b w:val="0"/>
                <w:bCs w:val="0"/>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3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w:t>
            </w:r>
            <w:r>
              <w:rPr>
                <w:rFonts w:hint="eastAsia" w:ascii="宋体" w:hAnsi="宋体" w:cs="宋体"/>
                <w:b w:val="0"/>
                <w:bCs w:val="0"/>
                <w:color w:val="auto"/>
                <w:sz w:val="24"/>
                <w:szCs w:val="24"/>
                <w:highlight w:val="none"/>
                <w:lang w:val="en-US" w:eastAsia="zh-CN"/>
              </w:rPr>
              <w:t>项目团队其他</w:t>
            </w:r>
            <w:r>
              <w:rPr>
                <w:rFonts w:hint="eastAsia" w:ascii="宋体" w:hAnsi="宋体" w:eastAsia="宋体" w:cs="宋体"/>
                <w:b w:val="0"/>
                <w:bCs w:val="0"/>
                <w:color w:val="auto"/>
                <w:sz w:val="24"/>
                <w:szCs w:val="24"/>
                <w:highlight w:val="none"/>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both"/>
              <w:textAlignment w:val="auto"/>
              <w:rPr>
                <w:rFonts w:hint="eastAsia" w:ascii="宋体" w:hAnsi="宋体" w:eastAsia="宋体" w:cs="宋体"/>
                <w:color w:val="auto"/>
                <w:sz w:val="24"/>
                <w:szCs w:val="24"/>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13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13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13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6</w:t>
            </w:r>
          </w:p>
        </w:tc>
        <w:tc>
          <w:tcPr>
            <w:tcW w:w="13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7</w:t>
            </w:r>
          </w:p>
        </w:tc>
        <w:tc>
          <w:tcPr>
            <w:tcW w:w="13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8</w:t>
            </w:r>
          </w:p>
        </w:tc>
        <w:tc>
          <w:tcPr>
            <w:tcW w:w="13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3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三、XX人员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56" w:type="dxa"/>
            <w:noWrap w:val="0"/>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187" w:type="dxa"/>
            <w:noWrap w:val="0"/>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189" w:type="dxa"/>
            <w:noWrap w:val="0"/>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243" w:type="dxa"/>
            <w:noWrap w:val="0"/>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56" w:type="dxa"/>
            <w:noWrap w:val="0"/>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187" w:type="dxa"/>
            <w:noWrap w:val="0"/>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189" w:type="dxa"/>
            <w:noWrap w:val="0"/>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243" w:type="dxa"/>
            <w:noWrap w:val="0"/>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356" w:type="dxa"/>
            <w:noWrap w:val="0"/>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187" w:type="dxa"/>
            <w:noWrap w:val="0"/>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189" w:type="dxa"/>
            <w:noWrap w:val="0"/>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243" w:type="dxa"/>
            <w:noWrap w:val="0"/>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r>
    </w:tbl>
    <w:p>
      <w:pPr>
        <w:topLinePunct/>
        <w:autoSpaceDE w:val="0"/>
        <w:autoSpaceDN w:val="0"/>
        <w:spacing w:line="460" w:lineRule="exact"/>
        <w:rPr>
          <w:rFonts w:hint="eastAsia" w:ascii="宋体" w:hAnsi="宋体" w:eastAsia="宋体" w:cs="宋体"/>
          <w:bCs/>
          <w:color w:val="auto"/>
          <w:w w:val="150"/>
          <w:sz w:val="24"/>
          <w:szCs w:val="24"/>
          <w:highlight w:val="green"/>
          <w:shd w:val="clear" w:color="auto" w:fill="FFFF00"/>
        </w:rPr>
      </w:pPr>
    </w:p>
    <w:p>
      <w:pPr>
        <w:topLinePunct/>
        <w:autoSpaceDE w:val="0"/>
        <w:autoSpaceDN w:val="0"/>
        <w:spacing w:line="460" w:lineRule="exact"/>
        <w:jc w:val="center"/>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bCs/>
          <w:color w:val="auto"/>
          <w:sz w:val="32"/>
          <w:szCs w:val="32"/>
          <w:highlight w:val="none"/>
        </w:rPr>
        <w:t>格式1</w:t>
      </w:r>
      <w:r>
        <w:rPr>
          <w:rFonts w:hint="eastAsia" w:ascii="宋体" w:hAnsi="宋体" w:eastAsia="宋体" w:cs="宋体"/>
          <w:b/>
          <w:bCs/>
          <w:color w:val="auto"/>
          <w:sz w:val="32"/>
          <w:szCs w:val="32"/>
          <w:highlight w:val="none"/>
          <w:lang w:val="en-US" w:eastAsia="zh-CN"/>
        </w:rPr>
        <w:t>1</w:t>
      </w:r>
      <w:r>
        <w:rPr>
          <w:rFonts w:hint="eastAsia" w:ascii="宋体" w:hAnsi="宋体" w:eastAsia="宋体" w:cs="宋体"/>
          <w:b/>
          <w:bCs/>
          <w:color w:val="auto"/>
          <w:sz w:val="32"/>
          <w:szCs w:val="32"/>
          <w:highlight w:val="none"/>
        </w:rPr>
        <w:t xml:space="preserve"> 技术人员简历表</w:t>
      </w:r>
    </w:p>
    <w:tbl>
      <w:tblPr>
        <w:tblStyle w:val="2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713"/>
        <w:gridCol w:w="1505"/>
        <w:gridCol w:w="1388"/>
        <w:gridCol w:w="1796"/>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    别</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出生日期</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   历</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公司职务</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任职时间</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本项目任职</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人员级别</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从事XXX工作年限</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从事XXXX年限</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认证证书</w:t>
            </w:r>
          </w:p>
        </w:tc>
        <w:tc>
          <w:tcPr>
            <w:tcW w:w="766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4" w:hRule="atLeast"/>
        </w:trPr>
        <w:tc>
          <w:tcPr>
            <w:tcW w:w="8928"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snapToGrid/>
              <w:spacing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工作简历及主要业绩</w:t>
            </w:r>
          </w:p>
          <w:p>
            <w:pPr>
              <w:keepNext w:val="0"/>
              <w:keepLines w:val="0"/>
              <w:pageBreakBefore w:val="0"/>
              <w:widowControl w:val="0"/>
              <w:kinsoku/>
              <w:wordWrap/>
              <w:overflowPunct/>
              <w:topLinePunct w:val="0"/>
              <w:autoSpaceDE/>
              <w:autoSpaceDN/>
              <w:bidi w:val="0"/>
              <w:adjustRightInd w:val="0"/>
              <w:snapToGrid/>
              <w:spacing w:after="0" w:line="400" w:lineRule="exact"/>
              <w:textAlignment w:val="auto"/>
              <w:rPr>
                <w:rFonts w:hint="eastAsia" w:ascii="宋体" w:hAnsi="宋体" w:eastAsia="宋体" w:cs="宋体"/>
                <w:color w:val="auto"/>
                <w:sz w:val="24"/>
                <w:szCs w:val="24"/>
                <w:highlight w:val="none"/>
              </w:rPr>
            </w:pPr>
          </w:p>
        </w:tc>
      </w:tr>
    </w:tbl>
    <w:p>
      <w:pPr>
        <w:widowControl/>
        <w:spacing w:after="0" w:line="240" w:lineRule="auto"/>
        <w:jc w:val="left"/>
        <w:rPr>
          <w:rFonts w:hint="eastAsia" w:ascii="宋体" w:hAnsi="宋体" w:eastAsia="宋体" w:cs="宋体"/>
          <w:color w:val="auto"/>
          <w:sz w:val="24"/>
          <w:szCs w:val="24"/>
          <w:highlight w:val="none"/>
        </w:rPr>
      </w:pPr>
    </w:p>
    <w:p>
      <w:pPr>
        <w:pStyle w:val="38"/>
        <w:keepNext w:val="0"/>
        <w:keepLines w:val="0"/>
        <w:tabs>
          <w:tab w:val="left" w:pos="360"/>
          <w:tab w:val="left" w:pos="816"/>
        </w:tabs>
        <w:spacing w:before="0" w:after="0" w:line="360" w:lineRule="auto"/>
        <w:ind w:left="0" w:firstLine="480"/>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32"/>
          <w:szCs w:val="32"/>
          <w:highlight w:val="none"/>
        </w:rPr>
        <w:t>格式1</w:t>
      </w:r>
      <w:r>
        <w:rPr>
          <w:rFonts w:hint="eastAsia" w:ascii="宋体" w:hAnsi="宋体" w:eastAsia="宋体" w:cs="宋体"/>
          <w:b/>
          <w:bCs/>
          <w:color w:val="auto"/>
          <w:sz w:val="32"/>
          <w:szCs w:val="32"/>
          <w:highlight w:val="none"/>
          <w:lang w:val="en-US" w:eastAsia="zh-CN"/>
        </w:rPr>
        <w:t>2</w:t>
      </w:r>
      <w:r>
        <w:rPr>
          <w:rFonts w:hint="eastAsia" w:ascii="宋体" w:hAnsi="宋体" w:eastAsia="宋体" w:cs="宋体"/>
          <w:b/>
          <w:bCs/>
          <w:color w:val="auto"/>
          <w:sz w:val="32"/>
          <w:szCs w:val="32"/>
          <w:highlight w:val="none"/>
        </w:rPr>
        <w:t xml:space="preserve"> 评标内容对应表</w:t>
      </w:r>
    </w:p>
    <w:p>
      <w:pPr>
        <w:spacing w:line="440" w:lineRule="exact"/>
        <w:ind w:firstLine="204" w:firstLineChars="85"/>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 xml:space="preserve">名称：                          </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 xml:space="preserve">编号∶ </w:t>
      </w:r>
    </w:p>
    <w:tbl>
      <w:tblPr>
        <w:tblStyle w:val="28"/>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030"/>
        <w:gridCol w:w="3168"/>
        <w:gridCol w:w="2738"/>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661" w:type="dxa"/>
            <w:gridSpan w:val="2"/>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  目</w:t>
            </w:r>
          </w:p>
        </w:tc>
        <w:tc>
          <w:tcPr>
            <w:tcW w:w="3168"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评审</w:t>
            </w:r>
            <w:r>
              <w:rPr>
                <w:rFonts w:hint="eastAsia" w:ascii="宋体" w:hAnsi="宋体" w:eastAsia="宋体" w:cs="宋体"/>
                <w:color w:val="auto"/>
                <w:sz w:val="24"/>
                <w:szCs w:val="24"/>
              </w:rPr>
              <w:t>指标要求</w:t>
            </w:r>
          </w:p>
        </w:tc>
        <w:tc>
          <w:tcPr>
            <w:tcW w:w="2738"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文件响应情况</w:t>
            </w:r>
          </w:p>
        </w:tc>
        <w:tc>
          <w:tcPr>
            <w:tcW w:w="1482"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31" w:type="dxa"/>
            <w:vMerge w:val="restart"/>
            <w:noWrap w:val="0"/>
            <w:vAlign w:val="center"/>
          </w:tcPr>
          <w:p>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技术部分</w:t>
            </w:r>
          </w:p>
        </w:tc>
        <w:tc>
          <w:tcPr>
            <w:tcW w:w="1030"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rPr>
              <w:t>1</w:t>
            </w:r>
          </w:p>
        </w:tc>
        <w:tc>
          <w:tcPr>
            <w:tcW w:w="3168" w:type="dxa"/>
            <w:noWrap w:val="0"/>
            <w:vAlign w:val="top"/>
          </w:tcPr>
          <w:p>
            <w:pPr>
              <w:spacing w:line="440" w:lineRule="exact"/>
              <w:rPr>
                <w:rFonts w:hint="eastAsia" w:ascii="宋体" w:hAnsi="宋体" w:eastAsia="宋体" w:cs="宋体"/>
                <w:b/>
                <w:color w:val="auto"/>
                <w:sz w:val="24"/>
                <w:szCs w:val="24"/>
              </w:rPr>
            </w:pPr>
          </w:p>
        </w:tc>
        <w:tc>
          <w:tcPr>
            <w:tcW w:w="2738" w:type="dxa"/>
            <w:noWrap w:val="0"/>
            <w:vAlign w:val="top"/>
          </w:tcPr>
          <w:p>
            <w:pPr>
              <w:spacing w:line="440" w:lineRule="exact"/>
              <w:rPr>
                <w:rFonts w:hint="eastAsia" w:ascii="宋体" w:hAnsi="宋体" w:eastAsia="宋体" w:cs="宋体"/>
                <w:b/>
                <w:color w:val="auto"/>
                <w:sz w:val="24"/>
                <w:szCs w:val="24"/>
              </w:rPr>
            </w:pPr>
          </w:p>
        </w:tc>
        <w:tc>
          <w:tcPr>
            <w:tcW w:w="1482" w:type="dxa"/>
            <w:noWrap w:val="0"/>
            <w:vAlign w:val="top"/>
          </w:tcPr>
          <w:p>
            <w:pPr>
              <w:spacing w:line="440" w:lineRule="exact"/>
              <w:rPr>
                <w:rFonts w:hint="eastAsia" w:ascii="宋体" w:hAnsi="宋体" w:eastAsia="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31" w:type="dxa"/>
            <w:vMerge w:val="continue"/>
            <w:noWrap w:val="0"/>
            <w:vAlign w:val="top"/>
          </w:tcPr>
          <w:p>
            <w:pPr>
              <w:spacing w:line="440" w:lineRule="exact"/>
              <w:rPr>
                <w:rFonts w:hint="eastAsia" w:ascii="宋体" w:hAnsi="宋体" w:eastAsia="宋体" w:cs="宋体"/>
                <w:b/>
                <w:color w:val="auto"/>
                <w:sz w:val="24"/>
                <w:szCs w:val="24"/>
              </w:rPr>
            </w:pPr>
          </w:p>
        </w:tc>
        <w:tc>
          <w:tcPr>
            <w:tcW w:w="1030"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rPr>
              <w:t>2</w:t>
            </w:r>
          </w:p>
        </w:tc>
        <w:tc>
          <w:tcPr>
            <w:tcW w:w="3168" w:type="dxa"/>
            <w:noWrap w:val="0"/>
            <w:vAlign w:val="top"/>
          </w:tcPr>
          <w:p>
            <w:pPr>
              <w:spacing w:line="440" w:lineRule="exact"/>
              <w:rPr>
                <w:rFonts w:hint="eastAsia" w:ascii="宋体" w:hAnsi="宋体" w:eastAsia="宋体" w:cs="宋体"/>
                <w:b/>
                <w:color w:val="auto"/>
                <w:sz w:val="24"/>
                <w:szCs w:val="24"/>
              </w:rPr>
            </w:pPr>
          </w:p>
        </w:tc>
        <w:tc>
          <w:tcPr>
            <w:tcW w:w="2738" w:type="dxa"/>
            <w:noWrap w:val="0"/>
            <w:vAlign w:val="top"/>
          </w:tcPr>
          <w:p>
            <w:pPr>
              <w:spacing w:line="440" w:lineRule="exact"/>
              <w:rPr>
                <w:rFonts w:hint="eastAsia" w:ascii="宋体" w:hAnsi="宋体" w:eastAsia="宋体" w:cs="宋体"/>
                <w:b/>
                <w:color w:val="auto"/>
                <w:sz w:val="24"/>
                <w:szCs w:val="24"/>
              </w:rPr>
            </w:pPr>
          </w:p>
        </w:tc>
        <w:tc>
          <w:tcPr>
            <w:tcW w:w="1482" w:type="dxa"/>
            <w:noWrap w:val="0"/>
            <w:vAlign w:val="top"/>
          </w:tcPr>
          <w:p>
            <w:pPr>
              <w:spacing w:line="440" w:lineRule="exact"/>
              <w:rPr>
                <w:rFonts w:hint="eastAsia" w:ascii="宋体" w:hAnsi="宋体" w:eastAsia="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31" w:type="dxa"/>
            <w:vMerge w:val="continue"/>
            <w:noWrap w:val="0"/>
            <w:vAlign w:val="top"/>
          </w:tcPr>
          <w:p>
            <w:pPr>
              <w:spacing w:line="440" w:lineRule="exact"/>
              <w:rPr>
                <w:rFonts w:hint="eastAsia" w:ascii="宋体" w:hAnsi="宋体" w:eastAsia="宋体" w:cs="宋体"/>
                <w:b/>
                <w:color w:val="auto"/>
                <w:sz w:val="24"/>
                <w:szCs w:val="24"/>
              </w:rPr>
            </w:pPr>
          </w:p>
        </w:tc>
        <w:tc>
          <w:tcPr>
            <w:tcW w:w="1030"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p>
        </w:tc>
        <w:tc>
          <w:tcPr>
            <w:tcW w:w="3168" w:type="dxa"/>
            <w:noWrap w:val="0"/>
            <w:vAlign w:val="top"/>
          </w:tcPr>
          <w:p>
            <w:pPr>
              <w:spacing w:line="440" w:lineRule="exact"/>
              <w:rPr>
                <w:rFonts w:hint="eastAsia" w:ascii="宋体" w:hAnsi="宋体" w:eastAsia="宋体" w:cs="宋体"/>
                <w:b/>
                <w:color w:val="auto"/>
                <w:sz w:val="24"/>
                <w:szCs w:val="24"/>
              </w:rPr>
            </w:pPr>
          </w:p>
        </w:tc>
        <w:tc>
          <w:tcPr>
            <w:tcW w:w="2738" w:type="dxa"/>
            <w:noWrap w:val="0"/>
            <w:vAlign w:val="top"/>
          </w:tcPr>
          <w:p>
            <w:pPr>
              <w:spacing w:line="440" w:lineRule="exact"/>
              <w:rPr>
                <w:rFonts w:hint="eastAsia" w:ascii="宋体" w:hAnsi="宋体" w:eastAsia="宋体" w:cs="宋体"/>
                <w:b/>
                <w:color w:val="auto"/>
                <w:sz w:val="24"/>
                <w:szCs w:val="24"/>
              </w:rPr>
            </w:pPr>
          </w:p>
        </w:tc>
        <w:tc>
          <w:tcPr>
            <w:tcW w:w="1482" w:type="dxa"/>
            <w:noWrap w:val="0"/>
            <w:vAlign w:val="top"/>
          </w:tcPr>
          <w:p>
            <w:pPr>
              <w:spacing w:line="440" w:lineRule="exact"/>
              <w:rPr>
                <w:rFonts w:hint="eastAsia" w:ascii="宋体" w:hAnsi="宋体" w:eastAsia="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31" w:type="dxa"/>
            <w:vMerge w:val="restart"/>
            <w:noWrap w:val="0"/>
            <w:vAlign w:val="top"/>
          </w:tcPr>
          <w:p>
            <w:pPr>
              <w:spacing w:line="440" w:lineRule="exact"/>
              <w:jc w:val="center"/>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lang w:val="en-US" w:eastAsia="zh-CN"/>
              </w:rPr>
              <w:t>商务部分</w:t>
            </w:r>
          </w:p>
        </w:tc>
        <w:tc>
          <w:tcPr>
            <w:tcW w:w="1030"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C</w:t>
            </w:r>
            <w:r>
              <w:rPr>
                <w:rFonts w:hint="eastAsia" w:ascii="宋体" w:hAnsi="宋体" w:eastAsia="宋体" w:cs="宋体"/>
                <w:color w:val="auto"/>
                <w:sz w:val="24"/>
                <w:szCs w:val="24"/>
                <w:lang w:val="en-US" w:eastAsia="zh-CN"/>
              </w:rPr>
              <w:t>1</w:t>
            </w:r>
          </w:p>
        </w:tc>
        <w:tc>
          <w:tcPr>
            <w:tcW w:w="3168" w:type="dxa"/>
            <w:noWrap w:val="0"/>
            <w:vAlign w:val="top"/>
          </w:tcPr>
          <w:p>
            <w:pPr>
              <w:spacing w:line="440" w:lineRule="exact"/>
              <w:rPr>
                <w:rFonts w:hint="eastAsia" w:ascii="宋体" w:hAnsi="宋体" w:eastAsia="宋体" w:cs="宋体"/>
                <w:b/>
                <w:color w:val="auto"/>
                <w:sz w:val="24"/>
                <w:szCs w:val="24"/>
              </w:rPr>
            </w:pPr>
          </w:p>
        </w:tc>
        <w:tc>
          <w:tcPr>
            <w:tcW w:w="2738" w:type="dxa"/>
            <w:noWrap w:val="0"/>
            <w:vAlign w:val="top"/>
          </w:tcPr>
          <w:p>
            <w:pPr>
              <w:spacing w:line="440" w:lineRule="exact"/>
              <w:rPr>
                <w:rFonts w:hint="eastAsia" w:ascii="宋体" w:hAnsi="宋体" w:eastAsia="宋体" w:cs="宋体"/>
                <w:b/>
                <w:color w:val="auto"/>
                <w:sz w:val="24"/>
                <w:szCs w:val="24"/>
              </w:rPr>
            </w:pPr>
          </w:p>
        </w:tc>
        <w:tc>
          <w:tcPr>
            <w:tcW w:w="1482" w:type="dxa"/>
            <w:noWrap w:val="0"/>
            <w:vAlign w:val="top"/>
          </w:tcPr>
          <w:p>
            <w:pPr>
              <w:spacing w:line="440" w:lineRule="exact"/>
              <w:rPr>
                <w:rFonts w:hint="eastAsia" w:ascii="宋体" w:hAnsi="宋体" w:eastAsia="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31" w:type="dxa"/>
            <w:vMerge w:val="continue"/>
            <w:noWrap w:val="0"/>
            <w:vAlign w:val="top"/>
          </w:tcPr>
          <w:p>
            <w:pPr>
              <w:spacing w:line="440" w:lineRule="exact"/>
              <w:rPr>
                <w:rFonts w:hint="eastAsia" w:ascii="宋体" w:hAnsi="宋体" w:eastAsia="宋体" w:cs="宋体"/>
                <w:b/>
                <w:color w:val="auto"/>
                <w:sz w:val="24"/>
                <w:szCs w:val="24"/>
              </w:rPr>
            </w:pPr>
          </w:p>
        </w:tc>
        <w:tc>
          <w:tcPr>
            <w:tcW w:w="1030"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C</w:t>
            </w:r>
            <w:r>
              <w:rPr>
                <w:rFonts w:hint="eastAsia" w:ascii="宋体" w:hAnsi="宋体" w:eastAsia="宋体" w:cs="宋体"/>
                <w:color w:val="auto"/>
                <w:sz w:val="24"/>
                <w:szCs w:val="24"/>
                <w:lang w:val="en-US" w:eastAsia="zh-CN"/>
              </w:rPr>
              <w:t>2</w:t>
            </w:r>
          </w:p>
        </w:tc>
        <w:tc>
          <w:tcPr>
            <w:tcW w:w="3168" w:type="dxa"/>
            <w:noWrap w:val="0"/>
            <w:vAlign w:val="top"/>
          </w:tcPr>
          <w:p>
            <w:pPr>
              <w:spacing w:line="440" w:lineRule="exact"/>
              <w:rPr>
                <w:rFonts w:hint="eastAsia" w:ascii="宋体" w:hAnsi="宋体" w:eastAsia="宋体" w:cs="宋体"/>
                <w:b/>
                <w:color w:val="auto"/>
                <w:sz w:val="24"/>
                <w:szCs w:val="24"/>
              </w:rPr>
            </w:pPr>
          </w:p>
        </w:tc>
        <w:tc>
          <w:tcPr>
            <w:tcW w:w="2738" w:type="dxa"/>
            <w:noWrap w:val="0"/>
            <w:vAlign w:val="top"/>
          </w:tcPr>
          <w:p>
            <w:pPr>
              <w:spacing w:line="440" w:lineRule="exact"/>
              <w:rPr>
                <w:rFonts w:hint="eastAsia" w:ascii="宋体" w:hAnsi="宋体" w:eastAsia="宋体" w:cs="宋体"/>
                <w:b/>
                <w:color w:val="auto"/>
                <w:sz w:val="24"/>
                <w:szCs w:val="24"/>
              </w:rPr>
            </w:pPr>
          </w:p>
        </w:tc>
        <w:tc>
          <w:tcPr>
            <w:tcW w:w="1482" w:type="dxa"/>
            <w:noWrap w:val="0"/>
            <w:vAlign w:val="top"/>
          </w:tcPr>
          <w:p>
            <w:pPr>
              <w:spacing w:line="440" w:lineRule="exact"/>
              <w:rPr>
                <w:rFonts w:hint="eastAsia" w:ascii="宋体" w:hAnsi="宋体" w:eastAsia="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31" w:type="dxa"/>
            <w:vMerge w:val="continue"/>
            <w:noWrap w:val="0"/>
            <w:vAlign w:val="top"/>
          </w:tcPr>
          <w:p>
            <w:pPr>
              <w:spacing w:line="440" w:lineRule="exact"/>
              <w:rPr>
                <w:rFonts w:hint="eastAsia" w:ascii="宋体" w:hAnsi="宋体" w:eastAsia="宋体" w:cs="宋体"/>
                <w:b/>
                <w:color w:val="auto"/>
                <w:sz w:val="24"/>
                <w:szCs w:val="24"/>
              </w:rPr>
            </w:pPr>
          </w:p>
        </w:tc>
        <w:tc>
          <w:tcPr>
            <w:tcW w:w="1030"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p>
        </w:tc>
        <w:tc>
          <w:tcPr>
            <w:tcW w:w="3168" w:type="dxa"/>
            <w:noWrap w:val="0"/>
            <w:vAlign w:val="top"/>
          </w:tcPr>
          <w:p>
            <w:pPr>
              <w:spacing w:line="440" w:lineRule="exact"/>
              <w:rPr>
                <w:rFonts w:hint="eastAsia" w:ascii="宋体" w:hAnsi="宋体" w:eastAsia="宋体" w:cs="宋体"/>
                <w:b/>
                <w:color w:val="auto"/>
                <w:sz w:val="24"/>
                <w:szCs w:val="24"/>
              </w:rPr>
            </w:pPr>
          </w:p>
        </w:tc>
        <w:tc>
          <w:tcPr>
            <w:tcW w:w="2738" w:type="dxa"/>
            <w:noWrap w:val="0"/>
            <w:vAlign w:val="top"/>
          </w:tcPr>
          <w:p>
            <w:pPr>
              <w:spacing w:line="440" w:lineRule="exact"/>
              <w:rPr>
                <w:rFonts w:hint="eastAsia" w:ascii="宋体" w:hAnsi="宋体" w:eastAsia="宋体" w:cs="宋体"/>
                <w:b/>
                <w:color w:val="auto"/>
                <w:sz w:val="24"/>
                <w:szCs w:val="24"/>
              </w:rPr>
            </w:pPr>
          </w:p>
        </w:tc>
        <w:tc>
          <w:tcPr>
            <w:tcW w:w="1482" w:type="dxa"/>
            <w:noWrap w:val="0"/>
            <w:vAlign w:val="top"/>
          </w:tcPr>
          <w:p>
            <w:pPr>
              <w:spacing w:line="440" w:lineRule="exact"/>
              <w:rPr>
                <w:rFonts w:hint="eastAsia" w:ascii="宋体" w:hAnsi="宋体" w:eastAsia="宋体" w:cs="宋体"/>
                <w:b/>
                <w:color w:val="auto"/>
                <w:sz w:val="24"/>
                <w:szCs w:val="24"/>
              </w:rPr>
            </w:pPr>
          </w:p>
        </w:tc>
      </w:tr>
    </w:tbl>
    <w:p>
      <w:pPr>
        <w:spacing w:line="440" w:lineRule="exact"/>
        <w:rPr>
          <w:rFonts w:hint="eastAsia" w:ascii="宋体" w:hAnsi="宋体" w:eastAsia="宋体" w:cs="宋体"/>
          <w:color w:val="auto"/>
          <w:sz w:val="24"/>
          <w:szCs w:val="24"/>
        </w:rPr>
      </w:pPr>
    </w:p>
    <w:p>
      <w:pPr>
        <w:spacing w:line="440" w:lineRule="exact"/>
        <w:rPr>
          <w:rFonts w:hint="eastAsia" w:ascii="宋体" w:hAnsi="宋体" w:eastAsia="宋体" w:cs="宋体"/>
          <w:snapToGrid w:val="0"/>
          <w:color w:val="auto"/>
          <w:sz w:val="24"/>
          <w:szCs w:val="24"/>
        </w:rPr>
      </w:pPr>
      <w:r>
        <w:rPr>
          <w:rFonts w:hint="eastAsia" w:ascii="宋体" w:hAnsi="宋体" w:eastAsia="宋体" w:cs="宋体"/>
          <w:color w:val="auto"/>
          <w:sz w:val="24"/>
          <w:szCs w:val="24"/>
        </w:rPr>
        <w:t>注：</w:t>
      </w:r>
      <w:r>
        <w:rPr>
          <w:rFonts w:hint="eastAsia" w:ascii="宋体" w:hAnsi="宋体" w:cs="宋体"/>
          <w:color w:val="auto"/>
          <w:sz w:val="24"/>
          <w:szCs w:val="24"/>
          <w:lang w:val="en-US" w:eastAsia="zh-CN"/>
        </w:rPr>
        <w:t>供应商需</w:t>
      </w:r>
      <w:r>
        <w:rPr>
          <w:rFonts w:hint="eastAsia" w:ascii="宋体" w:hAnsi="宋体" w:eastAsia="宋体" w:cs="宋体"/>
          <w:color w:val="auto"/>
          <w:sz w:val="24"/>
          <w:szCs w:val="24"/>
        </w:rPr>
        <w:t>将</w:t>
      </w:r>
      <w:r>
        <w:rPr>
          <w:rFonts w:hint="eastAsia" w:ascii="宋体" w:hAnsi="宋体" w:cs="宋体"/>
          <w:color w:val="auto"/>
          <w:sz w:val="24"/>
          <w:szCs w:val="24"/>
          <w:lang w:val="en-US" w:eastAsia="zh-CN"/>
        </w:rPr>
        <w:t>响应</w:t>
      </w:r>
      <w:r>
        <w:rPr>
          <w:rFonts w:hint="eastAsia" w:ascii="宋体" w:hAnsi="宋体" w:eastAsia="宋体" w:cs="宋体"/>
          <w:color w:val="auto"/>
          <w:sz w:val="24"/>
          <w:szCs w:val="24"/>
        </w:rPr>
        <w:t>文件中的相关内容按上述要求及以上格式，逐条对应填写</w:t>
      </w:r>
      <w:r>
        <w:rPr>
          <w:rFonts w:hint="eastAsia" w:ascii="宋体" w:hAnsi="宋体" w:eastAsia="宋体" w:cs="宋体"/>
          <w:snapToGrid w:val="0"/>
          <w:color w:val="auto"/>
          <w:sz w:val="24"/>
          <w:szCs w:val="24"/>
        </w:rPr>
        <w:t>，以便</w:t>
      </w:r>
      <w:r>
        <w:rPr>
          <w:rFonts w:hint="eastAsia" w:ascii="宋体" w:hAnsi="宋体" w:cs="宋体"/>
          <w:snapToGrid w:val="0"/>
          <w:color w:val="auto"/>
          <w:sz w:val="24"/>
          <w:szCs w:val="24"/>
          <w:lang w:val="en-US" w:eastAsia="zh-CN"/>
        </w:rPr>
        <w:t>磋商小组</w:t>
      </w:r>
      <w:r>
        <w:rPr>
          <w:rFonts w:hint="eastAsia" w:ascii="宋体" w:hAnsi="宋体" w:eastAsia="宋体" w:cs="宋体"/>
          <w:snapToGrid w:val="0"/>
          <w:color w:val="auto"/>
          <w:sz w:val="24"/>
          <w:szCs w:val="24"/>
        </w:rPr>
        <w:t>进行评</w:t>
      </w:r>
      <w:r>
        <w:rPr>
          <w:rFonts w:hint="eastAsia" w:ascii="宋体" w:hAnsi="宋体" w:cs="宋体"/>
          <w:snapToGrid w:val="0"/>
          <w:color w:val="auto"/>
          <w:sz w:val="24"/>
          <w:szCs w:val="24"/>
          <w:lang w:val="en-US" w:eastAsia="zh-CN"/>
        </w:rPr>
        <w:t>审</w:t>
      </w:r>
      <w:r>
        <w:rPr>
          <w:rFonts w:hint="eastAsia" w:ascii="宋体" w:hAnsi="宋体" w:eastAsia="宋体" w:cs="宋体"/>
          <w:snapToGrid w:val="0"/>
          <w:color w:val="auto"/>
          <w:sz w:val="24"/>
          <w:szCs w:val="24"/>
        </w:rPr>
        <w:t>，未按以上格式逐条填写导致条理不清，解释不明的，</w:t>
      </w:r>
      <w:r>
        <w:rPr>
          <w:rFonts w:hint="eastAsia" w:ascii="宋体" w:hAnsi="宋体" w:cs="宋体"/>
          <w:color w:val="auto"/>
          <w:sz w:val="24"/>
          <w:szCs w:val="24"/>
          <w:lang w:val="en-US" w:eastAsia="zh-CN"/>
        </w:rPr>
        <w:t>磋商小组</w:t>
      </w:r>
      <w:r>
        <w:rPr>
          <w:rFonts w:hint="eastAsia" w:ascii="宋体" w:hAnsi="宋体" w:eastAsia="宋体" w:cs="宋体"/>
          <w:snapToGrid w:val="0"/>
          <w:color w:val="auto"/>
          <w:sz w:val="24"/>
          <w:szCs w:val="24"/>
        </w:rPr>
        <w:t>将做出不利于</w:t>
      </w:r>
      <w:r>
        <w:rPr>
          <w:rFonts w:hint="eastAsia" w:ascii="宋体" w:hAnsi="宋体" w:cs="宋体"/>
          <w:snapToGrid w:val="0"/>
          <w:color w:val="auto"/>
          <w:sz w:val="24"/>
          <w:szCs w:val="24"/>
          <w:lang w:val="en-US" w:eastAsia="zh-CN"/>
        </w:rPr>
        <w:t>供应商</w:t>
      </w:r>
      <w:r>
        <w:rPr>
          <w:rFonts w:hint="eastAsia" w:ascii="宋体" w:hAnsi="宋体" w:eastAsia="宋体" w:cs="宋体"/>
          <w:snapToGrid w:val="0"/>
          <w:color w:val="auto"/>
          <w:sz w:val="24"/>
          <w:szCs w:val="24"/>
        </w:rPr>
        <w:t>的</w:t>
      </w:r>
      <w:r>
        <w:rPr>
          <w:rFonts w:hint="eastAsia" w:ascii="宋体" w:hAnsi="宋体" w:eastAsia="宋体" w:cs="宋体"/>
          <w:color w:val="auto"/>
          <w:sz w:val="24"/>
          <w:szCs w:val="24"/>
        </w:rPr>
        <w:t>判断</w:t>
      </w:r>
      <w:r>
        <w:rPr>
          <w:rFonts w:hint="eastAsia" w:ascii="宋体" w:hAnsi="宋体" w:eastAsia="宋体" w:cs="宋体"/>
          <w:snapToGrid w:val="0"/>
          <w:color w:val="auto"/>
          <w:sz w:val="24"/>
          <w:szCs w:val="24"/>
        </w:rPr>
        <w:t>。</w:t>
      </w:r>
    </w:p>
    <w:p>
      <w:pPr>
        <w:spacing w:line="440" w:lineRule="exact"/>
        <w:rPr>
          <w:rFonts w:hint="eastAsia" w:ascii="宋体" w:hAnsi="宋体" w:eastAsia="宋体" w:cs="宋体"/>
          <w:b/>
          <w:color w:val="auto"/>
          <w:sz w:val="24"/>
          <w:szCs w:val="24"/>
        </w:rPr>
      </w:pPr>
    </w:p>
    <w:p>
      <w:pPr>
        <w:tabs>
          <w:tab w:val="left" w:pos="1230"/>
        </w:tabs>
        <w:topLinePunct/>
        <w:autoSpaceDE w:val="0"/>
        <w:autoSpaceDN w:val="0"/>
        <w:adjustRightInd w:val="0"/>
        <w:snapToGrid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rPr>
        <w:t>（全称并加盖公章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pPr>
        <w:tabs>
          <w:tab w:val="left" w:pos="1230"/>
        </w:tabs>
        <w:topLinePunct/>
        <w:autoSpaceDE w:val="0"/>
        <w:autoSpaceDN w:val="0"/>
        <w:adjustRightInd w:val="0"/>
        <w:snapToGrid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授权代表（签字或盖章）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pPr>
        <w:tabs>
          <w:tab w:val="left" w:pos="1230"/>
        </w:tabs>
        <w:topLinePunct/>
        <w:autoSpaceDE w:val="0"/>
        <w:autoSpaceDN w:val="0"/>
        <w:adjustRightInd w:val="0"/>
        <w:snapToGrid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pPr>
        <w:pStyle w:val="3"/>
        <w:jc w:val="center"/>
        <w:rPr>
          <w:rFonts w:hint="eastAsia" w:ascii="宋体" w:hAnsi="宋体" w:cs="宋体"/>
          <w:b/>
          <w:color w:val="auto"/>
          <w:sz w:val="72"/>
          <w:szCs w:val="72"/>
        </w:rPr>
      </w:pPr>
      <w:r>
        <w:rPr>
          <w:rFonts w:hint="eastAsia" w:ascii="宋体" w:hAnsi="宋体" w:cs="宋体"/>
          <w:b/>
          <w:color w:val="auto"/>
          <w:sz w:val="72"/>
          <w:szCs w:val="72"/>
        </w:rPr>
        <w:br w:type="page"/>
      </w:r>
      <w:bookmarkStart w:id="122" w:name="_Toc24618"/>
      <w:r>
        <w:rPr>
          <w:rFonts w:hint="eastAsia" w:ascii="宋体" w:hAnsi="宋体" w:eastAsia="宋体" w:cs="宋体"/>
          <w:b/>
          <w:bCs/>
          <w:color w:val="auto"/>
          <w:sz w:val="32"/>
          <w:szCs w:val="32"/>
          <w:highlight w:val="none"/>
        </w:rPr>
        <w:t>格式1</w:t>
      </w:r>
      <w:r>
        <w:rPr>
          <w:rFonts w:hint="eastAsia" w:ascii="宋体" w:hAnsi="宋体" w:eastAsia="宋体" w:cs="宋体"/>
          <w:b/>
          <w:bCs/>
          <w:color w:val="auto"/>
          <w:sz w:val="32"/>
          <w:szCs w:val="32"/>
          <w:highlight w:val="none"/>
          <w:lang w:val="en-US" w:eastAsia="zh-CN"/>
        </w:rPr>
        <w:t>3</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en-US" w:eastAsia="zh-CN"/>
        </w:rPr>
        <w:t>供应商认为需要提交的其他材料</w:t>
      </w:r>
      <w:r>
        <w:rPr>
          <w:rFonts w:hint="eastAsia" w:ascii="宋体" w:hAnsi="宋体" w:cs="宋体"/>
          <w:b/>
          <w:color w:val="auto"/>
          <w:sz w:val="72"/>
          <w:szCs w:val="72"/>
        </w:rPr>
        <w:br w:type="page"/>
      </w:r>
      <w:r>
        <w:rPr>
          <w:rFonts w:hint="eastAsia" w:ascii="宋体" w:hAnsi="宋体" w:cs="宋体"/>
          <w:b/>
          <w:color w:val="auto"/>
          <w:sz w:val="72"/>
          <w:szCs w:val="72"/>
        </w:rPr>
        <w:t>竞争性磋商文件</w:t>
      </w:r>
      <w:bookmarkEnd w:id="38"/>
      <w:bookmarkEnd w:id="122"/>
    </w:p>
    <w:p>
      <w:pPr>
        <w:pStyle w:val="3"/>
        <w:jc w:val="center"/>
        <w:rPr>
          <w:rFonts w:hint="eastAsia" w:ascii="宋体" w:hAnsi="宋体" w:cs="宋体"/>
          <w:b/>
          <w:color w:val="auto"/>
          <w:sz w:val="72"/>
          <w:szCs w:val="72"/>
        </w:rPr>
      </w:pPr>
      <w:bookmarkStart w:id="123" w:name="_Toc17751"/>
      <w:bookmarkStart w:id="124" w:name="_Toc4811"/>
      <w:r>
        <w:rPr>
          <w:rFonts w:hint="eastAsia" w:ascii="宋体" w:hAnsi="宋体" w:cs="宋体"/>
          <w:b/>
          <w:color w:val="auto"/>
          <w:sz w:val="72"/>
          <w:szCs w:val="72"/>
        </w:rPr>
        <w:t>（</w:t>
      </w:r>
      <w:r>
        <w:rPr>
          <w:rFonts w:hint="eastAsia" w:ascii="宋体" w:hAnsi="宋体" w:cs="宋体"/>
          <w:b/>
          <w:color w:val="auto"/>
          <w:sz w:val="72"/>
          <w:szCs w:val="72"/>
          <w:lang w:val="en-US" w:eastAsia="zh-CN"/>
        </w:rPr>
        <w:t>技术</w:t>
      </w:r>
      <w:r>
        <w:rPr>
          <w:rFonts w:hint="eastAsia" w:ascii="宋体" w:hAnsi="宋体" w:cs="宋体"/>
          <w:b/>
          <w:color w:val="auto"/>
          <w:sz w:val="72"/>
          <w:szCs w:val="72"/>
        </w:rPr>
        <w:t>部分）</w:t>
      </w:r>
      <w:bookmarkEnd w:id="123"/>
      <w:bookmarkEnd w:id="124"/>
    </w:p>
    <w:p>
      <w:pPr>
        <w:pStyle w:val="14"/>
        <w:ind w:firstLine="1400" w:firstLineChars="500"/>
        <w:rPr>
          <w:rFonts w:hint="eastAsia" w:ascii="宋体" w:hAnsi="宋体" w:eastAsia="宋体" w:cs="宋体"/>
          <w:color w:val="auto"/>
          <w:kern w:val="0"/>
          <w:sz w:val="28"/>
          <w:szCs w:val="28"/>
        </w:rPr>
      </w:pPr>
    </w:p>
    <w:p>
      <w:pPr>
        <w:bidi w:val="0"/>
        <w:rPr>
          <w:rFonts w:hint="eastAsia" w:ascii="宋体" w:hAnsi="宋体" w:eastAsia="宋体" w:cs="宋体"/>
          <w:color w:val="auto"/>
          <w:sz w:val="24"/>
          <w:szCs w:val="24"/>
          <w:highlight w:val="none"/>
        </w:rPr>
      </w:pPr>
    </w:p>
    <w:p>
      <w:pPr>
        <w:pStyle w:val="6"/>
        <w:numPr>
          <w:ilvl w:val="0"/>
          <w:numId w:val="0"/>
        </w:numPr>
        <w:ind w:leftChars="200"/>
        <w:rPr>
          <w:rFonts w:hint="eastAsia"/>
          <w:color w:val="auto"/>
        </w:rPr>
      </w:pPr>
    </w:p>
    <w:p>
      <w:pPr>
        <w:pStyle w:val="8"/>
        <w:rPr>
          <w:rFonts w:hint="eastAsia"/>
          <w:color w:val="auto"/>
        </w:rPr>
      </w:pPr>
    </w:p>
    <w:p>
      <w:pPr>
        <w:pStyle w:val="14"/>
        <w:rPr>
          <w:rFonts w:hint="eastAsia" w:hAnsi="宋体" w:cs="宋体"/>
          <w:color w:val="auto"/>
          <w:kern w:val="0"/>
          <w:sz w:val="28"/>
          <w:szCs w:val="28"/>
          <w:u w:val="single"/>
          <w:lang w:eastAsia="zh-CN"/>
        </w:rPr>
      </w:pPr>
      <w:r>
        <w:rPr>
          <w:rFonts w:hint="eastAsia" w:ascii="宋体" w:hAnsi="宋体" w:eastAsia="宋体" w:cs="宋体"/>
          <w:color w:val="auto"/>
          <w:kern w:val="0"/>
          <w:sz w:val="28"/>
          <w:szCs w:val="28"/>
        </w:rPr>
        <w:t>项目名称：</w:t>
      </w:r>
      <w:r>
        <w:rPr>
          <w:rFonts w:hint="eastAsia" w:hAnsi="宋体" w:cs="宋体"/>
          <w:color w:val="auto"/>
          <w:kern w:val="0"/>
          <w:sz w:val="28"/>
          <w:szCs w:val="28"/>
          <w:u w:val="single"/>
          <w:lang w:eastAsia="zh-CN"/>
        </w:rPr>
        <w:t>国家税务总局南平市税务局12366热线服务外包采购项目</w:t>
      </w:r>
    </w:p>
    <w:p>
      <w:pPr>
        <w:pStyle w:val="14"/>
        <w:ind w:firstLine="1400" w:firstLineChars="500"/>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项目编号：</w:t>
      </w:r>
      <w:r>
        <w:rPr>
          <w:rFonts w:hint="eastAsia" w:hAnsi="宋体" w:cs="宋体"/>
          <w:color w:val="auto"/>
          <w:kern w:val="0"/>
          <w:sz w:val="28"/>
          <w:szCs w:val="28"/>
          <w:u w:val="single"/>
          <w:lang w:eastAsia="zh-CN"/>
        </w:rPr>
        <w:t>ZXWT-2025-09</w:t>
      </w:r>
    </w:p>
    <w:p>
      <w:pPr>
        <w:pStyle w:val="14"/>
        <w:ind w:firstLine="1400" w:firstLineChars="500"/>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采 购 人：</w:t>
      </w:r>
      <w:r>
        <w:rPr>
          <w:rFonts w:hint="eastAsia" w:hAnsi="宋体" w:cs="宋体"/>
          <w:color w:val="auto"/>
          <w:kern w:val="0"/>
          <w:sz w:val="28"/>
          <w:szCs w:val="28"/>
          <w:u w:val="single"/>
          <w:lang w:eastAsia="zh-CN"/>
        </w:rPr>
        <w:t>国家税务总局南平市税务局</w:t>
      </w:r>
    </w:p>
    <w:p>
      <w:pPr>
        <w:pStyle w:val="14"/>
        <w:ind w:firstLine="1400" w:firstLineChars="5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采购代理机构：</w:t>
      </w:r>
      <w:r>
        <w:rPr>
          <w:rFonts w:hint="eastAsia" w:ascii="宋体" w:hAnsi="宋体" w:eastAsia="宋体" w:cs="宋体"/>
          <w:color w:val="auto"/>
          <w:kern w:val="0"/>
          <w:sz w:val="28"/>
          <w:szCs w:val="28"/>
          <w:u w:val="single"/>
        </w:rPr>
        <w:t>福建省智信招标有限公司</w:t>
      </w:r>
    </w:p>
    <w:p>
      <w:pPr>
        <w:topLinePunct/>
        <w:autoSpaceDE w:val="0"/>
        <w:autoSpaceDN w:val="0"/>
        <w:spacing w:line="460" w:lineRule="exact"/>
        <w:rPr>
          <w:rFonts w:hint="eastAsia" w:ascii="宋体" w:hAnsi="宋体" w:eastAsia="宋体" w:cs="宋体"/>
          <w:b/>
          <w:color w:val="auto"/>
          <w:sz w:val="24"/>
          <w:szCs w:val="24"/>
          <w:highlight w:val="none"/>
        </w:rPr>
      </w:pPr>
    </w:p>
    <w:p>
      <w:pPr>
        <w:topLinePunct/>
        <w:autoSpaceDE w:val="0"/>
        <w:autoSpaceDN w:val="0"/>
        <w:spacing w:line="460" w:lineRule="exact"/>
        <w:jc w:val="center"/>
        <w:rPr>
          <w:rFonts w:hint="eastAsia" w:ascii="宋体" w:hAnsi="宋体" w:eastAsia="宋体" w:cs="宋体"/>
          <w:color w:val="auto"/>
          <w:sz w:val="24"/>
          <w:szCs w:val="24"/>
          <w:highlight w:val="none"/>
        </w:rPr>
      </w:pPr>
    </w:p>
    <w:p>
      <w:pPr>
        <w:pStyle w:val="6"/>
        <w:numPr>
          <w:ilvl w:val="0"/>
          <w:numId w:val="0"/>
        </w:numPr>
        <w:ind w:leftChars="200"/>
        <w:rPr>
          <w:rFonts w:hint="eastAsia"/>
          <w:color w:val="auto"/>
        </w:rPr>
      </w:pPr>
    </w:p>
    <w:p>
      <w:pPr>
        <w:pStyle w:val="9"/>
        <w:rPr>
          <w:rFonts w:hint="eastAsia"/>
          <w:color w:val="auto"/>
        </w:rPr>
      </w:pPr>
    </w:p>
    <w:p>
      <w:pPr>
        <w:topLinePunct/>
        <w:autoSpaceDE w:val="0"/>
        <w:autoSpaceDN w:val="0"/>
        <w:spacing w:line="160" w:lineRule="exact"/>
        <w:jc w:val="center"/>
        <w:rPr>
          <w:rFonts w:hint="eastAsia" w:ascii="宋体" w:hAnsi="宋体" w:eastAsia="宋体" w:cs="宋体"/>
          <w:color w:val="auto"/>
          <w:sz w:val="24"/>
          <w:szCs w:val="24"/>
          <w:highlight w:val="none"/>
        </w:rPr>
      </w:pPr>
    </w:p>
    <w:p>
      <w:pPr>
        <w:jc w:val="center"/>
        <w:rPr>
          <w:rFonts w:hint="eastAsia" w:hAnsi="宋体" w:cs="宋体"/>
          <w:color w:val="auto"/>
          <w:kern w:val="0"/>
          <w:sz w:val="28"/>
          <w:szCs w:val="28"/>
          <w:u w:val="none"/>
          <w:lang w:eastAsia="zh-CN"/>
        </w:rPr>
      </w:pPr>
      <w:r>
        <w:rPr>
          <w:rFonts w:hint="eastAsia" w:hAnsi="宋体" w:cs="宋体"/>
          <w:color w:val="auto"/>
          <w:kern w:val="0"/>
          <w:sz w:val="28"/>
          <w:szCs w:val="28"/>
          <w:u w:val="none"/>
          <w:lang w:eastAsia="zh-CN"/>
        </w:rPr>
        <w:t>国家税务总局南平市税务局</w:t>
      </w: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01</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20</w:t>
      </w:r>
      <w:r>
        <w:rPr>
          <w:rFonts w:hint="eastAsia" w:ascii="宋体" w:hAnsi="宋体" w:eastAsia="宋体" w:cs="宋体"/>
          <w:color w:val="auto"/>
          <w:sz w:val="28"/>
          <w:szCs w:val="28"/>
          <w:highlight w:val="none"/>
        </w:rPr>
        <w:t>日</w:t>
      </w:r>
    </w:p>
    <w:p>
      <w:pPr>
        <w:topLinePunct/>
        <w:autoSpaceDE w:val="0"/>
        <w:autoSpaceDN w:val="0"/>
        <w:jc w:val="center"/>
        <w:rPr>
          <w:rFonts w:hint="eastAsia" w:ascii="宋体" w:hAnsi="宋体" w:eastAsia="宋体" w:cs="宋体"/>
          <w:b/>
          <w:bCs/>
          <w:color w:val="auto"/>
          <w:sz w:val="28"/>
          <w:szCs w:val="28"/>
          <w:highlight w:val="yellow"/>
        </w:rPr>
      </w:pPr>
      <w:r>
        <w:rPr>
          <w:rFonts w:hint="eastAsia" w:ascii="宋体" w:hAnsi="宋体" w:eastAsia="宋体" w:cs="宋体"/>
          <w:b w:val="0"/>
          <w:bCs/>
          <w:color w:val="auto"/>
          <w:sz w:val="24"/>
          <w:szCs w:val="24"/>
          <w:highlight w:val="none"/>
        </w:rPr>
        <w:br w:type="page"/>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黑体" w:hAnsi="黑体" w:eastAsia="黑体" w:cs="黑体"/>
          <w:b/>
          <w:bCs/>
          <w:color w:val="auto"/>
          <w:highlight w:val="none"/>
          <w:lang w:val="en-US" w:eastAsia="zh-CN"/>
        </w:rPr>
      </w:pPr>
      <w:bookmarkStart w:id="125" w:name="_Toc132880669"/>
      <w:bookmarkStart w:id="126" w:name="_Toc31314"/>
      <w:r>
        <w:rPr>
          <w:rFonts w:hint="eastAsia" w:ascii="宋体" w:hAnsi="宋体" w:eastAsia="宋体" w:cs="宋体"/>
          <w:b/>
          <w:bCs/>
          <w:color w:val="auto"/>
          <w:sz w:val="28"/>
          <w:szCs w:val="28"/>
          <w:highlight w:val="none"/>
        </w:rPr>
        <w:t>第六章  项目采购需求</w:t>
      </w:r>
      <w:bookmarkEnd w:id="125"/>
      <w:bookmarkEnd w:id="126"/>
      <w:bookmarkStart w:id="127" w:name="_Toc132880670"/>
      <w:bookmarkStart w:id="128" w:name="_Toc12903"/>
    </w:p>
    <w:bookmarkEnd w:id="127"/>
    <w:bookmarkEnd w:id="128"/>
    <w:p>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jc w:val="lef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一、项目概况</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1.国家税务总局南平市税务局纳税服务中心12366热线（以下简称“12366 中心”），以12345政务服务平台为依托的分中心模式运转、以省局12366热线平台为基础支撑、省市两级运行架构的热线服务模式，统一使用国家信息产业部核批的全国税务机关客服号 12366开展语音（包括自动语音咨询和人工坐席咨询）和网络咨询。人工坐席和网络咨询提供 7*24 小时服务，主要功能为：纳税咨询、投诉举报、办税指引、意见建议等。</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次服务外包，决定在12366中心采购服务外包岗位8个，对服务外包项目的管理以服务商为主、南平市税务局为辅的管理模式实施，服务期限自合同规定服务期限生效起一年，按年签订服务合同。该项目立足于将南平市税务局12366中心打造成税务机关连接纳税人的桥梁纽带，实时了解纳税人需求、高效给予纳税人精准服务，展现税务机关为纳税（缴费）人优质服务的精神风貌。</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jc w:val="lef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二、</w:t>
      </w:r>
      <w:r>
        <w:rPr>
          <w:rFonts w:hint="eastAsia" w:ascii="宋体" w:hAnsi="宋体" w:eastAsia="宋体" w:cs="宋体"/>
          <w:b/>
          <w:bCs/>
          <w:color w:val="auto"/>
          <w:kern w:val="0"/>
          <w:sz w:val="24"/>
          <w:szCs w:val="24"/>
        </w:rPr>
        <w:t>总体要求</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南平市12366 中心为纳税人提供优质高效的专业化服务，包括12366纳税缴费服务热线、12366网站咨询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12345话务转接</w:t>
      </w:r>
      <w:r>
        <w:rPr>
          <w:rFonts w:hint="eastAsia" w:ascii="宋体" w:hAnsi="宋体" w:eastAsia="宋体" w:cs="宋体"/>
          <w:color w:val="auto"/>
          <w:sz w:val="24"/>
          <w:szCs w:val="24"/>
        </w:rPr>
        <w:t>等多种服务渠道。咨询人能够通过电话、传真、留言、互联网等方式向12366中心请求服务，中心可选择采取自动语音、人工坐席、传真回复、短信、留言、电子邮件、互联网等服务方式，向纳税</w:t>
      </w:r>
      <w:r>
        <w:rPr>
          <w:rFonts w:hint="eastAsia" w:ascii="宋体" w:hAnsi="宋体" w:eastAsia="宋体" w:cs="宋体"/>
          <w:color w:val="auto"/>
          <w:sz w:val="24"/>
          <w:szCs w:val="24"/>
          <w:lang w:eastAsia="zh-CN"/>
        </w:rPr>
        <w:t>（缴费）</w:t>
      </w:r>
      <w:r>
        <w:rPr>
          <w:rFonts w:hint="eastAsia" w:ascii="宋体" w:hAnsi="宋体" w:eastAsia="宋体" w:cs="宋体"/>
          <w:color w:val="auto"/>
          <w:sz w:val="24"/>
          <w:szCs w:val="24"/>
        </w:rPr>
        <w:t>人提供自动或人工的应答服务。</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2.12366热线办公场地由南平市税务局提供。所有人员必须遵守南平市税务局机关和12366相关管理规定，包括保密制度、门禁制度、信息安全管理规定及12366运行管理相关规定等。</w:t>
      </w:r>
      <w:r>
        <w:rPr>
          <w:rFonts w:hint="eastAsia" w:ascii="宋体" w:hAnsi="宋体" w:eastAsia="宋体" w:cs="宋体"/>
          <w:b/>
          <w:bCs/>
          <w:color w:val="auto"/>
          <w:sz w:val="24"/>
          <w:szCs w:val="24"/>
          <w:lang w:val="en-US" w:eastAsia="zh-CN"/>
        </w:rPr>
        <w:t>本次服务外包岗位8个</w:t>
      </w:r>
      <w:r>
        <w:rPr>
          <w:rFonts w:hint="eastAsia" w:ascii="宋体" w:hAnsi="宋体" w:eastAsia="宋体" w:cs="宋体"/>
          <w:color w:val="auto"/>
          <w:sz w:val="24"/>
          <w:szCs w:val="24"/>
          <w:lang w:val="en-US" w:eastAsia="zh-CN"/>
        </w:rPr>
        <w:t>，服务商负责对服务外包人员进行人事和业务流程的全面管理，负责向社会公开招聘人员，负责组织人员岗前培训（含基本礼仪培训、12366纳税服务热线基本工作流程及作业标准、各税费政策培训、各税费申报业务培训、各类网报系统基本架构及常见问题、征收管理及纳税服务基础知识等专业培训）、日常培训（包括税收业务新政策、典型录音分析、沟通服务技巧等）等，负责人员的日常管理、薪资福利管理、质量监测、绩效考核、党团工青妇活动等，提供必要的工作电脑、打印机并提供统一的税务着装等。</w:t>
      </w:r>
    </w:p>
    <w:p>
      <w:pPr>
        <w:keepNext w:val="0"/>
        <w:keepLines w:val="0"/>
        <w:pageBreakBefore w:val="0"/>
        <w:widowControl w:val="0"/>
        <w:numPr>
          <w:ilvl w:val="0"/>
          <w:numId w:val="2"/>
        </w:numPr>
        <w:tabs>
          <w:tab w:val="left" w:pos="525"/>
          <w:tab w:val="left" w:pos="737"/>
          <w:tab w:val="clear" w:pos="312"/>
        </w:tabs>
        <w:kinsoku/>
        <w:wordWrap/>
        <w:overflowPunct/>
        <w:topLinePunct w:val="0"/>
        <w:autoSpaceDE/>
        <w:autoSpaceDN/>
        <w:bidi w:val="0"/>
        <w:adjustRightInd/>
        <w:snapToGrid w:val="0"/>
        <w:spacing w:line="440" w:lineRule="exact"/>
        <w:ind w:left="0" w:leftChars="0" w:firstLine="360" w:firstLineChars="15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采购人负责对合同约定的工作进行督促检查，提供招聘条件、岗位职责标准、考核指标要求、薪酬和考核建议、工作环境和部分工作用品、提供12366业务工作系统和业务支持。</w:t>
      </w:r>
    </w:p>
    <w:p>
      <w:pPr>
        <w:keepNext w:val="0"/>
        <w:keepLines w:val="0"/>
        <w:pageBreakBefore w:val="0"/>
        <w:widowControl w:val="0"/>
        <w:numPr>
          <w:ilvl w:val="0"/>
          <w:numId w:val="0"/>
        </w:numPr>
        <w:tabs>
          <w:tab w:val="left" w:pos="525"/>
          <w:tab w:val="left" w:pos="737"/>
        </w:tabs>
        <w:kinsoku/>
        <w:wordWrap/>
        <w:overflowPunct/>
        <w:topLinePunct w:val="0"/>
        <w:autoSpaceDE/>
        <w:autoSpaceDN/>
        <w:bidi w:val="0"/>
        <w:adjustRightInd/>
        <w:snapToGrid w:val="0"/>
        <w:spacing w:line="440" w:lineRule="exact"/>
        <w:ind w:leftChars="15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三、技术需求</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1.人员要求</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服务商应在合同签订后抓紧招聘服务外包人员，经上岗考核合格后，所有人员应于合同规定的时间起开始提供服务。服务外包人员均应经过服务商组织的岗前业务培训，并经上岗考核合格后方可上线。</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（1）基本条件</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①本科</w:t>
      </w:r>
      <w:r>
        <w:rPr>
          <w:rFonts w:hint="eastAsia" w:ascii="宋体" w:hAnsi="宋体" w:eastAsia="宋体" w:cs="宋体"/>
          <w:color w:val="auto"/>
          <w:sz w:val="24"/>
          <w:szCs w:val="24"/>
          <w:lang w:val="zh-CN" w:eastAsia="zh-CN"/>
        </w:rPr>
        <w:t>（含）</w:t>
      </w:r>
      <w:r>
        <w:rPr>
          <w:rFonts w:hint="eastAsia" w:ascii="宋体" w:hAnsi="宋体" w:eastAsia="宋体" w:cs="宋体"/>
          <w:color w:val="auto"/>
          <w:sz w:val="24"/>
          <w:szCs w:val="24"/>
          <w:lang w:val="en-US" w:eastAsia="zh-CN"/>
        </w:rPr>
        <w:t>及以上学历，其中财会、税收</w:t>
      </w:r>
      <w:r>
        <w:rPr>
          <w:rFonts w:hint="eastAsia" w:ascii="宋体" w:hAnsi="宋体" w:eastAsia="宋体" w:cs="宋体"/>
          <w:color w:val="auto"/>
          <w:sz w:val="24"/>
          <w:szCs w:val="24"/>
          <w:lang w:eastAsia="zh-CN"/>
        </w:rPr>
        <w:t>、法律、计算机、经济类</w:t>
      </w:r>
      <w:r>
        <w:rPr>
          <w:rFonts w:hint="eastAsia" w:ascii="宋体" w:hAnsi="宋体" w:eastAsia="宋体" w:cs="宋体"/>
          <w:color w:val="auto"/>
          <w:sz w:val="24"/>
          <w:szCs w:val="24"/>
          <w:lang w:val="en-US" w:eastAsia="zh-CN"/>
        </w:rPr>
        <w:t>专业人员占比37.5%（含），年龄原则上不超过35岁（截至2025年3月1日）。有税费咨询服务工作经验者，可适当放宽条件。</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②普通话达二级乙等以上；</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③汉字录入速度不低于80字/分钟；</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④具备较强的服务意识和语言表达能力、良好的沟通能力、记忆能力、心理承受能力和学习能力；</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⑤身体健康。</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（2）人才储备</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服务商应按本项目要求，制定人才储备计划并在响应文件中提供，保障充分的人员补充渠道，满足项目用人需求，确保人员上线率和服务质效。</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（3）人员管理</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①服务商支付服务外包人员薪酬必须符合国家各项规定，包括最低保障工资的规定、为员工缴纳各种强制保险和公积金的规定等。</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服务商要向采购人按期报备服务外包人员的劳务报酬和教育培训费用支出情况。</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②采购人对以下情形，有提出撤换人员的权利。服务商应按采购人要求进行撤换，并在采购人指定时间内完成。</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一是对于连续三个月考核成绩位于服务外包人员考核成绩中倒数第一名的；</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二是违反南平市税务局机关管理和12366中心管理规定，拒不接受教育、改正的；</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三是被上级主管部门、地方政府通报批评的或严重影响税务形象的；</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四是在一个工作年度内，被投诉三次以上的（含三次）；</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五是因个人身体原因，不适合服务岗位的；</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六是其它影响工作的情形。</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③服务商应配备1名现场管理人员，负责12366热线日常管理和沟通协调工作，具体负责人员的出勤、培训、服务质检月度考核等，每月将运行分析报告、薪酬支付情况、热点问题专题分析等材料书面反馈至采购人。</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2.设备要求</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服务商负责提供必要的工作设备，包括工作电脑、打印机等。</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（1）工作电脑</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由服务商给服务外包人员人均配置一台符合工作要求的电脑。</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（2）打印机</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由服务商配置符合工作要求的激光双面打印机1台。</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（3）维护和响应</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bookmarkStart w:id="129" w:name="_Hlk185950109"/>
      <w:r>
        <w:rPr>
          <w:rFonts w:hint="eastAsia" w:ascii="宋体" w:hAnsi="宋体" w:eastAsia="宋体" w:cs="宋体"/>
          <w:color w:val="auto"/>
          <w:sz w:val="24"/>
          <w:szCs w:val="24"/>
          <w:lang w:val="en-US" w:eastAsia="zh-CN"/>
        </w:rPr>
        <w:t>服务商</w:t>
      </w:r>
      <w:bookmarkEnd w:id="129"/>
      <w:r>
        <w:rPr>
          <w:rFonts w:hint="eastAsia" w:ascii="宋体" w:hAnsi="宋体" w:eastAsia="宋体" w:cs="宋体"/>
          <w:color w:val="auto"/>
          <w:sz w:val="24"/>
          <w:szCs w:val="24"/>
          <w:lang w:val="en-US" w:eastAsia="zh-CN"/>
        </w:rPr>
        <w:t>需对工作电脑和打印机进行维护和响应，保证设备的稳定和服务不间断，工作电脑的可用率不低于95%，对于故障设备的更换，时间不超过7天。</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3.日常管理</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服务商应在采购人的指导和要求下，以 12366纳税缴费服务热线基本工作流程和作业标准为基础，按照福建省税务局12366业务规范及流程操作。</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（1）服务商应根据工作需要，进行相应的动态排班调整，保证工作正常进行。</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（2）服务商需负责工作环境、活动场所的维护，保持工作场地整洁卫生。</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（3）服务外包人员上岗时应统一着装税务制服，包括夏装短袖、夏装衬衫、春秋装和冬装。制服由服务商负责提供，服装的颜色款式和质量要求可以咨询制服生产厂商。</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（4）服务商应严格要求服务外包人员遵守南平市税务局机关和12366相关管理规定，包括但不限于保密制度、门禁制度、信息安全管理规定及12366运行管理相关制度规定等。</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为保障本项目有效运作，服务商与采购人应建立有效的沟通机制。服务商每季须根据双方确定的要求，提供月度运营分析报告、薪酬支付情况、月度热点问题专题分析等运营分析材料给采购人，并根据运行管理情况，及时发现存在的问题，提出完善和解决方案。</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6）采购人有权监控服务商的坐席忙闲情况、话务情况，有权实施话务监听、录音质检及网络咨询质检，并调取服务商的各类话务统计报表等，服务商应当予以配合，并按时将资料准备好，随时接受采购人的查阅，避免事后准备的情况出现。 </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（7）服务商需配合采购人做好专项工作保障。对于南平市税务局组织的视察、宣传、展示等重要专项工作，服务商应根据采购人要求提供人员支持与保障。</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4.安全管理</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（1）服务商应对管理人员和坐席加强网络安全管理，必须按照要求: ①签订保密协议和网络安全承诺书；②进行网络安全和数据安全相关规定培训及警示教育；③服务商要保证员工背景符合要求。</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（2）服务商未经采购人同意，不得访问、修改、披露、利用、转让、销毁税务数据，并严格按照个人信息保护和数据安全相关法律和制度要求，履行责任义务，切实加强个人信息保护。</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严格区分内外网，严禁接入过互联网的终端接入税务内网。为保证安全，在服务期间，服务商的所有终端必须经过采购人安全处置后方可使用，并履行报备手续，严禁私自接入相关网络及设备。在服务期及服务期结束后的1个月内不得带离南平市局办公地点。采购人有权对终端的安全设置进行检查和加固，终端离场时需要经采购人审批，由采购人对硬盘进行格式化或对使用过的硬盘进行拆卸并封存，服务商不得拒绝。</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（4）服务商要对服务外包人员投保人身意外险。服务外包人员在12366工作期间发生工伤、经济补偿、劳动纠纷等问题均由服务商承担。</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5.因采购人办公场地搬迁等原因产生的额外费用由服务商承担。</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四、服务内容</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技术服务内容。围绕12366接通率、咨询即时答复率、服务满意率、工单按时办结情况、解答质量、业务培训、服务投诉、员工稳定性等指标，按季对服务商进行考核，如税务总局、福建省税务局、市政府等上级部门对市局的工作要求发生变化的，考核内容和要求将结合采购人实际工作情况予以调整。</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2.服务期限1年，以合同签订时间为准。</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服务方式要求：为纳税人缴费人提供优质高效的专业化税费咨询服务，使纳税人缴费人能够通过电话、留言、互联网等方式请求服务，12366可选择采取自动语音、人工坐席、短信、留言、电子邮件、互联网等方式，提供自动或人工的应答服务。</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4.服务人员要求，服务商需安排不少于8个岗位的坐席队伍提供咨询服务。</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五、项目管理和实施要求</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人将围绕12366接通率、咨询即时答复率、服务满意率、工单按时办结情况、解答质量、业务培训、服务投诉、员工稳定性等指标，按季对服务商进行考核，如税务总局、福建省税务局、市政府等上级部门对市局的工作要求发生变化的，考核内容和要求将结合采购人实际工作情况予以调整。如因采购人原因或其他不可抗力因素影响服务商服务质效的，不计入绩效考核。</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1.指标说明</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12366接通率。由当季人工接通率和当季平均等待时长组成，人工接通率是指当季人工接听量与转接人工量的比率；平均等待时长是指当季人工接听的总等待时长与当季人工接听量的比，其中热线等待时长是指纳税人缴费人选择转人工后至自动语音播报坐席工号前的时长，在线等待时长是指接通的在线咨询排队总时长，算平均等待时长时需除以咨询接通量。</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（2）咨询即时答复率。指当季12366坐席当场答复纳税人缴费人并办结的比率；咨询类总量是指当季业务类别为咨询的人工语音服务量；直接办结数量是指当季咨询类总量中小结类型选择直接办结的数量。</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服务满意率。由当季“好差评”推送率和当季答复好评率组成，“好差评”推送率是指当季热线推送“好差评”评价的数量与人工接听及外呼的业务记录数量的比率；答复好评率是指当季热线纳税人缴费人“好评”的数量与热线推送“好差评”评价的数量的比率。</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工单办理质效。包括工单按时办结情况和工单反复流转情况。工单按时办结情况指在规定时间内办理完成工单的情况；工单反复流转的情形包括坐席人员工单制作不规范退回等，反复流转判定标准为超过1次再次流转。</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（5）解答质量。解答质量得分以省局通报为准。</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（6）业务培训。要求服务商对坐席人员每月开展4次（含）以上专项培训，4次（含）以上分组培训（其中不少于2次服务规范培训）。</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服务投诉。指纳税人缴费人当季通过各类渠道对话务坐席服务质量的投诉，经调查属实的。若当季存在投诉属实且造成严重后果或恶劣影响的该指标不得分，严重后果及恶劣影响由采购方根据实际情况予以评估。</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（8）员工稳定性。统计每季度员工离职的人数，以每个季度离职人员的数量考核人员的稳定性。员工离职数不包括如下人员：内部岗位调动人员；采购方根据 </w:t>
      </w:r>
      <w:r>
        <w:rPr>
          <w:rFonts w:hint="eastAsia" w:ascii="宋体" w:hAnsi="宋体" w:eastAsia="宋体" w:cs="宋体"/>
          <w:b/>
          <w:bCs/>
          <w:color w:val="auto"/>
          <w:sz w:val="24"/>
          <w:szCs w:val="24"/>
          <w:lang w:val="en-US" w:eastAsia="zh-CN"/>
        </w:rPr>
        <w:t>项目需求（二）技术需求</w:t>
      </w:r>
      <w:r>
        <w:rPr>
          <w:rFonts w:hint="eastAsia" w:ascii="宋体" w:hAnsi="宋体" w:eastAsia="宋体" w:cs="宋体"/>
          <w:color w:val="auto"/>
          <w:sz w:val="24"/>
          <w:szCs w:val="24"/>
          <w:lang w:val="en-US" w:eastAsia="zh-CN"/>
        </w:rPr>
        <w:t>1.人员要求（3）人员管理第②条”要求撤换的人员；服务商根据其员工管理办法对不符合工作要求主动予以劝退（开除）的人员。</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2.考核标准</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693"/>
        <w:gridCol w:w="2167"/>
        <w:gridCol w:w="1908"/>
        <w:gridCol w:w="3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415" w:type="pc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指标名称</w:t>
            </w:r>
          </w:p>
        </w:tc>
        <w:tc>
          <w:tcPr>
            <w:tcW w:w="387" w:type="pc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分值</w:t>
            </w:r>
          </w:p>
        </w:tc>
        <w:tc>
          <w:tcPr>
            <w:tcW w:w="1211" w:type="pc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计算方法</w:t>
            </w:r>
          </w:p>
        </w:tc>
        <w:tc>
          <w:tcPr>
            <w:tcW w:w="1066" w:type="pc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考核标准</w:t>
            </w:r>
          </w:p>
        </w:tc>
        <w:tc>
          <w:tcPr>
            <w:tcW w:w="1919" w:type="pc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考核细则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15" w:type="pct"/>
            <w:vMerge w:val="restar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12366接通率</w:t>
            </w:r>
          </w:p>
        </w:tc>
        <w:tc>
          <w:tcPr>
            <w:tcW w:w="387" w:type="pct"/>
            <w:vMerge w:val="restar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1</w:t>
            </w:r>
            <w:r>
              <w:rPr>
                <w:rFonts w:hint="eastAsia" w:ascii="宋体" w:hAnsi="宋体" w:eastAsia="宋体" w:cs="宋体"/>
                <w:color w:val="auto"/>
                <w:sz w:val="24"/>
                <w:szCs w:val="24"/>
                <w:lang w:val="en-US" w:eastAsia="zh-CN"/>
              </w:rPr>
              <w:t>5</w:t>
            </w:r>
          </w:p>
        </w:tc>
        <w:tc>
          <w:tcPr>
            <w:tcW w:w="1211" w:type="pct"/>
            <w:vMerge w:val="restar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人工接通率=12366热线和在线人工接听量÷12366热线和在线转接人工量*100%</w:t>
            </w:r>
          </w:p>
        </w:tc>
        <w:tc>
          <w:tcPr>
            <w:tcW w:w="1066" w:type="pct"/>
            <w:vMerge w:val="restar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人工接通率不低于96%（含）</w:t>
            </w:r>
          </w:p>
        </w:tc>
        <w:tc>
          <w:tcPr>
            <w:tcW w:w="1919" w:type="pc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eastAsia="zh-CN"/>
              </w:rPr>
              <w:t>季度人工接通率低于96%的，每下降1%，该指标分值扣 1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415" w:type="pct"/>
            <w:vMerge w:val="continue"/>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p>
        </w:tc>
        <w:tc>
          <w:tcPr>
            <w:tcW w:w="387" w:type="pct"/>
            <w:vMerge w:val="continue"/>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p>
        </w:tc>
        <w:tc>
          <w:tcPr>
            <w:tcW w:w="1211" w:type="pct"/>
            <w:vMerge w:val="continue"/>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p>
        </w:tc>
        <w:tc>
          <w:tcPr>
            <w:tcW w:w="1066" w:type="pct"/>
            <w:vMerge w:val="continue"/>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p>
        </w:tc>
        <w:tc>
          <w:tcPr>
            <w:tcW w:w="1919" w:type="pc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除采购方原因及不可抗力外，出现工作日日接通率低于90%（含）以下，每出现1次，该指标扣1分。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415" w:type="pct"/>
            <w:vMerge w:val="continue"/>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p>
        </w:tc>
        <w:tc>
          <w:tcPr>
            <w:tcW w:w="387" w:type="pct"/>
            <w:vMerge w:val="continue"/>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p>
        </w:tc>
        <w:tc>
          <w:tcPr>
            <w:tcW w:w="1211" w:type="pct"/>
            <w:vMerge w:val="continue"/>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p>
        </w:tc>
        <w:tc>
          <w:tcPr>
            <w:tcW w:w="1066" w:type="pct"/>
            <w:vMerge w:val="continue"/>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p>
        </w:tc>
        <w:tc>
          <w:tcPr>
            <w:tcW w:w="1919" w:type="pc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3、每月如因排班不合理或人员不到位等服务商原因造成工作日日接通率低于96%超过3次，每增加1次，该指标扣1分。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5" w:type="pct"/>
            <w:vMerge w:val="continue"/>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p>
        </w:tc>
        <w:tc>
          <w:tcPr>
            <w:tcW w:w="387" w:type="pct"/>
            <w:vMerge w:val="continue"/>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p>
        </w:tc>
        <w:tc>
          <w:tcPr>
            <w:tcW w:w="1211" w:type="pct"/>
            <w:vMerge w:val="continue"/>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p>
        </w:tc>
        <w:tc>
          <w:tcPr>
            <w:tcW w:w="1066" w:type="pct"/>
            <w:vMerge w:val="continue"/>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p>
        </w:tc>
        <w:tc>
          <w:tcPr>
            <w:tcW w:w="1919" w:type="pc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第2、3项不叠加扣分。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5" w:type="pct"/>
            <w:vMerge w:val="continue"/>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p>
        </w:tc>
        <w:tc>
          <w:tcPr>
            <w:tcW w:w="387" w:type="pct"/>
            <w:vMerge w:val="continue"/>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p>
        </w:tc>
        <w:tc>
          <w:tcPr>
            <w:tcW w:w="1211" w:type="pct"/>
            <w:vMerge w:val="continue"/>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p>
        </w:tc>
        <w:tc>
          <w:tcPr>
            <w:tcW w:w="1066" w:type="pct"/>
            <w:vMerge w:val="continue"/>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p>
        </w:tc>
        <w:tc>
          <w:tcPr>
            <w:tcW w:w="1919" w:type="pc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以上扣完为止。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15" w:type="pct"/>
            <w:vMerge w:val="continue"/>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p>
        </w:tc>
        <w:tc>
          <w:tcPr>
            <w:tcW w:w="387" w:type="pc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10</w:t>
            </w:r>
          </w:p>
        </w:tc>
        <w:tc>
          <w:tcPr>
            <w:tcW w:w="1211" w:type="pc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平均等待时长=12366热线和在线等待总时长÷12366热线和在线人工接听量</w:t>
            </w:r>
          </w:p>
        </w:tc>
        <w:tc>
          <w:tcPr>
            <w:tcW w:w="1066" w:type="pc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平均等待时长不高于30秒</w:t>
            </w:r>
          </w:p>
        </w:tc>
        <w:tc>
          <w:tcPr>
            <w:tcW w:w="1919" w:type="pc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平均等待时长高于30秒的，每超过1秒，该指标分值扣 1 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15" w:type="pc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咨询即时答复率</w:t>
            </w:r>
          </w:p>
        </w:tc>
        <w:tc>
          <w:tcPr>
            <w:tcW w:w="387" w:type="pc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1211" w:type="pc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咨询即时答复率=（热线人工语音服务量中咨询类直接办结数量/热线人工语音服务量中咨询类总量）*100%。</w:t>
            </w:r>
          </w:p>
        </w:tc>
        <w:tc>
          <w:tcPr>
            <w:tcW w:w="1066" w:type="pc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咨询即时答复率不低于90%（含）</w:t>
            </w:r>
          </w:p>
        </w:tc>
        <w:tc>
          <w:tcPr>
            <w:tcW w:w="1919" w:type="pc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咨询即时答复率低于90%的，每下降1%，该指标分值扣1 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415" w:type="pct"/>
            <w:vMerge w:val="restar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服务满意率</w:t>
            </w:r>
          </w:p>
        </w:tc>
        <w:tc>
          <w:tcPr>
            <w:tcW w:w="387" w:type="pct"/>
            <w:vMerge w:val="restar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10</w:t>
            </w:r>
          </w:p>
        </w:tc>
        <w:tc>
          <w:tcPr>
            <w:tcW w:w="1211" w:type="pc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 xml:space="preserve">“好差评”推送率=（热线推送“好差评”评价的数量/人工接听及外呼的业务记录数量） *100%               </w:t>
            </w:r>
          </w:p>
        </w:tc>
        <w:tc>
          <w:tcPr>
            <w:tcW w:w="1066" w:type="pct"/>
            <w:vMerge w:val="restar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“好差评”推送率达全省热线当季平均值，答复好评率达到99%（含）以上</w:t>
            </w:r>
          </w:p>
        </w:tc>
        <w:tc>
          <w:tcPr>
            <w:tcW w:w="1919" w:type="pct"/>
            <w:vMerge w:val="restar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“好差评”推送率未达到全省热线平均值的，每下降2%扣该指标分值1分；答复好评率未达99%的，每下降1%扣该指标分值 1 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415" w:type="pct"/>
            <w:vMerge w:val="continue"/>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p>
        </w:tc>
        <w:tc>
          <w:tcPr>
            <w:tcW w:w="387" w:type="pct"/>
            <w:vMerge w:val="continue"/>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p>
        </w:tc>
        <w:tc>
          <w:tcPr>
            <w:tcW w:w="1211" w:type="pc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答复好评率=（热线纳税人缴费人“好评”的数量/热线推送“好差评”评价的数量）*100%。</w:t>
            </w:r>
          </w:p>
        </w:tc>
        <w:tc>
          <w:tcPr>
            <w:tcW w:w="1066" w:type="pct"/>
            <w:vMerge w:val="continue"/>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p>
        </w:tc>
        <w:tc>
          <w:tcPr>
            <w:tcW w:w="1919" w:type="pct"/>
            <w:vMerge w:val="continue"/>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15" w:type="pct"/>
            <w:vMerge w:val="restar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工单办理质效</w:t>
            </w:r>
          </w:p>
        </w:tc>
        <w:tc>
          <w:tcPr>
            <w:tcW w:w="387" w:type="pc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1</w:t>
            </w:r>
            <w:r>
              <w:rPr>
                <w:rFonts w:hint="eastAsia" w:ascii="宋体" w:hAnsi="宋体" w:eastAsia="宋体" w:cs="宋体"/>
                <w:color w:val="auto"/>
                <w:sz w:val="24"/>
                <w:szCs w:val="24"/>
                <w:lang w:val="en-US" w:eastAsia="zh-CN"/>
              </w:rPr>
              <w:t>0</w:t>
            </w:r>
          </w:p>
        </w:tc>
        <w:tc>
          <w:tcPr>
            <w:tcW w:w="1211" w:type="pc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在规定时间内办理完成工单情况</w:t>
            </w:r>
          </w:p>
        </w:tc>
        <w:tc>
          <w:tcPr>
            <w:tcW w:w="1066" w:type="pc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不得出现逾期办结工单</w:t>
            </w:r>
          </w:p>
        </w:tc>
        <w:tc>
          <w:tcPr>
            <w:tcW w:w="1919" w:type="pc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工单逾期办结一次扣1分，扣完为止。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15" w:type="pct"/>
            <w:vMerge w:val="continue"/>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p>
        </w:tc>
        <w:tc>
          <w:tcPr>
            <w:tcW w:w="387" w:type="pc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211" w:type="pc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工单反复流转情况</w:t>
            </w:r>
          </w:p>
        </w:tc>
        <w:tc>
          <w:tcPr>
            <w:tcW w:w="1066" w:type="pc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不得出现因工单制作不规范等原因造成流转超过1次的情况</w:t>
            </w:r>
          </w:p>
        </w:tc>
        <w:tc>
          <w:tcPr>
            <w:tcW w:w="1919" w:type="pc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反复流转工单出现一次扣</w:t>
            </w:r>
            <w:r>
              <w:rPr>
                <w:rFonts w:hint="eastAsia" w:ascii="宋体" w:hAnsi="宋体" w:eastAsia="宋体" w:cs="宋体"/>
                <w:color w:val="auto"/>
                <w:sz w:val="24"/>
                <w:szCs w:val="24"/>
                <w:lang w:val="en-US" w:eastAsia="zh-CN"/>
              </w:rPr>
              <w:t>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trPr>
        <w:tc>
          <w:tcPr>
            <w:tcW w:w="415" w:type="pc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解答质量</w:t>
            </w:r>
          </w:p>
        </w:tc>
        <w:tc>
          <w:tcPr>
            <w:tcW w:w="387" w:type="pc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1211" w:type="pc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解答质量得分=人工答复准确率得分×40%+服务规范性得分×</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0%+小结规范性得分×</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0%。</w:t>
            </w:r>
          </w:p>
        </w:tc>
        <w:tc>
          <w:tcPr>
            <w:tcW w:w="1066" w:type="pc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得分9</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lang w:val="zh-CN" w:eastAsia="zh-CN"/>
              </w:rPr>
              <w:t>分（含）以上</w:t>
            </w:r>
          </w:p>
        </w:tc>
        <w:tc>
          <w:tcPr>
            <w:tcW w:w="1919" w:type="pc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以省局通报为准，解答质量平均得分低于9</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lang w:val="zh-CN" w:eastAsia="zh-CN"/>
              </w:rPr>
              <w:t>分的，</w:t>
            </w:r>
            <w:r>
              <w:rPr>
                <w:rFonts w:hint="eastAsia" w:ascii="宋体" w:hAnsi="宋体" w:eastAsia="宋体" w:cs="宋体"/>
                <w:color w:val="auto"/>
                <w:sz w:val="24"/>
                <w:szCs w:val="24"/>
                <w:lang w:val="en-US" w:eastAsia="zh-CN"/>
              </w:rPr>
              <w:t>每下降1分，该指标分值扣1分，扣完为止</w:t>
            </w:r>
            <w:r>
              <w:rPr>
                <w:rFonts w:hint="eastAsia" w:ascii="宋体" w:hAnsi="宋体" w:eastAsia="宋体" w:cs="宋体"/>
                <w:color w:val="auto"/>
                <w:sz w:val="24"/>
                <w:szCs w:val="24"/>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415" w:type="pc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业务培训</w:t>
            </w:r>
          </w:p>
        </w:tc>
        <w:tc>
          <w:tcPr>
            <w:tcW w:w="387" w:type="pc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1211" w:type="pc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每月不低于4次专项培训，不低于4次分组培训（其中不少于2次服务规范培训）</w:t>
            </w:r>
          </w:p>
        </w:tc>
        <w:tc>
          <w:tcPr>
            <w:tcW w:w="1066" w:type="pc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月均专项培训和分组培训的培训次数不得低于投标文件所承诺的次数</w:t>
            </w:r>
          </w:p>
        </w:tc>
        <w:tc>
          <w:tcPr>
            <w:tcW w:w="1919" w:type="pc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每少一次培训扣0.5分，扣完为止。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415" w:type="pc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服务投诉</w:t>
            </w:r>
          </w:p>
        </w:tc>
        <w:tc>
          <w:tcPr>
            <w:tcW w:w="387" w:type="pc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10</w:t>
            </w:r>
          </w:p>
        </w:tc>
        <w:tc>
          <w:tcPr>
            <w:tcW w:w="1211" w:type="pc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纳税人缴费人通过热线、网站、邮箱等方式对话务坐席服务质量的投诉，经调查属实的。</w:t>
            </w:r>
          </w:p>
        </w:tc>
        <w:tc>
          <w:tcPr>
            <w:tcW w:w="1066" w:type="pc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不得出现服务投诉</w:t>
            </w:r>
          </w:p>
        </w:tc>
        <w:tc>
          <w:tcPr>
            <w:tcW w:w="1919" w:type="pc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服务投诉每出现</w:t>
            </w:r>
            <w:r>
              <w:rPr>
                <w:rFonts w:hint="eastAsia" w:ascii="宋体" w:hAnsi="宋体" w:eastAsia="宋体" w:cs="宋体"/>
                <w:color w:val="auto"/>
                <w:sz w:val="24"/>
                <w:szCs w:val="24"/>
                <w:lang w:val="en-US" w:eastAsia="zh-CN"/>
              </w:rPr>
              <w:t>1次扣1分，</w:t>
            </w:r>
            <w:r>
              <w:rPr>
                <w:rFonts w:hint="eastAsia" w:ascii="宋体" w:hAnsi="宋体" w:eastAsia="宋体" w:cs="宋体"/>
                <w:color w:val="auto"/>
                <w:sz w:val="24"/>
                <w:szCs w:val="24"/>
                <w:lang w:val="zh-CN" w:eastAsia="zh-CN"/>
              </w:rPr>
              <w:t>扣完为止。造成严重后果或恶劣影响的该指标不得分。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415" w:type="pc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员工稳定性</w:t>
            </w:r>
          </w:p>
        </w:tc>
        <w:tc>
          <w:tcPr>
            <w:tcW w:w="387" w:type="pc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5</w:t>
            </w:r>
          </w:p>
        </w:tc>
        <w:tc>
          <w:tcPr>
            <w:tcW w:w="1211" w:type="pc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计算每季员工离职人数</w:t>
            </w:r>
          </w:p>
        </w:tc>
        <w:tc>
          <w:tcPr>
            <w:tcW w:w="1066" w:type="pc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每季员工离职人数不超过1人</w:t>
            </w:r>
          </w:p>
        </w:tc>
        <w:tc>
          <w:tcPr>
            <w:tcW w:w="1919" w:type="pct"/>
            <w:tcBorders>
              <w:tl2br w:val="nil"/>
              <w:tr2bl w:val="nil"/>
            </w:tcBorders>
            <w:noWrap/>
            <w:vAlign w:val="center"/>
          </w:tcPr>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员工离职人数每季累计超过1人的，每增加1人，扣0.5分，扣完为止。</w:t>
            </w:r>
          </w:p>
        </w:tc>
      </w:tr>
    </w:tbl>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六、违约责任</w:t>
      </w:r>
      <w:bookmarkStart w:id="130" w:name="_Hlk79660336"/>
    </w:p>
    <w:bookmarkEnd w:id="130"/>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1.采购人如违反合同约定，服务商有权按照合同约定解除合同或要求采购人支付相应违约金。若因采购人违约而给服务商造成经济损失的，且违约金不足以弥补实际损失，采购人应另行给予赔偿。</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服务商当季服务质效考核得分低于80分的，采购人要求服务商查找原因并于采购人通知期限内整改，逾期未整改的或整改一次后仍不能符合要求的，采购人有权单方面解除合同，服务商应赔偿合同总价的10%作为违约金。     </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服务商未履行合同约定及招投标承诺函的，采购人要求服务商在指定期限内整改，服务商逾期未整改的，每逾期一日，按照当季合同价款的1%承担违约金并赔偿采购人因此受到的损失；逾期超过十五日，采购人有权单方面解除合同，并要求服务商支付合同总价的10%作为违约金。</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服务商服务人员违反采购人的保密制度和安全管理制度，采购人要求服务商立即撤换有关服务人员，服务商应将对相关人员的处理意见于三个工作日内报采购人，对于由此给采购人及纳税人造成利益损害的，服务商应承担相关法律责任，每出现一次，服务商应按照合同总价的5%承担违约金并赔偿采购人因此受到的损失。</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服务商发生信息安全事故，如信息泄露、数据丢失、数据篡改等，每发生一次服务商应按照合同总价的5%承担违约金并赔偿采购人因此受到的损失；造成严重后果的，采购人有权终止合同并追究服务商相关法律责任。</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6.服务商丧失服务资质的，采购人有权立即与服务商解除合同，因此给采购人造成损失，服务商应承担全部赔偿责任。</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7.服务期满，服务商应做好各项工作移交手续，确保12366热线正常运行。</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8.服务商未按考核指标开展业务培训的，按考核所扣分值扣除相应合同款。</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本条前述发生采购人单方面通知解除合同情形的，在采购人确定新的服务商进入之前，服务商仍应按合同约定履行，延续服务工作的义务直至新的服务商进入工作为止。</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9.免责条款</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如遇政府或上级主管部门政策变更等情况，导致本项目合同内容发生重大变化的，将根据新的政策规定进行相应调整或终止，双方不因此承担违约责任。</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七、考核要求及结算方式</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按季考核，采购人每个季度对服务商服务工作进行检查和考核，并根据考核标准验收后结算应付款项。结算方式为：实际支付合同价款=季度合同款-人员不到位扣款-服务质效扣款-影响市局形象导致舆情事件扣款-上级部门通报批评扣款-违约扣款。实际验收并确认应付价款的具体结算规则如下：</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人员不到位扣款。首先根据坐席到位率计算人员扣款，如服务商不能按要求保证坐席足额到位将相应扣减合同款，即人员扣款=季度合同款×（1-坐席到位率）。坐席到位率按季考核，坐席到位率=坐席实际到位人数/合同约定最低人数，实际到位人数按季度每日到位人数平均值计算。</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（2）服务质效扣款。根据每季度服务质效考核分值计算服务质效扣款，服务质效扣款=（季度合同款-人员不到位扣款）×[1-（每季度服务质效考核分值/100分）]。</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bookmarkStart w:id="131" w:name="_Hlk79658158"/>
      <w:r>
        <w:rPr>
          <w:rFonts w:hint="eastAsia" w:ascii="宋体" w:hAnsi="宋体" w:eastAsia="宋体" w:cs="宋体"/>
          <w:color w:val="auto"/>
          <w:sz w:val="24"/>
          <w:szCs w:val="24"/>
          <w:lang w:val="en-US" w:eastAsia="zh-CN"/>
        </w:rPr>
        <w:t>（3）服务外包人员出现影响南平市税务局形象的舆情事件，经调查属实的，</w:t>
      </w:r>
      <w:bookmarkStart w:id="132" w:name="_Hlk79658100"/>
      <w:r>
        <w:rPr>
          <w:rFonts w:hint="eastAsia" w:ascii="宋体" w:hAnsi="宋体" w:eastAsia="宋体" w:cs="宋体"/>
          <w:color w:val="auto"/>
          <w:sz w:val="24"/>
          <w:szCs w:val="24"/>
          <w:lang w:val="en-US" w:eastAsia="zh-CN"/>
        </w:rPr>
        <w:t>每次扣季度合同款的1%。</w:t>
      </w:r>
      <w:bookmarkEnd w:id="131"/>
      <w:bookmarkEnd w:id="132"/>
      <w:r>
        <w:rPr>
          <w:rFonts w:hint="eastAsia" w:ascii="宋体" w:hAnsi="宋体" w:eastAsia="宋体" w:cs="宋体"/>
          <w:color w:val="auto"/>
          <w:sz w:val="24"/>
          <w:szCs w:val="24"/>
          <w:lang w:val="en-US" w:eastAsia="zh-CN"/>
        </w:rPr>
        <w:tab/>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bookmarkStart w:id="133" w:name="_Hlk79658231"/>
      <w:r>
        <w:rPr>
          <w:rFonts w:hint="eastAsia" w:ascii="宋体" w:hAnsi="宋体" w:eastAsia="宋体" w:cs="宋体"/>
          <w:color w:val="auto"/>
          <w:sz w:val="24"/>
          <w:szCs w:val="24"/>
          <w:lang w:val="en-US" w:eastAsia="zh-CN"/>
        </w:rPr>
        <w:t>（4）服务外包人员出现违反业务、管理制度和工作纪律等，导致被上级和地方政府部门通报批评的，经调查属实的，每次扣季度合同款的1%。</w:t>
      </w:r>
      <w:bookmarkEnd w:id="133"/>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（5）违约扣款。服务商各类违约情况扣款，详见（五）、违约责任2至5所列举的事项。</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在依次扣减上述相应款项后，采购人于每季度第一个月的15日前对上一季度服务工作进行验收并结算应付款项，确认无误后于5日内支付上一季度应付的结算款项。</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八、其他要求</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lang w:val="en-US" w:eastAsia="de-DE"/>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US" w:eastAsia="de-DE"/>
        </w:rPr>
        <w:t>项目保密要求，</w:t>
      </w:r>
      <w:r>
        <w:rPr>
          <w:rFonts w:hint="eastAsia" w:ascii="宋体" w:hAnsi="宋体" w:eastAsia="宋体" w:cs="宋体"/>
          <w:color w:val="auto"/>
          <w:sz w:val="24"/>
          <w:szCs w:val="24"/>
          <w:lang w:val="en-US" w:eastAsia="zh-CN"/>
        </w:rPr>
        <w:t>所有人员必须遵守南平市税务局机关和12366相关管理规定，包括保密制度、门禁制度、信息安全管理规定及12366运行管理相关规定等</w:t>
      </w:r>
      <w:r>
        <w:rPr>
          <w:rFonts w:hint="eastAsia" w:ascii="宋体" w:hAnsi="宋体" w:eastAsia="宋体" w:cs="宋体"/>
          <w:color w:val="auto"/>
          <w:sz w:val="24"/>
          <w:szCs w:val="24"/>
          <w:lang w:val="en-US" w:eastAsia="de-DE"/>
        </w:rPr>
        <w:t>。</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.本项目不允许</w:t>
      </w:r>
      <w:r>
        <w:rPr>
          <w:rFonts w:hint="eastAsia" w:ascii="宋体" w:hAnsi="宋体" w:eastAsia="宋体" w:cs="宋体"/>
          <w:color w:val="auto"/>
          <w:kern w:val="0"/>
          <w:sz w:val="24"/>
          <w:szCs w:val="24"/>
          <w:lang w:eastAsia="zh-CN"/>
        </w:rPr>
        <w:t>成交人</w:t>
      </w:r>
      <w:r>
        <w:rPr>
          <w:rFonts w:hint="eastAsia" w:ascii="宋体" w:hAnsi="宋体" w:eastAsia="宋体" w:cs="宋体"/>
          <w:color w:val="auto"/>
          <w:kern w:val="0"/>
          <w:sz w:val="24"/>
          <w:szCs w:val="24"/>
        </w:rPr>
        <w:t>以任何名义和理由在成交后将成交项目的主体、非主体、关键性工作、非关键性工作进行转包、分包。在履行合同过程中如有发现，</w:t>
      </w:r>
      <w:r>
        <w:rPr>
          <w:rFonts w:hint="eastAsia" w:ascii="宋体" w:hAnsi="宋体" w:eastAsia="宋体" w:cs="宋体"/>
          <w:color w:val="auto"/>
          <w:sz w:val="24"/>
          <w:szCs w:val="24"/>
        </w:rPr>
        <w:t>采购人</w:t>
      </w:r>
      <w:r>
        <w:rPr>
          <w:rFonts w:hint="eastAsia" w:ascii="宋体" w:hAnsi="宋体" w:eastAsia="宋体" w:cs="宋体"/>
          <w:color w:val="auto"/>
          <w:kern w:val="0"/>
          <w:sz w:val="24"/>
          <w:szCs w:val="24"/>
        </w:rPr>
        <w:t>有权单方终止合同。视为</w:t>
      </w:r>
      <w:r>
        <w:rPr>
          <w:rFonts w:hint="eastAsia" w:ascii="宋体" w:hAnsi="宋体" w:eastAsia="宋体" w:cs="宋体"/>
          <w:color w:val="auto"/>
          <w:kern w:val="0"/>
          <w:sz w:val="24"/>
          <w:szCs w:val="24"/>
          <w:lang w:eastAsia="zh-CN"/>
        </w:rPr>
        <w:t>成交人</w:t>
      </w:r>
      <w:r>
        <w:rPr>
          <w:rFonts w:hint="eastAsia" w:ascii="宋体" w:hAnsi="宋体" w:eastAsia="宋体" w:cs="宋体"/>
          <w:color w:val="auto"/>
          <w:kern w:val="0"/>
          <w:sz w:val="24"/>
          <w:szCs w:val="24"/>
        </w:rPr>
        <w:t>违约，</w:t>
      </w:r>
      <w:r>
        <w:rPr>
          <w:rFonts w:hint="eastAsia" w:ascii="宋体" w:hAnsi="宋体" w:eastAsia="宋体" w:cs="宋体"/>
          <w:color w:val="auto"/>
          <w:kern w:val="0"/>
          <w:sz w:val="24"/>
          <w:szCs w:val="24"/>
          <w:lang w:eastAsia="zh-CN"/>
        </w:rPr>
        <w:t>成交人</w:t>
      </w:r>
      <w:r>
        <w:rPr>
          <w:rFonts w:hint="eastAsia" w:ascii="宋体" w:hAnsi="宋体" w:eastAsia="宋体" w:cs="宋体"/>
          <w:color w:val="auto"/>
          <w:kern w:val="0"/>
          <w:sz w:val="24"/>
          <w:szCs w:val="24"/>
        </w:rPr>
        <w:t>违约对</w:t>
      </w:r>
      <w:r>
        <w:rPr>
          <w:rFonts w:hint="eastAsia" w:ascii="宋体" w:hAnsi="宋体" w:eastAsia="宋体" w:cs="宋体"/>
          <w:color w:val="auto"/>
          <w:sz w:val="24"/>
          <w:szCs w:val="24"/>
        </w:rPr>
        <w:t>采购人</w:t>
      </w:r>
      <w:r>
        <w:rPr>
          <w:rFonts w:hint="eastAsia" w:ascii="宋体" w:hAnsi="宋体" w:eastAsia="宋体" w:cs="宋体"/>
          <w:color w:val="auto"/>
          <w:kern w:val="0"/>
          <w:sz w:val="24"/>
          <w:szCs w:val="24"/>
        </w:rPr>
        <w:t>造成的损失的，需另行支付相应的赔偿，并追究相关法律责任。</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lang w:val="en-US" w:eastAsia="de-DE"/>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.本采购文件未明确的其它约定事项或条款，待</w:t>
      </w:r>
      <w:r>
        <w:rPr>
          <w:rFonts w:hint="eastAsia" w:ascii="宋体" w:hAnsi="宋体" w:eastAsia="宋体" w:cs="宋体"/>
          <w:color w:val="auto"/>
          <w:sz w:val="24"/>
          <w:szCs w:val="24"/>
        </w:rPr>
        <w:t>采购人</w:t>
      </w:r>
      <w:r>
        <w:rPr>
          <w:rFonts w:hint="eastAsia" w:ascii="宋体" w:hAnsi="宋体" w:eastAsia="宋体" w:cs="宋体"/>
          <w:color w:val="auto"/>
          <w:kern w:val="0"/>
          <w:sz w:val="24"/>
          <w:szCs w:val="24"/>
        </w:rPr>
        <w:t>与</w:t>
      </w:r>
      <w:r>
        <w:rPr>
          <w:rFonts w:hint="eastAsia" w:ascii="宋体" w:hAnsi="宋体" w:eastAsia="宋体" w:cs="宋体"/>
          <w:color w:val="auto"/>
          <w:kern w:val="0"/>
          <w:sz w:val="24"/>
          <w:szCs w:val="24"/>
          <w:lang w:eastAsia="zh-CN"/>
        </w:rPr>
        <w:t>成交人</w:t>
      </w:r>
      <w:r>
        <w:rPr>
          <w:rFonts w:hint="eastAsia" w:ascii="宋体" w:hAnsi="宋体" w:eastAsia="宋体" w:cs="宋体"/>
          <w:color w:val="auto"/>
          <w:kern w:val="0"/>
          <w:sz w:val="24"/>
          <w:szCs w:val="24"/>
        </w:rPr>
        <w:t>签订合同时，由双方协商订立。</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line="440" w:lineRule="exact"/>
        <w:ind w:left="0" w:leftChars="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九、付款方式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合同生效之日起且人员按要求到位后，凭服务商付款申请报告和发票，采购人相应支付合同款项的20%;后续合同款项的80%凭服务商付款申请报告、发票及经采购人考核的评估报告，按季度平均支付，经验收结算后15日内支付上一季度应付款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p>
    <w:sectPr>
      <w:headerReference r:id="rId8" w:type="default"/>
      <w:pgSz w:w="11906" w:h="16838"/>
      <w:pgMar w:top="1440" w:right="158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Cambria">
    <w:panose1 w:val="02040503050406030204"/>
    <w:charset w:val="00"/>
    <w:family w:val="roman"/>
    <w:pitch w:val="default"/>
    <w:sig w:usb0="E00006FF" w:usb1="420024FF" w:usb2="02000000" w:usb3="00000000" w:csb0="2000019F" w:csb1="00000000"/>
  </w:font>
  <w:font w:name="方正大标宋简体">
    <w:altName w:val="微软雅黑"/>
    <w:panose1 w:val="02010601030101010101"/>
    <w:charset w:val="86"/>
    <w:family w:val="script"/>
    <w:pitch w:val="default"/>
    <w:sig w:usb0="00000000" w:usb1="00000000" w:usb2="00000000" w:usb3="00000000" w:csb0="00040000" w:csb1="00000000"/>
  </w:font>
  <w:font w:name="MetaPlusLF">
    <w:altName w:val="Segoe Print"/>
    <w:panose1 w:val="00000000000000000000"/>
    <w:charset w:val="00"/>
    <w:family w:val="auto"/>
    <w:pitch w:val="default"/>
    <w:sig w:usb0="00000000" w:usb1="00000000" w:usb2="00000000" w:usb3="00000000" w:csb0="00000097"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pacing w:after="0" w:line="240" w:lineRule="auto"/>
                            <w:jc w:val="center"/>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pPr>
                      <w:spacing w:after="0" w:line="240" w:lineRule="auto"/>
                      <w:jc w:val="center"/>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pacing w:after="0" w:line="240" w:lineRule="auto"/>
                            <w:jc w:val="center"/>
                          </w:pPr>
                          <w:r>
                            <w:t xml:space="preserve">— </w:t>
                          </w:r>
                          <w:r>
                            <w:fldChar w:fldCharType="begin"/>
                          </w:r>
                          <w:r>
                            <w:instrText xml:space="preserve"> PAGE  \* MERGEFORMAT </w:instrText>
                          </w:r>
                          <w:r>
                            <w:fldChar w:fldCharType="separate"/>
                          </w:r>
                          <w:r>
                            <w:t>4</w:t>
                          </w:r>
                          <w:r>
                            <w:fldChar w:fldCharType="end"/>
                          </w:r>
                          <w: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6QcO7+IBAADMAwAADgAA&#10;AAAAAAABACAAAAAeAQAAZHJzL2Uyb0RvYy54bWxQSwUGAAAAAAYABgBZAQAAcgUAAAAA&#10;">
              <v:fill on="f" focussize="0,0"/>
              <v:stroke on="f"/>
              <v:imagedata o:title=""/>
              <o:lock v:ext="edit" aspectratio="f"/>
              <v:textbox inset="0mm,0mm,0mm,0mm" style="mso-fit-shape-to-text:t;">
                <w:txbxContent>
                  <w:p>
                    <w:pPr>
                      <w:spacing w:after="0" w:line="240" w:lineRule="auto"/>
                      <w:jc w:val="center"/>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32"/>
      </w:rPr>
    </w:pPr>
    <w:r>
      <w:fldChar w:fldCharType="begin"/>
    </w:r>
    <w:r>
      <w:rPr>
        <w:rStyle w:val="32"/>
      </w:rPr>
      <w:instrText xml:space="preserve">PAGE  </w:instrText>
    </w:r>
    <w:r>
      <w:fldChar w:fldCharType="end"/>
    </w:r>
  </w:p>
  <w:p>
    <w:pPr>
      <w:pStyle w:val="16"/>
    </w:pPr>
  </w:p>
  <w:p/>
  <w:p/>
  <w:p/>
  <w:p/>
  <w:p/>
  <w:p/>
  <w:p/>
  <w:p/>
  <w:p/>
  <w:p/>
  <w:p/>
  <w:p/>
  <w:p/>
  <w:p/>
  <w:p/>
  <w:p/>
  <w:p/>
  <w:p/>
  <w:p/>
  <w:p/>
  <w:p/>
  <w:p/>
  <w:p/>
  <w:p/>
  <w:p/>
  <w:p/>
  <w:p/>
  <w:p/>
  <w:p/>
  <w:p/>
  <w:p/>
  <w:p/>
  <w:p/>
  <w:p/>
  <w:p/>
  <w:p/>
  <w:p/>
  <w:p/>
  <w:p/>
  <w:p/>
  <w:p/>
  <w:p/>
  <w:p/>
  <w:p/>
  <w:p/>
  <w:p/>
  <w:p/>
  <w:p/>
  <w:p/>
  <w:p/>
  <w:p/>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pacing w:after="0" w:line="240" w:lineRule="auto"/>
                            <w:jc w:val="center"/>
                          </w:pPr>
                          <w:r>
                            <w:t xml:space="preserve">— </w:t>
                          </w:r>
                          <w:r>
                            <w:fldChar w:fldCharType="begin"/>
                          </w:r>
                          <w:r>
                            <w:instrText xml:space="preserve"> PAGE  \* MERGEFORMAT </w:instrText>
                          </w:r>
                          <w:r>
                            <w:fldChar w:fldCharType="separate"/>
                          </w:r>
                          <w:r>
                            <w:t>2</w:t>
                          </w:r>
                          <w:r>
                            <w:fldChar w:fldCharType="end"/>
                          </w:r>
                          <w: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O2jeE+IBAADMAwAADgAA&#10;AAAAAAABACAAAAAeAQAAZHJzL2Uyb0RvYy54bWxQSwUGAAAAAAYABgBZAQAAcgUAAAAA&#10;">
              <v:fill on="f" focussize="0,0"/>
              <v:stroke on="f"/>
              <v:imagedata o:title=""/>
              <o:lock v:ext="edit" aspectratio="f"/>
              <v:textbox inset="0mm,0mm,0mm,0mm" style="mso-fit-shape-to-text:t;">
                <w:txbxContent>
                  <w:p>
                    <w:pPr>
                      <w:spacing w:after="0" w:line="240" w:lineRule="auto"/>
                      <w:jc w:val="center"/>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p/>
  <w:p/>
  <w:p/>
  <w:p/>
  <w:p/>
  <w:p/>
  <w:p/>
  <w:p/>
  <w:p/>
  <w:p/>
  <w:p/>
  <w:p/>
  <w:p/>
  <w:p/>
  <w:p/>
  <w:p/>
  <w:p/>
  <w:p/>
  <w:p/>
  <w:p/>
  <w:p/>
  <w:p/>
  <w:p/>
  <w:p/>
  <w:p/>
  <w:p/>
  <w:p/>
  <w:p/>
  <w:p/>
  <w:p/>
  <w:p/>
  <w:p/>
  <w:p/>
  <w:p/>
  <w:p/>
  <w:p/>
  <w:p/>
  <w:p/>
  <w:p/>
  <w:p/>
  <w:p/>
  <w:p/>
  <w:p/>
  <w:p/>
  <w:p/>
  <w:p/>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EA813"/>
    <w:multiLevelType w:val="singleLevel"/>
    <w:tmpl w:val="EBFEA813"/>
    <w:lvl w:ilvl="0" w:tentative="0">
      <w:start w:val="3"/>
      <w:numFmt w:val="decimal"/>
      <w:lvlText w:val="%1."/>
      <w:lvlJc w:val="left"/>
      <w:pPr>
        <w:tabs>
          <w:tab w:val="left" w:pos="312"/>
        </w:tabs>
      </w:pPr>
    </w:lvl>
  </w:abstractNum>
  <w:abstractNum w:abstractNumId="1">
    <w:nsid w:val="418DC410"/>
    <w:multiLevelType w:val="singleLevel"/>
    <w:tmpl w:val="418DC410"/>
    <w:lvl w:ilvl="0" w:tentative="0">
      <w:start w:val="1"/>
      <w:numFmt w:val="decimal"/>
      <w:pStyle w:val="7"/>
      <w:lvlText w:val="%1."/>
      <w:lvlJc w:val="left"/>
      <w:pPr>
        <w:tabs>
          <w:tab w:val="left" w:pos="780"/>
        </w:tabs>
        <w:ind w:left="7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4OGJhN2M0MjI4NDBmZTU4YWZiNGM3ZDcyOTY4NDAifQ=="/>
    <w:docVar w:name="KSO_WPS_MARK_KEY" w:val="89a6e010-2d44-48ff-9fa5-81c90fc158c7"/>
  </w:docVars>
  <w:rsids>
    <w:rsidRoot w:val="00000000"/>
    <w:rsid w:val="001F7F7E"/>
    <w:rsid w:val="00634488"/>
    <w:rsid w:val="00936276"/>
    <w:rsid w:val="00C14B91"/>
    <w:rsid w:val="012D1688"/>
    <w:rsid w:val="013052AA"/>
    <w:rsid w:val="01D86637"/>
    <w:rsid w:val="01DD11F5"/>
    <w:rsid w:val="01E0373D"/>
    <w:rsid w:val="02924A37"/>
    <w:rsid w:val="0335576D"/>
    <w:rsid w:val="037D0DA7"/>
    <w:rsid w:val="03824AAC"/>
    <w:rsid w:val="03E2006E"/>
    <w:rsid w:val="040D758B"/>
    <w:rsid w:val="04131BA8"/>
    <w:rsid w:val="042B5143"/>
    <w:rsid w:val="045B2BCC"/>
    <w:rsid w:val="047D1717"/>
    <w:rsid w:val="049A4077"/>
    <w:rsid w:val="04A15406"/>
    <w:rsid w:val="04BF5DB3"/>
    <w:rsid w:val="04C63BD8"/>
    <w:rsid w:val="04F574FF"/>
    <w:rsid w:val="050F05C1"/>
    <w:rsid w:val="051D01F9"/>
    <w:rsid w:val="057B067D"/>
    <w:rsid w:val="05F85B6E"/>
    <w:rsid w:val="060774EA"/>
    <w:rsid w:val="06913258"/>
    <w:rsid w:val="06B07B82"/>
    <w:rsid w:val="06FD0BBC"/>
    <w:rsid w:val="07040256"/>
    <w:rsid w:val="0721282E"/>
    <w:rsid w:val="07342561"/>
    <w:rsid w:val="076F6FBB"/>
    <w:rsid w:val="07991AC0"/>
    <w:rsid w:val="079E7F01"/>
    <w:rsid w:val="081449F9"/>
    <w:rsid w:val="0898267C"/>
    <w:rsid w:val="08C36927"/>
    <w:rsid w:val="08DA08BA"/>
    <w:rsid w:val="091B0441"/>
    <w:rsid w:val="09401BE1"/>
    <w:rsid w:val="094333A8"/>
    <w:rsid w:val="09510A7C"/>
    <w:rsid w:val="096C5132"/>
    <w:rsid w:val="09CA66CE"/>
    <w:rsid w:val="09E33DCA"/>
    <w:rsid w:val="09F9539C"/>
    <w:rsid w:val="0A530F50"/>
    <w:rsid w:val="0A8D27DE"/>
    <w:rsid w:val="0ABC39D2"/>
    <w:rsid w:val="0ACC6D0D"/>
    <w:rsid w:val="0AD41C47"/>
    <w:rsid w:val="0ADF4592"/>
    <w:rsid w:val="0AF02450"/>
    <w:rsid w:val="0B3F3282"/>
    <w:rsid w:val="0B5D195B"/>
    <w:rsid w:val="0B654503"/>
    <w:rsid w:val="0BD03763"/>
    <w:rsid w:val="0BE34A57"/>
    <w:rsid w:val="0C6B6E73"/>
    <w:rsid w:val="0C7D0506"/>
    <w:rsid w:val="0CA21D1B"/>
    <w:rsid w:val="0CE74EA1"/>
    <w:rsid w:val="0CF3732E"/>
    <w:rsid w:val="0D194323"/>
    <w:rsid w:val="0D1A741A"/>
    <w:rsid w:val="0D4903E8"/>
    <w:rsid w:val="0D6E42F3"/>
    <w:rsid w:val="0D8A34B8"/>
    <w:rsid w:val="0D96694A"/>
    <w:rsid w:val="0DB00748"/>
    <w:rsid w:val="0DBF4B4E"/>
    <w:rsid w:val="0DC27C32"/>
    <w:rsid w:val="0E0E7B83"/>
    <w:rsid w:val="0E213113"/>
    <w:rsid w:val="0E715E49"/>
    <w:rsid w:val="0E7E1417"/>
    <w:rsid w:val="0EC75A69"/>
    <w:rsid w:val="0EF9473A"/>
    <w:rsid w:val="0F0A5C76"/>
    <w:rsid w:val="0FAC491B"/>
    <w:rsid w:val="0FC06ED2"/>
    <w:rsid w:val="0FD85A54"/>
    <w:rsid w:val="0FEF53FB"/>
    <w:rsid w:val="10340294"/>
    <w:rsid w:val="105B30F1"/>
    <w:rsid w:val="10612472"/>
    <w:rsid w:val="108F6A5A"/>
    <w:rsid w:val="10A9762F"/>
    <w:rsid w:val="10B46161"/>
    <w:rsid w:val="10F56DD4"/>
    <w:rsid w:val="11196324"/>
    <w:rsid w:val="11380EA0"/>
    <w:rsid w:val="11427629"/>
    <w:rsid w:val="11553800"/>
    <w:rsid w:val="118539B9"/>
    <w:rsid w:val="124F16C1"/>
    <w:rsid w:val="12650510"/>
    <w:rsid w:val="126975C3"/>
    <w:rsid w:val="12764506"/>
    <w:rsid w:val="1287490F"/>
    <w:rsid w:val="12B55B84"/>
    <w:rsid w:val="12BD6CF7"/>
    <w:rsid w:val="12EF1A32"/>
    <w:rsid w:val="13076BFB"/>
    <w:rsid w:val="13517FF7"/>
    <w:rsid w:val="137133DE"/>
    <w:rsid w:val="13D6315D"/>
    <w:rsid w:val="14171240"/>
    <w:rsid w:val="14A3624C"/>
    <w:rsid w:val="14FC60B6"/>
    <w:rsid w:val="152C35F9"/>
    <w:rsid w:val="15353DDC"/>
    <w:rsid w:val="155E1D5B"/>
    <w:rsid w:val="156E4DA1"/>
    <w:rsid w:val="158929F6"/>
    <w:rsid w:val="15A07014"/>
    <w:rsid w:val="16421E79"/>
    <w:rsid w:val="165C118C"/>
    <w:rsid w:val="165D68C3"/>
    <w:rsid w:val="16B80B15"/>
    <w:rsid w:val="16E92044"/>
    <w:rsid w:val="172B0B5F"/>
    <w:rsid w:val="172F6E5D"/>
    <w:rsid w:val="172F7842"/>
    <w:rsid w:val="1767428D"/>
    <w:rsid w:val="18131F69"/>
    <w:rsid w:val="18575DED"/>
    <w:rsid w:val="189D389E"/>
    <w:rsid w:val="19185CD4"/>
    <w:rsid w:val="195E16BF"/>
    <w:rsid w:val="19831B12"/>
    <w:rsid w:val="19916771"/>
    <w:rsid w:val="199B570B"/>
    <w:rsid w:val="1A0F6C1A"/>
    <w:rsid w:val="1A1D1E6A"/>
    <w:rsid w:val="1A262A10"/>
    <w:rsid w:val="1A2E706A"/>
    <w:rsid w:val="1A385A6D"/>
    <w:rsid w:val="1A5255B1"/>
    <w:rsid w:val="1A8A0842"/>
    <w:rsid w:val="1AED4FBA"/>
    <w:rsid w:val="1B501C36"/>
    <w:rsid w:val="1B8756CA"/>
    <w:rsid w:val="1BE418C7"/>
    <w:rsid w:val="1C49522F"/>
    <w:rsid w:val="1C624076"/>
    <w:rsid w:val="1C9D1FFD"/>
    <w:rsid w:val="1C9D512C"/>
    <w:rsid w:val="1CD961B0"/>
    <w:rsid w:val="1D086921"/>
    <w:rsid w:val="1D127003"/>
    <w:rsid w:val="1D2642A2"/>
    <w:rsid w:val="1D3505EC"/>
    <w:rsid w:val="1D36039F"/>
    <w:rsid w:val="1D8A53D5"/>
    <w:rsid w:val="1D9C08F7"/>
    <w:rsid w:val="1DEB7BDC"/>
    <w:rsid w:val="1DEF2C3F"/>
    <w:rsid w:val="1E065784"/>
    <w:rsid w:val="1E110AAE"/>
    <w:rsid w:val="1E276C97"/>
    <w:rsid w:val="1E297E7C"/>
    <w:rsid w:val="1E314019"/>
    <w:rsid w:val="1E326C77"/>
    <w:rsid w:val="1E3429EF"/>
    <w:rsid w:val="1E3C6ED2"/>
    <w:rsid w:val="1E605592"/>
    <w:rsid w:val="1FC33BE4"/>
    <w:rsid w:val="20F76668"/>
    <w:rsid w:val="212E6EB9"/>
    <w:rsid w:val="21582E98"/>
    <w:rsid w:val="21626FF0"/>
    <w:rsid w:val="21983295"/>
    <w:rsid w:val="226D6AA8"/>
    <w:rsid w:val="227069BF"/>
    <w:rsid w:val="22954F1C"/>
    <w:rsid w:val="22D66761"/>
    <w:rsid w:val="23005595"/>
    <w:rsid w:val="231F6A45"/>
    <w:rsid w:val="233A0E7B"/>
    <w:rsid w:val="23751ADF"/>
    <w:rsid w:val="23A10440"/>
    <w:rsid w:val="23F1071B"/>
    <w:rsid w:val="2468430B"/>
    <w:rsid w:val="25186BC6"/>
    <w:rsid w:val="251D43AD"/>
    <w:rsid w:val="25270E21"/>
    <w:rsid w:val="254D37F4"/>
    <w:rsid w:val="256A4F48"/>
    <w:rsid w:val="263A491A"/>
    <w:rsid w:val="268C786C"/>
    <w:rsid w:val="26D22DCF"/>
    <w:rsid w:val="26F23447"/>
    <w:rsid w:val="26F471BF"/>
    <w:rsid w:val="27027B2E"/>
    <w:rsid w:val="272E1AD7"/>
    <w:rsid w:val="27535103"/>
    <w:rsid w:val="27E7113F"/>
    <w:rsid w:val="27EF027C"/>
    <w:rsid w:val="28165840"/>
    <w:rsid w:val="281E30AB"/>
    <w:rsid w:val="287A6993"/>
    <w:rsid w:val="289E6B98"/>
    <w:rsid w:val="28A04ED3"/>
    <w:rsid w:val="29057B0C"/>
    <w:rsid w:val="29163C7F"/>
    <w:rsid w:val="296A07EA"/>
    <w:rsid w:val="29C16A0B"/>
    <w:rsid w:val="2A0C4820"/>
    <w:rsid w:val="2A105854"/>
    <w:rsid w:val="2A111E36"/>
    <w:rsid w:val="2A1C74B2"/>
    <w:rsid w:val="2A3B7451"/>
    <w:rsid w:val="2A5744DB"/>
    <w:rsid w:val="2A577B8D"/>
    <w:rsid w:val="2B2E7A6E"/>
    <w:rsid w:val="2B404781"/>
    <w:rsid w:val="2B4101B8"/>
    <w:rsid w:val="2B696830"/>
    <w:rsid w:val="2B8F5708"/>
    <w:rsid w:val="2BEF1E49"/>
    <w:rsid w:val="2C0559CB"/>
    <w:rsid w:val="2C1B476C"/>
    <w:rsid w:val="2C25135A"/>
    <w:rsid w:val="2C8608B9"/>
    <w:rsid w:val="2CDF446E"/>
    <w:rsid w:val="2CDF621C"/>
    <w:rsid w:val="2D2D25FE"/>
    <w:rsid w:val="2D367DBD"/>
    <w:rsid w:val="2D7746A6"/>
    <w:rsid w:val="2D800808"/>
    <w:rsid w:val="2D855015"/>
    <w:rsid w:val="2D9E60D7"/>
    <w:rsid w:val="2DD35D80"/>
    <w:rsid w:val="2E0979F4"/>
    <w:rsid w:val="2EBF00B3"/>
    <w:rsid w:val="2F6628DC"/>
    <w:rsid w:val="2F6B65A7"/>
    <w:rsid w:val="2F7754DD"/>
    <w:rsid w:val="2F8337D6"/>
    <w:rsid w:val="2FA8516F"/>
    <w:rsid w:val="2FC305C0"/>
    <w:rsid w:val="30010B15"/>
    <w:rsid w:val="30185CCC"/>
    <w:rsid w:val="30215B55"/>
    <w:rsid w:val="302E3742"/>
    <w:rsid w:val="3034062C"/>
    <w:rsid w:val="30B3181E"/>
    <w:rsid w:val="30C6397A"/>
    <w:rsid w:val="31177BD5"/>
    <w:rsid w:val="31252C6C"/>
    <w:rsid w:val="314444BE"/>
    <w:rsid w:val="31BD45C7"/>
    <w:rsid w:val="321E77E6"/>
    <w:rsid w:val="322841C1"/>
    <w:rsid w:val="32A01F1E"/>
    <w:rsid w:val="32A221C5"/>
    <w:rsid w:val="32E14A9C"/>
    <w:rsid w:val="32FF3174"/>
    <w:rsid w:val="331108DD"/>
    <w:rsid w:val="333B34C9"/>
    <w:rsid w:val="33527747"/>
    <w:rsid w:val="33582884"/>
    <w:rsid w:val="33AD2BD0"/>
    <w:rsid w:val="33C7466E"/>
    <w:rsid w:val="33D61160"/>
    <w:rsid w:val="340E3279"/>
    <w:rsid w:val="340F5638"/>
    <w:rsid w:val="342235BE"/>
    <w:rsid w:val="34346E4D"/>
    <w:rsid w:val="34580754"/>
    <w:rsid w:val="3485672A"/>
    <w:rsid w:val="34980548"/>
    <w:rsid w:val="354632DC"/>
    <w:rsid w:val="35642908"/>
    <w:rsid w:val="35A53185"/>
    <w:rsid w:val="35B7678E"/>
    <w:rsid w:val="35D11B70"/>
    <w:rsid w:val="36496DE4"/>
    <w:rsid w:val="36F76C4D"/>
    <w:rsid w:val="37222F49"/>
    <w:rsid w:val="373602E2"/>
    <w:rsid w:val="37461371"/>
    <w:rsid w:val="37611E7D"/>
    <w:rsid w:val="37863E63"/>
    <w:rsid w:val="37A020E5"/>
    <w:rsid w:val="37AB38CA"/>
    <w:rsid w:val="37BC7885"/>
    <w:rsid w:val="37E666B0"/>
    <w:rsid w:val="38267DA4"/>
    <w:rsid w:val="384D3CF2"/>
    <w:rsid w:val="38514471"/>
    <w:rsid w:val="38602622"/>
    <w:rsid w:val="387E5179"/>
    <w:rsid w:val="38935C71"/>
    <w:rsid w:val="39331DC9"/>
    <w:rsid w:val="394D0F3D"/>
    <w:rsid w:val="3962445C"/>
    <w:rsid w:val="39642E69"/>
    <w:rsid w:val="39FE7D95"/>
    <w:rsid w:val="3A5C6756"/>
    <w:rsid w:val="3A62434D"/>
    <w:rsid w:val="3A6C39BB"/>
    <w:rsid w:val="3A723312"/>
    <w:rsid w:val="3BE42422"/>
    <w:rsid w:val="3C2C7FB3"/>
    <w:rsid w:val="3C4936B2"/>
    <w:rsid w:val="3C59493B"/>
    <w:rsid w:val="3D2B057A"/>
    <w:rsid w:val="3D4F538F"/>
    <w:rsid w:val="3D820C29"/>
    <w:rsid w:val="3D8D6CC9"/>
    <w:rsid w:val="3DA9265A"/>
    <w:rsid w:val="3DEB2C72"/>
    <w:rsid w:val="3DFD29A6"/>
    <w:rsid w:val="3E1C47FE"/>
    <w:rsid w:val="3E701D54"/>
    <w:rsid w:val="3E9C09D1"/>
    <w:rsid w:val="3ED63997"/>
    <w:rsid w:val="3EDE7B8A"/>
    <w:rsid w:val="3EFB5137"/>
    <w:rsid w:val="3FBA180C"/>
    <w:rsid w:val="3FBD32CD"/>
    <w:rsid w:val="3FC96FE3"/>
    <w:rsid w:val="3FEA1E48"/>
    <w:rsid w:val="3FF1682D"/>
    <w:rsid w:val="401133A3"/>
    <w:rsid w:val="402C3D57"/>
    <w:rsid w:val="40411F10"/>
    <w:rsid w:val="40774FC4"/>
    <w:rsid w:val="40BF3F42"/>
    <w:rsid w:val="40E165AE"/>
    <w:rsid w:val="40F736DC"/>
    <w:rsid w:val="411A4E32"/>
    <w:rsid w:val="412E1EDF"/>
    <w:rsid w:val="41CF5EAE"/>
    <w:rsid w:val="4208730F"/>
    <w:rsid w:val="423A2F5F"/>
    <w:rsid w:val="424C79A5"/>
    <w:rsid w:val="432A1125"/>
    <w:rsid w:val="43321338"/>
    <w:rsid w:val="4346094B"/>
    <w:rsid w:val="4352109E"/>
    <w:rsid w:val="43747DE7"/>
    <w:rsid w:val="43955508"/>
    <w:rsid w:val="443C3945"/>
    <w:rsid w:val="44472BCC"/>
    <w:rsid w:val="448A3F42"/>
    <w:rsid w:val="44A2581D"/>
    <w:rsid w:val="44AC2A30"/>
    <w:rsid w:val="453B6B56"/>
    <w:rsid w:val="45742769"/>
    <w:rsid w:val="4602765B"/>
    <w:rsid w:val="46252A99"/>
    <w:rsid w:val="466B2BA2"/>
    <w:rsid w:val="46D47A5D"/>
    <w:rsid w:val="46E11CFC"/>
    <w:rsid w:val="47021D0D"/>
    <w:rsid w:val="473016F6"/>
    <w:rsid w:val="47741147"/>
    <w:rsid w:val="47B02837"/>
    <w:rsid w:val="482A213A"/>
    <w:rsid w:val="485853A8"/>
    <w:rsid w:val="487877F8"/>
    <w:rsid w:val="489F114E"/>
    <w:rsid w:val="48DA5DBD"/>
    <w:rsid w:val="49465201"/>
    <w:rsid w:val="4970701E"/>
    <w:rsid w:val="49BA14B8"/>
    <w:rsid w:val="4A365988"/>
    <w:rsid w:val="4A657B03"/>
    <w:rsid w:val="4AA047C0"/>
    <w:rsid w:val="4ACE3700"/>
    <w:rsid w:val="4AE83552"/>
    <w:rsid w:val="4B09426C"/>
    <w:rsid w:val="4B6577C5"/>
    <w:rsid w:val="4B823380"/>
    <w:rsid w:val="4BB15521"/>
    <w:rsid w:val="4BFA0524"/>
    <w:rsid w:val="4C4F4680"/>
    <w:rsid w:val="4CC74B2D"/>
    <w:rsid w:val="4CE33A94"/>
    <w:rsid w:val="4D0D7549"/>
    <w:rsid w:val="4D1C13E2"/>
    <w:rsid w:val="4DA97542"/>
    <w:rsid w:val="4DBA5D92"/>
    <w:rsid w:val="4DE374C2"/>
    <w:rsid w:val="4DEF5FB2"/>
    <w:rsid w:val="4E294664"/>
    <w:rsid w:val="4E381C20"/>
    <w:rsid w:val="4E9B0E76"/>
    <w:rsid w:val="4EF70F4D"/>
    <w:rsid w:val="4F166011"/>
    <w:rsid w:val="4F2B1620"/>
    <w:rsid w:val="4F367AC5"/>
    <w:rsid w:val="4FF04118"/>
    <w:rsid w:val="50BC1CBA"/>
    <w:rsid w:val="50D37CC2"/>
    <w:rsid w:val="5153094C"/>
    <w:rsid w:val="51571AC4"/>
    <w:rsid w:val="51DF2696"/>
    <w:rsid w:val="521368F9"/>
    <w:rsid w:val="521C7446"/>
    <w:rsid w:val="52642870"/>
    <w:rsid w:val="52851158"/>
    <w:rsid w:val="52A35472"/>
    <w:rsid w:val="52C43A4A"/>
    <w:rsid w:val="52D675F5"/>
    <w:rsid w:val="53373E0C"/>
    <w:rsid w:val="5362532D"/>
    <w:rsid w:val="536315A2"/>
    <w:rsid w:val="53807561"/>
    <w:rsid w:val="53842339"/>
    <w:rsid w:val="538D7DC6"/>
    <w:rsid w:val="54B043D5"/>
    <w:rsid w:val="54E56216"/>
    <w:rsid w:val="54FE4194"/>
    <w:rsid w:val="554C11A0"/>
    <w:rsid w:val="557E60A6"/>
    <w:rsid w:val="55A3516F"/>
    <w:rsid w:val="55A710C4"/>
    <w:rsid w:val="56474D13"/>
    <w:rsid w:val="56902DE6"/>
    <w:rsid w:val="56B608E9"/>
    <w:rsid w:val="56F24C1A"/>
    <w:rsid w:val="56F27A24"/>
    <w:rsid w:val="57460F48"/>
    <w:rsid w:val="57806831"/>
    <w:rsid w:val="57C96FA8"/>
    <w:rsid w:val="57E84079"/>
    <w:rsid w:val="583A2891"/>
    <w:rsid w:val="58871392"/>
    <w:rsid w:val="58BF6D7E"/>
    <w:rsid w:val="58ED38EB"/>
    <w:rsid w:val="59487E7E"/>
    <w:rsid w:val="594A4899"/>
    <w:rsid w:val="59975605"/>
    <w:rsid w:val="5A025174"/>
    <w:rsid w:val="5A203F0F"/>
    <w:rsid w:val="5A3C3A68"/>
    <w:rsid w:val="5A4E632B"/>
    <w:rsid w:val="5A905E1F"/>
    <w:rsid w:val="5B02690F"/>
    <w:rsid w:val="5B2259DD"/>
    <w:rsid w:val="5B234C47"/>
    <w:rsid w:val="5BB756DE"/>
    <w:rsid w:val="5BFB3AD0"/>
    <w:rsid w:val="5C4D3E66"/>
    <w:rsid w:val="5C502CD5"/>
    <w:rsid w:val="5C7B120D"/>
    <w:rsid w:val="5C9A11AC"/>
    <w:rsid w:val="5D5A0361"/>
    <w:rsid w:val="5D5E2ADB"/>
    <w:rsid w:val="5D7B00ED"/>
    <w:rsid w:val="5DA65D3F"/>
    <w:rsid w:val="5DAB78D0"/>
    <w:rsid w:val="5E13627E"/>
    <w:rsid w:val="5E484F5D"/>
    <w:rsid w:val="5F0A5107"/>
    <w:rsid w:val="5F322057"/>
    <w:rsid w:val="5F351B48"/>
    <w:rsid w:val="5FD62FB0"/>
    <w:rsid w:val="608D2202"/>
    <w:rsid w:val="60E170B6"/>
    <w:rsid w:val="613320B7"/>
    <w:rsid w:val="6155074D"/>
    <w:rsid w:val="61AD3C17"/>
    <w:rsid w:val="61F555BE"/>
    <w:rsid w:val="62141908"/>
    <w:rsid w:val="62345AB8"/>
    <w:rsid w:val="62A0377C"/>
    <w:rsid w:val="62A32961"/>
    <w:rsid w:val="630F26B0"/>
    <w:rsid w:val="632B6F6F"/>
    <w:rsid w:val="63676BEB"/>
    <w:rsid w:val="63A63014"/>
    <w:rsid w:val="63BE595B"/>
    <w:rsid w:val="63FC03BF"/>
    <w:rsid w:val="644E6121"/>
    <w:rsid w:val="645804F2"/>
    <w:rsid w:val="645B3DFE"/>
    <w:rsid w:val="659770B8"/>
    <w:rsid w:val="65CE72E4"/>
    <w:rsid w:val="65EA3213"/>
    <w:rsid w:val="660303B6"/>
    <w:rsid w:val="6642102A"/>
    <w:rsid w:val="6643057B"/>
    <w:rsid w:val="66560D21"/>
    <w:rsid w:val="668A4527"/>
    <w:rsid w:val="66F27700"/>
    <w:rsid w:val="673920B8"/>
    <w:rsid w:val="674C3ED2"/>
    <w:rsid w:val="67C075ED"/>
    <w:rsid w:val="67E1286C"/>
    <w:rsid w:val="67EE6D37"/>
    <w:rsid w:val="68184B4C"/>
    <w:rsid w:val="68190914"/>
    <w:rsid w:val="682816DB"/>
    <w:rsid w:val="68364B4E"/>
    <w:rsid w:val="686D7CF2"/>
    <w:rsid w:val="688C50C8"/>
    <w:rsid w:val="68C006D4"/>
    <w:rsid w:val="691E4361"/>
    <w:rsid w:val="697175FF"/>
    <w:rsid w:val="698D0391"/>
    <w:rsid w:val="69CA13F4"/>
    <w:rsid w:val="69CE52E6"/>
    <w:rsid w:val="69F820EF"/>
    <w:rsid w:val="6A1F55DC"/>
    <w:rsid w:val="6A2C3B47"/>
    <w:rsid w:val="6A2F53C6"/>
    <w:rsid w:val="6A3C6480"/>
    <w:rsid w:val="6A6F7879"/>
    <w:rsid w:val="6AFE45F0"/>
    <w:rsid w:val="6B244066"/>
    <w:rsid w:val="6C256E6C"/>
    <w:rsid w:val="6C3C2767"/>
    <w:rsid w:val="6CD70FC1"/>
    <w:rsid w:val="6CE81868"/>
    <w:rsid w:val="6D3A7005"/>
    <w:rsid w:val="6D761CA9"/>
    <w:rsid w:val="6DE80D4D"/>
    <w:rsid w:val="6E1D01E8"/>
    <w:rsid w:val="6E280154"/>
    <w:rsid w:val="6E763D12"/>
    <w:rsid w:val="6EFA2466"/>
    <w:rsid w:val="6EFF79D2"/>
    <w:rsid w:val="6F121862"/>
    <w:rsid w:val="6F35524C"/>
    <w:rsid w:val="6F7B5355"/>
    <w:rsid w:val="6FA66085"/>
    <w:rsid w:val="6FBB727C"/>
    <w:rsid w:val="6FF611BD"/>
    <w:rsid w:val="70231548"/>
    <w:rsid w:val="7035375F"/>
    <w:rsid w:val="704F058F"/>
    <w:rsid w:val="706C6A24"/>
    <w:rsid w:val="70CC53D1"/>
    <w:rsid w:val="70FC5D5F"/>
    <w:rsid w:val="71157B57"/>
    <w:rsid w:val="71A52B5D"/>
    <w:rsid w:val="720F6228"/>
    <w:rsid w:val="723C62EB"/>
    <w:rsid w:val="728E2A0C"/>
    <w:rsid w:val="73092C77"/>
    <w:rsid w:val="73726B40"/>
    <w:rsid w:val="73813691"/>
    <w:rsid w:val="74581611"/>
    <w:rsid w:val="74A311D9"/>
    <w:rsid w:val="7524274C"/>
    <w:rsid w:val="756949EA"/>
    <w:rsid w:val="764D5DFB"/>
    <w:rsid w:val="765D7381"/>
    <w:rsid w:val="770374F5"/>
    <w:rsid w:val="773F1043"/>
    <w:rsid w:val="778D20C9"/>
    <w:rsid w:val="7866427B"/>
    <w:rsid w:val="786A41B8"/>
    <w:rsid w:val="78782D79"/>
    <w:rsid w:val="788F1E71"/>
    <w:rsid w:val="78FE7F71"/>
    <w:rsid w:val="790E6A01"/>
    <w:rsid w:val="79110227"/>
    <w:rsid w:val="796B7990"/>
    <w:rsid w:val="7A6A4943"/>
    <w:rsid w:val="7A6B4218"/>
    <w:rsid w:val="7AAB0E79"/>
    <w:rsid w:val="7AB636E5"/>
    <w:rsid w:val="7ADE6D11"/>
    <w:rsid w:val="7AE07C8F"/>
    <w:rsid w:val="7AEF4E49"/>
    <w:rsid w:val="7B160627"/>
    <w:rsid w:val="7B205002"/>
    <w:rsid w:val="7B711D02"/>
    <w:rsid w:val="7B7A3ACB"/>
    <w:rsid w:val="7BB045D8"/>
    <w:rsid w:val="7BB51BEE"/>
    <w:rsid w:val="7BC04649"/>
    <w:rsid w:val="7BDD2EF3"/>
    <w:rsid w:val="7C0E12FE"/>
    <w:rsid w:val="7C7B5CFE"/>
    <w:rsid w:val="7D4A280A"/>
    <w:rsid w:val="7D935010"/>
    <w:rsid w:val="7DB60C46"/>
    <w:rsid w:val="7DEA7A4F"/>
    <w:rsid w:val="7DEB50B3"/>
    <w:rsid w:val="7E0C70D4"/>
    <w:rsid w:val="7E26761A"/>
    <w:rsid w:val="7E4A7A99"/>
    <w:rsid w:val="7E4D4360"/>
    <w:rsid w:val="7E9A1CEA"/>
    <w:rsid w:val="7E9D7499"/>
    <w:rsid w:val="7EEE0574"/>
    <w:rsid w:val="7EF053B6"/>
    <w:rsid w:val="7F201A88"/>
    <w:rsid w:val="7F517E80"/>
    <w:rsid w:val="7F547A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9"/>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qFormat/>
    <w:uiPriority w:val="9"/>
    <w:pPr>
      <w:keepNext/>
      <w:keepLines/>
      <w:spacing w:before="260" w:after="260" w:line="416" w:lineRule="auto"/>
      <w:outlineLvl w:val="2"/>
    </w:pPr>
    <w:rPr>
      <w:sz w:val="32"/>
      <w:szCs w:val="32"/>
    </w:rPr>
  </w:style>
  <w:style w:type="paragraph" w:styleId="6">
    <w:name w:val="heading 5"/>
    <w:basedOn w:val="7"/>
    <w:next w:val="8"/>
    <w:qFormat/>
    <w:uiPriority w:val="9"/>
    <w:pPr>
      <w:keepNext/>
      <w:keepLines/>
      <w:tabs>
        <w:tab w:val="left" w:pos="780"/>
      </w:tabs>
      <w:spacing w:before="280" w:after="290" w:line="377" w:lineRule="auto"/>
      <w:ind w:firstLine="200" w:firstLineChars="200"/>
      <w:outlineLvl w:val="4"/>
    </w:pPr>
    <w:rPr>
      <w:rFonts w:ascii="Times New Roman" w:hAnsi="Times New Roman" w:eastAsia="仿宋_GB2312" w:cs="Times New Roman"/>
      <w:bCs/>
      <w:szCs w:val="28"/>
    </w:rPr>
  </w:style>
  <w:style w:type="character" w:default="1" w:styleId="30">
    <w:name w:val="Default Paragraph Font"/>
    <w:semiHidden/>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2">
    <w:name w:val="Block Text"/>
    <w:basedOn w:val="1"/>
    <w:unhideWhenUsed/>
    <w:qFormat/>
    <w:uiPriority w:val="99"/>
    <w:pPr>
      <w:spacing w:line="400" w:lineRule="atLeast"/>
      <w:ind w:left="280" w:rightChars="134" w:firstLine="497" w:firstLineChars="0"/>
    </w:pPr>
    <w:rPr>
      <w:rFonts w:ascii="宋体" w:hAnsi="宋体" w:eastAsia="楷体_GB2312"/>
      <w:sz w:val="24"/>
      <w:szCs w:val="20"/>
    </w:rPr>
  </w:style>
  <w:style w:type="paragraph" w:styleId="7">
    <w:name w:val="List Number 2"/>
    <w:basedOn w:val="1"/>
    <w:qFormat/>
    <w:uiPriority w:val="0"/>
    <w:pPr>
      <w:numPr>
        <w:ilvl w:val="0"/>
        <w:numId w:val="1"/>
      </w:numPr>
    </w:pPr>
  </w:style>
  <w:style w:type="paragraph" w:styleId="8">
    <w:name w:val="Normal (Web)"/>
    <w:basedOn w:val="1"/>
    <w:next w:val="9"/>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
    <w:name w:val="样式 标题 3 + (中文) 黑体 小四 非加粗 段前: 7.8 磅 段后: 0 磅 行距: 固定值 20 磅"/>
    <w:basedOn w:val="5"/>
    <w:qFormat/>
    <w:uiPriority w:val="0"/>
    <w:pPr>
      <w:tabs>
        <w:tab w:val="left" w:pos="425"/>
      </w:tabs>
      <w:spacing w:before="0" w:after="0" w:line="400" w:lineRule="exact"/>
    </w:pPr>
    <w:rPr>
      <w:rFonts w:ascii="Times New Roman" w:hAnsi="Times New Roman" w:eastAsia="黑体" w:cs="宋体"/>
      <w:kern w:val="2"/>
      <w:sz w:val="24"/>
      <w:szCs w:val="20"/>
    </w:rPr>
  </w:style>
  <w:style w:type="paragraph" w:styleId="10">
    <w:name w:val="Normal Indent"/>
    <w:basedOn w:val="1"/>
    <w:qFormat/>
    <w:uiPriority w:val="99"/>
    <w:pPr>
      <w:spacing w:before="156" w:beforeLines="50" w:after="156" w:afterLines="50" w:line="360" w:lineRule="auto"/>
      <w:ind w:firstLine="420" w:firstLineChars="200"/>
    </w:pPr>
    <w:rPr>
      <w:rFonts w:ascii="Times New Roman" w:hAnsi="Times New Roman"/>
      <w:sz w:val="24"/>
      <w:szCs w:val="24"/>
    </w:rPr>
  </w:style>
  <w:style w:type="paragraph" w:styleId="11">
    <w:name w:val="annotation text"/>
    <w:basedOn w:val="1"/>
    <w:qFormat/>
    <w:uiPriority w:val="0"/>
    <w:pPr>
      <w:jc w:val="left"/>
    </w:pPr>
  </w:style>
  <w:style w:type="paragraph" w:styleId="12">
    <w:name w:val="Body Text"/>
    <w:basedOn w:val="1"/>
    <w:next w:val="1"/>
    <w:qFormat/>
    <w:uiPriority w:val="1"/>
    <w:rPr>
      <w:b/>
      <w:szCs w:val="24"/>
    </w:rPr>
  </w:style>
  <w:style w:type="paragraph" w:styleId="13">
    <w:name w:val="Body Text Indent"/>
    <w:basedOn w:val="1"/>
    <w:next w:val="1"/>
    <w:qFormat/>
    <w:uiPriority w:val="0"/>
    <w:pPr>
      <w:spacing w:after="120"/>
      <w:ind w:left="420" w:leftChars="200"/>
    </w:pPr>
  </w:style>
  <w:style w:type="paragraph" w:styleId="14">
    <w:name w:val="Plain Text"/>
    <w:basedOn w:val="1"/>
    <w:unhideWhenUsed/>
    <w:qFormat/>
    <w:uiPriority w:val="99"/>
    <w:rPr>
      <w:rFonts w:ascii="宋体" w:hAnsi="Courier New" w:eastAsia="宋体" w:cs="Courier New"/>
      <w:szCs w:val="21"/>
    </w:rPr>
  </w:style>
  <w:style w:type="paragraph" w:styleId="15">
    <w:name w:val="Body Text Indent 2"/>
    <w:basedOn w:val="1"/>
    <w:qFormat/>
    <w:uiPriority w:val="0"/>
    <w:pPr>
      <w:spacing w:line="360" w:lineRule="auto"/>
      <w:ind w:firstLine="480" w:firstLineChars="200"/>
      <w:jc w:val="left"/>
    </w:pPr>
    <w:rPr>
      <w:rFonts w:hAnsi="Arial Narrow"/>
      <w:sz w:val="24"/>
      <w:szCs w:val="21"/>
    </w:rPr>
  </w:style>
  <w:style w:type="paragraph" w:styleId="16">
    <w:name w:val="footer"/>
    <w:basedOn w:val="1"/>
    <w:unhideWhenUsed/>
    <w:qFormat/>
    <w:uiPriority w:val="99"/>
    <w:pPr>
      <w:tabs>
        <w:tab w:val="center" w:pos="4153"/>
        <w:tab w:val="right" w:pos="8306"/>
      </w:tabs>
      <w:snapToGrid w:val="0"/>
      <w:jc w:val="left"/>
    </w:pPr>
    <w:rPr>
      <w:sz w:val="18"/>
      <w:szCs w:val="18"/>
    </w:rPr>
  </w:style>
  <w:style w:type="paragraph" w:styleId="17">
    <w:name w:val="envelope return"/>
    <w:basedOn w:val="1"/>
    <w:qFormat/>
    <w:uiPriority w:val="0"/>
    <w:pPr>
      <w:snapToGrid w:val="0"/>
    </w:pPr>
    <w:rPr>
      <w:rFonts w:ascii="Arial" w:hAnsi="Arial"/>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unhideWhenUsed/>
    <w:qFormat/>
    <w:uiPriority w:val="39"/>
  </w:style>
  <w:style w:type="paragraph" w:styleId="20">
    <w:name w:val="toc 2"/>
    <w:basedOn w:val="1"/>
    <w:next w:val="1"/>
    <w:unhideWhenUsed/>
    <w:qFormat/>
    <w:uiPriority w:val="39"/>
    <w:pPr>
      <w:ind w:left="420" w:leftChars="200"/>
    </w:pPr>
  </w:style>
  <w:style w:type="paragraph" w:styleId="21">
    <w:name w:val="Body Text 2"/>
    <w:basedOn w:val="1"/>
    <w:unhideWhenUsed/>
    <w:qFormat/>
    <w:uiPriority w:val="99"/>
    <w:pPr>
      <w:spacing w:after="120" w:line="480" w:lineRule="auto"/>
    </w:pPr>
  </w:style>
  <w:style w:type="paragraph" w:styleId="2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kern w:val="0"/>
      <w:sz w:val="24"/>
    </w:rPr>
  </w:style>
  <w:style w:type="paragraph" w:styleId="23">
    <w:name w:val="Body Text First Indent 2"/>
    <w:basedOn w:val="13"/>
    <w:next w:val="24"/>
    <w:qFormat/>
    <w:uiPriority w:val="99"/>
    <w:pPr>
      <w:tabs>
        <w:tab w:val="left" w:pos="4606"/>
      </w:tabs>
      <w:ind w:firstLine="420"/>
    </w:pPr>
  </w:style>
  <w:style w:type="paragraph" w:customStyle="1" w:styleId="24">
    <w:name w:val="样式 标题 3 + (中文) 黑体 小四 非加粗 段前: 7.8 磅 段后: 0 磅 行距: 固定值 20 磅_0"/>
    <w:basedOn w:val="25"/>
    <w:qFormat/>
    <w:uiPriority w:val="0"/>
    <w:pPr>
      <w:spacing w:before="0" w:after="0" w:line="400" w:lineRule="exact"/>
    </w:pPr>
    <w:rPr>
      <w:rFonts w:ascii="Times New Roman" w:hAnsi="Times New Roman" w:eastAsia="黑体" w:cs="宋体"/>
      <w:b w:val="0"/>
      <w:bCs w:val="0"/>
      <w:sz w:val="21"/>
      <w:szCs w:val="20"/>
    </w:rPr>
  </w:style>
  <w:style w:type="paragraph" w:customStyle="1" w:styleId="25">
    <w:name w:val="标题 3_0"/>
    <w:basedOn w:val="26"/>
    <w:next w:val="27"/>
    <w:qFormat/>
    <w:uiPriority w:val="0"/>
    <w:pPr>
      <w:keepNext/>
      <w:keepLines/>
      <w:spacing w:before="260" w:after="260" w:line="416" w:lineRule="auto"/>
      <w:outlineLvl w:val="2"/>
    </w:pPr>
    <w:rPr>
      <w:rFonts w:ascii="Calibri" w:hAnsi="Calibri"/>
      <w:b/>
      <w:bCs/>
      <w:sz w:val="32"/>
      <w:szCs w:val="32"/>
    </w:rPr>
  </w:style>
  <w:style w:type="paragraph" w:customStyle="1" w:styleId="26">
    <w:name w:val="正文_0"/>
    <w:next w:val="2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
    <w:name w:val="正文_1"/>
    <w:next w:val="23"/>
    <w:qFormat/>
    <w:uiPriority w:val="0"/>
    <w:pPr>
      <w:widowControl w:val="0"/>
      <w:jc w:val="both"/>
    </w:pPr>
    <w:rPr>
      <w:rFonts w:ascii="Times New Roman" w:hAnsi="Times New Roman" w:eastAsia="宋体" w:cs="Times New Roman"/>
      <w:kern w:val="2"/>
      <w:sz w:val="21"/>
      <w:szCs w:val="22"/>
      <w:lang w:val="en-US" w:eastAsia="zh-CN" w:bidi="ar-SA"/>
    </w:rPr>
  </w:style>
  <w:style w:type="table" w:styleId="29">
    <w:name w:val="Table Grid"/>
    <w:basedOn w:val="28"/>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0"/>
    <w:rPr>
      <w:b/>
      <w:bCs/>
    </w:rPr>
  </w:style>
  <w:style w:type="character" w:styleId="32">
    <w:name w:val="page number"/>
    <w:basedOn w:val="30"/>
    <w:qFormat/>
    <w:uiPriority w:val="99"/>
  </w:style>
  <w:style w:type="character" w:styleId="33">
    <w:name w:val="Hyperlink"/>
    <w:unhideWhenUsed/>
    <w:qFormat/>
    <w:uiPriority w:val="99"/>
    <w:rPr>
      <w:color w:val="0000FF"/>
      <w:u w:val="single"/>
    </w:rPr>
  </w:style>
  <w:style w:type="paragraph" w:customStyle="1" w:styleId="34">
    <w:name w:val="Fließtext"/>
    <w:basedOn w:val="1"/>
    <w:qFormat/>
    <w:uiPriority w:val="99"/>
    <w:pPr>
      <w:overflowPunct w:val="0"/>
      <w:autoSpaceDE w:val="0"/>
      <w:autoSpaceDN w:val="0"/>
      <w:adjustRightInd w:val="0"/>
      <w:textAlignment w:val="baseline"/>
    </w:pPr>
    <w:rPr>
      <w:kern w:val="28"/>
      <w:szCs w:val="20"/>
    </w:rPr>
  </w:style>
  <w:style w:type="paragraph" w:customStyle="1" w:styleId="35">
    <w:name w:val="首行缩进"/>
    <w:basedOn w:val="1"/>
    <w:qFormat/>
    <w:uiPriority w:val="0"/>
    <w:pPr>
      <w:ind w:firstLine="480" w:firstLineChars="200"/>
    </w:pPr>
    <w:rPr>
      <w:lang w:val="zh-CN"/>
    </w:rPr>
  </w:style>
  <w:style w:type="paragraph" w:customStyle="1" w:styleId="36">
    <w:name w:val="正文（缩进）"/>
    <w:basedOn w:val="1"/>
    <w:qFormat/>
    <w:uiPriority w:val="99"/>
    <w:pPr>
      <w:spacing w:before="156" w:after="156"/>
      <w:ind w:firstLine="480"/>
    </w:pPr>
  </w:style>
  <w:style w:type="paragraph" w:customStyle="1" w:styleId="37">
    <w:name w:val="null3"/>
    <w:qFormat/>
    <w:uiPriority w:val="0"/>
    <w:rPr>
      <w:rFonts w:hint="eastAsia" w:ascii="Calibri" w:hAnsi="Calibri" w:eastAsia="宋体" w:cs="Times New Roman"/>
      <w:lang w:val="en-US" w:eastAsia="zh-CN" w:bidi="ar-SA"/>
    </w:rPr>
  </w:style>
  <w:style w:type="paragraph" w:customStyle="1" w:styleId="38">
    <w:name w:val="样式1"/>
    <w:basedOn w:val="1"/>
    <w:qFormat/>
    <w:uiPriority w:val="0"/>
    <w:pPr>
      <w:jc w:val="center"/>
    </w:pPr>
    <w:rPr>
      <w:rFonts w:eastAsia="方正大标宋简体"/>
      <w:sz w:val="52"/>
    </w:rPr>
  </w:style>
  <w:style w:type="paragraph" w:customStyle="1" w:styleId="39">
    <w:name w:val="Normal Indent1"/>
    <w:qFormat/>
    <w:uiPriority w:val="0"/>
    <w:pPr>
      <w:spacing w:afterLines="50" w:line="360" w:lineRule="auto"/>
      <w:ind w:firstLine="420" w:firstLineChars="200"/>
    </w:pPr>
    <w:rPr>
      <w:rFonts w:ascii="Times New Roman" w:hAnsi="Times New Roman" w:eastAsia="宋体" w:cs="Times New Roman"/>
      <w:lang w:val="en-US" w:eastAsia="zh-CN" w:bidi="ar-SA"/>
    </w:rPr>
  </w:style>
  <w:style w:type="character" w:customStyle="1" w:styleId="40">
    <w:name w:val="edittexttarea"/>
    <w:basedOn w:val="30"/>
    <w:qFormat/>
    <w:uiPriority w:val="0"/>
  </w:style>
  <w:style w:type="paragraph" w:customStyle="1" w:styleId="41">
    <w:name w:val="WPSOffice手动目录 1"/>
    <w:qFormat/>
    <w:uiPriority w:val="0"/>
    <w:pPr>
      <w:ind w:leftChars="0"/>
    </w:pPr>
    <w:rPr>
      <w:rFonts w:ascii="Times New Roman" w:hAnsi="Times New Roman" w:eastAsia="宋体" w:cs="Times New Roman"/>
      <w:sz w:val="20"/>
      <w:szCs w:val="20"/>
    </w:rPr>
  </w:style>
  <w:style w:type="paragraph" w:customStyle="1" w:styleId="42">
    <w:name w:val="WPSOffice手动目录 2"/>
    <w:qFormat/>
    <w:uiPriority w:val="0"/>
    <w:pPr>
      <w:ind w:leftChars="200"/>
    </w:pPr>
    <w:rPr>
      <w:rFonts w:ascii="Times New Roman" w:hAnsi="Times New Roman" w:eastAsia="宋体" w:cs="Times New Roman"/>
      <w:sz w:val="20"/>
      <w:szCs w:val="20"/>
    </w:rPr>
  </w:style>
  <w:style w:type="paragraph" w:customStyle="1" w:styleId="43">
    <w:name w:val="Main Title"/>
    <w:next w:val="1"/>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paragraph" w:customStyle="1" w:styleId="44">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4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46">
    <w:name w:val="List Paragraph"/>
    <w:basedOn w:val="1"/>
    <w:qFormat/>
    <w:uiPriority w:val="0"/>
    <w:pPr>
      <w:widowControl/>
      <w:ind w:firstLine="420" w:firstLineChars="200"/>
      <w:jc w:val="left"/>
    </w:pPr>
    <w:rPr>
      <w:rFonts w:ascii="MetaPlusLF" w:hAnsi="MetaPlusLF" w:cs="Times New Roman"/>
      <w:snapToGrid/>
      <w:sz w:val="20"/>
      <w:szCs w:val="20"/>
      <w:lang w:val="de-DE" w:eastAsia="de-DE"/>
    </w:rPr>
  </w:style>
  <w:style w:type="paragraph" w:customStyle="1" w:styleId="47">
    <w:name w:val="p0"/>
    <w:basedOn w:val="1"/>
    <w:qFormat/>
    <w:uiPriority w:val="0"/>
    <w:pPr>
      <w:widowControl/>
    </w:pPr>
    <w:rPr>
      <w:kern w:val="0"/>
      <w:sz w:val="2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37529</Words>
  <Characters>40085</Characters>
  <Lines>0</Lines>
  <Paragraphs>0</Paragraphs>
  <TotalTime>2</TotalTime>
  <ScaleCrop>false</ScaleCrop>
  <LinksUpToDate>false</LinksUpToDate>
  <CharactersWithSpaces>42088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2024-06-04T12:42:00Z</dcterms:created>
  <dc:creator>Administrator</dc:creator>
  <cp:lastModifiedBy>admin</cp:lastModifiedBy>
  <dcterms:modified xsi:type="dcterms:W3CDTF">2025-01-17T06:46:58Z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E32513687ED24F328FD4A5778B6FC29D_13</vt:lpwstr>
  </property>
</Properties>
</file>