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hint="eastAsia" w:ascii="微软雅黑" w:hAnsi="微软雅黑" w:eastAsia="微软雅黑" w:cs="微软雅黑"/>
          <w:b/>
          <w:bCs/>
          <w:kern w:val="2"/>
          <w:sz w:val="44"/>
          <w:szCs w:val="44"/>
          <w:u w:val="none"/>
          <w:lang w:val="en-US" w:eastAsia="zh-CN" w:bidi="ar-SA"/>
        </w:rPr>
      </w:pPr>
    </w:p>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hint="eastAsia" w:ascii="微软雅黑" w:hAnsi="微软雅黑" w:eastAsia="微软雅黑" w:cs="微软雅黑"/>
          <w:b/>
          <w:bCs/>
          <w:kern w:val="2"/>
          <w:sz w:val="44"/>
          <w:szCs w:val="44"/>
          <w:u w:val="none"/>
          <w:lang w:val="en-US" w:eastAsia="zh-CN" w:bidi="ar-SA"/>
        </w:rPr>
      </w:pPr>
    </w:p>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hint="eastAsia" w:ascii="微软雅黑" w:hAnsi="微软雅黑" w:eastAsia="微软雅黑" w:cs="微软雅黑"/>
          <w:b/>
          <w:bCs/>
          <w:kern w:val="2"/>
          <w:sz w:val="44"/>
          <w:szCs w:val="44"/>
          <w:u w:val="none"/>
          <w:lang w:val="en-US" w:eastAsia="zh-CN" w:bidi="ar-SA"/>
        </w:rPr>
      </w:pPr>
      <w:r>
        <w:rPr>
          <w:rFonts w:hint="eastAsia" w:ascii="微软雅黑" w:hAnsi="微软雅黑" w:eastAsia="微软雅黑" w:cs="微软雅黑"/>
          <w:b/>
          <w:bCs/>
          <w:kern w:val="2"/>
          <w:sz w:val="44"/>
          <w:szCs w:val="44"/>
          <w:u w:val="none"/>
          <w:lang w:val="en-US" w:eastAsia="zh-CN" w:bidi="ar-SA"/>
        </w:rPr>
        <w:t>2022年国家税务总局平潭综合实验区税务局</w:t>
      </w:r>
    </w:p>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hint="default" w:ascii="微软雅黑" w:hAnsi="微软雅黑" w:eastAsia="微软雅黑" w:cs="微软雅黑"/>
          <w:b/>
          <w:bCs/>
          <w:kern w:val="2"/>
          <w:sz w:val="44"/>
          <w:szCs w:val="44"/>
          <w:u w:val="none"/>
          <w:lang w:val="en-US" w:eastAsia="zh-CN" w:bidi="ar-SA"/>
        </w:rPr>
      </w:pPr>
      <w:r>
        <w:rPr>
          <w:rFonts w:hint="eastAsia" w:ascii="微软雅黑" w:hAnsi="微软雅黑" w:eastAsia="微软雅黑" w:cs="微软雅黑"/>
          <w:b/>
          <w:bCs/>
          <w:kern w:val="2"/>
          <w:sz w:val="44"/>
          <w:szCs w:val="44"/>
          <w:u w:val="none"/>
          <w:lang w:val="en-US" w:eastAsia="zh-CN" w:bidi="ar-SA"/>
        </w:rPr>
        <w:t>“优化税收营商环境 提升纳税服务质量”项目</w:t>
      </w:r>
    </w:p>
    <w:p>
      <w:pPr>
        <w:pStyle w:val="3"/>
        <w:keepNext w:val="0"/>
        <w:keepLines w:val="0"/>
        <w:pageBreakBefore w:val="0"/>
        <w:widowControl/>
        <w:kinsoku/>
        <w:wordWrap/>
        <w:overflowPunct/>
        <w:topLinePunct w:val="0"/>
        <w:bidi w:val="0"/>
        <w:spacing w:before="0" w:beforeAutospacing="0" w:after="0" w:afterAutospacing="0" w:line="360" w:lineRule="auto"/>
        <w:ind w:left="0" w:right="0"/>
        <w:jc w:val="both"/>
        <w:rPr>
          <w:rFonts w:hint="eastAsia" w:ascii="微软雅黑" w:hAnsi="微软雅黑" w:eastAsia="微软雅黑" w:cs="微软雅黑"/>
          <w:kern w:val="0"/>
          <w:sz w:val="44"/>
          <w:szCs w:val="44"/>
          <w:u w:val="none"/>
        </w:rPr>
      </w:pPr>
    </w:p>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hint="eastAsia" w:ascii="微软雅黑" w:hAnsi="微软雅黑" w:eastAsia="微软雅黑" w:cs="微软雅黑"/>
          <w:kern w:val="0"/>
          <w:sz w:val="44"/>
          <w:szCs w:val="44"/>
          <w:u w:val="none"/>
        </w:rPr>
      </w:pPr>
    </w:p>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hint="eastAsia" w:ascii="微软雅黑" w:hAnsi="微软雅黑" w:eastAsia="微软雅黑" w:cs="微软雅黑"/>
          <w:kern w:val="0"/>
          <w:sz w:val="44"/>
          <w:szCs w:val="44"/>
          <w:u w:val="none"/>
        </w:rPr>
      </w:pPr>
      <w:r>
        <w:rPr>
          <w:rFonts w:hint="eastAsia" w:ascii="微软雅黑" w:hAnsi="微软雅黑" w:eastAsia="微软雅黑" w:cs="微软雅黑"/>
          <w:kern w:val="0"/>
          <w:sz w:val="44"/>
          <w:szCs w:val="44"/>
          <w:u w:val="none"/>
        </w:rPr>
        <w:t>实</w:t>
      </w:r>
    </w:p>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hint="eastAsia" w:ascii="微软雅黑" w:hAnsi="微软雅黑" w:eastAsia="微软雅黑" w:cs="微软雅黑"/>
          <w:kern w:val="0"/>
          <w:sz w:val="44"/>
          <w:szCs w:val="44"/>
          <w:u w:val="none"/>
          <w:lang w:eastAsia="zh-CN"/>
        </w:rPr>
      </w:pPr>
      <w:r>
        <w:rPr>
          <w:rFonts w:hint="eastAsia" w:ascii="微软雅黑" w:hAnsi="微软雅黑" w:eastAsia="微软雅黑" w:cs="微软雅黑"/>
          <w:kern w:val="0"/>
          <w:sz w:val="44"/>
          <w:szCs w:val="44"/>
          <w:u w:val="none"/>
          <w:lang w:eastAsia="zh-CN"/>
        </w:rPr>
        <w:t>施</w:t>
      </w:r>
    </w:p>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hint="eastAsia" w:ascii="微软雅黑" w:hAnsi="微软雅黑" w:eastAsia="微软雅黑" w:cs="微软雅黑"/>
          <w:kern w:val="0"/>
          <w:sz w:val="44"/>
          <w:szCs w:val="44"/>
          <w:u w:val="none"/>
        </w:rPr>
      </w:pPr>
      <w:r>
        <w:rPr>
          <w:rFonts w:hint="eastAsia" w:ascii="微软雅黑" w:hAnsi="微软雅黑" w:eastAsia="微软雅黑" w:cs="微软雅黑"/>
          <w:kern w:val="0"/>
          <w:sz w:val="44"/>
          <w:szCs w:val="44"/>
          <w:u w:val="none"/>
        </w:rPr>
        <w:t>方</w:t>
      </w:r>
    </w:p>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hint="eastAsia" w:ascii="微软雅黑" w:hAnsi="微软雅黑" w:eastAsia="微软雅黑" w:cs="微软雅黑"/>
          <w:kern w:val="0"/>
          <w:sz w:val="44"/>
          <w:szCs w:val="44"/>
          <w:u w:val="none"/>
          <w:lang w:eastAsia="zh-CN"/>
        </w:rPr>
      </w:pPr>
      <w:r>
        <w:rPr>
          <w:rFonts w:hint="eastAsia" w:ascii="微软雅黑" w:hAnsi="微软雅黑" w:eastAsia="微软雅黑" w:cs="微软雅黑"/>
          <w:kern w:val="0"/>
          <w:sz w:val="44"/>
          <w:szCs w:val="44"/>
          <w:u w:val="none"/>
          <w:lang w:eastAsia="zh-CN"/>
        </w:rPr>
        <w:t>案</w:t>
      </w:r>
    </w:p>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hint="eastAsia" w:ascii="微软雅黑" w:hAnsi="微软雅黑" w:eastAsia="微软雅黑" w:cs="微软雅黑"/>
          <w:b w:val="0"/>
          <w:bCs w:val="0"/>
          <w:sz w:val="24"/>
          <w:szCs w:val="24"/>
          <w:u w:val="none"/>
        </w:rPr>
      </w:pPr>
    </w:p>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hint="eastAsia" w:ascii="微软雅黑" w:hAnsi="微软雅黑" w:eastAsia="微软雅黑" w:cs="微软雅黑"/>
          <w:b w:val="0"/>
          <w:bCs w:val="0"/>
          <w:sz w:val="24"/>
          <w:szCs w:val="24"/>
          <w:u w:val="none"/>
        </w:rPr>
      </w:pPr>
    </w:p>
    <w:p>
      <w:pPr>
        <w:pStyle w:val="3"/>
        <w:keepNext w:val="0"/>
        <w:keepLines w:val="0"/>
        <w:pageBreakBefore w:val="0"/>
        <w:widowControl/>
        <w:kinsoku/>
        <w:wordWrap/>
        <w:overflowPunct/>
        <w:topLinePunct w:val="0"/>
        <w:bidi w:val="0"/>
        <w:spacing w:before="0" w:beforeAutospacing="0" w:after="0" w:afterAutospacing="0" w:line="360" w:lineRule="auto"/>
        <w:ind w:left="0" w:right="0"/>
        <w:jc w:val="both"/>
        <w:rPr>
          <w:rFonts w:hint="eastAsia" w:ascii="微软雅黑" w:hAnsi="微软雅黑" w:eastAsia="微软雅黑" w:cs="微软雅黑"/>
          <w:b w:val="0"/>
          <w:bCs w:val="0"/>
          <w:sz w:val="24"/>
          <w:szCs w:val="24"/>
          <w:u w:val="none"/>
        </w:rPr>
      </w:pPr>
    </w:p>
    <w:p>
      <w:pPr>
        <w:pStyle w:val="3"/>
        <w:keepNext w:val="0"/>
        <w:keepLines w:val="0"/>
        <w:pageBreakBefore w:val="0"/>
        <w:widowControl/>
        <w:kinsoku/>
        <w:wordWrap/>
        <w:overflowPunct/>
        <w:topLinePunct w:val="0"/>
        <w:bidi w:val="0"/>
        <w:spacing w:before="0" w:beforeAutospacing="0" w:after="0" w:afterAutospacing="0" w:line="360" w:lineRule="auto"/>
        <w:ind w:left="0" w:right="0"/>
        <w:jc w:val="both"/>
        <w:rPr>
          <w:rFonts w:hint="eastAsia" w:ascii="微软雅黑" w:hAnsi="微软雅黑" w:eastAsia="微软雅黑" w:cs="微软雅黑"/>
          <w:b w:val="0"/>
          <w:bCs w:val="0"/>
          <w:sz w:val="24"/>
          <w:szCs w:val="24"/>
          <w:u w:val="none"/>
        </w:rPr>
      </w:pPr>
    </w:p>
    <w:p>
      <w:pPr>
        <w:pStyle w:val="3"/>
        <w:keepNext w:val="0"/>
        <w:keepLines w:val="0"/>
        <w:pageBreakBefore w:val="0"/>
        <w:widowControl/>
        <w:kinsoku/>
        <w:wordWrap/>
        <w:overflowPunct/>
        <w:topLinePunct w:val="0"/>
        <w:bidi w:val="0"/>
        <w:spacing w:before="0" w:beforeAutospacing="0" w:after="0" w:afterAutospacing="0" w:line="360" w:lineRule="auto"/>
        <w:ind w:left="0" w:right="0"/>
        <w:jc w:val="both"/>
        <w:rPr>
          <w:rFonts w:hint="eastAsia" w:ascii="微软雅黑" w:hAnsi="微软雅黑" w:eastAsia="微软雅黑" w:cs="微软雅黑"/>
          <w:b w:val="0"/>
          <w:bCs w:val="0"/>
          <w:sz w:val="24"/>
          <w:szCs w:val="24"/>
          <w:u w:val="none"/>
        </w:rPr>
      </w:pPr>
    </w:p>
    <w:p>
      <w:pPr>
        <w:pStyle w:val="3"/>
        <w:keepNext w:val="0"/>
        <w:keepLines w:val="0"/>
        <w:pageBreakBefore w:val="0"/>
        <w:widowControl/>
        <w:kinsoku/>
        <w:wordWrap/>
        <w:overflowPunct/>
        <w:topLinePunct w:val="0"/>
        <w:bidi w:val="0"/>
        <w:spacing w:before="0" w:beforeAutospacing="0" w:after="0" w:afterAutospacing="0" w:line="360" w:lineRule="auto"/>
        <w:ind w:left="0" w:right="0"/>
        <w:jc w:val="center"/>
        <w:rPr>
          <w:rFonts w:ascii="微软雅黑" w:hAnsi="微软雅黑" w:eastAsia="微软雅黑" w:cs="微软雅黑"/>
          <w:b w:val="0"/>
          <w:bCs w:val="0"/>
          <w:sz w:val="24"/>
          <w:szCs w:val="24"/>
          <w:u w:val="none"/>
        </w:rPr>
      </w:pPr>
    </w:p>
    <w:p>
      <w:pPr>
        <w:rPr>
          <w:rFonts w:hint="eastAsia" w:ascii="微软雅黑" w:hAnsi="微软雅黑" w:eastAsia="微软雅黑" w:cs="微软雅黑"/>
          <w:b w:val="0"/>
          <w:bCs w:val="0"/>
          <w:sz w:val="24"/>
          <w:szCs w:val="24"/>
          <w:u w:val="none"/>
          <w:lang w:val="en-US" w:eastAsia="zh-CN"/>
        </w:rPr>
      </w:pPr>
    </w:p>
    <w:p>
      <w:pPr>
        <w:rPr>
          <w:rFonts w:hint="eastAsia" w:ascii="微软雅黑" w:hAnsi="微软雅黑" w:eastAsia="微软雅黑" w:cs="微软雅黑"/>
          <w:b w:val="0"/>
          <w:bCs w:val="0"/>
          <w:sz w:val="24"/>
          <w:szCs w:val="24"/>
          <w:u w:val="none"/>
          <w:lang w:val="en-US" w:eastAsia="zh-CN"/>
        </w:rPr>
      </w:pPr>
      <w:r>
        <w:rPr>
          <w:rFonts w:hint="eastAsia" w:ascii="微软雅黑" w:hAnsi="微软雅黑" w:eastAsia="微软雅黑" w:cs="微软雅黑"/>
          <w:b w:val="0"/>
          <w:bCs w:val="0"/>
          <w:sz w:val="24"/>
          <w:szCs w:val="24"/>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微软雅黑" w:hAnsi="微软雅黑" w:eastAsia="微软雅黑" w:cs="微软雅黑"/>
          <w:b w:val="0"/>
          <w:bCs w:val="0"/>
          <w:sz w:val="24"/>
          <w:szCs w:val="24"/>
          <w:u w:val="none"/>
          <w:lang w:val="en-US" w:eastAsia="zh-CN"/>
        </w:rPr>
      </w:pPr>
      <w:r>
        <w:rPr>
          <w:rFonts w:hint="eastAsia" w:ascii="微软雅黑" w:hAnsi="微软雅黑" w:eastAsia="微软雅黑" w:cs="微软雅黑"/>
          <w:b w:val="0"/>
          <w:bCs w:val="0"/>
          <w:sz w:val="24"/>
          <w:szCs w:val="24"/>
          <w:u w:val="none"/>
          <w:lang w:val="en-US" w:eastAsia="zh-CN"/>
        </w:rPr>
        <w:t>2022年，党的二十大即将召开，如何做好纳税服务，以饱满的工作热情喜迎党的二十大召开，对每一名税务干部来说都意义重大。按照中央经济工作会议和《政府工作报告》部署要求，各级税务机关要着力优化税收营商环境，打好2022年满意度提升攻坚战，以优异成绩迎接党的二十大胜利召开。2022年是充分发挥税收职能作用、持续优化税收营商环境的关键之年，如何建设优质、便捷、高效的现代纳税服务体系成为各地税务系统当前的重要目标之一。</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微软雅黑" w:hAnsi="微软雅黑" w:eastAsia="微软雅黑" w:cs="微软雅黑"/>
          <w:b w:val="0"/>
          <w:bCs w:val="0"/>
          <w:sz w:val="24"/>
          <w:szCs w:val="24"/>
          <w:u w:val="none"/>
        </w:rPr>
      </w:pPr>
      <w:r>
        <w:rPr>
          <w:rFonts w:hint="eastAsia" w:ascii="微软雅黑" w:hAnsi="微软雅黑" w:eastAsia="微软雅黑" w:cs="微软雅黑"/>
          <w:b w:val="0"/>
          <w:bCs w:val="0"/>
          <w:sz w:val="24"/>
          <w:szCs w:val="24"/>
          <w:u w:val="none"/>
          <w:lang w:val="en-US" w:eastAsia="zh-CN"/>
        </w:rPr>
        <w:t>“营商环境没有最好，只有更好”。全面优化我区税收营商环境，才能真正让税收更好、更快地服务地方经济高质量发展。准确把握纳税人的合理需求和期望，切实提升平潭综合实验区纳税人的税法遵从度和获得感，才能营造公平和谐的征纳关系。</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微软雅黑" w:hAnsi="微软雅黑" w:eastAsia="微软雅黑" w:cs="微软雅黑"/>
          <w:b w:val="0"/>
          <w:bCs w:val="0"/>
          <w:sz w:val="24"/>
          <w:szCs w:val="24"/>
          <w:u w:val="none"/>
          <w:lang w:val="en-US" w:eastAsia="zh-CN"/>
        </w:rPr>
      </w:pPr>
      <w:r>
        <w:rPr>
          <w:rFonts w:hint="eastAsia" w:ascii="微软雅黑" w:hAnsi="微软雅黑" w:eastAsia="微软雅黑" w:cs="微软雅黑"/>
          <w:b w:val="0"/>
          <w:bCs w:val="0"/>
          <w:sz w:val="24"/>
          <w:szCs w:val="24"/>
          <w:u w:val="none"/>
          <w:lang w:val="en-US" w:eastAsia="zh-CN"/>
        </w:rPr>
        <w:t>为全面提升税收营商环境，</w:t>
      </w:r>
      <w:r>
        <w:rPr>
          <w:rFonts w:hint="eastAsia" w:ascii="微软雅黑" w:hAnsi="微软雅黑" w:eastAsia="微软雅黑" w:cs="微软雅黑"/>
          <w:b w:val="0"/>
          <w:bCs w:val="0"/>
          <w:sz w:val="24"/>
          <w:szCs w:val="24"/>
          <w:u w:val="none"/>
        </w:rPr>
        <w:t>根据</w:t>
      </w:r>
      <w:r>
        <w:rPr>
          <w:rFonts w:hint="eastAsia" w:ascii="微软雅黑" w:hAnsi="微软雅黑" w:eastAsia="微软雅黑" w:cs="微软雅黑"/>
          <w:b w:val="0"/>
          <w:bCs w:val="0"/>
          <w:sz w:val="24"/>
          <w:szCs w:val="24"/>
          <w:u w:val="none"/>
          <w:lang w:eastAsia="zh-CN"/>
        </w:rPr>
        <w:t>平潭综合实验区的</w:t>
      </w:r>
      <w:r>
        <w:rPr>
          <w:rFonts w:hint="eastAsia" w:ascii="微软雅黑" w:hAnsi="微软雅黑" w:eastAsia="微软雅黑" w:cs="微软雅黑"/>
          <w:b w:val="0"/>
          <w:bCs w:val="0"/>
          <w:sz w:val="24"/>
          <w:szCs w:val="24"/>
          <w:u w:val="none"/>
        </w:rPr>
        <w:t>实际情况，拟采取</w:t>
      </w:r>
      <w:r>
        <w:rPr>
          <w:rFonts w:hint="eastAsia" w:ascii="微软雅黑" w:hAnsi="微软雅黑" w:eastAsia="微软雅黑" w:cs="微软雅黑"/>
          <w:b w:val="0"/>
          <w:bCs w:val="0"/>
          <w:sz w:val="24"/>
          <w:szCs w:val="24"/>
          <w:u w:val="none"/>
          <w:lang w:eastAsia="zh-CN"/>
        </w:rPr>
        <w:t>“</w:t>
      </w:r>
      <w:r>
        <w:rPr>
          <w:rFonts w:hint="eastAsia" w:ascii="微软雅黑" w:hAnsi="微软雅黑" w:eastAsia="微软雅黑" w:cs="微软雅黑"/>
          <w:bCs w:val="0"/>
          <w:sz w:val="24"/>
          <w:szCs w:val="24"/>
          <w:u w:val="none"/>
          <w:lang w:eastAsia="zh-CN"/>
        </w:rPr>
        <w:t>纳服质量提升咨询（</w:t>
      </w:r>
      <w:r>
        <w:rPr>
          <w:rFonts w:hint="eastAsia" w:ascii="微软雅黑" w:hAnsi="微软雅黑" w:eastAsia="微软雅黑" w:cs="微软雅黑"/>
          <w:bCs w:val="0"/>
          <w:sz w:val="24"/>
          <w:szCs w:val="24"/>
          <w:u w:val="none"/>
          <w:lang w:val="en-US" w:eastAsia="zh-CN"/>
        </w:rPr>
        <w:t>税管员服务意识及能力提升咨询</w:t>
      </w:r>
      <w:r>
        <w:rPr>
          <w:rFonts w:hint="eastAsia" w:ascii="微软雅黑" w:hAnsi="微软雅黑" w:eastAsia="微软雅黑" w:cs="微软雅黑"/>
          <w:bCs w:val="0"/>
          <w:sz w:val="24"/>
          <w:szCs w:val="24"/>
          <w:u w:val="none"/>
          <w:lang w:eastAsia="zh-CN"/>
        </w:rPr>
        <w:t>）</w:t>
      </w:r>
      <w:r>
        <w:rPr>
          <w:rFonts w:hint="eastAsia" w:ascii="微软雅黑" w:hAnsi="微软雅黑" w:eastAsia="微软雅黑" w:cs="微软雅黑"/>
          <w:b w:val="0"/>
          <w:bCs w:val="0"/>
          <w:sz w:val="24"/>
          <w:szCs w:val="24"/>
          <w:u w:val="none"/>
          <w:lang w:val="en-US" w:eastAsia="zh-CN"/>
        </w:rPr>
        <w:t>-</w:t>
      </w:r>
      <w:r>
        <w:rPr>
          <w:rFonts w:hint="eastAsia" w:ascii="微软雅黑" w:hAnsi="微软雅黑" w:eastAsia="微软雅黑" w:cs="微软雅黑"/>
          <w:b w:val="0"/>
          <w:bCs w:val="0"/>
          <w:sz w:val="24"/>
          <w:szCs w:val="24"/>
          <w:highlight w:val="none"/>
          <w:u w:val="none"/>
          <w:lang w:val="en-US" w:eastAsia="zh-CN"/>
        </w:rPr>
        <w:t>-</w:t>
      </w:r>
      <w:r>
        <w:rPr>
          <w:rFonts w:hint="eastAsia" w:ascii="微软雅黑" w:hAnsi="微软雅黑" w:eastAsia="微软雅黑" w:cs="微软雅黑"/>
          <w:bCs w:val="0"/>
          <w:sz w:val="24"/>
          <w:szCs w:val="24"/>
          <w:u w:val="none"/>
          <w:lang w:eastAsia="zh-CN"/>
        </w:rPr>
        <w:t>纳税人号码清查</w:t>
      </w:r>
      <w:r>
        <w:rPr>
          <w:rFonts w:hint="eastAsia" w:ascii="微软雅黑" w:hAnsi="微软雅黑" w:eastAsia="微软雅黑" w:cs="微软雅黑"/>
          <w:b w:val="0"/>
          <w:bCs w:val="0"/>
          <w:sz w:val="24"/>
          <w:szCs w:val="24"/>
          <w:u w:val="none"/>
          <w:lang w:val="en-US" w:eastAsia="zh-CN"/>
        </w:rPr>
        <w:t>-</w:t>
      </w:r>
      <w:r>
        <w:rPr>
          <w:rFonts w:hint="eastAsia" w:ascii="微软雅黑" w:hAnsi="微软雅黑" w:eastAsia="微软雅黑" w:cs="微软雅黑"/>
          <w:bCs w:val="0"/>
          <w:sz w:val="24"/>
          <w:szCs w:val="24"/>
          <w:u w:val="none"/>
          <w:lang w:val="en-US" w:eastAsia="zh-CN"/>
        </w:rPr>
        <w:t>办税大厅工作人员服务礼仪素养训练和场景化督导</w:t>
      </w:r>
      <w:r>
        <w:rPr>
          <w:rFonts w:hint="eastAsia" w:ascii="微软雅黑" w:hAnsi="微软雅黑" w:eastAsia="微软雅黑" w:cs="微软雅黑"/>
          <w:sz w:val="24"/>
          <w:szCs w:val="24"/>
          <w:u w:val="none"/>
          <w:lang w:eastAsia="zh-CN"/>
        </w:rPr>
        <w:t>”</w:t>
      </w:r>
      <w:r>
        <w:rPr>
          <w:rFonts w:hint="eastAsia" w:ascii="微软雅黑" w:hAnsi="微软雅黑" w:eastAsia="微软雅黑" w:cs="微软雅黑"/>
          <w:b w:val="0"/>
          <w:bCs w:val="0"/>
          <w:sz w:val="24"/>
          <w:szCs w:val="24"/>
          <w:u w:val="none"/>
          <w:lang w:val="en-US" w:eastAsia="zh-CN"/>
        </w:rPr>
        <w:t>分阶段开展工作</w:t>
      </w:r>
      <w:r>
        <w:rPr>
          <w:rFonts w:hint="eastAsia" w:ascii="微软雅黑" w:hAnsi="微软雅黑" w:eastAsia="微软雅黑" w:cs="微软雅黑"/>
          <w:b w:val="0"/>
          <w:bCs w:val="0"/>
          <w:sz w:val="24"/>
          <w:szCs w:val="24"/>
          <w:u w:val="none"/>
        </w:rPr>
        <w:t>，</w:t>
      </w:r>
      <w:r>
        <w:rPr>
          <w:rFonts w:hint="eastAsia" w:ascii="微软雅黑" w:hAnsi="微软雅黑" w:eastAsia="微软雅黑" w:cs="微软雅黑"/>
          <w:b w:val="0"/>
          <w:bCs w:val="0"/>
          <w:sz w:val="24"/>
          <w:szCs w:val="24"/>
          <w:u w:val="none"/>
          <w:lang w:val="en-US" w:eastAsia="zh-CN"/>
        </w:rPr>
        <w:t>最终达到优化平潭综合实验区税收营商环境，使平潭综合实验区税务局纳税服务成为福建省税务纳税服务的标杆。</w:t>
      </w:r>
    </w:p>
    <w:p>
      <w:pPr>
        <w:tabs>
          <w:tab w:val="left" w:pos="0"/>
        </w:tabs>
        <w:spacing w:line="480" w:lineRule="exact"/>
        <w:ind w:left="420"/>
        <w:rPr>
          <w:rFonts w:ascii="微软雅黑" w:hAnsi="微软雅黑" w:eastAsia="微软雅黑" w:cs="微软雅黑"/>
          <w:bCs w:val="0"/>
          <w:sz w:val="24"/>
          <w:szCs w:val="24"/>
          <w:u w:val="none"/>
        </w:rPr>
      </w:pPr>
      <w:r>
        <w:rPr>
          <w:rFonts w:hint="eastAsia" w:ascii="微软雅黑" w:hAnsi="微软雅黑" w:eastAsia="微软雅黑" w:cs="微软雅黑"/>
          <w:bCs w:val="0"/>
          <w:sz w:val="28"/>
          <w:szCs w:val="28"/>
          <w:u w:val="none"/>
        </w:rPr>
        <w:t>一、</w:t>
      </w:r>
      <w:r>
        <w:rPr>
          <w:rFonts w:hint="eastAsia" w:ascii="微软雅黑" w:hAnsi="微软雅黑" w:eastAsia="微软雅黑" w:cs="微软雅黑"/>
          <w:bCs w:val="0"/>
          <w:sz w:val="28"/>
          <w:szCs w:val="28"/>
          <w:u w:val="none"/>
          <w:lang w:eastAsia="zh-CN"/>
        </w:rPr>
        <w:t>纳服质量提升咨询（</w:t>
      </w:r>
      <w:r>
        <w:rPr>
          <w:rFonts w:hint="eastAsia" w:ascii="微软雅黑" w:hAnsi="微软雅黑" w:eastAsia="微软雅黑" w:cs="微软雅黑"/>
          <w:bCs w:val="0"/>
          <w:sz w:val="28"/>
          <w:szCs w:val="28"/>
          <w:u w:val="none"/>
          <w:lang w:val="en-US" w:eastAsia="zh-CN"/>
        </w:rPr>
        <w:t>税管员服务意识及能力提升咨询</w:t>
      </w:r>
      <w:r>
        <w:rPr>
          <w:rFonts w:hint="eastAsia" w:ascii="微软雅黑" w:hAnsi="微软雅黑" w:eastAsia="微软雅黑" w:cs="微软雅黑"/>
          <w:bCs w:val="0"/>
          <w:sz w:val="28"/>
          <w:szCs w:val="28"/>
          <w:u w:val="none"/>
          <w:lang w:eastAsia="zh-CN"/>
        </w:rPr>
        <w:t>）</w:t>
      </w:r>
    </w:p>
    <w:p>
      <w:pPr>
        <w:spacing w:line="480" w:lineRule="exact"/>
        <w:ind w:firstLine="480" w:firstLineChars="200"/>
        <w:rPr>
          <w:rFonts w:ascii="微软雅黑" w:hAnsi="微软雅黑" w:eastAsia="微软雅黑" w:cs="微软雅黑"/>
          <w:b w:val="0"/>
          <w:bCs w:val="0"/>
          <w:sz w:val="24"/>
          <w:szCs w:val="24"/>
          <w:u w:val="none"/>
        </w:rPr>
      </w:pPr>
      <w:r>
        <w:rPr>
          <w:rFonts w:hint="eastAsia" w:ascii="微软雅黑" w:hAnsi="微软雅黑" w:eastAsia="微软雅黑" w:cs="微软雅黑"/>
          <w:b w:val="0"/>
          <w:bCs w:val="0"/>
          <w:sz w:val="24"/>
          <w:szCs w:val="24"/>
          <w:u w:val="none"/>
          <w:lang w:val="en-US" w:eastAsia="zh-CN"/>
        </w:rPr>
        <w:t>结合全区纳税人工作日常来看，绝大部分纳税人是通过电子税务局办税，线下或者后台许多事项日常主要由税管员联系协调，宣传辅导工作量较大。但这个队伍较少接受专</w:t>
      </w:r>
      <w:r>
        <w:rPr>
          <w:rFonts w:hint="eastAsia" w:ascii="微软雅黑" w:hAnsi="微软雅黑" w:eastAsia="微软雅黑" w:cs="微软雅黑"/>
          <w:b w:val="0"/>
          <w:bCs w:val="0"/>
          <w:sz w:val="24"/>
          <w:szCs w:val="24"/>
          <w:u w:val="none"/>
        </w:rPr>
        <w:t>业的服务意识和服务素养培训，导致纳税人的体验感和获得感严重不足</w:t>
      </w:r>
      <w:r>
        <w:rPr>
          <w:rFonts w:hint="eastAsia" w:ascii="微软雅黑" w:hAnsi="微软雅黑" w:eastAsia="微软雅黑" w:cs="微软雅黑"/>
          <w:b w:val="0"/>
          <w:bCs w:val="0"/>
          <w:sz w:val="24"/>
          <w:szCs w:val="24"/>
          <w:u w:val="none"/>
          <w:lang w:eastAsia="zh-CN"/>
        </w:rPr>
        <w:t>。</w:t>
      </w:r>
      <w:r>
        <w:rPr>
          <w:rFonts w:hint="eastAsia" w:ascii="微软雅黑" w:hAnsi="微软雅黑" w:eastAsia="微软雅黑" w:cs="微软雅黑"/>
          <w:b w:val="0"/>
          <w:bCs w:val="0"/>
          <w:sz w:val="24"/>
          <w:szCs w:val="24"/>
          <w:u w:val="none"/>
          <w:lang w:val="en-US" w:eastAsia="zh-CN"/>
        </w:rPr>
        <w:t>因此，</w:t>
      </w:r>
      <w:r>
        <w:rPr>
          <w:rFonts w:hint="eastAsia" w:ascii="微软雅黑" w:hAnsi="微软雅黑" w:eastAsia="微软雅黑" w:cs="微软雅黑"/>
          <w:b w:val="0"/>
          <w:bCs w:val="0"/>
          <w:sz w:val="24"/>
          <w:szCs w:val="24"/>
          <w:u w:val="none"/>
        </w:rPr>
        <w:t>通过</w:t>
      </w:r>
      <w:r>
        <w:rPr>
          <w:rFonts w:hint="eastAsia" w:ascii="微软雅黑" w:hAnsi="微软雅黑" w:eastAsia="微软雅黑" w:cs="微软雅黑"/>
          <w:b w:val="0"/>
          <w:bCs w:val="0"/>
          <w:sz w:val="24"/>
          <w:szCs w:val="24"/>
          <w:u w:val="none"/>
          <w:lang w:val="en-US" w:eastAsia="zh-CN"/>
        </w:rPr>
        <w:t>线下</w:t>
      </w:r>
      <w:r>
        <w:rPr>
          <w:rFonts w:hint="eastAsia" w:ascii="微软雅黑" w:hAnsi="微软雅黑" w:eastAsia="微软雅黑" w:cs="微软雅黑"/>
          <w:b w:val="0"/>
          <w:bCs w:val="0"/>
          <w:sz w:val="24"/>
          <w:szCs w:val="24"/>
          <w:u w:val="none"/>
          <w:lang w:eastAsia="zh-CN"/>
        </w:rPr>
        <w:t>统</w:t>
      </w:r>
      <w:r>
        <w:rPr>
          <w:rFonts w:hint="eastAsia" w:ascii="微软雅黑" w:hAnsi="微软雅黑" w:eastAsia="微软雅黑" w:cs="微软雅黑"/>
          <w:b w:val="0"/>
          <w:bCs w:val="0"/>
          <w:sz w:val="24"/>
          <w:szCs w:val="24"/>
          <w:u w:val="none"/>
          <w:lang w:val="en-US" w:eastAsia="zh-CN"/>
        </w:rPr>
        <w:t>一开展纳服质量提升咨询（税管员服务意识及能力提升咨询）工作就显得十分重要。通过对</w:t>
      </w:r>
      <w:r>
        <w:rPr>
          <w:rFonts w:hint="eastAsia" w:ascii="微软雅黑" w:hAnsi="微软雅黑" w:eastAsia="微软雅黑" w:cs="微软雅黑"/>
          <w:b w:val="0"/>
          <w:bCs w:val="0"/>
          <w:sz w:val="24"/>
          <w:szCs w:val="24"/>
          <w:u w:val="none"/>
          <w:lang w:eastAsia="zh-CN"/>
        </w:rPr>
        <w:t>我局</w:t>
      </w:r>
      <w:r>
        <w:rPr>
          <w:rFonts w:hint="eastAsia" w:ascii="微软雅黑" w:hAnsi="微软雅黑" w:eastAsia="微软雅黑" w:cs="微软雅黑"/>
          <w:b/>
          <w:bCs/>
          <w:sz w:val="24"/>
          <w:szCs w:val="24"/>
          <w:u w:val="none"/>
          <w:lang w:eastAsia="zh-CN"/>
        </w:rPr>
        <w:t>管户信息准确率清查</w:t>
      </w:r>
      <w:r>
        <w:rPr>
          <w:rFonts w:hint="eastAsia" w:ascii="微软雅黑" w:hAnsi="微软雅黑" w:eastAsia="微软雅黑" w:cs="微软雅黑"/>
          <w:b w:val="0"/>
          <w:bCs w:val="0"/>
          <w:sz w:val="24"/>
          <w:szCs w:val="24"/>
          <w:u w:val="none"/>
        </w:rPr>
        <w:t>，</w:t>
      </w:r>
      <w:r>
        <w:rPr>
          <w:rFonts w:hint="eastAsia" w:ascii="微软雅黑" w:hAnsi="微软雅黑" w:eastAsia="微软雅黑" w:cs="微软雅黑"/>
          <w:b w:val="0"/>
          <w:bCs w:val="0"/>
          <w:sz w:val="24"/>
          <w:szCs w:val="24"/>
          <w:u w:val="none"/>
          <w:lang w:eastAsia="zh-CN"/>
        </w:rPr>
        <w:t>对标到各个管理层级</w:t>
      </w:r>
      <w:r>
        <w:rPr>
          <w:rFonts w:hint="eastAsia" w:ascii="微软雅黑" w:hAnsi="微软雅黑" w:eastAsia="微软雅黑" w:cs="微软雅黑"/>
          <w:b w:val="0"/>
          <w:bCs w:val="0"/>
          <w:sz w:val="24"/>
          <w:szCs w:val="24"/>
          <w:u w:val="none"/>
        </w:rPr>
        <w:t>。通过税管员</w:t>
      </w:r>
      <w:r>
        <w:rPr>
          <w:rFonts w:hint="eastAsia" w:ascii="微软雅黑" w:hAnsi="微软雅黑" w:eastAsia="微软雅黑" w:cs="微软雅黑"/>
          <w:b w:val="0"/>
          <w:bCs w:val="0"/>
          <w:sz w:val="24"/>
          <w:szCs w:val="24"/>
          <w:u w:val="none"/>
          <w:lang w:val="en-US" w:eastAsia="zh-CN"/>
        </w:rPr>
        <w:t>思想</w:t>
      </w:r>
      <w:r>
        <w:rPr>
          <w:rFonts w:hint="eastAsia" w:ascii="微软雅黑" w:hAnsi="微软雅黑" w:eastAsia="微软雅黑" w:cs="微软雅黑"/>
          <w:b w:val="0"/>
          <w:bCs w:val="0"/>
          <w:sz w:val="24"/>
          <w:szCs w:val="24"/>
          <w:u w:val="none"/>
        </w:rPr>
        <w:t>总动员，统一全体税务干部职工尤其是税管员的思想，从根本上树立全员</w:t>
      </w:r>
      <w:r>
        <w:rPr>
          <w:rFonts w:hint="eastAsia" w:ascii="微软雅黑" w:hAnsi="微软雅黑" w:eastAsia="微软雅黑" w:cs="微软雅黑"/>
          <w:b w:val="0"/>
          <w:bCs w:val="0"/>
          <w:sz w:val="24"/>
          <w:szCs w:val="24"/>
          <w:u w:val="none"/>
          <w:lang w:val="en-US" w:eastAsia="zh-CN"/>
        </w:rPr>
        <w:t>干部</w:t>
      </w:r>
      <w:r>
        <w:rPr>
          <w:rFonts w:hint="eastAsia" w:ascii="微软雅黑" w:hAnsi="微软雅黑" w:eastAsia="微软雅黑" w:cs="微软雅黑"/>
          <w:b w:val="0"/>
          <w:bCs w:val="0"/>
          <w:sz w:val="24"/>
          <w:szCs w:val="24"/>
          <w:u w:val="none"/>
        </w:rPr>
        <w:t>的纳税人服务意识和优化税收营商环境</w:t>
      </w:r>
      <w:r>
        <w:rPr>
          <w:rFonts w:hint="eastAsia" w:ascii="微软雅黑" w:hAnsi="微软雅黑" w:eastAsia="微软雅黑" w:cs="微软雅黑"/>
          <w:b w:val="0"/>
          <w:bCs w:val="0"/>
          <w:sz w:val="24"/>
          <w:szCs w:val="24"/>
          <w:u w:val="none"/>
          <w:lang w:val="en-US" w:eastAsia="zh-CN"/>
        </w:rPr>
        <w:t>工作</w:t>
      </w:r>
      <w:r>
        <w:rPr>
          <w:rFonts w:hint="eastAsia" w:ascii="微软雅黑" w:hAnsi="微软雅黑" w:eastAsia="微软雅黑" w:cs="微软雅黑"/>
          <w:b w:val="0"/>
          <w:bCs w:val="0"/>
          <w:sz w:val="24"/>
          <w:szCs w:val="24"/>
          <w:u w:val="none"/>
        </w:rPr>
        <w:t>的紧迫感，形成</w:t>
      </w:r>
      <w:r>
        <w:rPr>
          <w:rFonts w:hint="eastAsia" w:ascii="微软雅黑" w:hAnsi="微软雅黑" w:eastAsia="微软雅黑" w:cs="微软雅黑"/>
          <w:b w:val="0"/>
          <w:bCs w:val="0"/>
          <w:sz w:val="24"/>
          <w:szCs w:val="24"/>
          <w:u w:val="none"/>
          <w:lang w:eastAsia="zh-CN"/>
        </w:rPr>
        <w:t>“</w:t>
      </w:r>
      <w:r>
        <w:rPr>
          <w:rFonts w:hint="eastAsia" w:ascii="微软雅黑" w:hAnsi="微软雅黑" w:eastAsia="微软雅黑" w:cs="微软雅黑"/>
          <w:b w:val="0"/>
          <w:bCs w:val="0"/>
          <w:sz w:val="24"/>
          <w:szCs w:val="24"/>
          <w:u w:val="none"/>
          <w:lang w:val="en-US" w:eastAsia="zh-CN"/>
        </w:rPr>
        <w:t>你追我赶、比学赶超</w:t>
      </w:r>
      <w:r>
        <w:rPr>
          <w:rFonts w:hint="eastAsia" w:ascii="微软雅黑" w:hAnsi="微软雅黑" w:eastAsia="微软雅黑" w:cs="微软雅黑"/>
          <w:b w:val="0"/>
          <w:bCs w:val="0"/>
          <w:sz w:val="24"/>
          <w:szCs w:val="24"/>
          <w:u w:val="none"/>
          <w:lang w:eastAsia="zh-CN"/>
        </w:rPr>
        <w:t>”</w:t>
      </w:r>
      <w:r>
        <w:rPr>
          <w:rFonts w:hint="eastAsia" w:ascii="微软雅黑" w:hAnsi="微软雅黑" w:eastAsia="微软雅黑" w:cs="微软雅黑"/>
          <w:b w:val="0"/>
          <w:bCs w:val="0"/>
          <w:sz w:val="24"/>
          <w:szCs w:val="24"/>
          <w:u w:val="none"/>
        </w:rPr>
        <w:t>的</w:t>
      </w:r>
      <w:r>
        <w:rPr>
          <w:rFonts w:hint="eastAsia" w:ascii="微软雅黑" w:hAnsi="微软雅黑" w:eastAsia="微软雅黑" w:cs="微软雅黑"/>
          <w:b w:val="0"/>
          <w:bCs w:val="0"/>
          <w:sz w:val="24"/>
          <w:szCs w:val="24"/>
          <w:u w:val="none"/>
          <w:lang w:val="en-US" w:eastAsia="zh-CN"/>
        </w:rPr>
        <w:t>良好</w:t>
      </w:r>
      <w:r>
        <w:rPr>
          <w:rFonts w:hint="eastAsia" w:ascii="微软雅黑" w:hAnsi="微软雅黑" w:eastAsia="微软雅黑" w:cs="微软雅黑"/>
          <w:b w:val="0"/>
          <w:bCs w:val="0"/>
          <w:sz w:val="24"/>
          <w:szCs w:val="24"/>
          <w:u w:val="none"/>
        </w:rPr>
        <w:t>氛围。</w:t>
      </w:r>
      <w:r>
        <w:rPr>
          <w:rFonts w:hint="eastAsia" w:ascii="微软雅黑" w:hAnsi="微软雅黑" w:eastAsia="微软雅黑" w:cs="微软雅黑"/>
          <w:b w:val="0"/>
          <w:bCs w:val="0"/>
          <w:sz w:val="24"/>
          <w:szCs w:val="24"/>
          <w:u w:val="none"/>
          <w:lang w:val="en-US" w:eastAsia="zh-CN"/>
        </w:rPr>
        <w:t>最后，结合前期工作，</w:t>
      </w:r>
      <w:r>
        <w:rPr>
          <w:rFonts w:hint="eastAsia" w:ascii="微软雅黑" w:hAnsi="微软雅黑" w:eastAsia="微软雅黑" w:cs="微软雅黑"/>
          <w:b w:val="0"/>
          <w:bCs w:val="0"/>
          <w:sz w:val="24"/>
          <w:szCs w:val="24"/>
          <w:u w:val="none"/>
        </w:rPr>
        <w:t>给出提升路径和策略抓手，逐步构建和固化税管员与服务对象之间良好对等的征纳关系。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微软雅黑" w:hAnsi="微软雅黑" w:eastAsia="微软雅黑" w:cs="微软雅黑"/>
          <w:bCs w:val="0"/>
          <w:sz w:val="28"/>
          <w:szCs w:val="28"/>
          <w:u w:val="none"/>
          <w:lang w:eastAsia="zh-CN"/>
        </w:rPr>
      </w:pPr>
      <w:r>
        <w:rPr>
          <w:rFonts w:hint="eastAsia" w:ascii="微软雅黑" w:hAnsi="微软雅黑" w:eastAsia="微软雅黑" w:cs="微软雅黑"/>
          <w:bCs w:val="0"/>
          <w:sz w:val="28"/>
          <w:szCs w:val="28"/>
          <w:u w:val="none"/>
          <w:lang w:eastAsia="zh-CN"/>
        </w:rPr>
        <w:t>二、纳税人号码清查——管户信息准确</w:t>
      </w:r>
      <w:r>
        <w:rPr>
          <w:rFonts w:hint="eastAsia" w:ascii="微软雅黑" w:hAnsi="微软雅黑" w:eastAsia="微软雅黑" w:cs="微软雅黑"/>
          <w:bCs w:val="0"/>
          <w:sz w:val="28"/>
          <w:szCs w:val="28"/>
          <w:u w:val="none"/>
        </w:rPr>
        <w:t>率监测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left="0" w:leftChars="0" w:firstLine="480" w:firstLineChars="200"/>
        <w:textAlignment w:val="auto"/>
        <w:rPr>
          <w:rFonts w:hint="default" w:ascii="微软雅黑" w:hAnsi="微软雅黑" w:eastAsia="微软雅黑" w:cs="微软雅黑"/>
          <w:b w:val="0"/>
          <w:bCs w:val="0"/>
          <w:sz w:val="24"/>
          <w:szCs w:val="24"/>
          <w:u w:val="none"/>
          <w:lang w:val="en-US" w:eastAsia="zh-CN"/>
        </w:rPr>
      </w:pPr>
      <w:r>
        <w:rPr>
          <w:rFonts w:hint="eastAsia" w:ascii="微软雅黑" w:hAnsi="微软雅黑" w:eastAsia="微软雅黑" w:cs="微软雅黑"/>
          <w:b w:val="0"/>
          <w:bCs w:val="0"/>
          <w:sz w:val="24"/>
          <w:szCs w:val="24"/>
          <w:u w:val="none"/>
          <w:lang w:val="en-US" w:eastAsia="zh-CN"/>
        </w:rPr>
        <w:t>在2021年福建省税收服务和执法感知评价调查中，我局的成功呼叫率只有15.79%。这在一定程度上影响了我局的纳税人满意度。这就需要</w:t>
      </w:r>
      <w:r>
        <w:rPr>
          <w:rFonts w:hint="eastAsia" w:ascii="微软雅黑" w:hAnsi="微软雅黑" w:eastAsia="微软雅黑" w:cs="微软雅黑"/>
          <w:b w:val="0"/>
          <w:bCs w:val="0"/>
          <w:sz w:val="24"/>
          <w:szCs w:val="24"/>
          <w:u w:val="none"/>
        </w:rPr>
        <w:t>通过</w:t>
      </w:r>
      <w:r>
        <w:rPr>
          <w:rFonts w:hint="eastAsia" w:ascii="微软雅黑" w:hAnsi="微软雅黑" w:eastAsia="微软雅黑" w:cs="微软雅黑"/>
          <w:b w:val="0"/>
          <w:bCs w:val="0"/>
          <w:sz w:val="24"/>
          <w:szCs w:val="24"/>
          <w:u w:val="none"/>
          <w:lang w:eastAsia="zh-CN"/>
        </w:rPr>
        <w:t>专职外呼人员纯手工拨叫及记录，</w:t>
      </w:r>
      <w:r>
        <w:rPr>
          <w:rFonts w:hint="eastAsia" w:ascii="微软雅黑" w:hAnsi="微软雅黑" w:eastAsia="微软雅黑" w:cs="微软雅黑"/>
          <w:b w:val="0"/>
          <w:bCs w:val="0"/>
          <w:sz w:val="24"/>
          <w:szCs w:val="24"/>
          <w:u w:val="none"/>
          <w:lang w:val="en-US" w:eastAsia="zh-CN"/>
        </w:rPr>
        <w:t>逐步完成我局有实际纳税管户的金三系统号码清查，（根据每个企业纳税人登记办税人员、财务人员和法人三个序列手机号码计算，考虑到重复号码和一人多个号码等，平均每户企业约2.6个号码），进而了解省局抽样的后台系统中我局号码库中的法人、</w:t>
      </w:r>
      <w:r>
        <w:rPr>
          <w:rFonts w:hint="eastAsia" w:ascii="微软雅黑" w:hAnsi="微软雅黑" w:eastAsia="微软雅黑" w:cs="微软雅黑"/>
          <w:b w:val="0"/>
          <w:bCs w:val="0"/>
          <w:sz w:val="24"/>
          <w:szCs w:val="24"/>
          <w:u w:val="none"/>
          <w:lang w:eastAsia="zh-CN"/>
        </w:rPr>
        <w:t>财务人员和报税人员号码的真实现状，</w:t>
      </w:r>
      <w:r>
        <w:rPr>
          <w:rFonts w:hint="eastAsia" w:ascii="微软雅黑" w:hAnsi="微软雅黑" w:eastAsia="微软雅黑" w:cs="微软雅黑"/>
          <w:b w:val="0"/>
          <w:bCs w:val="0"/>
          <w:sz w:val="24"/>
          <w:szCs w:val="24"/>
          <w:u w:val="none"/>
          <w:lang w:val="en-US" w:eastAsia="zh-CN"/>
        </w:rPr>
        <w:t>诸如：</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420" w:leftChars="0" w:firstLine="480" w:firstLineChars="200"/>
        <w:textAlignment w:val="auto"/>
        <w:rPr>
          <w:rFonts w:hint="eastAsia" w:ascii="微软雅黑" w:hAnsi="微软雅黑" w:eastAsia="微软雅黑" w:cs="微软雅黑"/>
          <w:b w:val="0"/>
          <w:bCs w:val="0"/>
          <w:sz w:val="24"/>
          <w:szCs w:val="24"/>
          <w:u w:val="none"/>
          <w:lang w:val="en-US" w:eastAsia="zh-CN"/>
        </w:rPr>
      </w:pPr>
      <w:r>
        <w:rPr>
          <w:rFonts w:hint="eastAsia" w:ascii="微软雅黑" w:hAnsi="微软雅黑" w:eastAsia="微软雅黑" w:cs="微软雅黑"/>
          <w:b w:val="0"/>
          <w:bCs w:val="0"/>
          <w:sz w:val="24"/>
          <w:szCs w:val="24"/>
          <w:u w:val="none"/>
          <w:lang w:val="en-US" w:eastAsia="zh-CN"/>
        </w:rPr>
        <w:t>空号、停机、</w:t>
      </w:r>
      <w:r>
        <w:rPr>
          <w:rFonts w:hint="eastAsia" w:ascii="微软雅黑" w:hAnsi="微软雅黑" w:eastAsia="微软雅黑" w:cs="微软雅黑"/>
          <w:b w:val="0"/>
          <w:bCs w:val="0"/>
          <w:sz w:val="24"/>
          <w:szCs w:val="24"/>
          <w:u w:val="none"/>
          <w:lang w:eastAsia="zh-CN"/>
        </w:rPr>
        <w:t>忙音、</w:t>
      </w:r>
      <w:r>
        <w:rPr>
          <w:rFonts w:hint="eastAsia" w:ascii="微软雅黑" w:hAnsi="微软雅黑" w:eastAsia="微软雅黑" w:cs="微软雅黑"/>
          <w:b w:val="0"/>
          <w:bCs w:val="0"/>
          <w:sz w:val="24"/>
          <w:szCs w:val="24"/>
          <w:u w:val="none"/>
          <w:lang w:val="en-US" w:eastAsia="zh-CN"/>
        </w:rPr>
        <w:t>错号率</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420" w:leftChars="0" w:firstLine="480" w:firstLineChars="200"/>
        <w:textAlignment w:val="auto"/>
        <w:rPr>
          <w:rFonts w:hint="eastAsia" w:ascii="微软雅黑" w:hAnsi="微软雅黑" w:eastAsia="微软雅黑" w:cs="微软雅黑"/>
          <w:b w:val="0"/>
          <w:bCs w:val="0"/>
          <w:sz w:val="24"/>
          <w:szCs w:val="24"/>
          <w:u w:val="none"/>
          <w:lang w:eastAsia="zh-CN"/>
        </w:rPr>
      </w:pPr>
      <w:r>
        <w:rPr>
          <w:rFonts w:hint="eastAsia" w:ascii="微软雅黑" w:hAnsi="微软雅黑" w:eastAsia="微软雅黑" w:cs="微软雅黑"/>
          <w:b w:val="0"/>
          <w:bCs w:val="0"/>
          <w:sz w:val="24"/>
          <w:szCs w:val="24"/>
          <w:u w:val="none"/>
          <w:lang w:eastAsia="zh-CN"/>
        </w:rPr>
        <w:t>无法接通、占线率</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420" w:leftChars="0" w:firstLine="480" w:firstLineChars="200"/>
        <w:textAlignment w:val="auto"/>
        <w:rPr>
          <w:rFonts w:hint="eastAsia" w:ascii="微软雅黑" w:hAnsi="微软雅黑" w:eastAsia="微软雅黑" w:cs="微软雅黑"/>
          <w:b w:val="0"/>
          <w:bCs w:val="0"/>
          <w:sz w:val="24"/>
          <w:szCs w:val="24"/>
          <w:u w:val="none"/>
          <w:lang w:eastAsia="zh-CN"/>
        </w:rPr>
      </w:pPr>
      <w:r>
        <w:rPr>
          <w:rFonts w:hint="eastAsia" w:ascii="微软雅黑" w:hAnsi="微软雅黑" w:eastAsia="微软雅黑" w:cs="微软雅黑"/>
          <w:b w:val="0"/>
          <w:bCs w:val="0"/>
          <w:sz w:val="24"/>
          <w:szCs w:val="24"/>
          <w:u w:val="none"/>
          <w:lang w:eastAsia="zh-CN"/>
        </w:rPr>
        <w:t>接通无人接听率</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420" w:leftChars="0" w:firstLine="480" w:firstLineChars="200"/>
        <w:textAlignment w:val="auto"/>
        <w:rPr>
          <w:rFonts w:hint="eastAsia" w:ascii="微软雅黑" w:hAnsi="微软雅黑" w:eastAsia="微软雅黑" w:cs="微软雅黑"/>
          <w:b w:val="0"/>
          <w:bCs w:val="0"/>
          <w:sz w:val="24"/>
          <w:szCs w:val="24"/>
          <w:u w:val="none"/>
          <w:lang w:eastAsia="zh-CN"/>
        </w:rPr>
      </w:pPr>
      <w:r>
        <w:rPr>
          <w:rFonts w:hint="eastAsia" w:ascii="微软雅黑" w:hAnsi="微软雅黑" w:eastAsia="微软雅黑" w:cs="微软雅黑"/>
          <w:b w:val="0"/>
          <w:bCs w:val="0"/>
          <w:sz w:val="24"/>
          <w:szCs w:val="24"/>
          <w:u w:val="none"/>
          <w:lang w:eastAsia="zh-CN"/>
        </w:rPr>
        <w:t>接通据访率</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420" w:leftChars="0" w:firstLine="480" w:firstLineChars="200"/>
        <w:textAlignment w:val="auto"/>
        <w:rPr>
          <w:rFonts w:hint="eastAsia" w:ascii="微软雅黑" w:hAnsi="微软雅黑" w:eastAsia="微软雅黑" w:cs="微软雅黑"/>
          <w:b w:val="0"/>
          <w:bCs w:val="0"/>
          <w:sz w:val="24"/>
          <w:szCs w:val="24"/>
          <w:u w:val="none"/>
          <w:lang w:eastAsia="zh-CN"/>
        </w:rPr>
      </w:pPr>
      <w:r>
        <w:rPr>
          <w:rFonts w:hint="eastAsia" w:ascii="微软雅黑" w:hAnsi="微软雅黑" w:eastAsia="微软雅黑" w:cs="微软雅黑"/>
          <w:b w:val="0"/>
          <w:bCs w:val="0"/>
          <w:sz w:val="24"/>
          <w:szCs w:val="24"/>
          <w:u w:val="none"/>
          <w:lang w:eastAsia="zh-CN"/>
        </w:rPr>
        <w:t>信息准确率（所留电话号码是否是该企业的报税人员、财务或法人，需根据三列逐列逐一号码追问）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firstLine="480" w:firstLineChars="200"/>
        <w:textAlignment w:val="auto"/>
        <w:rPr>
          <w:rFonts w:hint="eastAsia" w:ascii="微软雅黑" w:hAnsi="微软雅黑" w:eastAsia="微软雅黑" w:cs="微软雅黑"/>
          <w:b w:val="0"/>
          <w:bCs w:val="0"/>
          <w:sz w:val="24"/>
          <w:szCs w:val="24"/>
          <w:u w:val="none"/>
          <w:lang w:eastAsia="zh-CN"/>
        </w:rPr>
      </w:pPr>
      <w:r>
        <w:rPr>
          <w:rFonts w:hint="eastAsia" w:ascii="微软雅黑" w:hAnsi="微软雅黑" w:eastAsia="微软雅黑" w:cs="微软雅黑"/>
          <w:b w:val="0"/>
          <w:bCs w:val="0"/>
          <w:sz w:val="24"/>
          <w:szCs w:val="24"/>
          <w:u w:val="none"/>
          <w:lang w:eastAsia="zh-CN"/>
        </w:rPr>
        <w:drawing>
          <wp:anchor distT="0" distB="0" distL="114300" distR="114300" simplePos="0" relativeHeight="251659264" behindDoc="1" locked="0" layoutInCell="1" allowOverlap="1">
            <wp:simplePos x="0" y="0"/>
            <wp:positionH relativeFrom="column">
              <wp:posOffset>-775335</wp:posOffset>
            </wp:positionH>
            <wp:positionV relativeFrom="paragraph">
              <wp:posOffset>932180</wp:posOffset>
            </wp:positionV>
            <wp:extent cx="7056755" cy="1362710"/>
            <wp:effectExtent l="0" t="0" r="10795" b="8890"/>
            <wp:wrapTight wrapText="bothSides">
              <wp:wrapPolygon>
                <wp:start x="0" y="0"/>
                <wp:lineTo x="0" y="21439"/>
                <wp:lineTo x="21516" y="21439"/>
                <wp:lineTo x="21516" y="0"/>
                <wp:lineTo x="0" y="0"/>
              </wp:wrapPolygon>
            </wp:wrapTight>
            <wp:docPr id="1" name="图片 1" descr="U[{2)_Y$~77[4~HMK99ZU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2)_Y$~77[4~HMK99ZU8Q"/>
                    <pic:cNvPicPr>
                      <a:picLocks noChangeAspect="1"/>
                    </pic:cNvPicPr>
                  </pic:nvPicPr>
                  <pic:blipFill>
                    <a:blip r:embed="rId4"/>
                    <a:stretch>
                      <a:fillRect/>
                    </a:stretch>
                  </pic:blipFill>
                  <pic:spPr>
                    <a:xfrm>
                      <a:off x="0" y="0"/>
                      <a:ext cx="7056755" cy="1362710"/>
                    </a:xfrm>
                    <a:prstGeom prst="rect">
                      <a:avLst/>
                    </a:prstGeom>
                  </pic:spPr>
                </pic:pic>
              </a:graphicData>
            </a:graphic>
          </wp:anchor>
        </w:drawing>
      </w:r>
      <w:r>
        <w:rPr>
          <w:rFonts w:hint="eastAsia" w:ascii="微软雅黑" w:hAnsi="微软雅黑" w:eastAsia="微软雅黑" w:cs="微软雅黑"/>
          <w:b w:val="0"/>
          <w:bCs w:val="0"/>
          <w:sz w:val="24"/>
          <w:szCs w:val="24"/>
          <w:u w:val="none"/>
          <w:lang w:eastAsia="zh-CN"/>
        </w:rPr>
        <w:t>根据全面清查的结果要求各税管员督促管户进行系统留存人员的信息及时更正，确保各种涉税信息的准确传达，也有助于税管员做好纳税人的沟通与关系管理工作。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微软雅黑" w:hAnsi="微软雅黑" w:eastAsia="微软雅黑" w:cs="微软雅黑"/>
          <w:b/>
          <w:bCs w:val="0"/>
          <w:sz w:val="28"/>
          <w:szCs w:val="28"/>
          <w:u w:val="none"/>
          <w:lang w:eastAsia="zh-CN"/>
        </w:rPr>
      </w:pPr>
      <w:r>
        <w:rPr>
          <w:rFonts w:hint="eastAsia" w:ascii="微软雅黑" w:hAnsi="微软雅黑" w:eastAsia="微软雅黑" w:cs="微软雅黑"/>
          <w:b/>
          <w:bCs w:val="0"/>
          <w:sz w:val="28"/>
          <w:szCs w:val="28"/>
          <w:u w:val="none"/>
          <w:lang w:val="en-US" w:eastAsia="zh-CN"/>
        </w:rPr>
        <w:t>三、办税服务厅工作人员服务礼仪素养训练和场景化督导</w:t>
      </w:r>
    </w:p>
    <w:p>
      <w:pPr>
        <w:ind w:firstLine="480" w:firstLineChars="200"/>
        <w:rPr>
          <w:rFonts w:hint="eastAsia" w:ascii="微软雅黑" w:hAnsi="微软雅黑" w:eastAsia="微软雅黑" w:cs="微软雅黑"/>
          <w:b/>
          <w:bCs w:val="0"/>
          <w:sz w:val="24"/>
          <w:szCs w:val="24"/>
          <w:u w:val="none"/>
          <w:lang w:eastAsia="zh-CN"/>
        </w:rPr>
      </w:pPr>
      <w:r>
        <w:rPr>
          <w:rFonts w:hint="eastAsia" w:ascii="微软雅黑" w:hAnsi="微软雅黑" w:eastAsia="微软雅黑" w:cs="微软雅黑"/>
          <w:b/>
          <w:bCs w:val="0"/>
          <w:sz w:val="24"/>
          <w:szCs w:val="24"/>
          <w:u w:val="none"/>
          <w:lang w:eastAsia="zh-CN"/>
        </w:rPr>
        <w:t>（一）督导方式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1.讲授；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2.案例分析；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3.视频赏析；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4.小组讨论；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5.情景模拟；</w:t>
      </w:r>
    </w:p>
    <w:p>
      <w:pPr>
        <w:ind w:firstLine="240" w:firstLineChars="100"/>
        <w:rPr>
          <w:rFonts w:hint="eastAsia" w:ascii="微软雅黑" w:hAnsi="微软雅黑" w:eastAsia="微软雅黑" w:cs="微软雅黑"/>
          <w:b/>
          <w:bCs w:val="0"/>
          <w:sz w:val="24"/>
          <w:szCs w:val="24"/>
          <w:u w:val="none"/>
          <w:lang w:eastAsia="zh-CN"/>
        </w:rPr>
      </w:pPr>
      <w:r>
        <w:rPr>
          <w:rFonts w:hint="eastAsia" w:ascii="微软雅黑" w:hAnsi="微软雅黑" w:eastAsia="微软雅黑" w:cs="微软雅黑"/>
          <w:b/>
          <w:bCs w:val="0"/>
          <w:sz w:val="24"/>
          <w:szCs w:val="24"/>
          <w:u w:val="none"/>
          <w:lang w:eastAsia="zh-CN"/>
        </w:rPr>
        <w:t>（二）素养提升实施方案</w:t>
      </w:r>
    </w:p>
    <w:p>
      <w:pPr>
        <w:ind w:firstLine="480" w:firstLineChars="200"/>
        <w:rPr>
          <w:rFonts w:hint="default" w:ascii="微软雅黑" w:hAnsi="微软雅黑" w:eastAsia="微软雅黑" w:cs="微软雅黑"/>
          <w:b w:val="0"/>
          <w:bCs/>
          <w:sz w:val="24"/>
          <w:szCs w:val="24"/>
          <w:u w:val="none"/>
          <w:lang w:val="en-US" w:eastAsia="zh-CN"/>
        </w:rPr>
      </w:pPr>
      <w:r>
        <w:rPr>
          <w:rFonts w:hint="eastAsia" w:ascii="微软雅黑" w:hAnsi="微软雅黑" w:eastAsia="微软雅黑" w:cs="微软雅黑"/>
          <w:b w:val="0"/>
          <w:bCs/>
          <w:sz w:val="24"/>
          <w:szCs w:val="24"/>
          <w:u w:val="none"/>
          <w:lang w:eastAsia="zh-CN"/>
        </w:rPr>
        <w:t>根据办税大厅工作人员目前存在的问题及工作规划情况，第三方公司与平潭局再次进行深入的项目需求沟通，结合平潭局的实际服务短板情况，有针对性地制定咨询材料及相关课件，设计督导课程，由专业的咨询师对窗口人员进行</w:t>
      </w:r>
      <w:r>
        <w:rPr>
          <w:rFonts w:hint="eastAsia" w:ascii="微软雅黑" w:hAnsi="微软雅黑" w:eastAsia="微软雅黑" w:cs="微软雅黑"/>
          <w:b w:val="0"/>
          <w:bCs/>
          <w:sz w:val="24"/>
          <w:szCs w:val="24"/>
          <w:u w:val="none"/>
          <w:lang w:val="en-US" w:eastAsia="zh-CN"/>
        </w:rPr>
        <w:t>服务素养全面提升，对短板</w:t>
      </w:r>
      <w:r>
        <w:rPr>
          <w:rFonts w:hint="eastAsia" w:ascii="微软雅黑" w:hAnsi="微软雅黑" w:eastAsia="微软雅黑" w:cs="微软雅黑"/>
          <w:b w:val="0"/>
          <w:bCs w:val="0"/>
          <w:sz w:val="24"/>
          <w:szCs w:val="24"/>
          <w:u w:val="none"/>
          <w:lang w:eastAsia="zh-CN"/>
        </w:rPr>
        <w:t>进行针对性指导，并提出整改意见和建议。</w:t>
      </w:r>
    </w:p>
    <w:p>
      <w:pPr>
        <w:ind w:firstLine="240" w:firstLineChars="100"/>
        <w:rPr>
          <w:rFonts w:hint="eastAsia" w:ascii="微软雅黑" w:hAnsi="微软雅黑" w:eastAsia="微软雅黑" w:cs="微软雅黑"/>
          <w:b/>
          <w:bCs w:val="0"/>
          <w:sz w:val="24"/>
          <w:szCs w:val="24"/>
          <w:u w:val="none"/>
          <w:lang w:eastAsia="zh-CN"/>
        </w:rPr>
      </w:pPr>
      <w:r>
        <w:rPr>
          <w:rFonts w:hint="eastAsia" w:ascii="微软雅黑" w:hAnsi="微软雅黑" w:eastAsia="微软雅黑" w:cs="微软雅黑"/>
          <w:b/>
          <w:bCs w:val="0"/>
          <w:sz w:val="24"/>
          <w:szCs w:val="24"/>
          <w:u w:val="none"/>
          <w:lang w:eastAsia="zh-CN"/>
        </w:rPr>
        <w:t>（三）实训规划时间</w:t>
      </w:r>
    </w:p>
    <w:tbl>
      <w:tblPr>
        <w:tblStyle w:val="4"/>
        <w:tblW w:w="8856" w:type="dxa"/>
        <w:jc w:val="center"/>
        <w:tblBorders>
          <w:top w:val="thinThickSmallGap" w:color="548DD4" w:sz="24" w:space="0"/>
          <w:left w:val="thinThickSmallGap" w:color="548DD4" w:sz="24" w:space="0"/>
          <w:bottom w:val="thickThinSmallGap" w:color="548DD4" w:sz="24" w:space="0"/>
          <w:right w:val="thickThinSmallGap" w:color="548DD4" w:sz="24" w:space="0"/>
          <w:insideH w:val="single" w:color="548DD4" w:sz="6" w:space="0"/>
          <w:insideV w:val="single" w:color="548DD4" w:sz="6" w:space="0"/>
        </w:tblBorders>
        <w:tblLayout w:type="fixed"/>
        <w:tblCellMar>
          <w:top w:w="0" w:type="dxa"/>
          <w:left w:w="108" w:type="dxa"/>
          <w:bottom w:w="0" w:type="dxa"/>
          <w:right w:w="108" w:type="dxa"/>
        </w:tblCellMar>
      </w:tblPr>
      <w:tblGrid>
        <w:gridCol w:w="926"/>
        <w:gridCol w:w="918"/>
        <w:gridCol w:w="987"/>
        <w:gridCol w:w="6025"/>
      </w:tblGrid>
      <w:tr>
        <w:tblPrEx>
          <w:tblBorders>
            <w:top w:val="thinThickSmallGap" w:color="548DD4" w:sz="24" w:space="0"/>
            <w:left w:val="thinThickSmallGap" w:color="548DD4" w:sz="24" w:space="0"/>
            <w:bottom w:val="thickThinSmallGap" w:color="548DD4" w:sz="24" w:space="0"/>
            <w:right w:val="thickThinSmallGap" w:color="548DD4" w:sz="24" w:space="0"/>
            <w:insideH w:val="single" w:color="548DD4" w:sz="6" w:space="0"/>
            <w:insideV w:val="single" w:color="548DD4" w:sz="6" w:space="0"/>
          </w:tblBorders>
          <w:tblCellMar>
            <w:top w:w="0" w:type="dxa"/>
            <w:left w:w="108" w:type="dxa"/>
            <w:bottom w:w="0" w:type="dxa"/>
            <w:right w:w="108" w:type="dxa"/>
          </w:tblCellMar>
        </w:tblPrEx>
        <w:trPr>
          <w:trHeight w:val="969" w:hRule="atLeast"/>
          <w:jc w:val="center"/>
        </w:trPr>
        <w:tc>
          <w:tcPr>
            <w:tcW w:w="926" w:type="dxa"/>
            <w:shd w:val="clear" w:color="auto" w:fill="FFFFFF"/>
            <w:vAlign w:val="center"/>
          </w:tcPr>
          <w:p>
            <w:pPr>
              <w:jc w:val="cente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阶段</w:t>
            </w:r>
          </w:p>
        </w:tc>
        <w:tc>
          <w:tcPr>
            <w:tcW w:w="918" w:type="dxa"/>
            <w:shd w:val="clear" w:color="auto" w:fill="FFFFFF"/>
            <w:vAlign w:val="center"/>
          </w:tcPr>
          <w:p>
            <w:pPr>
              <w:jc w:val="cente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项目</w:t>
            </w:r>
          </w:p>
        </w:tc>
        <w:tc>
          <w:tcPr>
            <w:tcW w:w="987" w:type="dxa"/>
            <w:shd w:val="clear" w:color="auto" w:fill="FFFFFF"/>
            <w:vAlign w:val="center"/>
          </w:tcPr>
          <w:p>
            <w:pPr>
              <w:jc w:val="cente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时间</w:t>
            </w:r>
          </w:p>
        </w:tc>
        <w:tc>
          <w:tcPr>
            <w:tcW w:w="6025" w:type="dxa"/>
            <w:shd w:val="clear" w:color="auto" w:fill="FFFFFF"/>
            <w:vAlign w:val="center"/>
          </w:tcPr>
          <w:p>
            <w:pPr>
              <w:jc w:val="cente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辅导目标</w:t>
            </w:r>
          </w:p>
        </w:tc>
      </w:tr>
      <w:tr>
        <w:tblPrEx>
          <w:tblBorders>
            <w:top w:val="thinThickSmallGap" w:color="548DD4" w:sz="24" w:space="0"/>
            <w:left w:val="thinThickSmallGap" w:color="548DD4" w:sz="24" w:space="0"/>
            <w:bottom w:val="thickThinSmallGap" w:color="548DD4" w:sz="24" w:space="0"/>
            <w:right w:val="thickThinSmallGap" w:color="548DD4" w:sz="24" w:space="0"/>
            <w:insideH w:val="single" w:color="548DD4" w:sz="6" w:space="0"/>
            <w:insideV w:val="single" w:color="548DD4" w:sz="6" w:space="0"/>
          </w:tblBorders>
          <w:tblCellMar>
            <w:top w:w="0" w:type="dxa"/>
            <w:left w:w="108" w:type="dxa"/>
            <w:bottom w:w="0" w:type="dxa"/>
            <w:right w:w="108" w:type="dxa"/>
          </w:tblCellMar>
        </w:tblPrEx>
        <w:trPr>
          <w:trHeight w:val="652" w:hRule="atLeast"/>
          <w:jc w:val="center"/>
        </w:trPr>
        <w:tc>
          <w:tcPr>
            <w:tcW w:w="926" w:type="dxa"/>
            <w:vAlign w:val="center"/>
          </w:tcPr>
          <w:p>
            <w:pPr>
              <w:jc w:val="cente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第一阶段</w:t>
            </w:r>
          </w:p>
        </w:tc>
        <w:tc>
          <w:tcPr>
            <w:tcW w:w="918" w:type="dxa"/>
            <w:vAlign w:val="center"/>
          </w:tcPr>
          <w:p>
            <w:pPr>
              <w:jc w:val="cente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集中辅导</w:t>
            </w:r>
          </w:p>
        </w:tc>
        <w:tc>
          <w:tcPr>
            <w:tcW w:w="987" w:type="dxa"/>
            <w:vAlign w:val="center"/>
          </w:tcPr>
          <w:p>
            <w:pPr>
              <w:jc w:val="cente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val="en-US" w:eastAsia="zh-CN"/>
              </w:rPr>
              <w:t>0.5</w:t>
            </w:r>
            <w:r>
              <w:rPr>
                <w:rFonts w:hint="eastAsia" w:ascii="微软雅黑" w:hAnsi="微软雅黑" w:eastAsia="微软雅黑" w:cs="微软雅黑"/>
                <w:b w:val="0"/>
                <w:bCs/>
                <w:sz w:val="24"/>
                <w:szCs w:val="24"/>
                <w:u w:val="none"/>
                <w:lang w:eastAsia="zh-CN"/>
              </w:rPr>
              <w:t>天</w:t>
            </w:r>
          </w:p>
        </w:tc>
        <w:tc>
          <w:tcPr>
            <w:tcW w:w="6025" w:type="dxa"/>
            <w:vAlign w:val="center"/>
          </w:tcPr>
          <w:p>
            <w:pP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val="en-US" w:eastAsia="zh-CN"/>
              </w:rPr>
              <w:t>1、</w:t>
            </w:r>
            <w:r>
              <w:rPr>
                <w:rFonts w:hint="eastAsia" w:ascii="微软雅黑" w:hAnsi="微软雅黑" w:eastAsia="微软雅黑" w:cs="微软雅黑"/>
                <w:b w:val="0"/>
                <w:bCs/>
                <w:sz w:val="24"/>
                <w:szCs w:val="24"/>
                <w:u w:val="none"/>
                <w:lang w:eastAsia="zh-CN"/>
              </w:rPr>
              <w:t>强化窗口人员服务意识</w:t>
            </w:r>
          </w:p>
          <w:p>
            <w:pP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val="en-US" w:eastAsia="zh-CN"/>
              </w:rPr>
              <w:t>2、</w:t>
            </w:r>
            <w:r>
              <w:rPr>
                <w:rFonts w:hint="eastAsia" w:ascii="微软雅黑" w:hAnsi="微软雅黑" w:eastAsia="微软雅黑" w:cs="微软雅黑"/>
                <w:b w:val="0"/>
                <w:bCs/>
                <w:sz w:val="24"/>
                <w:szCs w:val="24"/>
                <w:u w:val="none"/>
                <w:lang w:eastAsia="zh-CN"/>
              </w:rPr>
              <w:t>强化窗口人员服务规范</w:t>
            </w:r>
          </w:p>
          <w:p>
            <w:pP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val="en-US" w:eastAsia="zh-CN"/>
              </w:rPr>
              <w:t>3、</w:t>
            </w:r>
            <w:r>
              <w:rPr>
                <w:rFonts w:hint="eastAsia" w:ascii="微软雅黑" w:hAnsi="微软雅黑" w:eastAsia="微软雅黑" w:cs="微软雅黑"/>
                <w:b w:val="0"/>
                <w:bCs/>
                <w:sz w:val="24"/>
                <w:szCs w:val="24"/>
                <w:u w:val="none"/>
                <w:lang w:eastAsia="zh-CN"/>
              </w:rPr>
              <w:t>强化窗口人员沟通技巧</w:t>
            </w:r>
          </w:p>
          <w:p>
            <w:pP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val="en-US" w:eastAsia="zh-CN"/>
              </w:rPr>
              <w:t>4、</w:t>
            </w:r>
            <w:r>
              <w:rPr>
                <w:rFonts w:hint="eastAsia" w:ascii="微软雅黑" w:hAnsi="微软雅黑" w:eastAsia="微软雅黑" w:cs="微软雅黑"/>
                <w:b w:val="0"/>
                <w:bCs/>
                <w:sz w:val="24"/>
                <w:szCs w:val="24"/>
                <w:u w:val="none"/>
                <w:lang w:eastAsia="zh-CN"/>
              </w:rPr>
              <w:t>强化窗口人员突发状况应对能力</w:t>
            </w:r>
          </w:p>
        </w:tc>
      </w:tr>
      <w:tr>
        <w:tblPrEx>
          <w:tblBorders>
            <w:top w:val="thinThickSmallGap" w:color="548DD4" w:sz="24" w:space="0"/>
            <w:left w:val="thinThickSmallGap" w:color="548DD4" w:sz="24" w:space="0"/>
            <w:bottom w:val="thickThinSmallGap" w:color="548DD4" w:sz="24" w:space="0"/>
            <w:right w:val="thickThinSmallGap" w:color="548DD4" w:sz="24" w:space="0"/>
            <w:insideH w:val="single" w:color="548DD4" w:sz="6" w:space="0"/>
            <w:insideV w:val="single" w:color="548DD4" w:sz="6" w:space="0"/>
          </w:tblBorders>
          <w:tblCellMar>
            <w:top w:w="0" w:type="dxa"/>
            <w:left w:w="108" w:type="dxa"/>
            <w:bottom w:w="0" w:type="dxa"/>
            <w:right w:w="108" w:type="dxa"/>
          </w:tblCellMar>
        </w:tblPrEx>
        <w:trPr>
          <w:trHeight w:val="652" w:hRule="atLeast"/>
          <w:jc w:val="center"/>
        </w:trPr>
        <w:tc>
          <w:tcPr>
            <w:tcW w:w="926" w:type="dxa"/>
            <w:vAlign w:val="center"/>
          </w:tcPr>
          <w:p>
            <w:pPr>
              <w:jc w:val="cente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第二阶段</w:t>
            </w:r>
          </w:p>
        </w:tc>
        <w:tc>
          <w:tcPr>
            <w:tcW w:w="918" w:type="dxa"/>
            <w:vAlign w:val="center"/>
          </w:tcPr>
          <w:p>
            <w:pPr>
              <w:jc w:val="cente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成果演练</w:t>
            </w:r>
          </w:p>
        </w:tc>
        <w:tc>
          <w:tcPr>
            <w:tcW w:w="987" w:type="dxa"/>
            <w:vAlign w:val="center"/>
          </w:tcPr>
          <w:p>
            <w:pPr>
              <w:jc w:val="cente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val="en-US" w:eastAsia="zh-CN"/>
              </w:rPr>
              <w:t>0.5</w:t>
            </w:r>
            <w:r>
              <w:rPr>
                <w:rFonts w:hint="eastAsia" w:ascii="微软雅黑" w:hAnsi="微软雅黑" w:eastAsia="微软雅黑" w:cs="微软雅黑"/>
                <w:b w:val="0"/>
                <w:bCs/>
                <w:sz w:val="24"/>
                <w:szCs w:val="24"/>
                <w:u w:val="none"/>
                <w:lang w:eastAsia="zh-CN"/>
              </w:rPr>
              <w:t>天</w:t>
            </w:r>
          </w:p>
        </w:tc>
        <w:tc>
          <w:tcPr>
            <w:tcW w:w="6025" w:type="dxa"/>
            <w:vAlign w:val="center"/>
          </w:tcPr>
          <w:p>
            <w:pP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val="en-US" w:eastAsia="zh-CN"/>
              </w:rPr>
              <w:t>1、</w:t>
            </w:r>
            <w:r>
              <w:rPr>
                <w:rFonts w:hint="eastAsia" w:ascii="微软雅黑" w:hAnsi="微软雅黑" w:eastAsia="微软雅黑" w:cs="微软雅黑"/>
                <w:b w:val="0"/>
                <w:bCs/>
                <w:sz w:val="24"/>
                <w:szCs w:val="24"/>
                <w:u w:val="none"/>
                <w:lang w:eastAsia="zh-CN"/>
              </w:rPr>
              <w:t>以问题为导向，提升窗口人员解决实际问题的能力</w:t>
            </w:r>
          </w:p>
          <w:p>
            <w:pPr>
              <w:rPr>
                <w:rFonts w:hint="eastAsia" w:ascii="微软雅黑" w:hAnsi="微软雅黑" w:eastAsia="微软雅黑" w:cs="微软雅黑"/>
                <w:b w:val="0"/>
                <w:bCs/>
                <w:sz w:val="24"/>
                <w:szCs w:val="24"/>
                <w:u w:val="none"/>
                <w:lang w:val="en-US" w:eastAsia="zh-CN"/>
              </w:rPr>
            </w:pPr>
            <w:r>
              <w:rPr>
                <w:rFonts w:hint="eastAsia" w:ascii="微软雅黑" w:hAnsi="微软雅黑" w:eastAsia="微软雅黑" w:cs="微软雅黑"/>
                <w:b w:val="0"/>
                <w:bCs/>
                <w:sz w:val="24"/>
                <w:szCs w:val="24"/>
                <w:u w:val="none"/>
                <w:lang w:val="en-US" w:eastAsia="zh-CN"/>
              </w:rPr>
              <w:t>2、以办税过程中的实际案例场景为突破点，现场辅导窗口人员的沟通能力</w:t>
            </w:r>
          </w:p>
          <w:p>
            <w:pPr>
              <w:rPr>
                <w:rFonts w:hint="eastAsia" w:ascii="微软雅黑" w:hAnsi="微软雅黑" w:eastAsia="微软雅黑" w:cs="微软雅黑"/>
                <w:b w:val="0"/>
                <w:bCs/>
                <w:sz w:val="24"/>
                <w:szCs w:val="24"/>
                <w:u w:val="none"/>
                <w:lang w:val="en-US" w:eastAsia="zh-CN"/>
              </w:rPr>
            </w:pPr>
            <w:r>
              <w:rPr>
                <w:rFonts w:hint="eastAsia" w:ascii="微软雅黑" w:hAnsi="微软雅黑" w:eastAsia="微软雅黑" w:cs="微软雅黑"/>
                <w:b w:val="0"/>
                <w:bCs/>
                <w:sz w:val="24"/>
                <w:szCs w:val="24"/>
                <w:u w:val="none"/>
                <w:lang w:val="en-US" w:eastAsia="zh-CN"/>
              </w:rPr>
              <w:t>3、以场景化训练为契机，将理论联系实际，实现成果转化</w:t>
            </w:r>
          </w:p>
          <w:p>
            <w:pPr>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val="en-US" w:eastAsia="zh-CN"/>
              </w:rPr>
              <w:t>4、以纳税人好评为目标，全面提升纳税人获得感为实训前提，固化服务行为</w:t>
            </w:r>
          </w:p>
        </w:tc>
      </w:tr>
    </w:tbl>
    <w:p>
      <w:pPr>
        <w:numPr>
          <w:ilvl w:val="0"/>
          <w:numId w:val="0"/>
        </w:numPr>
        <w:ind w:firstLine="480" w:firstLineChars="200"/>
        <w:rPr>
          <w:rFonts w:hint="eastAsia" w:ascii="微软雅黑" w:hAnsi="微软雅黑" w:eastAsia="微软雅黑" w:cs="微软雅黑"/>
          <w:b/>
          <w:bCs w:val="0"/>
          <w:sz w:val="24"/>
          <w:szCs w:val="24"/>
          <w:u w:val="none"/>
          <w:lang w:eastAsia="zh-CN"/>
        </w:rPr>
      </w:pPr>
      <w:r>
        <w:rPr>
          <w:rFonts w:hint="eastAsia" w:ascii="微软雅黑" w:hAnsi="微软雅黑" w:eastAsia="微软雅黑" w:cs="微软雅黑"/>
          <w:b/>
          <w:bCs w:val="0"/>
          <w:sz w:val="24"/>
          <w:szCs w:val="24"/>
          <w:u w:val="none"/>
          <w:lang w:eastAsia="zh-CN"/>
        </w:rPr>
        <w:t>（四）预期成果：</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b w:val="0"/>
          <w:bCs/>
          <w:sz w:val="24"/>
          <w:szCs w:val="24"/>
          <w:u w:val="none"/>
          <w:lang w:eastAsia="zh-CN"/>
        </w:rPr>
      </w:pPr>
      <w:r>
        <w:rPr>
          <w:rFonts w:hint="eastAsia" w:ascii="微软雅黑" w:hAnsi="微软雅黑" w:eastAsia="微软雅黑" w:cs="微软雅黑"/>
          <w:b w:val="0"/>
          <w:bCs/>
          <w:sz w:val="24"/>
          <w:szCs w:val="24"/>
          <w:u w:val="none"/>
          <w:lang w:eastAsia="zh-CN"/>
        </w:rPr>
        <w:t>一是促进纳税服务工作形成具有指导性、推广性的服务管理经验。实现人员管理有抓手、政务服务有规范、人员形象有标准、环境管理有依据、服务过程有温度、投诉应对有方法、业务办理有效能。</w:t>
      </w:r>
    </w:p>
    <w:p>
      <w:pPr>
        <w:keepNext w:val="0"/>
        <w:keepLines w:val="0"/>
        <w:pageBreakBefore w:val="0"/>
        <w:widowControl w:val="0"/>
        <w:kinsoku/>
        <w:wordWrap/>
        <w:overflowPunct/>
        <w:topLinePunct w:val="0"/>
        <w:autoSpaceDE/>
        <w:autoSpaceDN/>
        <w:bidi w:val="0"/>
        <w:adjustRightInd/>
        <w:snapToGrid/>
        <w:ind w:firstLine="480" w:firstLineChars="200"/>
        <w:textAlignment w:val="auto"/>
      </w:pPr>
      <w:r>
        <w:rPr>
          <w:rFonts w:hint="eastAsia" w:ascii="微软雅黑" w:hAnsi="微软雅黑" w:eastAsia="微软雅黑" w:cs="微软雅黑"/>
          <w:b w:val="0"/>
          <w:bCs/>
          <w:sz w:val="24"/>
          <w:szCs w:val="24"/>
          <w:u w:val="none"/>
          <w:lang w:eastAsia="zh-CN"/>
        </w:rPr>
        <w:t>二是协助培养一支能力强、觉悟高、素质优的管理梯队。通过管理层培训，分享舆情应对策略，团队执行力、凝聚力、战斗力管理方案。协助打造投诉应对处理的第一道防线，通过“选、育、用”三环打造模式，分担管理职能与压力，塑造“有效率”、“有温度”，能处理突发事件的先头部队，让纳税服务管理梯队更高效。</w:t>
      </w:r>
      <w:r>
        <w:rPr>
          <w:rFonts w:hint="eastAsia" w:ascii="微软雅黑" w:hAnsi="微软雅黑" w:eastAsia="微软雅黑" w:cs="微软雅黑"/>
          <w:bCs w:val="0"/>
          <w:sz w:val="28"/>
          <w:szCs w:val="28"/>
          <w:u w:val="none"/>
          <w:lang w:eastAsia="zh-CN"/>
        </w:rPr>
        <w:br w:type="page"/>
      </w:r>
      <w:bookmarkStart w:id="0" w:name="_GoBack"/>
      <w:bookmarkEnd w:id="0"/>
    </w:p>
    <w:p>
      <w:pPr>
        <w:ind w:firstLine="723" w:firstLineChars="200"/>
      </w:pPr>
    </w:p>
    <w:p/>
    <w:sectPr>
      <w:pgSz w:w="11906" w:h="16838"/>
      <w:pgMar w:top="1531" w:right="1417" w:bottom="153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5745B3"/>
    <w:multiLevelType w:val="singleLevel"/>
    <w:tmpl w:val="795745B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Njg5NWZhMGQyZjJiNGVjNDAyZDE1YmI5ZWViZmIifQ=="/>
  </w:docVars>
  <w:rsids>
    <w:rsidRoot w:val="141A6922"/>
    <w:rsid w:val="141A6922"/>
    <w:rsid w:val="1E440119"/>
    <w:rsid w:val="39D2725F"/>
    <w:rsid w:val="536A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6"/>
      <w:szCs w:val="36"/>
      <w:u w:val="single"/>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0" w:beforeAutospacing="1" w:after="0" w:afterAutospacing="1"/>
      <w:ind w:left="0" w:right="0"/>
      <w:jc w:val="left"/>
    </w:pPr>
    <w:rPr>
      <w:kern w:val="0"/>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2022-09-05T01:13:00Z</dcterms:created>
  <dc:creator>panacea</dc:creator>
  <cp:lastModifiedBy>薛隽彬</cp:lastModifiedBy>
  <dcterms:modified xsi:type="dcterms:W3CDTF">2022-09-07T08:57:52Z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D1C35A78FBBF46E8AF3DEFDC83494370</vt:lpwstr>
  </property>
</Properties>
</file>