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bidi w:val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tabs>
          <w:tab w:val="left" w:pos="1276"/>
        </w:tabs>
        <w:bidi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国家税务总局平潭综合实验区税务局</w:t>
      </w:r>
    </w:p>
    <w:p>
      <w:pPr>
        <w:tabs>
          <w:tab w:val="left" w:pos="1276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关于办公用品采购项目的报价表</w:t>
      </w:r>
    </w:p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260"/>
        <w:gridCol w:w="1605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晨光K35按动笔黑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得力中性笔0.5黑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晨光中性笔红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中华铅笔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卡西欧计算器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2#长尾夹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4#长尾夹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6#长尾夹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长方形印台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帆布手提袋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资料架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广博档案盒55mm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广博档案盒35mm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光盘700m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圆形笔筒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南孚电池5#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南孚电池7#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网格拉链袋A4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L型文件套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A4打印纸100张/包（彩色）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2号国旗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</w:t>
            </w: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3号国旗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</w:t>
            </w: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帆布公文袋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步步高电话机（213型）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</w:t>
            </w:r>
          </w:p>
        </w:tc>
        <w:tc>
          <w:tcPr>
            <w:tcW w:w="22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供应商统一下浮率报价：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（供应商盖章）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             联系电话：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2026-03-17T08:29:54Z</dcterms:created>
  <dc:creator>Administrator.SK-20201126HPWF</dc:creator>
  <cp:lastModifiedBy>何圣文</cp:lastModifiedBy>
  <dcterms:modified xsi:type="dcterms:W3CDTF">2026-03-17T08:30:21Z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