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center"/>
        <w:rPr>
          <w:rFonts w:hint="eastAsia"/>
          <w:b/>
          <w:bCs/>
          <w:color w:val="auto"/>
          <w:sz w:val="44"/>
          <w:szCs w:val="44"/>
          <w:highlight w:val="none"/>
        </w:rPr>
      </w:pPr>
      <w:r>
        <w:rPr>
          <w:rFonts w:hint="eastAsia" w:ascii="仿宋_GB2312" w:hAnsi="Calibri" w:eastAsia="仿宋_GB2312" w:cs="Times New Roman"/>
          <w:b/>
          <w:bCs/>
          <w:color w:val="auto"/>
          <w:sz w:val="44"/>
          <w:szCs w:val="44"/>
          <w:highlight w:val="none"/>
        </w:rPr>
        <w:t>国家税务总局莆田市</w:t>
      </w:r>
      <w:r>
        <w:rPr>
          <w:rFonts w:hint="eastAsia" w:ascii="仿宋_GB2312" w:hAnsi="Calibri" w:eastAsia="仿宋_GB2312" w:cs="Times New Roman"/>
          <w:b/>
          <w:bCs/>
          <w:color w:val="auto"/>
          <w:sz w:val="44"/>
          <w:szCs w:val="44"/>
          <w:highlight w:val="none"/>
          <w:lang w:eastAsia="zh-CN"/>
        </w:rPr>
        <w:t>荔城区</w:t>
      </w:r>
      <w:r>
        <w:rPr>
          <w:rFonts w:hint="eastAsia" w:ascii="仿宋_GB2312" w:hAnsi="Calibri" w:eastAsia="仿宋_GB2312" w:cs="Times New Roman"/>
          <w:b/>
          <w:bCs/>
          <w:color w:val="auto"/>
          <w:sz w:val="44"/>
          <w:szCs w:val="44"/>
          <w:highlight w:val="none"/>
        </w:rPr>
        <w:t>税务局</w:t>
      </w:r>
      <w:r>
        <w:rPr>
          <w:rFonts w:hint="eastAsia" w:ascii="仿宋_GB2312" w:hAnsi="Calibri" w:eastAsia="仿宋_GB2312" w:cs="Times New Roman"/>
          <w:b/>
          <w:bCs/>
          <w:color w:val="auto"/>
          <w:sz w:val="44"/>
          <w:szCs w:val="44"/>
          <w:highlight w:val="none"/>
          <w:lang w:eastAsia="zh-CN"/>
        </w:rPr>
        <w:t>服务外包项目采购</w:t>
      </w:r>
      <w:r>
        <w:rPr>
          <w:rFonts w:hint="eastAsia" w:ascii="仿宋_GB2312" w:hAnsi="Calibri" w:eastAsia="仿宋_GB2312" w:cs="Times New Roman"/>
          <w:b/>
          <w:bCs/>
          <w:color w:val="auto"/>
          <w:sz w:val="44"/>
          <w:szCs w:val="44"/>
          <w:highlight w:val="none"/>
        </w:rPr>
        <w:t>需求</w:t>
      </w:r>
    </w:p>
    <w:p>
      <w:pPr>
        <w:pStyle w:val="26"/>
        <w:keepNext w:val="0"/>
        <w:keepLines w:val="0"/>
        <w:pageBreakBefore w:val="0"/>
        <w:kinsoku/>
        <w:overflowPunct/>
        <w:topLinePunct w:val="0"/>
        <w:autoSpaceDE/>
        <w:autoSpaceDN/>
        <w:bidi w:val="0"/>
        <w:spacing w:line="360" w:lineRule="auto"/>
        <w:ind w:firstLine="640"/>
        <w:rPr>
          <w:rFonts w:ascii="黑体" w:hAnsi="黑体" w:eastAsia="黑体"/>
          <w:color w:val="auto"/>
          <w:sz w:val="32"/>
          <w:szCs w:val="32"/>
          <w:highlight w:val="none"/>
        </w:rPr>
      </w:pPr>
      <w:r>
        <w:rPr>
          <w:rFonts w:hint="eastAsia" w:ascii="黑体" w:hAnsi="黑体" w:eastAsia="黑体"/>
          <w:color w:val="auto"/>
          <w:sz w:val="32"/>
          <w:szCs w:val="32"/>
          <w:highlight w:val="none"/>
        </w:rPr>
        <w:t>一、</w:t>
      </w:r>
      <w:r>
        <w:rPr>
          <w:rFonts w:ascii="黑体" w:hAnsi="黑体" w:eastAsia="黑体"/>
          <w:color w:val="auto"/>
          <w:sz w:val="32"/>
          <w:szCs w:val="32"/>
          <w:highlight w:val="none"/>
        </w:rPr>
        <w:t>项目</w:t>
      </w:r>
      <w:r>
        <w:rPr>
          <w:rFonts w:hint="eastAsia" w:ascii="黑体" w:hAnsi="黑体" w:eastAsia="黑体"/>
          <w:color w:val="auto"/>
          <w:sz w:val="32"/>
          <w:szCs w:val="32"/>
          <w:highlight w:val="none"/>
        </w:rPr>
        <w:t>背景</w:t>
      </w:r>
    </w:p>
    <w:p>
      <w:pPr>
        <w:keepNext w:val="0"/>
        <w:keepLines w:val="0"/>
        <w:pageBreakBefore w:val="0"/>
        <w:widowControl/>
        <w:tabs>
          <w:tab w:val="left" w:pos="6930"/>
        </w:tabs>
        <w:kinsoku/>
        <w:wordWrap/>
        <w:overflowPunct/>
        <w:topLinePunct w:val="0"/>
        <w:autoSpaceDE/>
        <w:autoSpaceDN/>
        <w:bidi w:val="0"/>
        <w:adjustRightInd/>
        <w:snapToGrid/>
        <w:spacing w:line="360" w:lineRule="auto"/>
        <w:ind w:right="62"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国家税务总局莆田市荔城区税务局管辖的纳税人数量、服务缴费人数较往年增长幅度大，办税厅服务、机关后勤需求不断攀升，服务质量亟需进一步提质升级。我局拟将办税服务厅及机关</w:t>
      </w:r>
      <w:r>
        <w:rPr>
          <w:rFonts w:hint="eastAsia" w:ascii="仿宋" w:hAnsi="仿宋" w:eastAsia="仿宋" w:cs="仿宋"/>
          <w:color w:val="auto"/>
          <w:kern w:val="0"/>
          <w:sz w:val="32"/>
          <w:szCs w:val="32"/>
          <w:highlight w:val="none"/>
          <w:lang w:val="en-US" w:eastAsia="zh-CN" w:bidi="ar-SA"/>
        </w:rPr>
        <w:t>非执法类辅助性服务、司机服务项目（合计</w:t>
      </w:r>
      <w:bookmarkStart w:id="0" w:name="_GoBack"/>
      <w:bookmarkEnd w:id="0"/>
      <w:r>
        <w:rPr>
          <w:rFonts w:hint="eastAsia" w:ascii="仿宋" w:hAnsi="仿宋" w:eastAsia="仿宋" w:cs="仿宋"/>
          <w:color w:val="auto"/>
          <w:kern w:val="0"/>
          <w:sz w:val="32"/>
          <w:szCs w:val="32"/>
          <w:highlight w:val="none"/>
          <w:lang w:val="en-US" w:eastAsia="zh-CN" w:bidi="ar-SA"/>
        </w:rPr>
        <w:t>不少于59个岗位需求，其中司机服务岗位2个）对外公开招标采购</w:t>
      </w:r>
      <w:r>
        <w:rPr>
          <w:rFonts w:hint="eastAsia" w:ascii="仿宋" w:hAnsi="仿宋" w:eastAsia="仿宋" w:cs="仿宋"/>
          <w:color w:val="auto"/>
          <w:kern w:val="0"/>
          <w:sz w:val="32"/>
          <w:szCs w:val="32"/>
          <w:highlight w:val="none"/>
          <w:lang w:val="en-US" w:eastAsia="zh-CN"/>
        </w:rPr>
        <w:t>，旨在提高纳税服务水平，保障区局后勤工作高效运转，展现基层税务机关为纳税人优质服务的精神风貌。</w:t>
      </w:r>
    </w:p>
    <w:p>
      <w:pPr>
        <w:pStyle w:val="26"/>
        <w:keepNext w:val="0"/>
        <w:keepLines w:val="0"/>
        <w:pageBreakBefore w:val="0"/>
        <w:kinsoku/>
        <w:overflowPunct/>
        <w:topLinePunct w:val="0"/>
        <w:autoSpaceDE/>
        <w:autoSpaceDN/>
        <w:bidi w:val="0"/>
        <w:spacing w:line="360" w:lineRule="auto"/>
        <w:ind w:firstLine="64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二、采购内容</w:t>
      </w:r>
    </w:p>
    <w:p>
      <w:pPr>
        <w:pStyle w:val="8"/>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color w:val="auto"/>
          <w:highlight w:val="none"/>
          <w:lang w:val="en-US" w:eastAsia="zh-CN"/>
        </w:rPr>
      </w:pPr>
      <w:r>
        <w:rPr>
          <w:rFonts w:hint="eastAsia" w:ascii="仿宋" w:hAnsi="仿宋" w:eastAsia="仿宋" w:cs="仿宋"/>
          <w:color w:val="auto"/>
          <w:kern w:val="0"/>
          <w:sz w:val="32"/>
          <w:szCs w:val="32"/>
          <w:highlight w:val="none"/>
          <w:lang w:val="en-US" w:eastAsia="zh-CN" w:bidi="ar-SA"/>
        </w:rPr>
        <w:t>1.非执法类辅助性服务及司机服务项目，具体采购内容如下：</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175"/>
        <w:gridCol w:w="3987"/>
        <w:gridCol w:w="1250"/>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6930"/>
              </w:tabs>
              <w:kinsoku/>
              <w:overflowPunct/>
              <w:topLinePunct w:val="0"/>
              <w:autoSpaceDE/>
              <w:autoSpaceDN/>
              <w:bidi w:val="0"/>
              <w:spacing w:line="360" w:lineRule="auto"/>
              <w:ind w:right="62"/>
              <w:jc w:val="center"/>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合同包</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6930"/>
              </w:tabs>
              <w:kinsoku/>
              <w:overflowPunct/>
              <w:topLinePunct w:val="0"/>
              <w:autoSpaceDE/>
              <w:autoSpaceDN/>
              <w:bidi w:val="0"/>
              <w:spacing w:line="360" w:lineRule="auto"/>
              <w:ind w:right="62"/>
              <w:jc w:val="center"/>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项目</w:t>
            </w:r>
          </w:p>
          <w:p>
            <w:pPr>
              <w:keepNext w:val="0"/>
              <w:keepLines w:val="0"/>
              <w:pageBreakBefore w:val="0"/>
              <w:tabs>
                <w:tab w:val="left" w:pos="6930"/>
              </w:tabs>
              <w:kinsoku/>
              <w:overflowPunct/>
              <w:topLinePunct w:val="0"/>
              <w:autoSpaceDE/>
              <w:autoSpaceDN/>
              <w:bidi w:val="0"/>
              <w:spacing w:line="360" w:lineRule="auto"/>
              <w:ind w:right="62"/>
              <w:jc w:val="center"/>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名称</w:t>
            </w:r>
          </w:p>
        </w:tc>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6930"/>
              </w:tabs>
              <w:kinsoku/>
              <w:overflowPunct/>
              <w:topLinePunct w:val="0"/>
              <w:autoSpaceDE/>
              <w:autoSpaceDN/>
              <w:bidi w:val="0"/>
              <w:spacing w:line="360" w:lineRule="auto"/>
              <w:ind w:right="62" w:firstLine="960" w:firstLineChars="400"/>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采购内容及要求</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6930"/>
              </w:tabs>
              <w:kinsoku/>
              <w:overflowPunct/>
              <w:topLinePunct w:val="0"/>
              <w:autoSpaceDE/>
              <w:autoSpaceDN/>
              <w:bidi w:val="0"/>
              <w:spacing w:line="360" w:lineRule="auto"/>
              <w:ind w:right="62"/>
              <w:jc w:val="center"/>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最高限价（万元）</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6930"/>
              </w:tabs>
              <w:kinsoku/>
              <w:overflowPunct/>
              <w:topLinePunct w:val="0"/>
              <w:autoSpaceDE/>
              <w:autoSpaceDN/>
              <w:bidi w:val="0"/>
              <w:spacing w:line="360" w:lineRule="auto"/>
              <w:ind w:right="62"/>
              <w:jc w:val="center"/>
              <w:rPr>
                <w:rFonts w:hint="eastAsia" w:hAnsi="宋体"/>
                <w:color w:val="auto"/>
                <w:sz w:val="24"/>
                <w:szCs w:val="24"/>
                <w:highlight w:val="none"/>
              </w:rPr>
            </w:pPr>
            <w:r>
              <w:rPr>
                <w:rFonts w:hint="eastAsia" w:ascii="宋体" w:hAnsi="宋体" w:cs="宋体"/>
                <w:color w:val="auto"/>
                <w:kern w:val="2"/>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114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tabs>
                <w:tab w:val="left" w:pos="6930"/>
              </w:tabs>
              <w:kinsoku/>
              <w:overflowPunct/>
              <w:topLinePunct w:val="0"/>
              <w:autoSpaceDE/>
              <w:autoSpaceDN/>
              <w:bidi w:val="0"/>
              <w:spacing w:line="360" w:lineRule="auto"/>
              <w:ind w:right="62"/>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服务外包项目</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6930"/>
              </w:tabs>
              <w:kinsoku/>
              <w:overflowPunct/>
              <w:topLinePunct w:val="0"/>
              <w:autoSpaceDE/>
              <w:autoSpaceDN/>
              <w:bidi w:val="0"/>
              <w:spacing w:line="360" w:lineRule="auto"/>
              <w:ind w:right="62"/>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机关（办税服务厅）非执法类辅助性服务</w:t>
            </w:r>
          </w:p>
          <w:p>
            <w:pPr>
              <w:keepNext w:val="0"/>
              <w:keepLines w:val="0"/>
              <w:pageBreakBefore w:val="0"/>
              <w:tabs>
                <w:tab w:val="left" w:pos="6930"/>
              </w:tabs>
              <w:kinsoku/>
              <w:overflowPunct/>
              <w:topLinePunct w:val="0"/>
              <w:autoSpaceDE/>
              <w:autoSpaceDN/>
              <w:bidi w:val="0"/>
              <w:spacing w:line="360" w:lineRule="auto"/>
              <w:ind w:right="62"/>
              <w:jc w:val="both"/>
              <w:rPr>
                <w:rFonts w:hint="eastAsia" w:ascii="宋体" w:hAnsi="宋体" w:eastAsia="宋体" w:cs="宋体"/>
                <w:color w:val="auto"/>
                <w:kern w:val="2"/>
                <w:sz w:val="20"/>
                <w:szCs w:val="20"/>
                <w:highlight w:val="none"/>
                <w:lang w:val="en-US" w:eastAsia="zh-CN"/>
              </w:rPr>
            </w:pPr>
          </w:p>
        </w:tc>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6930"/>
              </w:tabs>
              <w:kinsoku/>
              <w:overflowPunct/>
              <w:topLinePunct w:val="0"/>
              <w:autoSpaceDE/>
              <w:autoSpaceDN/>
              <w:bidi w:val="0"/>
              <w:spacing w:line="360" w:lineRule="auto"/>
              <w:ind w:right="62"/>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为我局在指定地点提供导税服务、税费咨询服务、自助办税（费）辅导服务、涉税（费）宣传服务、协助做好业务档案资料的信息录入及整理等</w:t>
            </w:r>
            <w:r>
              <w:rPr>
                <w:rFonts w:hint="eastAsia" w:ascii="宋体" w:hAnsi="宋体" w:cs="宋体"/>
                <w:color w:val="auto"/>
                <w:kern w:val="2"/>
                <w:sz w:val="20"/>
                <w:szCs w:val="20"/>
                <w:highlight w:val="none"/>
                <w:lang w:val="en-US" w:eastAsia="zh-CN"/>
              </w:rPr>
              <w:t>《</w:t>
            </w:r>
            <w:r>
              <w:rPr>
                <w:rFonts w:hint="eastAsia" w:ascii="宋体" w:hAnsi="宋体" w:eastAsia="宋体" w:cs="宋体"/>
                <w:color w:val="auto"/>
                <w:kern w:val="2"/>
                <w:sz w:val="20"/>
                <w:szCs w:val="20"/>
                <w:highlight w:val="none"/>
                <w:lang w:val="en-US" w:eastAsia="zh-CN"/>
              </w:rPr>
              <w:t>办税服务厅编外人员授权负面清单</w:t>
            </w:r>
            <w:r>
              <w:rPr>
                <w:rFonts w:hint="eastAsia" w:ascii="宋体" w:hAnsi="宋体" w:cs="宋体"/>
                <w:color w:val="auto"/>
                <w:kern w:val="2"/>
                <w:sz w:val="20"/>
                <w:szCs w:val="20"/>
                <w:highlight w:val="none"/>
                <w:lang w:val="en-US" w:eastAsia="zh-CN"/>
              </w:rPr>
              <w:t>》</w:t>
            </w:r>
            <w:r>
              <w:rPr>
                <w:rFonts w:hint="eastAsia" w:ascii="宋体" w:hAnsi="宋体" w:eastAsia="宋体" w:cs="宋体"/>
                <w:color w:val="auto"/>
                <w:kern w:val="2"/>
                <w:sz w:val="20"/>
                <w:szCs w:val="20"/>
                <w:highlight w:val="none"/>
                <w:lang w:val="en-US" w:eastAsia="zh-CN"/>
              </w:rPr>
              <w:t>以外的有关非执法性服务事项。</w:t>
            </w:r>
          </w:p>
          <w:p>
            <w:pPr>
              <w:keepNext w:val="0"/>
              <w:keepLines w:val="0"/>
              <w:pageBreakBefore w:val="0"/>
              <w:tabs>
                <w:tab w:val="left" w:pos="6930"/>
              </w:tabs>
              <w:kinsoku/>
              <w:overflowPunct/>
              <w:topLinePunct w:val="0"/>
              <w:autoSpaceDE/>
              <w:autoSpaceDN/>
              <w:bidi w:val="0"/>
              <w:spacing w:line="360" w:lineRule="auto"/>
              <w:ind w:right="62"/>
              <w:jc w:val="both"/>
              <w:rPr>
                <w:rFonts w:hint="eastAsia" w:ascii="宋体" w:hAnsi="宋体" w:eastAsia="宋体" w:cs="宋体"/>
                <w:color w:val="auto"/>
                <w:kern w:val="2"/>
                <w:sz w:val="20"/>
                <w:szCs w:val="20"/>
                <w:highlight w:val="none"/>
                <w:lang w:val="en-US" w:eastAsia="zh-CN"/>
              </w:rPr>
            </w:pPr>
          </w:p>
        </w:tc>
        <w:tc>
          <w:tcPr>
            <w:tcW w:w="12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tabs>
                <w:tab w:val="left" w:pos="6930"/>
              </w:tabs>
              <w:kinsoku/>
              <w:overflowPunct/>
              <w:topLinePunct w:val="0"/>
              <w:autoSpaceDE/>
              <w:autoSpaceDN/>
              <w:bidi w:val="0"/>
              <w:spacing w:line="360" w:lineRule="auto"/>
              <w:ind w:right="62"/>
              <w:jc w:val="both"/>
              <w:rPr>
                <w:rFonts w:hint="default"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750</w:t>
            </w:r>
          </w:p>
        </w:tc>
        <w:tc>
          <w:tcPr>
            <w:tcW w:w="86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60" w:lineRule="auto"/>
              <w:ind w:right="62"/>
              <w:jc w:val="center"/>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 xml:space="preserve"> </w:t>
            </w:r>
          </w:p>
          <w:p>
            <w:pPr>
              <w:keepNext w:val="0"/>
              <w:keepLines w:val="0"/>
              <w:pageBreakBefore w:val="0"/>
              <w:kinsoku/>
              <w:overflowPunct/>
              <w:topLinePunct w:val="0"/>
              <w:autoSpaceDE/>
              <w:autoSpaceDN/>
              <w:bidi w:val="0"/>
              <w:spacing w:line="360" w:lineRule="auto"/>
              <w:ind w:right="62"/>
              <w:jc w:val="center"/>
              <w:rPr>
                <w:rFonts w:hint="eastAsia" w:ascii="宋体" w:hAnsi="宋体" w:eastAsia="宋体" w:cs="宋体"/>
                <w:color w:val="auto"/>
                <w:kern w:val="2"/>
                <w:sz w:val="20"/>
                <w:szCs w:val="20"/>
                <w:highlight w:val="none"/>
                <w:lang w:val="en-US" w:eastAsia="zh-CN"/>
              </w:rPr>
            </w:pPr>
          </w:p>
          <w:p>
            <w:pPr>
              <w:keepNext w:val="0"/>
              <w:keepLines w:val="0"/>
              <w:pageBreakBefore w:val="0"/>
              <w:kinsoku/>
              <w:overflowPunct/>
              <w:topLinePunct w:val="0"/>
              <w:autoSpaceDE/>
              <w:autoSpaceDN/>
              <w:bidi w:val="0"/>
              <w:spacing w:line="360" w:lineRule="auto"/>
              <w:ind w:right="62"/>
              <w:jc w:val="both"/>
              <w:rPr>
                <w:rFonts w:hint="default"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服务期两年，合同一年一签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9" w:hRule="atLeast"/>
        </w:trPr>
        <w:tc>
          <w:tcPr>
            <w:tcW w:w="114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tabs>
                <w:tab w:val="left" w:pos="6930"/>
              </w:tabs>
              <w:kinsoku/>
              <w:overflowPunct/>
              <w:topLinePunct w:val="0"/>
              <w:autoSpaceDE/>
              <w:autoSpaceDN/>
              <w:bidi w:val="0"/>
              <w:spacing w:line="360" w:lineRule="auto"/>
              <w:ind w:right="62"/>
              <w:jc w:val="both"/>
              <w:rPr>
                <w:rFonts w:hint="eastAsia" w:ascii="宋体" w:hAnsi="宋体" w:eastAsia="宋体" w:cs="宋体"/>
                <w:color w:val="auto"/>
                <w:kern w:val="2"/>
                <w:sz w:val="20"/>
                <w:szCs w:val="20"/>
                <w:highlight w:val="none"/>
                <w:lang w:val="en-US" w:eastAsia="zh-CN"/>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6930"/>
              </w:tabs>
              <w:kinsoku/>
              <w:overflowPunct/>
              <w:topLinePunct w:val="0"/>
              <w:autoSpaceDE/>
              <w:autoSpaceDN/>
              <w:bidi w:val="0"/>
              <w:spacing w:line="360" w:lineRule="auto"/>
              <w:ind w:right="62"/>
              <w:jc w:val="both"/>
              <w:rPr>
                <w:rFonts w:hint="default"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其他后勤服务</w:t>
            </w:r>
            <w:r>
              <w:rPr>
                <w:rFonts w:hint="eastAsia" w:ascii="宋体" w:hAnsi="宋体" w:cs="宋体"/>
                <w:color w:val="auto"/>
                <w:kern w:val="2"/>
                <w:sz w:val="20"/>
                <w:szCs w:val="20"/>
                <w:highlight w:val="none"/>
                <w:lang w:val="en-US" w:eastAsia="zh-CN"/>
              </w:rPr>
              <w:t>-司机服务</w:t>
            </w:r>
          </w:p>
          <w:p>
            <w:pPr>
              <w:keepNext w:val="0"/>
              <w:keepLines w:val="0"/>
              <w:pageBreakBefore w:val="0"/>
              <w:tabs>
                <w:tab w:val="left" w:pos="6930"/>
              </w:tabs>
              <w:kinsoku/>
              <w:overflowPunct/>
              <w:topLinePunct w:val="0"/>
              <w:autoSpaceDE/>
              <w:autoSpaceDN/>
              <w:bidi w:val="0"/>
              <w:spacing w:line="360" w:lineRule="auto"/>
              <w:ind w:right="62"/>
              <w:jc w:val="both"/>
              <w:rPr>
                <w:rFonts w:hint="eastAsia" w:ascii="宋体" w:hAnsi="宋体" w:eastAsia="宋体" w:cs="宋体"/>
                <w:color w:val="auto"/>
                <w:kern w:val="2"/>
                <w:sz w:val="20"/>
                <w:szCs w:val="20"/>
                <w:highlight w:val="none"/>
                <w:lang w:val="en-US" w:eastAsia="zh-CN"/>
              </w:rPr>
            </w:pPr>
          </w:p>
        </w:tc>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6930"/>
              </w:tabs>
              <w:kinsoku/>
              <w:overflowPunct/>
              <w:topLinePunct w:val="0"/>
              <w:autoSpaceDE/>
              <w:autoSpaceDN/>
              <w:bidi w:val="0"/>
              <w:spacing w:line="360" w:lineRule="auto"/>
              <w:ind w:right="62"/>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提供司机驻点服务，根据我局的调度安排按时完成出车保障服务。执行出车任务前，进行车辆检查，确保车辆状况良好；执行出车任务后，进行车辆的清洁和日常维护工作。按我局车辆管理规定做好行车记录工作，按时办理车辆年检和其他车务手续等。</w:t>
            </w:r>
          </w:p>
          <w:p>
            <w:pPr>
              <w:keepNext w:val="0"/>
              <w:keepLines w:val="0"/>
              <w:pageBreakBefore w:val="0"/>
              <w:tabs>
                <w:tab w:val="left" w:pos="6930"/>
              </w:tabs>
              <w:kinsoku/>
              <w:overflowPunct/>
              <w:topLinePunct w:val="0"/>
              <w:autoSpaceDE/>
              <w:autoSpaceDN/>
              <w:bidi w:val="0"/>
              <w:spacing w:line="360" w:lineRule="auto"/>
              <w:ind w:right="62"/>
              <w:jc w:val="both"/>
              <w:rPr>
                <w:rFonts w:hint="eastAsia" w:ascii="宋体" w:hAnsi="宋体" w:eastAsia="宋体" w:cs="宋体"/>
                <w:color w:val="auto"/>
                <w:kern w:val="2"/>
                <w:sz w:val="20"/>
                <w:szCs w:val="20"/>
                <w:highlight w:val="none"/>
                <w:lang w:val="en-US" w:eastAsia="zh-CN"/>
              </w:rPr>
            </w:pPr>
          </w:p>
        </w:tc>
        <w:tc>
          <w:tcPr>
            <w:tcW w:w="12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tabs>
                <w:tab w:val="left" w:pos="6930"/>
              </w:tabs>
              <w:kinsoku/>
              <w:overflowPunct/>
              <w:topLinePunct w:val="0"/>
              <w:autoSpaceDE/>
              <w:autoSpaceDN/>
              <w:bidi w:val="0"/>
              <w:spacing w:line="360" w:lineRule="auto"/>
              <w:ind w:right="62"/>
              <w:jc w:val="both"/>
              <w:rPr>
                <w:rFonts w:hint="eastAsia" w:ascii="宋体" w:hAnsi="宋体" w:eastAsia="宋体" w:cs="宋体"/>
                <w:color w:val="auto"/>
                <w:kern w:val="2"/>
                <w:sz w:val="20"/>
                <w:szCs w:val="20"/>
                <w:highlight w:val="none"/>
                <w:lang w:val="en-US" w:eastAsia="zh-CN"/>
              </w:rPr>
            </w:pPr>
          </w:p>
        </w:tc>
        <w:tc>
          <w:tcPr>
            <w:tcW w:w="86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tabs>
                <w:tab w:val="left" w:pos="6930"/>
              </w:tabs>
              <w:kinsoku/>
              <w:overflowPunct/>
              <w:topLinePunct w:val="0"/>
              <w:autoSpaceDE/>
              <w:autoSpaceDN/>
              <w:bidi w:val="0"/>
              <w:spacing w:line="360" w:lineRule="auto"/>
              <w:ind w:right="62"/>
              <w:jc w:val="both"/>
              <w:rPr>
                <w:rFonts w:hint="eastAsia" w:ascii="宋体" w:hAnsi="宋体" w:eastAsia="宋体" w:cs="宋体"/>
                <w:color w:val="auto"/>
                <w:kern w:val="2"/>
                <w:sz w:val="20"/>
                <w:szCs w:val="20"/>
                <w:highlight w:val="none"/>
                <w:lang w:val="en-US" w:eastAsia="zh-CN"/>
              </w:rPr>
            </w:pPr>
          </w:p>
        </w:tc>
      </w:tr>
    </w:tbl>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tabs>
          <w:tab w:val="left" w:pos="6930"/>
        </w:tabs>
        <w:kinsoku/>
        <w:wordWrap/>
        <w:overflowPunct/>
        <w:topLinePunct w:val="0"/>
        <w:autoSpaceDE/>
        <w:autoSpaceDN/>
        <w:bidi w:val="0"/>
        <w:adjustRightInd/>
        <w:snapToGrid/>
        <w:spacing w:before="0" w:beforeAutospacing="0" w:after="0" w:afterAutospacing="0" w:line="360" w:lineRule="auto"/>
        <w:ind w:right="62"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2.本项目最高限价包括所需人员基本工资、绩效考核、五险一金、管理费（含工会费、应</w:t>
      </w:r>
      <w:r>
        <w:rPr>
          <w:rFonts w:hint="eastAsia" w:ascii="仿宋" w:hAnsi="仿宋" w:eastAsia="仿宋" w:cs="仿宋"/>
          <w:color w:val="auto"/>
          <w:kern w:val="0"/>
          <w:sz w:val="32"/>
          <w:szCs w:val="32"/>
          <w:highlight w:val="none"/>
          <w:lang w:val="en-US" w:eastAsia="zh-CN"/>
        </w:rPr>
        <w:t>缴</w:t>
      </w:r>
      <w:r>
        <w:rPr>
          <w:rFonts w:hint="eastAsia" w:ascii="仿宋" w:hAnsi="仿宋" w:eastAsia="仿宋" w:cs="仿宋"/>
          <w:b w:val="0"/>
          <w:bCs w:val="0"/>
          <w:color w:val="auto"/>
          <w:sz w:val="32"/>
          <w:szCs w:val="32"/>
          <w:highlight w:val="none"/>
          <w:lang w:val="en-US" w:eastAsia="zh-CN"/>
        </w:rPr>
        <w:t>税费、商业险、培训费、招聘费、服装费、健康体检、离职相关费用以及其他日常服务及各项用工风险应承担的费用等本项目涉及的一切费用）,</w:t>
      </w:r>
      <w:r>
        <w:rPr>
          <w:rFonts w:hint="eastAsia" w:ascii="仿宋" w:hAnsi="仿宋" w:eastAsia="仿宋" w:cs="仿宋"/>
          <w:color w:val="auto"/>
          <w:kern w:val="0"/>
          <w:sz w:val="32"/>
          <w:szCs w:val="32"/>
          <w:highlight w:val="none"/>
          <w:lang w:val="en-US" w:eastAsia="zh-CN"/>
        </w:rPr>
        <w:t>用于人员的基本工资、绩效考核至少占合同总价70%以上，且人员基本工资至少占合同总价50%以上。</w:t>
      </w:r>
      <w:r>
        <w:rPr>
          <w:rFonts w:hint="eastAsia" w:ascii="仿宋" w:hAnsi="仿宋" w:eastAsia="仿宋" w:cs="仿宋"/>
          <w:color w:val="auto"/>
          <w:sz w:val="32"/>
          <w:szCs w:val="32"/>
          <w:highlight w:val="none"/>
          <w:u w:val="none"/>
        </w:rPr>
        <w:t>若比例低于</w:t>
      </w:r>
      <w:r>
        <w:rPr>
          <w:rFonts w:hint="eastAsia" w:ascii="仿宋" w:hAnsi="仿宋" w:eastAsia="仿宋" w:cs="仿宋"/>
          <w:color w:val="auto"/>
          <w:sz w:val="32"/>
          <w:szCs w:val="32"/>
          <w:highlight w:val="none"/>
          <w:u w:val="none"/>
          <w:lang w:eastAsia="zh-CN"/>
        </w:rPr>
        <w:t>前述</w:t>
      </w:r>
      <w:r>
        <w:rPr>
          <w:rFonts w:hint="eastAsia" w:ascii="仿宋" w:hAnsi="仿宋" w:eastAsia="仿宋" w:cs="仿宋"/>
          <w:color w:val="auto"/>
          <w:sz w:val="32"/>
          <w:szCs w:val="32"/>
          <w:highlight w:val="none"/>
          <w:u w:val="none"/>
        </w:rPr>
        <w:t>要求或测算</w:t>
      </w:r>
      <w:r>
        <w:rPr>
          <w:rFonts w:hint="eastAsia" w:ascii="仿宋" w:hAnsi="仿宋" w:eastAsia="仿宋" w:cs="仿宋"/>
          <w:color w:val="auto"/>
          <w:sz w:val="32"/>
          <w:szCs w:val="32"/>
          <w:highlight w:val="none"/>
        </w:rPr>
        <w:t>依据达不到</w:t>
      </w:r>
      <w:r>
        <w:rPr>
          <w:rFonts w:hint="eastAsia" w:ascii="仿宋" w:hAnsi="仿宋" w:eastAsia="仿宋" w:cs="仿宋"/>
          <w:snapToGrid w:val="0"/>
          <w:color w:val="auto"/>
          <w:sz w:val="32"/>
          <w:szCs w:val="32"/>
          <w:highlight w:val="none"/>
          <w:lang w:eastAsia="zh-CN"/>
        </w:rPr>
        <w:t>人员薪酬</w:t>
      </w:r>
      <w:r>
        <w:rPr>
          <w:rFonts w:hint="eastAsia" w:ascii="仿宋" w:hAnsi="仿宋" w:eastAsia="仿宋" w:cs="仿宋"/>
          <w:color w:val="auto"/>
          <w:sz w:val="32"/>
          <w:szCs w:val="32"/>
          <w:highlight w:val="none"/>
        </w:rPr>
        <w:t>标准的，在评标过程中对该投标文件按无效投标处理。</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tabs>
          <w:tab w:val="left" w:pos="6930"/>
        </w:tabs>
        <w:kinsoku/>
        <w:wordWrap/>
        <w:overflowPunct/>
        <w:topLinePunct w:val="0"/>
        <w:autoSpaceDE/>
        <w:autoSpaceDN/>
        <w:bidi w:val="0"/>
        <w:adjustRightInd/>
        <w:snapToGrid/>
        <w:spacing w:before="0" w:beforeAutospacing="0" w:after="0" w:afterAutospacing="0" w:line="360" w:lineRule="auto"/>
        <w:ind w:right="62"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snapToGrid w:val="0"/>
          <w:color w:val="auto"/>
          <w:kern w:val="0"/>
          <w:sz w:val="32"/>
          <w:szCs w:val="32"/>
          <w:highlight w:val="none"/>
          <w:lang w:val="en-US" w:eastAsia="zh-CN"/>
        </w:rPr>
        <w:t>3.投标人必须对招标项目的所有内容进行投标响应，投标报价包括服务期限内的所有费用；投标人分项报价须列出各项费用的计算相关标准及依据，投标分项报价表必须详细列明</w:t>
      </w:r>
      <w:r>
        <w:rPr>
          <w:rFonts w:hint="eastAsia" w:ascii="仿宋" w:hAnsi="仿宋" w:eastAsia="仿宋" w:cs="仿宋"/>
          <w:b w:val="0"/>
          <w:bCs w:val="0"/>
          <w:color w:val="auto"/>
          <w:sz w:val="32"/>
          <w:szCs w:val="32"/>
          <w:highlight w:val="none"/>
          <w:lang w:val="en-US" w:eastAsia="zh-CN"/>
        </w:rPr>
        <w:t>基本工资、绩效考核、五险一金、</w:t>
      </w:r>
      <w:r>
        <w:rPr>
          <w:rFonts w:hint="eastAsia" w:ascii="仿宋" w:hAnsi="仿宋" w:eastAsia="仿宋" w:cs="仿宋"/>
          <w:snapToGrid w:val="0"/>
          <w:color w:val="auto"/>
          <w:kern w:val="0"/>
          <w:sz w:val="32"/>
          <w:szCs w:val="32"/>
          <w:highlight w:val="none"/>
          <w:lang w:val="en-US" w:eastAsia="zh-CN"/>
        </w:rPr>
        <w:t>管理费用等所涉及的各细项费用。各项费用不管是否在投标人报价书中单列，均视为报价总价中已包括该费用。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6930"/>
        </w:tabs>
        <w:kinsoku/>
        <w:wordWrap/>
        <w:overflowPunct/>
        <w:topLinePunct w:val="0"/>
        <w:autoSpaceDE/>
        <w:autoSpaceDN/>
        <w:bidi w:val="0"/>
        <w:adjustRightInd/>
        <w:snapToGrid/>
        <w:spacing w:before="0" w:beforeAutospacing="0" w:after="0" w:afterAutospacing="0" w:line="360" w:lineRule="auto"/>
        <w:ind w:right="62" w:firstLine="640" w:firstLineChars="200"/>
        <w:jc w:val="both"/>
        <w:textAlignment w:val="auto"/>
        <w:rPr>
          <w:rFonts w:hint="eastAsia" w:ascii="仿宋" w:hAnsi="仿宋" w:eastAsia="仿宋" w:cs="仿宋"/>
          <w:b/>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本项目服务期间，采购人无须另外向中标人支付规定之外的其他任何费用，如国家或地方相关部门出台政策，对税收、企业经营性费用、员工最低工资标准、社保缴纳基数及社会福利政策等方面进行了调整，费用增加部分由中标人自行承担，采购人不再增加或承担任何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both"/>
        <w:textAlignment w:val="auto"/>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三、项目需求</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服务质量指标</w:t>
      </w:r>
    </w:p>
    <w:p>
      <w:pPr>
        <w:pStyle w:val="8"/>
        <w:keepNext w:val="0"/>
        <w:keepLines w:val="0"/>
        <w:pageBreakBefore w:val="0"/>
        <w:numPr>
          <w:ilvl w:val="0"/>
          <w:numId w:val="0"/>
        </w:numPr>
        <w:kinsoku/>
        <w:overflowPunct/>
        <w:topLinePunct w:val="0"/>
        <w:autoSpaceDE/>
        <w:autoSpaceDN/>
        <w:bidi w:val="0"/>
        <w:spacing w:line="360" w:lineRule="auto"/>
        <w:rPr>
          <w:rFonts w:hint="default"/>
          <w:color w:val="auto"/>
          <w:highlight w:val="none"/>
          <w:lang w:val="en-US" w:eastAsia="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838"/>
        <w:gridCol w:w="1162"/>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noWrap w:val="0"/>
            <w:vAlign w:val="top"/>
          </w:tcPr>
          <w:p>
            <w:pPr>
              <w:keepNext w:val="0"/>
              <w:keepLines w:val="0"/>
              <w:pageBreakBefore w:val="0"/>
              <w:kinsoku/>
              <w:overflowPunct/>
              <w:topLinePunct w:val="0"/>
              <w:autoSpaceDE/>
              <w:autoSpaceDN/>
              <w:bidi w:val="0"/>
              <w:spacing w:line="360" w:lineRule="auto"/>
              <w:jc w:val="center"/>
              <w:rPr>
                <w:rFonts w:hint="eastAsia" w:ascii="Calibri" w:hAnsi="Calibri" w:eastAsia="宋体" w:cs="Times New Roman"/>
                <w:snapToGrid/>
                <w:color w:val="auto"/>
                <w:kern w:val="2"/>
                <w:sz w:val="21"/>
                <w:szCs w:val="22"/>
                <w:highlight w:val="none"/>
                <w:vertAlign w:val="baseline"/>
                <w:lang w:eastAsia="zh-CN"/>
              </w:rPr>
            </w:pPr>
            <w:r>
              <w:rPr>
                <w:rFonts w:hint="eastAsia" w:ascii="Calibri" w:hAnsi="Calibri" w:eastAsia="宋体" w:cs="Times New Roman"/>
                <w:snapToGrid/>
                <w:color w:val="auto"/>
                <w:kern w:val="2"/>
                <w:sz w:val="21"/>
                <w:szCs w:val="22"/>
                <w:highlight w:val="none"/>
                <w:vertAlign w:val="baseline"/>
                <w:lang w:eastAsia="zh-CN"/>
              </w:rPr>
              <w:t>序号</w:t>
            </w:r>
          </w:p>
        </w:tc>
        <w:tc>
          <w:tcPr>
            <w:tcW w:w="1838" w:type="dxa"/>
            <w:noWrap w:val="0"/>
            <w:vAlign w:val="top"/>
          </w:tcPr>
          <w:p>
            <w:pPr>
              <w:keepNext w:val="0"/>
              <w:keepLines w:val="0"/>
              <w:pageBreakBefore w:val="0"/>
              <w:kinsoku/>
              <w:overflowPunct/>
              <w:topLinePunct w:val="0"/>
              <w:autoSpaceDE/>
              <w:autoSpaceDN/>
              <w:bidi w:val="0"/>
              <w:spacing w:line="360" w:lineRule="auto"/>
              <w:jc w:val="center"/>
              <w:rPr>
                <w:rFonts w:hint="eastAsia" w:ascii="Calibri" w:hAnsi="Calibri" w:eastAsia="宋体" w:cs="Times New Roman"/>
                <w:snapToGrid/>
                <w:color w:val="auto"/>
                <w:kern w:val="2"/>
                <w:sz w:val="21"/>
                <w:szCs w:val="22"/>
                <w:highlight w:val="none"/>
                <w:vertAlign w:val="baseline"/>
                <w:lang w:eastAsia="zh-CN"/>
              </w:rPr>
            </w:pPr>
            <w:r>
              <w:rPr>
                <w:rFonts w:hint="eastAsia" w:ascii="Calibri" w:hAnsi="Calibri" w:eastAsia="宋体" w:cs="Times New Roman"/>
                <w:snapToGrid/>
                <w:color w:val="auto"/>
                <w:kern w:val="2"/>
                <w:sz w:val="21"/>
                <w:szCs w:val="22"/>
                <w:highlight w:val="none"/>
                <w:vertAlign w:val="baseline"/>
                <w:lang w:eastAsia="zh-CN"/>
              </w:rPr>
              <w:t>服务种类</w:t>
            </w:r>
          </w:p>
        </w:tc>
        <w:tc>
          <w:tcPr>
            <w:tcW w:w="1162" w:type="dxa"/>
            <w:noWrap w:val="0"/>
            <w:vAlign w:val="top"/>
          </w:tcPr>
          <w:p>
            <w:pPr>
              <w:keepNext w:val="0"/>
              <w:keepLines w:val="0"/>
              <w:pageBreakBefore w:val="0"/>
              <w:kinsoku/>
              <w:overflowPunct/>
              <w:topLinePunct w:val="0"/>
              <w:autoSpaceDE/>
              <w:autoSpaceDN/>
              <w:bidi w:val="0"/>
              <w:spacing w:line="360" w:lineRule="auto"/>
              <w:jc w:val="center"/>
              <w:rPr>
                <w:rFonts w:hint="eastAsia" w:ascii="Calibri" w:hAnsi="Calibri" w:eastAsia="宋体" w:cs="Times New Roman"/>
                <w:snapToGrid/>
                <w:color w:val="auto"/>
                <w:kern w:val="2"/>
                <w:sz w:val="21"/>
                <w:szCs w:val="22"/>
                <w:highlight w:val="none"/>
                <w:vertAlign w:val="baseline"/>
                <w:lang w:eastAsia="zh-CN"/>
              </w:rPr>
            </w:pPr>
            <w:r>
              <w:rPr>
                <w:rFonts w:hint="eastAsia" w:ascii="Calibri" w:hAnsi="Calibri" w:eastAsia="宋体" w:cs="Times New Roman"/>
                <w:snapToGrid/>
                <w:color w:val="auto"/>
                <w:kern w:val="2"/>
                <w:sz w:val="21"/>
                <w:szCs w:val="22"/>
                <w:highlight w:val="none"/>
                <w:vertAlign w:val="baseline"/>
                <w:lang w:eastAsia="zh-CN"/>
              </w:rPr>
              <w:t>指标名称</w:t>
            </w:r>
          </w:p>
        </w:tc>
        <w:tc>
          <w:tcPr>
            <w:tcW w:w="4700" w:type="dxa"/>
            <w:noWrap w:val="0"/>
            <w:vAlign w:val="top"/>
          </w:tcPr>
          <w:p>
            <w:pPr>
              <w:keepNext w:val="0"/>
              <w:keepLines w:val="0"/>
              <w:pageBreakBefore w:val="0"/>
              <w:kinsoku/>
              <w:overflowPunct/>
              <w:topLinePunct w:val="0"/>
              <w:autoSpaceDE/>
              <w:autoSpaceDN/>
              <w:bidi w:val="0"/>
              <w:spacing w:line="360" w:lineRule="auto"/>
              <w:jc w:val="center"/>
              <w:rPr>
                <w:rFonts w:hint="eastAsia" w:ascii="Calibri" w:hAnsi="Calibri" w:eastAsia="宋体" w:cs="Times New Roman"/>
                <w:snapToGrid/>
                <w:color w:val="auto"/>
                <w:kern w:val="2"/>
                <w:sz w:val="21"/>
                <w:szCs w:val="22"/>
                <w:highlight w:val="none"/>
                <w:vertAlign w:val="baseline"/>
                <w:lang w:eastAsia="zh-CN"/>
              </w:rPr>
            </w:pPr>
            <w:r>
              <w:rPr>
                <w:rFonts w:hint="eastAsia" w:ascii="Calibri" w:hAnsi="Calibri" w:eastAsia="宋体" w:cs="Times New Roman"/>
                <w:snapToGrid/>
                <w:color w:val="auto"/>
                <w:kern w:val="2"/>
                <w:sz w:val="21"/>
                <w:szCs w:val="22"/>
                <w:highlight w:val="none"/>
                <w:vertAlign w:val="baseline"/>
                <w:lang w:eastAsia="zh-CN"/>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661" w:type="dxa"/>
            <w:vMerge w:val="restart"/>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center"/>
              <w:rPr>
                <w:rFonts w:hint="eastAsia"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1</w:t>
            </w:r>
          </w:p>
        </w:tc>
        <w:tc>
          <w:tcPr>
            <w:tcW w:w="1838" w:type="dxa"/>
            <w:vMerge w:val="restart"/>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center"/>
              <w:rPr>
                <w:rFonts w:hint="eastAsia" w:ascii="Calibri" w:hAnsi="Calibri" w:eastAsia="宋体" w:cs="Times New Roman"/>
                <w:snapToGrid/>
                <w:color w:val="auto"/>
                <w:kern w:val="2"/>
                <w:sz w:val="21"/>
                <w:szCs w:val="22"/>
                <w:highlight w:val="none"/>
                <w:vertAlign w:val="baseline"/>
                <w:lang w:eastAsia="zh-CN"/>
              </w:rPr>
            </w:pPr>
            <w:r>
              <w:rPr>
                <w:rFonts w:hint="eastAsia" w:ascii="Calibri" w:hAnsi="Calibri" w:eastAsia="宋体" w:cs="Times New Roman"/>
                <w:snapToGrid/>
                <w:color w:val="auto"/>
                <w:kern w:val="2"/>
                <w:sz w:val="21"/>
                <w:szCs w:val="22"/>
                <w:highlight w:val="none"/>
                <w:vertAlign w:val="baseline"/>
                <w:lang w:val="en-US" w:eastAsia="zh-CN"/>
              </w:rPr>
              <w:t>非执法类辅助性服务</w:t>
            </w:r>
          </w:p>
        </w:tc>
        <w:tc>
          <w:tcPr>
            <w:tcW w:w="1162" w:type="dxa"/>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eastAsia="zh-CN"/>
              </w:rPr>
            </w:pPr>
            <w:r>
              <w:rPr>
                <w:rFonts w:hint="eastAsia" w:ascii="Calibri" w:hAnsi="Calibri" w:eastAsia="宋体" w:cs="Times New Roman"/>
                <w:snapToGrid/>
                <w:color w:val="auto"/>
                <w:kern w:val="2"/>
                <w:sz w:val="21"/>
                <w:szCs w:val="22"/>
                <w:highlight w:val="none"/>
                <w:vertAlign w:val="baseline"/>
                <w:lang w:val="en-US" w:eastAsia="zh-CN"/>
              </w:rPr>
              <w:t>服务态度（25%）</w:t>
            </w:r>
          </w:p>
        </w:tc>
        <w:tc>
          <w:tcPr>
            <w:tcW w:w="4700" w:type="dxa"/>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中标人为本项目配备的人员应具备良好的服务态度，包括但不限于礼貌、耐心、细致等，与服务对象能进行良好的沟通，流畅</w:t>
            </w:r>
            <w:r>
              <w:rPr>
                <w:rFonts w:hint="eastAsia" w:cs="Times New Roman"/>
                <w:snapToGrid/>
                <w:color w:val="auto"/>
                <w:kern w:val="2"/>
                <w:sz w:val="21"/>
                <w:szCs w:val="22"/>
                <w:highlight w:val="none"/>
                <w:vertAlign w:val="baseline"/>
                <w:lang w:val="en-US" w:eastAsia="zh-CN"/>
              </w:rPr>
              <w:t>应</w:t>
            </w:r>
            <w:r>
              <w:rPr>
                <w:rFonts w:hint="eastAsia" w:ascii="Calibri" w:hAnsi="Calibri" w:eastAsia="宋体" w:cs="Times New Roman"/>
                <w:snapToGrid/>
                <w:color w:val="auto"/>
                <w:kern w:val="2"/>
                <w:sz w:val="21"/>
                <w:szCs w:val="22"/>
                <w:highlight w:val="none"/>
                <w:vertAlign w:val="baseline"/>
                <w:lang w:val="en-US" w:eastAsia="zh-CN"/>
              </w:rPr>
              <w:t>对各类涉税咨询，主动回应服务对象的需求和要求。</w:t>
            </w: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eastAsia="zh-CN"/>
              </w:rPr>
            </w:pPr>
          </w:p>
        </w:tc>
        <w:tc>
          <w:tcPr>
            <w:tcW w:w="1838" w:type="dxa"/>
            <w:vMerge w:val="continue"/>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eastAsia="zh-CN"/>
              </w:rPr>
            </w:pPr>
          </w:p>
        </w:tc>
        <w:tc>
          <w:tcPr>
            <w:tcW w:w="1162" w:type="dxa"/>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服务效率</w:t>
            </w: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eastAsia="zh-CN"/>
              </w:rPr>
            </w:pPr>
            <w:r>
              <w:rPr>
                <w:rFonts w:hint="eastAsia" w:ascii="Calibri" w:hAnsi="Calibri" w:eastAsia="宋体" w:cs="Times New Roman"/>
                <w:snapToGrid/>
                <w:color w:val="auto"/>
                <w:kern w:val="2"/>
                <w:sz w:val="21"/>
                <w:szCs w:val="22"/>
                <w:highlight w:val="none"/>
                <w:vertAlign w:val="baseline"/>
                <w:lang w:val="en-US" w:eastAsia="zh-CN"/>
              </w:rPr>
              <w:t>（25%）</w:t>
            </w:r>
          </w:p>
        </w:tc>
        <w:tc>
          <w:tcPr>
            <w:tcW w:w="4700" w:type="dxa"/>
            <w:noWrap w:val="0"/>
            <w:vAlign w:val="top"/>
          </w:tcPr>
          <w:p>
            <w:pPr>
              <w:keepNext w:val="0"/>
              <w:keepLines w:val="0"/>
              <w:pageBreakBefore w:val="0"/>
              <w:kinsoku/>
              <w:overflowPunct/>
              <w:topLinePunct w:val="0"/>
              <w:autoSpaceDE/>
              <w:autoSpaceDN/>
              <w:bidi w:val="0"/>
              <w:spacing w:line="360" w:lineRule="auto"/>
              <w:jc w:val="left"/>
              <w:rPr>
                <w:rFonts w:hint="eastAsia" w:cs="Times New Roman"/>
                <w:snapToGrid/>
                <w:color w:val="auto"/>
                <w:kern w:val="2"/>
                <w:sz w:val="21"/>
                <w:szCs w:val="22"/>
                <w:highlight w:val="none"/>
                <w:lang w:val="en-US" w:eastAsia="zh-CN"/>
              </w:rPr>
            </w:pPr>
            <w:r>
              <w:rPr>
                <w:rFonts w:hint="eastAsia" w:cs="Times New Roman"/>
                <w:snapToGrid/>
                <w:color w:val="auto"/>
                <w:kern w:val="2"/>
                <w:sz w:val="21"/>
                <w:szCs w:val="22"/>
                <w:highlight w:val="none"/>
                <w:lang w:val="en-US" w:eastAsia="zh-CN"/>
              </w:rPr>
              <w:t>①能提供足够数量的服务外包人员，满足采购人的需求；</w:t>
            </w:r>
          </w:p>
          <w:p>
            <w:pPr>
              <w:keepNext w:val="0"/>
              <w:keepLines w:val="0"/>
              <w:pageBreakBefore w:val="0"/>
              <w:kinsoku/>
              <w:overflowPunct/>
              <w:topLinePunct w:val="0"/>
              <w:autoSpaceDE/>
              <w:autoSpaceDN/>
              <w:bidi w:val="0"/>
              <w:spacing w:line="360" w:lineRule="auto"/>
              <w:jc w:val="left"/>
              <w:rPr>
                <w:rFonts w:hint="eastAsia" w:cs="Times New Roman"/>
                <w:snapToGrid/>
                <w:color w:val="auto"/>
                <w:kern w:val="2"/>
                <w:sz w:val="21"/>
                <w:szCs w:val="22"/>
                <w:highlight w:val="none"/>
                <w:lang w:val="en-US" w:eastAsia="zh-CN"/>
              </w:rPr>
            </w:pPr>
            <w:r>
              <w:rPr>
                <w:rFonts w:hint="eastAsia" w:cs="Times New Roman"/>
                <w:snapToGrid/>
                <w:color w:val="auto"/>
                <w:kern w:val="2"/>
                <w:sz w:val="21"/>
                <w:szCs w:val="22"/>
                <w:highlight w:val="none"/>
                <w:lang w:val="en-US" w:eastAsia="zh-CN"/>
              </w:rPr>
              <w:t>②中标人应确保员工的培训和考核，保障服务质量，并遵守相关的标准和法规；</w:t>
            </w:r>
          </w:p>
          <w:p>
            <w:pPr>
              <w:keepNext w:val="0"/>
              <w:keepLines w:val="0"/>
              <w:pageBreakBefore w:val="0"/>
              <w:kinsoku/>
              <w:overflowPunct/>
              <w:topLinePunct w:val="0"/>
              <w:autoSpaceDE/>
              <w:autoSpaceDN/>
              <w:bidi w:val="0"/>
              <w:spacing w:line="360" w:lineRule="auto"/>
              <w:jc w:val="left"/>
              <w:rPr>
                <w:rFonts w:hint="eastAsia" w:cs="Times New Roman"/>
                <w:snapToGrid/>
                <w:color w:val="auto"/>
                <w:kern w:val="2"/>
                <w:sz w:val="21"/>
                <w:szCs w:val="22"/>
                <w:highlight w:val="none"/>
                <w:lang w:val="en-US" w:eastAsia="zh-CN"/>
              </w:rPr>
            </w:pPr>
            <w:r>
              <w:rPr>
                <w:rFonts w:hint="eastAsia" w:cs="Times New Roman"/>
                <w:snapToGrid/>
                <w:color w:val="auto"/>
                <w:kern w:val="2"/>
                <w:sz w:val="21"/>
                <w:szCs w:val="22"/>
                <w:highlight w:val="none"/>
                <w:lang w:val="en-US" w:eastAsia="zh-CN"/>
              </w:rPr>
              <w:t>③提供的人员应服从领导听从指挥，具备较强的服务意识心理承受能力和学习能力，具有一定问题分析能力，能快速响应服务对象的诉求。</w:t>
            </w:r>
          </w:p>
          <w:p>
            <w:pPr>
              <w:autoSpaceDE/>
              <w:autoSpaceDN/>
              <w:spacing w:line="360" w:lineRule="auto"/>
              <w:rPr>
                <w:rFonts w:hint="eastAsia"/>
                <w:color w:val="auto"/>
                <w:highlight w:val="none"/>
                <w:lang w:eastAsia="zh-CN"/>
              </w:rPr>
            </w:pPr>
            <w:r>
              <w:rPr>
                <w:rFonts w:hint="eastAsia" w:ascii="Calibri" w:hAnsi="Calibri" w:eastAsia="宋体" w:cs="Times New Roman"/>
                <w:snapToGrid/>
                <w:color w:val="auto"/>
                <w:kern w:val="2"/>
                <w:sz w:val="21"/>
                <w:szCs w:val="22"/>
                <w:highlight w:val="none"/>
                <w:vertAlign w:val="baseline"/>
                <w:lang w:val="en-US" w:eastAsia="zh-CN"/>
              </w:rPr>
              <w:t>④服务</w:t>
            </w:r>
            <w:r>
              <w:rPr>
                <w:rFonts w:hint="eastAsia" w:cs="Times New Roman"/>
                <w:snapToGrid/>
                <w:color w:val="auto"/>
                <w:kern w:val="2"/>
                <w:sz w:val="21"/>
                <w:szCs w:val="22"/>
                <w:highlight w:val="none"/>
                <w:vertAlign w:val="baseline"/>
                <w:lang w:val="en-US" w:eastAsia="zh-CN"/>
              </w:rPr>
              <w:t>外包</w:t>
            </w:r>
            <w:r>
              <w:rPr>
                <w:rFonts w:hint="eastAsia" w:ascii="Calibri" w:hAnsi="Calibri" w:eastAsia="宋体" w:cs="Times New Roman"/>
                <w:snapToGrid/>
                <w:color w:val="auto"/>
                <w:kern w:val="2"/>
                <w:sz w:val="21"/>
                <w:szCs w:val="22"/>
                <w:highlight w:val="none"/>
                <w:vertAlign w:val="baseline"/>
                <w:lang w:val="en-US" w:eastAsia="zh-CN"/>
              </w:rPr>
              <w:t>人员应遵循着装</w:t>
            </w:r>
            <w:r>
              <w:rPr>
                <w:rFonts w:hint="eastAsia" w:cs="Times New Roman"/>
                <w:snapToGrid/>
                <w:color w:val="auto"/>
                <w:kern w:val="2"/>
                <w:sz w:val="21"/>
                <w:szCs w:val="22"/>
                <w:highlight w:val="none"/>
                <w:vertAlign w:val="baseline"/>
                <w:lang w:val="en-US" w:eastAsia="zh-CN"/>
              </w:rPr>
              <w:t>管理办法</w:t>
            </w:r>
            <w:r>
              <w:rPr>
                <w:rFonts w:hint="eastAsia" w:ascii="Calibri" w:hAnsi="Calibri" w:eastAsia="宋体" w:cs="Times New Roman"/>
                <w:snapToGrid/>
                <w:color w:val="auto"/>
                <w:kern w:val="2"/>
                <w:sz w:val="21"/>
                <w:szCs w:val="22"/>
                <w:highlight w:val="none"/>
                <w:vertAlign w:val="baseline"/>
                <w:lang w:val="en-US" w:eastAsia="zh-CN"/>
              </w:rPr>
              <w:t>（含税务</w:t>
            </w:r>
            <w:r>
              <w:rPr>
                <w:rFonts w:hint="eastAsia" w:cs="Times New Roman"/>
                <w:snapToGrid/>
                <w:color w:val="auto"/>
                <w:kern w:val="2"/>
                <w:sz w:val="21"/>
                <w:szCs w:val="22"/>
                <w:highlight w:val="none"/>
                <w:vertAlign w:val="baseline"/>
                <w:lang w:val="en-US" w:eastAsia="zh-CN"/>
              </w:rPr>
              <w:t>制服</w:t>
            </w:r>
            <w:r>
              <w:rPr>
                <w:rFonts w:hint="eastAsia" w:ascii="Calibri" w:hAnsi="Calibri" w:eastAsia="宋体" w:cs="Times New Roman"/>
                <w:snapToGrid/>
                <w:color w:val="auto"/>
                <w:kern w:val="2"/>
                <w:sz w:val="21"/>
                <w:szCs w:val="22"/>
                <w:highlight w:val="none"/>
                <w:vertAlign w:val="baseline"/>
                <w:lang w:val="en-US" w:eastAsia="zh-CN"/>
              </w:rPr>
              <w:t>、头花等仪容仪表要求，相关费用由中标方负责）</w:t>
            </w:r>
            <w:r>
              <w:rPr>
                <w:rFonts w:hint="eastAsia" w:cs="Times New Roman"/>
                <w:snapToGrid/>
                <w:color w:val="auto"/>
                <w:kern w:val="2"/>
                <w:sz w:val="21"/>
                <w:szCs w:val="22"/>
                <w:highlight w:val="none"/>
                <w:vertAlign w:val="baseline"/>
                <w:lang w:val="en-US" w:eastAsia="zh-CN"/>
              </w:rPr>
              <w:t>，不迟到、早退，不无故离岗。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tc>
        <w:tc>
          <w:tcPr>
            <w:tcW w:w="1838" w:type="dxa"/>
            <w:vMerge w:val="continue"/>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eastAsia="zh-CN"/>
              </w:rPr>
            </w:pPr>
          </w:p>
        </w:tc>
        <w:tc>
          <w:tcPr>
            <w:tcW w:w="1162" w:type="dxa"/>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服务质量监控</w:t>
            </w: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eastAsia="zh-CN"/>
              </w:rPr>
            </w:pPr>
            <w:r>
              <w:rPr>
                <w:rFonts w:hint="eastAsia" w:ascii="Calibri" w:hAnsi="Calibri" w:eastAsia="宋体" w:cs="Times New Roman"/>
                <w:snapToGrid/>
                <w:color w:val="auto"/>
                <w:kern w:val="2"/>
                <w:sz w:val="21"/>
                <w:szCs w:val="22"/>
                <w:highlight w:val="none"/>
                <w:vertAlign w:val="baseline"/>
                <w:lang w:val="en-US" w:eastAsia="zh-CN"/>
              </w:rPr>
              <w:t>（25%）</w:t>
            </w:r>
          </w:p>
        </w:tc>
        <w:tc>
          <w:tcPr>
            <w:tcW w:w="4700" w:type="dxa"/>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①中标人应建立健全的服务质量监控机制；</w:t>
            </w: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②定期</w:t>
            </w:r>
            <w:r>
              <w:rPr>
                <w:rFonts w:hint="eastAsia" w:cs="Times New Roman"/>
                <w:snapToGrid/>
                <w:color w:val="auto"/>
                <w:kern w:val="2"/>
                <w:sz w:val="21"/>
                <w:szCs w:val="22"/>
                <w:highlight w:val="none"/>
                <w:vertAlign w:val="baseline"/>
                <w:lang w:val="en-US" w:eastAsia="zh-CN"/>
              </w:rPr>
              <w:t>对</w:t>
            </w:r>
            <w:r>
              <w:rPr>
                <w:rFonts w:hint="eastAsia" w:ascii="Calibri" w:hAnsi="Calibri" w:eastAsia="宋体" w:cs="Times New Roman"/>
                <w:snapToGrid/>
                <w:color w:val="auto"/>
                <w:kern w:val="2"/>
                <w:sz w:val="21"/>
                <w:szCs w:val="22"/>
                <w:highlight w:val="none"/>
                <w:vertAlign w:val="baseline"/>
                <w:lang w:val="en-US" w:eastAsia="zh-CN"/>
              </w:rPr>
              <w:t>服务</w:t>
            </w:r>
            <w:r>
              <w:rPr>
                <w:rFonts w:hint="eastAsia" w:cs="Times New Roman"/>
                <w:snapToGrid/>
                <w:color w:val="auto"/>
                <w:kern w:val="2"/>
                <w:sz w:val="21"/>
                <w:szCs w:val="22"/>
                <w:highlight w:val="none"/>
                <w:vertAlign w:val="baseline"/>
                <w:lang w:val="en-US" w:eastAsia="zh-CN"/>
              </w:rPr>
              <w:t>外包人员服务质量进行</w:t>
            </w:r>
            <w:r>
              <w:rPr>
                <w:rFonts w:hint="eastAsia" w:ascii="Calibri" w:hAnsi="Calibri" w:eastAsia="宋体" w:cs="Times New Roman"/>
                <w:snapToGrid/>
                <w:color w:val="auto"/>
                <w:kern w:val="2"/>
                <w:sz w:val="21"/>
                <w:szCs w:val="22"/>
                <w:highlight w:val="none"/>
                <w:vertAlign w:val="baseline"/>
                <w:lang w:val="en-US" w:eastAsia="zh-CN"/>
              </w:rPr>
              <w:t>评估，</w:t>
            </w:r>
            <w:r>
              <w:rPr>
                <w:rFonts w:hint="eastAsia" w:cs="Times New Roman"/>
                <w:snapToGrid/>
                <w:color w:val="auto"/>
                <w:kern w:val="2"/>
                <w:sz w:val="21"/>
                <w:szCs w:val="22"/>
                <w:highlight w:val="none"/>
                <w:vertAlign w:val="baseline"/>
                <w:lang w:val="en-US" w:eastAsia="zh-CN"/>
              </w:rPr>
              <w:t>向采购人提交评估报告，</w:t>
            </w:r>
            <w:r>
              <w:rPr>
                <w:rFonts w:hint="eastAsia" w:ascii="Calibri" w:hAnsi="Calibri" w:eastAsia="宋体" w:cs="Times New Roman"/>
                <w:snapToGrid/>
                <w:color w:val="auto"/>
                <w:kern w:val="2"/>
                <w:sz w:val="21"/>
                <w:szCs w:val="22"/>
                <w:highlight w:val="none"/>
                <w:vertAlign w:val="baseline"/>
                <w:lang w:val="en-US" w:eastAsia="zh-CN"/>
              </w:rPr>
              <w:t>收集意见和反馈，及时改进服务；</w:t>
            </w:r>
          </w:p>
          <w:p>
            <w:pPr>
              <w:keepNext w:val="0"/>
              <w:keepLines w:val="0"/>
              <w:pageBreakBefore w:val="0"/>
              <w:kinsoku/>
              <w:overflowPunct/>
              <w:topLinePunct w:val="0"/>
              <w:autoSpaceDE/>
              <w:autoSpaceDN/>
              <w:bidi w:val="0"/>
              <w:spacing w:line="360" w:lineRule="auto"/>
              <w:jc w:val="left"/>
              <w:rPr>
                <w:rFonts w:hint="default"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③采购人有权要求中标人提供服务质量报告和相关数据，以确保服务符合标准和要求；</w:t>
            </w: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④建立投诉处理机制，及时对投诉进行处理并改进。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eastAsia="zh-CN"/>
              </w:rPr>
            </w:pPr>
          </w:p>
        </w:tc>
        <w:tc>
          <w:tcPr>
            <w:tcW w:w="1838" w:type="dxa"/>
            <w:vMerge w:val="continue"/>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eastAsia="zh-CN"/>
              </w:rPr>
            </w:pPr>
          </w:p>
        </w:tc>
        <w:tc>
          <w:tcPr>
            <w:tcW w:w="1162" w:type="dxa"/>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服务安全</w:t>
            </w: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eastAsia="zh-CN"/>
              </w:rPr>
            </w:pPr>
            <w:r>
              <w:rPr>
                <w:rFonts w:hint="eastAsia" w:ascii="Calibri" w:hAnsi="Calibri" w:eastAsia="宋体" w:cs="Times New Roman"/>
                <w:snapToGrid/>
                <w:color w:val="auto"/>
                <w:kern w:val="2"/>
                <w:sz w:val="21"/>
                <w:szCs w:val="22"/>
                <w:highlight w:val="none"/>
                <w:vertAlign w:val="baseline"/>
                <w:lang w:val="en-US" w:eastAsia="zh-CN"/>
              </w:rPr>
              <w:t>（25%）</w:t>
            </w:r>
          </w:p>
        </w:tc>
        <w:tc>
          <w:tcPr>
            <w:tcW w:w="4700" w:type="dxa"/>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①中标人应确保薪酬管理系统的公开透明，根据服务人员的工作表现和市场行情，合理确定薪酬水平，及时发放工资福利；</w:t>
            </w:r>
          </w:p>
          <w:p>
            <w:pPr>
              <w:keepNext w:val="0"/>
              <w:keepLines w:val="0"/>
              <w:pageBreakBefore w:val="0"/>
              <w:kinsoku/>
              <w:overflowPunct/>
              <w:topLinePunct w:val="0"/>
              <w:autoSpaceDE/>
              <w:autoSpaceDN/>
              <w:bidi w:val="0"/>
              <w:spacing w:line="360" w:lineRule="auto"/>
              <w:jc w:val="left"/>
              <w:rPr>
                <w:rFonts w:hint="default"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②中标人应妥善处理服务人员离职替换事宜，在</w:t>
            </w:r>
            <w:r>
              <w:rPr>
                <w:rFonts w:hint="eastAsia" w:cs="Times New Roman"/>
                <w:snapToGrid/>
                <w:color w:val="auto"/>
                <w:kern w:val="2"/>
                <w:sz w:val="21"/>
                <w:szCs w:val="22"/>
                <w:highlight w:val="none"/>
                <w:vertAlign w:val="baseline"/>
                <w:lang w:val="en-US" w:eastAsia="zh-CN"/>
              </w:rPr>
              <w:t>一</w:t>
            </w:r>
            <w:r>
              <w:rPr>
                <w:rFonts w:hint="eastAsia" w:ascii="Calibri" w:hAnsi="Calibri" w:eastAsia="宋体" w:cs="Times New Roman"/>
                <w:snapToGrid/>
                <w:color w:val="auto"/>
                <w:kern w:val="2"/>
                <w:sz w:val="21"/>
                <w:szCs w:val="22"/>
                <w:highlight w:val="none"/>
                <w:vertAlign w:val="baseline"/>
                <w:lang w:val="en-US" w:eastAsia="zh-CN"/>
              </w:rPr>
              <w:t>个月内及时提供替代人选，确保</w:t>
            </w:r>
            <w:r>
              <w:rPr>
                <w:rFonts w:hint="eastAsia" w:cs="Times New Roman"/>
                <w:snapToGrid/>
                <w:color w:val="auto"/>
                <w:kern w:val="2"/>
                <w:sz w:val="21"/>
                <w:szCs w:val="22"/>
                <w:highlight w:val="none"/>
                <w:vertAlign w:val="baseline"/>
                <w:lang w:val="en-US" w:eastAsia="zh-CN"/>
              </w:rPr>
              <w:t>提供不间断的服务</w:t>
            </w:r>
            <w:r>
              <w:rPr>
                <w:rFonts w:hint="eastAsia" w:ascii="Calibri" w:hAnsi="Calibri" w:eastAsia="宋体" w:cs="Times New Roman"/>
                <w:snapToGrid/>
                <w:color w:val="auto"/>
                <w:kern w:val="2"/>
                <w:sz w:val="21"/>
                <w:szCs w:val="22"/>
                <w:highlight w:val="none"/>
                <w:vertAlign w:val="baseline"/>
                <w:lang w:val="en-US" w:eastAsia="zh-CN"/>
              </w:rPr>
              <w:t>；</w:t>
            </w: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③服务人员应遵循保密规定，不得外传采购人涉密信息。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jc w:val="center"/>
        </w:trPr>
        <w:tc>
          <w:tcPr>
            <w:tcW w:w="661" w:type="dxa"/>
            <w:noWrap w:val="0"/>
            <w:vAlign w:val="top"/>
          </w:tcPr>
          <w:p>
            <w:pPr>
              <w:keepNext w:val="0"/>
              <w:keepLines w:val="0"/>
              <w:pageBreakBefore w:val="0"/>
              <w:kinsoku/>
              <w:overflowPunct/>
              <w:topLinePunct w:val="0"/>
              <w:autoSpaceDE/>
              <w:autoSpaceDN/>
              <w:bidi w:val="0"/>
              <w:spacing w:line="360" w:lineRule="auto"/>
              <w:jc w:val="center"/>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center"/>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center"/>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center"/>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center"/>
              <w:rPr>
                <w:rFonts w:hint="default"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2</w:t>
            </w:r>
          </w:p>
        </w:tc>
        <w:tc>
          <w:tcPr>
            <w:tcW w:w="1838" w:type="dxa"/>
            <w:noWrap w:val="0"/>
            <w:vAlign w:val="top"/>
          </w:tcPr>
          <w:p>
            <w:pPr>
              <w:keepNext w:val="0"/>
              <w:keepLines w:val="0"/>
              <w:pageBreakBefore w:val="0"/>
              <w:kinsoku/>
              <w:overflowPunct/>
              <w:topLinePunct w:val="0"/>
              <w:autoSpaceDE/>
              <w:autoSpaceDN/>
              <w:bidi w:val="0"/>
              <w:spacing w:line="360" w:lineRule="auto"/>
              <w:jc w:val="center"/>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center"/>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center"/>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both"/>
              <w:rPr>
                <w:rFonts w:hint="eastAsia" w:ascii="Calibri" w:hAnsi="Calibri" w:eastAsia="宋体" w:cs="Times New Roman"/>
                <w:snapToGrid/>
                <w:color w:val="auto"/>
                <w:kern w:val="2"/>
                <w:sz w:val="21"/>
                <w:szCs w:val="22"/>
                <w:highlight w:val="none"/>
                <w:vertAlign w:val="baseline"/>
                <w:lang w:val="en-US" w:eastAsia="zh-CN"/>
              </w:rPr>
            </w:pPr>
          </w:p>
          <w:p>
            <w:pPr>
              <w:keepNext w:val="0"/>
              <w:keepLines w:val="0"/>
              <w:pageBreakBefore w:val="0"/>
              <w:kinsoku/>
              <w:overflowPunct/>
              <w:topLinePunct w:val="0"/>
              <w:autoSpaceDE/>
              <w:autoSpaceDN/>
              <w:bidi w:val="0"/>
              <w:spacing w:line="360" w:lineRule="auto"/>
              <w:jc w:val="both"/>
              <w:rPr>
                <w:rFonts w:hint="eastAsia" w:ascii="Calibri" w:hAnsi="Calibri" w:eastAsia="宋体" w:cs="Times New Roman"/>
                <w:snapToGrid/>
                <w:color w:val="auto"/>
                <w:kern w:val="2"/>
                <w:sz w:val="21"/>
                <w:szCs w:val="22"/>
                <w:highlight w:val="none"/>
                <w:vertAlign w:val="baseline"/>
                <w:lang w:eastAsia="zh-CN"/>
              </w:rPr>
            </w:pPr>
            <w:r>
              <w:rPr>
                <w:rFonts w:hint="eastAsia" w:ascii="Calibri" w:hAnsi="Calibri" w:eastAsia="宋体" w:cs="Times New Roman"/>
                <w:snapToGrid/>
                <w:color w:val="auto"/>
                <w:kern w:val="2"/>
                <w:sz w:val="21"/>
                <w:szCs w:val="22"/>
                <w:highlight w:val="none"/>
                <w:vertAlign w:val="baseline"/>
                <w:lang w:val="en-US" w:eastAsia="zh-CN"/>
              </w:rPr>
              <w:t>司机驻点服务</w:t>
            </w:r>
          </w:p>
        </w:tc>
        <w:tc>
          <w:tcPr>
            <w:tcW w:w="1162" w:type="dxa"/>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eastAsia="zh-CN"/>
              </w:rPr>
            </w:pP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eastAsia="zh-CN"/>
              </w:rPr>
            </w:pPr>
            <w:r>
              <w:rPr>
                <w:rFonts w:hint="eastAsia" w:ascii="Calibri" w:hAnsi="Calibri" w:eastAsia="宋体" w:cs="Times New Roman"/>
                <w:snapToGrid/>
                <w:color w:val="auto"/>
                <w:kern w:val="2"/>
                <w:sz w:val="21"/>
                <w:szCs w:val="22"/>
                <w:highlight w:val="none"/>
                <w:vertAlign w:val="baseline"/>
                <w:lang w:eastAsia="zh-CN"/>
              </w:rPr>
              <w:t>服务要求</w:t>
            </w: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eastAsia="zh-CN"/>
              </w:rPr>
            </w:pPr>
            <w:r>
              <w:rPr>
                <w:rFonts w:hint="eastAsia" w:ascii="Calibri" w:hAnsi="Calibri" w:eastAsia="宋体" w:cs="Times New Roman"/>
                <w:snapToGrid/>
                <w:color w:val="auto"/>
                <w:kern w:val="2"/>
                <w:sz w:val="21"/>
                <w:szCs w:val="22"/>
                <w:highlight w:val="none"/>
                <w:vertAlign w:val="baseline"/>
                <w:lang w:val="en-US" w:eastAsia="zh-CN"/>
              </w:rPr>
              <w:t>（100%）</w:t>
            </w:r>
          </w:p>
        </w:tc>
        <w:tc>
          <w:tcPr>
            <w:tcW w:w="4700" w:type="dxa"/>
            <w:noWrap w:val="0"/>
            <w:vAlign w:val="top"/>
          </w:tcPr>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①应保障出车前车况检查，确保无漏油、漏水、漏电情况，保持车容车貌整洁，车厢内无垃圾和异味；</w:t>
            </w: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②驾驶员应注重个人仪表，礼貌待人，不将个人情绪带入工作中；</w:t>
            </w: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③严格遵守保密制度，不得干预</w:t>
            </w:r>
            <w:r>
              <w:rPr>
                <w:rFonts w:hint="eastAsia" w:cs="Times New Roman"/>
                <w:snapToGrid/>
                <w:color w:val="auto"/>
                <w:kern w:val="2"/>
                <w:sz w:val="21"/>
                <w:szCs w:val="22"/>
                <w:highlight w:val="none"/>
                <w:vertAlign w:val="baseline"/>
                <w:lang w:val="en-US" w:eastAsia="zh-CN"/>
              </w:rPr>
              <w:t>、</w:t>
            </w:r>
            <w:r>
              <w:rPr>
                <w:rFonts w:hint="eastAsia" w:ascii="Calibri" w:hAnsi="Calibri" w:eastAsia="宋体" w:cs="Times New Roman"/>
                <w:snapToGrid/>
                <w:color w:val="auto"/>
                <w:kern w:val="2"/>
                <w:sz w:val="21"/>
                <w:szCs w:val="22"/>
                <w:highlight w:val="none"/>
                <w:vertAlign w:val="baseline"/>
                <w:lang w:val="en-US" w:eastAsia="zh-CN"/>
              </w:rPr>
              <w:t>外传公务事宜；</w:t>
            </w: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t>④熟悉行车路线，具备基本车辆故障判断能力；</w:t>
            </w:r>
          </w:p>
          <w:p>
            <w:pPr>
              <w:keepNext w:val="0"/>
              <w:keepLines w:val="0"/>
              <w:pageBreakBefore w:val="0"/>
              <w:kinsoku/>
              <w:overflowPunct/>
              <w:topLinePunct w:val="0"/>
              <w:autoSpaceDE/>
              <w:autoSpaceDN/>
              <w:bidi w:val="0"/>
              <w:spacing w:line="360" w:lineRule="auto"/>
              <w:jc w:val="left"/>
              <w:rPr>
                <w:rFonts w:hint="eastAsia" w:ascii="Calibri" w:hAnsi="Calibri" w:eastAsia="宋体" w:cs="Times New Roman"/>
                <w:snapToGrid/>
                <w:color w:val="auto"/>
                <w:kern w:val="2"/>
                <w:sz w:val="21"/>
                <w:szCs w:val="22"/>
                <w:highlight w:val="none"/>
                <w:vertAlign w:val="baseline"/>
                <w:lang w:val="en-US" w:eastAsia="zh-CN"/>
              </w:rPr>
            </w:pPr>
            <w:r>
              <w:rPr>
                <w:rFonts w:hint="eastAsia" w:ascii="Calibri" w:hAnsi="Calibri" w:eastAsia="宋体" w:cs="Times New Roman"/>
                <w:snapToGrid/>
                <w:color w:val="auto"/>
                <w:kern w:val="2"/>
                <w:sz w:val="21"/>
                <w:szCs w:val="22"/>
                <w:highlight w:val="none"/>
                <w:vertAlign w:val="baseline"/>
                <w:lang w:val="en-US" w:eastAsia="zh-CN"/>
              </w:rPr>
              <w:fldChar w:fldCharType="begin"/>
            </w:r>
            <w:r>
              <w:rPr>
                <w:rFonts w:hint="eastAsia" w:ascii="Calibri" w:hAnsi="Calibri" w:eastAsia="宋体" w:cs="Times New Roman"/>
                <w:snapToGrid/>
                <w:color w:val="auto"/>
                <w:kern w:val="2"/>
                <w:sz w:val="21"/>
                <w:szCs w:val="22"/>
                <w:highlight w:val="none"/>
                <w:vertAlign w:val="baseline"/>
                <w:lang w:val="en-US" w:eastAsia="zh-CN"/>
              </w:rPr>
              <w:instrText xml:space="preserve"> = 5 \* GB3 \* MERGEFORMAT </w:instrText>
            </w:r>
            <w:r>
              <w:rPr>
                <w:rFonts w:hint="eastAsia" w:ascii="Calibri" w:hAnsi="Calibri" w:eastAsia="宋体" w:cs="Times New Roman"/>
                <w:snapToGrid/>
                <w:color w:val="auto"/>
                <w:kern w:val="2"/>
                <w:sz w:val="21"/>
                <w:szCs w:val="22"/>
                <w:highlight w:val="none"/>
                <w:vertAlign w:val="baseline"/>
                <w:lang w:val="en-US" w:eastAsia="zh-CN"/>
              </w:rPr>
              <w:fldChar w:fldCharType="separate"/>
            </w:r>
            <w:r>
              <w:rPr>
                <w:rFonts w:hint="eastAsia" w:ascii="Calibri" w:hAnsi="Calibri" w:eastAsia="宋体" w:cs="Times New Roman"/>
                <w:snapToGrid/>
                <w:color w:val="auto"/>
                <w:kern w:val="2"/>
                <w:sz w:val="21"/>
                <w:szCs w:val="22"/>
                <w:highlight w:val="none"/>
                <w:vertAlign w:val="baseline"/>
                <w:lang w:val="en-US" w:eastAsia="zh-CN"/>
              </w:rPr>
              <w:t>⑤</w:t>
            </w:r>
            <w:r>
              <w:rPr>
                <w:rFonts w:hint="eastAsia" w:ascii="Calibri" w:hAnsi="Calibri" w:eastAsia="宋体" w:cs="Times New Roman"/>
                <w:snapToGrid/>
                <w:color w:val="auto"/>
                <w:kern w:val="2"/>
                <w:sz w:val="21"/>
                <w:szCs w:val="22"/>
                <w:highlight w:val="none"/>
                <w:vertAlign w:val="baseline"/>
                <w:lang w:val="en-US" w:eastAsia="zh-CN"/>
              </w:rPr>
              <w:fldChar w:fldCharType="end"/>
            </w:r>
            <w:r>
              <w:rPr>
                <w:rFonts w:hint="eastAsia" w:ascii="Calibri" w:hAnsi="Calibri" w:eastAsia="宋体" w:cs="Times New Roman"/>
                <w:snapToGrid/>
                <w:color w:val="auto"/>
                <w:kern w:val="2"/>
                <w:sz w:val="21"/>
                <w:szCs w:val="22"/>
                <w:highlight w:val="none"/>
                <w:vertAlign w:val="baseline"/>
                <w:lang w:val="en-US" w:eastAsia="zh-CN"/>
              </w:rPr>
              <w:t>熟知车辆年检、保险等程序的办理流程。</w:t>
            </w:r>
          </w:p>
        </w:tc>
      </w:tr>
    </w:tbl>
    <w:p>
      <w:pPr>
        <w:pStyle w:val="8"/>
        <w:keepNext w:val="0"/>
        <w:keepLines w:val="0"/>
        <w:pageBreakBefore w:val="0"/>
        <w:numPr>
          <w:ilvl w:val="0"/>
          <w:numId w:val="0"/>
        </w:numPr>
        <w:kinsoku/>
        <w:overflowPunct/>
        <w:topLinePunct w:val="0"/>
        <w:autoSpaceDE/>
        <w:autoSpaceDN/>
        <w:bidi w:val="0"/>
        <w:spacing w:line="360" w:lineRule="auto"/>
        <w:jc w:val="left"/>
        <w:rPr>
          <w:rFonts w:hint="default"/>
          <w:color w:val="auto"/>
          <w:highlight w:val="none"/>
          <w:lang w:val="en-US" w:eastAsia="zh-CN"/>
        </w:rPr>
      </w:pPr>
    </w:p>
    <w:p>
      <w:pPr>
        <w:keepNext w:val="0"/>
        <w:keepLines w:val="0"/>
        <w:pageBreakBefore w:val="0"/>
        <w:kinsoku/>
        <w:overflowPunct/>
        <w:topLinePunct w:val="0"/>
        <w:autoSpaceDE/>
        <w:autoSpaceDN/>
        <w:bidi w:val="0"/>
        <w:adjustRightInd w:val="0"/>
        <w:snapToGrid w:val="0"/>
        <w:spacing w:line="360" w:lineRule="auto"/>
        <w:ind w:firstLine="640" w:firstLineChars="200"/>
        <w:jc w:val="left"/>
        <w:rPr>
          <w:rFonts w:hint="eastAsia" w:ascii="黑体" w:hAnsi="黑体" w:eastAsia="黑体" w:cs="Times New Roman"/>
          <w:snapToGrid/>
          <w:color w:val="auto"/>
          <w:highlight w:val="none"/>
        </w:rPr>
      </w:pPr>
      <w:r>
        <w:rPr>
          <w:rFonts w:hint="eastAsia" w:ascii="黑体" w:hAnsi="黑体" w:eastAsia="黑体" w:cs="Times New Roman"/>
          <w:snapToGrid/>
          <w:color w:val="auto"/>
          <w:highlight w:val="none"/>
        </w:rPr>
        <w:t>四、服务内容</w:t>
      </w:r>
    </w:p>
    <w:p>
      <w:pPr>
        <w:keepNext w:val="0"/>
        <w:keepLines w:val="0"/>
        <w:pageBreakBefore w:val="0"/>
        <w:numPr>
          <w:ilvl w:val="0"/>
          <w:numId w:val="3"/>
        </w:numPr>
        <w:kinsoku/>
        <w:overflowPunct/>
        <w:topLinePunct w:val="0"/>
        <w:autoSpaceDE/>
        <w:autoSpaceDN/>
        <w:bidi w:val="0"/>
        <w:adjustRightInd w:val="0"/>
        <w:snapToGrid w:val="0"/>
        <w:spacing w:line="360" w:lineRule="auto"/>
        <w:ind w:firstLine="640" w:firstLineChars="200"/>
        <w:jc w:val="left"/>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lang w:eastAsia="zh-CN"/>
        </w:rPr>
        <w:t>具体服务内容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1.机关（办税服务厅）非执法类辅助性服务</w:t>
      </w:r>
    </w:p>
    <w:p>
      <w:pPr>
        <w:keepNext w:val="0"/>
        <w:keepLines w:val="0"/>
        <w:pageBreakBefore w:val="0"/>
        <w:kinsoku/>
        <w:wordWrap/>
        <w:overflowPunct/>
        <w:topLinePunct w:val="0"/>
        <w:autoSpaceDE/>
        <w:autoSpaceDN/>
        <w:bidi w:val="0"/>
        <w:adjustRightInd/>
        <w:spacing w:line="360" w:lineRule="auto"/>
        <w:ind w:firstLine="640" w:firstLineChars="200"/>
        <w:jc w:val="both"/>
        <w:textAlignment w:val="auto"/>
        <w:rPr>
          <w:rFonts w:hint="eastAsia"/>
          <w:color w:val="auto"/>
          <w:highlight w:val="none"/>
          <w:lang w:val="en-US" w:eastAsia="zh-CN"/>
        </w:rPr>
      </w:pPr>
      <w:r>
        <w:rPr>
          <w:rFonts w:hint="eastAsia" w:ascii="仿宋" w:hAnsi="仿宋" w:eastAsia="仿宋" w:cs="仿宋"/>
          <w:color w:val="auto"/>
          <w:kern w:val="0"/>
          <w:sz w:val="32"/>
          <w:szCs w:val="32"/>
          <w:highlight w:val="none"/>
          <w:lang w:val="en-US" w:eastAsia="zh-CN"/>
        </w:rPr>
        <w:t>为我局在</w:t>
      </w:r>
      <w:r>
        <w:rPr>
          <w:rFonts w:hint="eastAsia" w:ascii="仿宋" w:hAnsi="仿宋" w:eastAsia="仿宋" w:cs="仿宋"/>
          <w:b w:val="0"/>
          <w:bCs/>
          <w:color w:val="auto"/>
          <w:kern w:val="2"/>
          <w:sz w:val="32"/>
          <w:szCs w:val="32"/>
          <w:highlight w:val="none"/>
          <w:lang w:val="en-US" w:eastAsia="zh-CN" w:bidi="ar-SA"/>
        </w:rPr>
        <w:t>指定地点提供导税服务、税费咨询服务、自助办税（费）辅导服务、涉税（费）宣传服务、征纳互动平台咨</w:t>
      </w:r>
      <w:r>
        <w:rPr>
          <w:rFonts w:hint="eastAsia" w:ascii="仿宋" w:hAnsi="仿宋" w:eastAsia="仿宋" w:cs="仿宋"/>
          <w:color w:val="auto"/>
          <w:kern w:val="0"/>
          <w:sz w:val="32"/>
          <w:szCs w:val="32"/>
          <w:highlight w:val="none"/>
          <w:lang w:val="en-US" w:eastAsia="zh-CN"/>
        </w:rPr>
        <w:t>询、延时服务、发票邮寄工作、协助做好业务档案资料的信息录入及整理、志愿服务、</w:t>
      </w:r>
      <w:r>
        <w:rPr>
          <w:rFonts w:hint="eastAsia" w:ascii="仿宋" w:hAnsi="仿宋" w:eastAsia="仿宋" w:cs="仿宋"/>
          <w:b w:val="0"/>
          <w:bCs/>
          <w:color w:val="auto"/>
          <w:kern w:val="2"/>
          <w:sz w:val="32"/>
          <w:szCs w:val="32"/>
          <w:highlight w:val="none"/>
          <w:lang w:val="en-US" w:eastAsia="zh-CN" w:bidi="ar-SA"/>
        </w:rPr>
        <w:t>与外单位对接联系，收发文件资料；报刊、杂志收发；办公用品收发；接听电话、接收传真；文印材料；做好会务保障，会议室调试；协助做好值班室日常管理。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2.其他后勤服务-司机服务</w:t>
      </w:r>
    </w:p>
    <w:p>
      <w:pPr>
        <w:pStyle w:val="10"/>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left="0" w:leftChars="0" w:right="429" w:rightChars="134" w:firstLine="640" w:firstLineChars="200"/>
        <w:textAlignment w:val="auto"/>
        <w:rPr>
          <w:rFonts w:hint="eastAsia" w:ascii="仿宋_GB2312" w:hAnsi="仿宋_GB2312" w:eastAsia="仿宋_GB2312" w:cs="仿宋_GB2312"/>
          <w:snapToGrid w:val="0"/>
          <w:color w:val="auto"/>
          <w:sz w:val="32"/>
          <w:szCs w:val="32"/>
          <w:highlight w:val="yellow"/>
        </w:rPr>
      </w:pPr>
      <w:r>
        <w:rPr>
          <w:rFonts w:hint="eastAsia" w:ascii="仿宋" w:hAnsi="仿宋" w:eastAsia="仿宋" w:cs="仿宋"/>
          <w:color w:val="auto"/>
          <w:kern w:val="0"/>
          <w:sz w:val="32"/>
          <w:szCs w:val="32"/>
          <w:highlight w:val="none"/>
          <w:lang w:val="en-US" w:eastAsia="zh-CN"/>
        </w:rPr>
        <w:t>为我局在指定地点</w:t>
      </w:r>
      <w:r>
        <w:rPr>
          <w:rFonts w:hint="eastAsia" w:ascii="仿宋" w:hAnsi="仿宋" w:eastAsia="仿宋" w:cs="仿宋"/>
          <w:b w:val="0"/>
          <w:bCs/>
          <w:color w:val="auto"/>
          <w:sz w:val="32"/>
          <w:szCs w:val="32"/>
          <w:highlight w:val="none"/>
          <w:lang w:val="en-US" w:eastAsia="zh-CN"/>
        </w:rPr>
        <w:t>司机驻点服务，根据我局的调度安排按时完成出车保障服务。执行出车任务前，进行车辆检查，确保车辆状况良好；执行出车任务后，进行车辆的清洁和日常维护工作。按我局车辆管理规定做好行车记录工作，按时办理车辆年检和其他车务手续等。</w:t>
      </w:r>
    </w:p>
    <w:p>
      <w:pPr>
        <w:pStyle w:val="22"/>
        <w:keepNext w:val="0"/>
        <w:keepLines w:val="0"/>
        <w:pageBreakBefore w:val="0"/>
        <w:widowControl/>
        <w:kinsoku/>
        <w:wordWrap/>
        <w:overflowPunct/>
        <w:topLinePunct w:val="0"/>
        <w:autoSpaceDE/>
        <w:autoSpaceDN/>
        <w:bidi w:val="0"/>
        <w:adjustRightInd/>
        <w:snapToGrid/>
        <w:spacing w:afterLines="0" w:line="360" w:lineRule="auto"/>
        <w:ind w:firstLine="64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eastAsia="zh-CN"/>
        </w:rPr>
        <w:t>二</w:t>
      </w:r>
      <w:r>
        <w:rPr>
          <w:rFonts w:hint="eastAsia" w:ascii="仿宋_GB2312" w:hAnsi="仿宋_GB2312" w:eastAsia="仿宋_GB2312" w:cs="仿宋_GB2312"/>
          <w:snapToGrid w:val="0"/>
          <w:color w:val="auto"/>
          <w:sz w:val="32"/>
          <w:szCs w:val="32"/>
          <w:highlight w:val="none"/>
        </w:rPr>
        <w:t>）服务人员要求</w:t>
      </w:r>
    </w:p>
    <w:p>
      <w:pPr>
        <w:pStyle w:val="22"/>
        <w:keepNext w:val="0"/>
        <w:keepLines w:val="0"/>
        <w:pageBreakBefore w:val="0"/>
        <w:widowControl/>
        <w:kinsoku/>
        <w:wordWrap/>
        <w:overflowPunct/>
        <w:topLinePunct w:val="0"/>
        <w:autoSpaceDE/>
        <w:autoSpaceDN/>
        <w:bidi w:val="0"/>
        <w:adjustRightInd/>
        <w:snapToGrid/>
        <w:spacing w:afterLines="0" w:line="360" w:lineRule="auto"/>
        <w:ind w:firstLine="640"/>
        <w:textAlignment w:val="auto"/>
        <w:rPr>
          <w:rFonts w:hint="eastAsia" w:ascii="仿宋" w:hAnsi="仿宋" w:eastAsia="仿宋" w:cs="仿宋"/>
          <w:b w:val="0"/>
          <w:bCs/>
          <w:snapToGrid w:val="0"/>
          <w:color w:val="auto"/>
          <w:sz w:val="32"/>
          <w:szCs w:val="32"/>
          <w:highlight w:val="none"/>
          <w:lang w:val="en-US" w:eastAsia="zh-CN" w:bidi="ar-SA"/>
        </w:rPr>
      </w:pPr>
      <w:r>
        <w:rPr>
          <w:rFonts w:hint="eastAsia" w:ascii="仿宋" w:hAnsi="仿宋" w:eastAsia="仿宋" w:cs="仿宋"/>
          <w:b w:val="0"/>
          <w:bCs/>
          <w:snapToGrid w:val="0"/>
          <w:color w:val="auto"/>
          <w:sz w:val="32"/>
          <w:szCs w:val="32"/>
          <w:highlight w:val="none"/>
          <w:lang w:val="en-US" w:eastAsia="zh-CN" w:bidi="ar-SA"/>
        </w:rPr>
        <w:t>1.非执法类辅助性服务</w:t>
      </w:r>
    </w:p>
    <w:p>
      <w:pPr>
        <w:pStyle w:val="10"/>
        <w:numPr>
          <w:ilvl w:val="0"/>
          <w:numId w:val="0"/>
        </w:numPr>
        <w:spacing w:afterLines="0"/>
        <w:ind w:leftChars="200" w:right="429" w:rightChars="134"/>
        <w:rPr>
          <w:rFonts w:hint="eastAsia" w:ascii="仿宋" w:hAnsi="仿宋" w:eastAsia="仿宋" w:cs="仿宋"/>
          <w:b w:val="0"/>
          <w:bCs/>
          <w:snapToGrid w:val="0"/>
          <w:color w:val="auto"/>
          <w:sz w:val="32"/>
          <w:szCs w:val="32"/>
          <w:highlight w:val="none"/>
          <w:lang w:val="en-US" w:eastAsia="zh-CN" w:bidi="ar-SA"/>
        </w:rPr>
      </w:pPr>
      <w:r>
        <w:rPr>
          <w:rFonts w:hint="eastAsia" w:ascii="仿宋" w:hAnsi="仿宋" w:eastAsia="仿宋" w:cs="仿宋"/>
          <w:b w:val="0"/>
          <w:bCs/>
          <w:snapToGrid w:val="0"/>
          <w:color w:val="auto"/>
          <w:sz w:val="32"/>
          <w:szCs w:val="32"/>
          <w:highlight w:val="none"/>
          <w:lang w:val="en-US" w:eastAsia="zh-CN" w:bidi="ar-SA"/>
        </w:rPr>
        <w:fldChar w:fldCharType="begin"/>
      </w:r>
      <w:r>
        <w:rPr>
          <w:rFonts w:hint="eastAsia" w:ascii="仿宋" w:hAnsi="仿宋" w:eastAsia="仿宋" w:cs="仿宋"/>
          <w:b w:val="0"/>
          <w:bCs/>
          <w:snapToGrid w:val="0"/>
          <w:color w:val="auto"/>
          <w:sz w:val="32"/>
          <w:szCs w:val="32"/>
          <w:highlight w:val="none"/>
          <w:lang w:val="en-US" w:eastAsia="zh-CN" w:bidi="ar-SA"/>
        </w:rPr>
        <w:instrText xml:space="preserve"> = 1 \* GB3 \* MERGEFORMAT </w:instrText>
      </w:r>
      <w:r>
        <w:rPr>
          <w:rFonts w:hint="eastAsia" w:ascii="仿宋" w:hAnsi="仿宋" w:eastAsia="仿宋" w:cs="仿宋"/>
          <w:b w:val="0"/>
          <w:bCs/>
          <w:snapToGrid w:val="0"/>
          <w:color w:val="auto"/>
          <w:sz w:val="32"/>
          <w:szCs w:val="32"/>
          <w:highlight w:val="none"/>
          <w:lang w:val="en-US" w:eastAsia="zh-CN" w:bidi="ar-SA"/>
        </w:rPr>
        <w:fldChar w:fldCharType="separate"/>
      </w:r>
      <w:r>
        <w:rPr>
          <w:rFonts w:hint="eastAsia" w:ascii="仿宋" w:hAnsi="仿宋" w:eastAsia="仿宋" w:cs="仿宋"/>
          <w:b w:val="0"/>
          <w:bCs/>
          <w:snapToGrid w:val="0"/>
          <w:color w:val="auto"/>
          <w:sz w:val="32"/>
          <w:szCs w:val="32"/>
          <w:highlight w:val="none"/>
          <w:lang w:val="en-US" w:eastAsia="zh-CN" w:bidi="ar-SA"/>
        </w:rPr>
        <w:t>①</w:t>
      </w:r>
      <w:r>
        <w:rPr>
          <w:rFonts w:hint="eastAsia" w:ascii="仿宋" w:hAnsi="仿宋" w:eastAsia="仿宋" w:cs="仿宋"/>
          <w:b w:val="0"/>
          <w:bCs/>
          <w:snapToGrid w:val="0"/>
          <w:color w:val="auto"/>
          <w:sz w:val="32"/>
          <w:szCs w:val="32"/>
          <w:highlight w:val="none"/>
          <w:lang w:val="en-US" w:eastAsia="zh-CN" w:bidi="ar-SA"/>
        </w:rPr>
        <w:fldChar w:fldCharType="end"/>
      </w:r>
      <w:r>
        <w:rPr>
          <w:rFonts w:hint="eastAsia" w:ascii="仿宋" w:hAnsi="仿宋" w:eastAsia="仿宋" w:cs="仿宋"/>
          <w:b w:val="0"/>
          <w:bCs/>
          <w:snapToGrid w:val="0"/>
          <w:color w:val="auto"/>
          <w:sz w:val="32"/>
          <w:szCs w:val="32"/>
          <w:highlight w:val="none"/>
          <w:lang w:val="en-US" w:eastAsia="zh-CN" w:bidi="ar-SA"/>
        </w:rPr>
        <w:t>具有中华人民共和国国籍，拥护中华人民共和国宪</w:t>
      </w:r>
    </w:p>
    <w:p>
      <w:pPr>
        <w:pStyle w:val="10"/>
        <w:numPr>
          <w:ilvl w:val="0"/>
          <w:numId w:val="0"/>
        </w:numPr>
        <w:spacing w:afterLines="0"/>
        <w:ind w:left="0" w:leftChars="0" w:right="429" w:rightChars="134" w:firstLine="0"/>
        <w:rPr>
          <w:rFonts w:hint="eastAsia" w:ascii="仿宋" w:hAnsi="仿宋" w:eastAsia="仿宋" w:cs="仿宋"/>
          <w:b w:val="0"/>
          <w:bCs/>
          <w:snapToGrid w:val="0"/>
          <w:color w:val="auto"/>
          <w:sz w:val="32"/>
          <w:szCs w:val="32"/>
          <w:highlight w:val="none"/>
          <w:lang w:val="en-US" w:eastAsia="zh-CN" w:bidi="ar-SA"/>
        </w:rPr>
      </w:pPr>
      <w:r>
        <w:rPr>
          <w:rFonts w:hint="eastAsia" w:ascii="仿宋" w:hAnsi="仿宋" w:eastAsia="仿宋" w:cs="仿宋"/>
          <w:b w:val="0"/>
          <w:bCs/>
          <w:snapToGrid w:val="0"/>
          <w:color w:val="auto"/>
          <w:sz w:val="32"/>
          <w:szCs w:val="32"/>
          <w:highlight w:val="none"/>
          <w:lang w:val="en-US" w:eastAsia="zh-CN" w:bidi="ar-SA"/>
        </w:rPr>
        <w:t>法，拥护中国共产党领导和社会主义制度，自觉维护国家和单位利益，遵纪守法，自觉遵守和执行单位的安全管理体系文件、规章制度、职工行为规范，无不良记录；</w:t>
      </w:r>
    </w:p>
    <w:p>
      <w:pPr>
        <w:pStyle w:val="10"/>
        <w:numPr>
          <w:ilvl w:val="0"/>
          <w:numId w:val="0"/>
        </w:numPr>
        <w:spacing w:afterLines="0" w:line="360" w:lineRule="auto"/>
        <w:ind w:leftChars="200" w:right="429" w:rightChars="134"/>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snapToGrid w:val="0"/>
          <w:color w:val="auto"/>
          <w:sz w:val="32"/>
          <w:szCs w:val="32"/>
          <w:highlight w:val="none"/>
          <w:lang w:val="en-US" w:eastAsia="zh-CN" w:bidi="ar-SA"/>
        </w:rPr>
        <w:fldChar w:fldCharType="begin"/>
      </w:r>
      <w:r>
        <w:rPr>
          <w:rFonts w:hint="eastAsia" w:ascii="仿宋" w:hAnsi="仿宋" w:eastAsia="仿宋" w:cs="仿宋"/>
          <w:b w:val="0"/>
          <w:bCs/>
          <w:snapToGrid w:val="0"/>
          <w:color w:val="auto"/>
          <w:sz w:val="32"/>
          <w:szCs w:val="32"/>
          <w:highlight w:val="none"/>
          <w:lang w:val="en-US" w:eastAsia="zh-CN" w:bidi="ar-SA"/>
        </w:rPr>
        <w:instrText xml:space="preserve"> = 2 \* GB3 \* MERGEFORMAT </w:instrText>
      </w:r>
      <w:r>
        <w:rPr>
          <w:rFonts w:hint="eastAsia" w:ascii="仿宋" w:hAnsi="仿宋" w:eastAsia="仿宋" w:cs="仿宋"/>
          <w:b w:val="0"/>
          <w:bCs/>
          <w:snapToGrid w:val="0"/>
          <w:color w:val="auto"/>
          <w:sz w:val="32"/>
          <w:szCs w:val="32"/>
          <w:highlight w:val="none"/>
          <w:lang w:val="en-US" w:eastAsia="zh-CN" w:bidi="ar-SA"/>
        </w:rPr>
        <w:fldChar w:fldCharType="separate"/>
      </w:r>
      <w:r>
        <w:rPr>
          <w:rFonts w:hint="eastAsia" w:ascii="仿宋" w:hAnsi="仿宋" w:eastAsia="仿宋" w:cs="仿宋"/>
          <w:b w:val="0"/>
          <w:bCs/>
          <w:snapToGrid w:val="0"/>
          <w:color w:val="auto"/>
          <w:sz w:val="32"/>
          <w:szCs w:val="32"/>
          <w:highlight w:val="none"/>
          <w:lang w:val="en-US" w:eastAsia="zh-CN" w:bidi="ar-SA"/>
        </w:rPr>
        <w:t>②</w:t>
      </w:r>
      <w:r>
        <w:rPr>
          <w:rFonts w:hint="eastAsia" w:ascii="仿宋" w:hAnsi="仿宋" w:eastAsia="仿宋" w:cs="仿宋"/>
          <w:b w:val="0"/>
          <w:bCs/>
          <w:snapToGrid w:val="0"/>
          <w:color w:val="auto"/>
          <w:sz w:val="32"/>
          <w:szCs w:val="32"/>
          <w:highlight w:val="none"/>
          <w:lang w:val="en-US" w:eastAsia="zh-CN" w:bidi="ar-SA"/>
        </w:rPr>
        <w:fldChar w:fldCharType="end"/>
      </w:r>
      <w:r>
        <w:rPr>
          <w:rFonts w:hint="eastAsia" w:ascii="仿宋" w:hAnsi="仿宋" w:eastAsia="仿宋" w:cs="仿宋"/>
          <w:b w:val="0"/>
          <w:bCs/>
          <w:color w:val="auto"/>
          <w:sz w:val="32"/>
          <w:szCs w:val="32"/>
          <w:highlight w:val="none"/>
          <w:lang w:val="en-US" w:eastAsia="zh-CN"/>
        </w:rPr>
        <w:t>本科以上学历，其中财会、税收类专业可优先考虑，</w:t>
      </w:r>
    </w:p>
    <w:p>
      <w:pPr>
        <w:pStyle w:val="10"/>
        <w:numPr>
          <w:ilvl w:val="0"/>
          <w:numId w:val="0"/>
        </w:numPr>
        <w:spacing w:afterLines="0" w:line="360" w:lineRule="auto"/>
        <w:ind w:left="0" w:leftChars="0" w:right="429" w:rightChars="134" w:firstLine="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年龄原则上不超过35周岁，有相关工作经验且业务熟练表现优秀者，可适当放宽条件；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snapToGrid w:val="0"/>
          <w:color w:val="auto"/>
          <w:sz w:val="32"/>
          <w:szCs w:val="32"/>
          <w:highlight w:val="none"/>
          <w:lang w:val="en-US" w:eastAsia="zh-CN" w:bidi="ar-SA"/>
        </w:rPr>
      </w:pPr>
      <w:r>
        <w:rPr>
          <w:rFonts w:hint="eastAsia" w:ascii="仿宋" w:hAnsi="仿宋" w:eastAsia="仿宋" w:cs="仿宋"/>
          <w:b w:val="0"/>
          <w:bCs/>
          <w:snapToGrid w:val="0"/>
          <w:color w:val="auto"/>
          <w:sz w:val="32"/>
          <w:szCs w:val="32"/>
          <w:highlight w:val="none"/>
          <w:lang w:val="en-US" w:eastAsia="zh-CN" w:bidi="ar-SA"/>
        </w:rPr>
        <w:t>③身体健康，具备较强的服务意识和语言表达能力、良好的沟通能力、记忆能力、心理承受能力和学习能力，</w:t>
      </w:r>
      <w:r>
        <w:rPr>
          <w:rFonts w:hint="eastAsia" w:ascii="仿宋" w:hAnsi="仿宋" w:eastAsia="仿宋" w:cs="仿宋"/>
          <w:bCs/>
          <w:color w:val="auto"/>
          <w:sz w:val="32"/>
          <w:szCs w:val="32"/>
          <w:highlight w:val="none"/>
        </w:rPr>
        <w:t>采购</w:t>
      </w:r>
      <w:r>
        <w:rPr>
          <w:rFonts w:hint="eastAsia" w:ascii="仿宋" w:hAnsi="仿宋" w:eastAsia="仿宋" w:cs="仿宋"/>
          <w:bCs/>
          <w:color w:val="auto"/>
          <w:sz w:val="32"/>
          <w:szCs w:val="32"/>
          <w:highlight w:val="none"/>
          <w:lang w:eastAsia="zh-CN"/>
        </w:rPr>
        <w:t>人</w:t>
      </w:r>
      <w:r>
        <w:rPr>
          <w:rFonts w:hint="eastAsia" w:ascii="仿宋" w:hAnsi="仿宋" w:eastAsia="仿宋" w:cs="仿宋"/>
          <w:bCs/>
          <w:color w:val="auto"/>
          <w:sz w:val="32"/>
          <w:szCs w:val="32"/>
          <w:highlight w:val="none"/>
        </w:rPr>
        <w:t>适时组织面试</w:t>
      </w:r>
      <w:r>
        <w:rPr>
          <w:rFonts w:hint="eastAsia" w:ascii="仿宋" w:hAnsi="仿宋" w:eastAsia="仿宋" w:cs="仿宋"/>
          <w:b w:val="0"/>
          <w:bCs/>
          <w:snapToGrid w:val="0"/>
          <w:color w:val="auto"/>
          <w:sz w:val="32"/>
          <w:szCs w:val="32"/>
          <w:highlight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6" w:lineRule="auto"/>
        <w:ind w:left="0" w:right="0" w:firstLine="640" w:firstLineChars="2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snapToGrid w:val="0"/>
          <w:color w:val="auto"/>
          <w:sz w:val="32"/>
          <w:szCs w:val="32"/>
          <w:highlight w:val="none"/>
          <w:lang w:val="en-US" w:eastAsia="zh-CN" w:bidi="ar-SA"/>
        </w:rPr>
        <w:t>④</w:t>
      </w:r>
      <w:r>
        <w:rPr>
          <w:rFonts w:hint="eastAsia" w:ascii="仿宋" w:hAnsi="仿宋" w:eastAsia="仿宋" w:cs="仿宋"/>
          <w:b w:val="0"/>
          <w:bCs/>
          <w:color w:val="auto"/>
          <w:sz w:val="32"/>
          <w:szCs w:val="32"/>
          <w:highlight w:val="none"/>
          <w:lang w:val="en-US" w:eastAsia="zh-CN"/>
        </w:rPr>
        <w:t>服从领导听从指挥，具备较强的服务意识、保密意识、心理承受能力和学习能力；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6" w:lineRule="auto"/>
        <w:ind w:left="0" w:right="0" w:firstLine="640" w:firstLineChars="200"/>
        <w:jc w:val="both"/>
        <w:textAlignment w:val="auto"/>
        <w:rPr>
          <w:rFonts w:hint="eastAsia"/>
          <w:color w:val="auto"/>
          <w:highlight w:val="none"/>
          <w:lang w:val="en-US" w:eastAsia="zh-CN"/>
        </w:rPr>
      </w:pPr>
      <w:r>
        <w:rPr>
          <w:rFonts w:hint="eastAsia" w:ascii="仿宋" w:hAnsi="仿宋" w:eastAsia="仿宋" w:cs="仿宋"/>
          <w:b w:val="0"/>
          <w:bCs/>
          <w:snapToGrid w:val="0"/>
          <w:color w:val="auto"/>
          <w:sz w:val="32"/>
          <w:szCs w:val="32"/>
          <w:highlight w:val="none"/>
          <w:lang w:val="en-US" w:eastAsia="zh-CN" w:bidi="ar-SA"/>
        </w:rPr>
        <w:fldChar w:fldCharType="begin"/>
      </w:r>
      <w:r>
        <w:rPr>
          <w:rFonts w:hint="eastAsia" w:ascii="仿宋" w:hAnsi="仿宋" w:eastAsia="仿宋" w:cs="仿宋"/>
          <w:b w:val="0"/>
          <w:bCs/>
          <w:snapToGrid w:val="0"/>
          <w:color w:val="auto"/>
          <w:sz w:val="32"/>
          <w:szCs w:val="32"/>
          <w:highlight w:val="none"/>
          <w:lang w:val="en-US" w:eastAsia="zh-CN" w:bidi="ar-SA"/>
        </w:rPr>
        <w:instrText xml:space="preserve"> = 5 \* GB3 \* MERGEFORMAT </w:instrText>
      </w:r>
      <w:r>
        <w:rPr>
          <w:rFonts w:hint="eastAsia" w:ascii="仿宋" w:hAnsi="仿宋" w:eastAsia="仿宋" w:cs="仿宋"/>
          <w:b w:val="0"/>
          <w:bCs/>
          <w:snapToGrid w:val="0"/>
          <w:color w:val="auto"/>
          <w:sz w:val="32"/>
          <w:szCs w:val="32"/>
          <w:highlight w:val="none"/>
          <w:lang w:val="en-US" w:eastAsia="zh-CN" w:bidi="ar-SA"/>
        </w:rPr>
        <w:fldChar w:fldCharType="separate"/>
      </w:r>
      <w:r>
        <w:rPr>
          <w:rFonts w:hint="eastAsia" w:ascii="仿宋" w:hAnsi="仿宋" w:eastAsia="仿宋" w:cs="仿宋"/>
          <w:b w:val="0"/>
          <w:bCs/>
          <w:snapToGrid w:val="0"/>
          <w:color w:val="auto"/>
          <w:sz w:val="32"/>
          <w:szCs w:val="32"/>
          <w:highlight w:val="none"/>
          <w:lang w:val="en-US" w:eastAsia="zh-CN" w:bidi="ar-SA"/>
        </w:rPr>
        <w:t>⑤</w:t>
      </w:r>
      <w:r>
        <w:rPr>
          <w:rFonts w:hint="eastAsia" w:ascii="仿宋" w:hAnsi="仿宋" w:eastAsia="仿宋" w:cs="仿宋"/>
          <w:b w:val="0"/>
          <w:bCs/>
          <w:snapToGrid w:val="0"/>
          <w:color w:val="auto"/>
          <w:sz w:val="32"/>
          <w:szCs w:val="32"/>
          <w:highlight w:val="none"/>
          <w:lang w:val="en-US" w:eastAsia="zh-CN" w:bidi="ar-SA"/>
        </w:rPr>
        <w:fldChar w:fldCharType="end"/>
      </w:r>
      <w:r>
        <w:rPr>
          <w:rFonts w:hint="eastAsia" w:ascii="仿宋" w:hAnsi="仿宋" w:eastAsia="仿宋" w:cs="仿宋"/>
          <w:b w:val="0"/>
          <w:bCs/>
          <w:color w:val="auto"/>
          <w:sz w:val="32"/>
          <w:szCs w:val="32"/>
          <w:highlight w:val="none"/>
          <w:lang w:val="en-US" w:eastAsia="zh-CN"/>
        </w:rPr>
        <w:t>爱岗敬业，能吃苦耐劳，具备良好的团队精神；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snapToGrid w:val="0"/>
          <w:color w:val="auto"/>
          <w:sz w:val="32"/>
          <w:szCs w:val="32"/>
          <w:highlight w:val="none"/>
          <w:lang w:val="en-US" w:eastAsia="zh-CN" w:bidi="ar-SA"/>
        </w:rPr>
      </w:pPr>
      <w:r>
        <w:rPr>
          <w:rFonts w:hint="eastAsia" w:ascii="仿宋" w:hAnsi="仿宋" w:eastAsia="仿宋" w:cs="仿宋"/>
          <w:b w:val="0"/>
          <w:bCs/>
          <w:snapToGrid w:val="0"/>
          <w:color w:val="auto"/>
          <w:sz w:val="32"/>
          <w:szCs w:val="32"/>
          <w:highlight w:val="none"/>
          <w:lang w:val="en-US" w:eastAsia="zh-CN" w:bidi="ar-SA"/>
        </w:rPr>
        <w:t>满足以上条件的人员必须在上岗前进行全员业务培训，并经我局组织考核，考试合格者方为符合条件。</w:t>
      </w:r>
    </w:p>
    <w:p>
      <w:pPr>
        <w:pStyle w:val="20"/>
        <w:keepNext w:val="0"/>
        <w:keepLines w:val="0"/>
        <w:pageBreakBefore w:val="0"/>
        <w:kinsoku/>
        <w:overflowPunct/>
        <w:topLinePunct w:val="0"/>
        <w:autoSpaceDE/>
        <w:autoSpaceDN/>
        <w:bidi w:val="0"/>
        <w:spacing w:line="360" w:lineRule="auto"/>
        <w:ind w:firstLine="640" w:firstLineChars="200"/>
        <w:rPr>
          <w:rFonts w:hint="default" w:ascii="仿宋" w:hAnsi="仿宋" w:eastAsia="仿宋" w:cs="仿宋"/>
          <w:b w:val="0"/>
          <w:bCs/>
          <w:snapToGrid w:val="0"/>
          <w:color w:val="auto"/>
          <w:sz w:val="32"/>
          <w:szCs w:val="32"/>
          <w:highlight w:val="none"/>
          <w:lang w:val="en-US" w:eastAsia="zh-CN" w:bidi="ar-SA"/>
        </w:rPr>
      </w:pPr>
      <w:r>
        <w:rPr>
          <w:rFonts w:hint="eastAsia" w:ascii="仿宋" w:hAnsi="仿宋" w:eastAsia="仿宋" w:cs="仿宋"/>
          <w:b w:val="0"/>
          <w:bCs/>
          <w:snapToGrid w:val="0"/>
          <w:color w:val="auto"/>
          <w:sz w:val="32"/>
          <w:szCs w:val="32"/>
          <w:highlight w:val="none"/>
          <w:lang w:val="en-US" w:eastAsia="zh-CN" w:bidi="ar-SA"/>
        </w:rPr>
        <w:t>2.司机驻点服务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snapToGrid w:val="0"/>
          <w:color w:val="auto"/>
          <w:sz w:val="32"/>
          <w:szCs w:val="32"/>
          <w:highlight w:val="none"/>
          <w:lang w:val="en-US" w:eastAsia="zh-CN" w:bidi="ar-SA"/>
        </w:rPr>
      </w:pPr>
      <w:r>
        <w:rPr>
          <w:rFonts w:hint="eastAsia" w:ascii="仿宋" w:hAnsi="仿宋" w:eastAsia="仿宋" w:cs="仿宋"/>
          <w:b w:val="0"/>
          <w:bCs/>
          <w:snapToGrid w:val="0"/>
          <w:color w:val="auto"/>
          <w:sz w:val="32"/>
          <w:szCs w:val="32"/>
          <w:highlight w:val="none"/>
          <w:lang w:val="en-US" w:eastAsia="zh-CN" w:bidi="ar-SA"/>
        </w:rPr>
        <w:t>①具有中华人民共和国国籍，拥护中华人民共和国宪法，拥护中国共产党领导和社会主义制度，自觉维护国家和单位利益，遵纪守法，自觉遵守和执行单位的安全管理体系文件、规章制度、职工行为规范，无不良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snapToGrid w:val="0"/>
          <w:color w:val="auto"/>
          <w:sz w:val="32"/>
          <w:szCs w:val="32"/>
          <w:highlight w:val="none"/>
          <w:lang w:val="en-US" w:eastAsia="zh-CN" w:bidi="ar-SA"/>
        </w:rPr>
        <w:t>②年龄原则上不超过45周岁，有相关工作经验且业务熟练表现优秀者可适当放宽条件；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snapToGrid w:val="0"/>
          <w:color w:val="auto"/>
          <w:sz w:val="32"/>
          <w:szCs w:val="32"/>
          <w:highlight w:val="none"/>
          <w:lang w:val="en-US" w:eastAsia="zh-CN" w:bidi="ar-SA"/>
        </w:rPr>
      </w:pPr>
      <w:r>
        <w:rPr>
          <w:rFonts w:hint="eastAsia" w:ascii="仿宋" w:hAnsi="仿宋" w:eastAsia="仿宋" w:cs="仿宋"/>
          <w:b w:val="0"/>
          <w:bCs/>
          <w:snapToGrid w:val="0"/>
          <w:color w:val="auto"/>
          <w:sz w:val="32"/>
          <w:szCs w:val="32"/>
          <w:highlight w:val="none"/>
          <w:lang w:val="en-US" w:eastAsia="zh-CN" w:bidi="ar-SA"/>
        </w:rPr>
        <w:t>③执有C1或以上驾照，至少2年驾龄，具有良好的驾驶技术及较强的安全意识，熟知驾驶和车辆相关的知识和法律；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snapToGrid w:val="0"/>
          <w:color w:val="auto"/>
          <w:sz w:val="32"/>
          <w:szCs w:val="32"/>
          <w:highlight w:val="none"/>
          <w:lang w:val="en-US" w:eastAsia="zh-CN" w:bidi="ar-SA"/>
        </w:rPr>
      </w:pPr>
      <w:r>
        <w:rPr>
          <w:rFonts w:hint="eastAsia" w:ascii="仿宋" w:hAnsi="仿宋" w:eastAsia="仿宋" w:cs="仿宋"/>
          <w:b w:val="0"/>
          <w:bCs/>
          <w:snapToGrid w:val="0"/>
          <w:color w:val="auto"/>
          <w:sz w:val="32"/>
          <w:szCs w:val="32"/>
          <w:highlight w:val="none"/>
          <w:lang w:val="en-US" w:eastAsia="zh-CN" w:bidi="ar-SA"/>
        </w:rPr>
        <w:t>④具备基本车辆故障判断能力；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640" w:leftChars="200" w:right="0" w:firstLine="0" w:firstLineChars="0"/>
        <w:jc w:val="both"/>
        <w:textAlignment w:val="auto"/>
        <w:rPr>
          <w:rFonts w:hint="eastAsia" w:ascii="仿宋" w:hAnsi="仿宋" w:eastAsia="仿宋" w:cs="仿宋"/>
          <w:b w:val="0"/>
          <w:bCs/>
          <w:snapToGrid w:val="0"/>
          <w:color w:val="auto"/>
          <w:sz w:val="32"/>
          <w:szCs w:val="32"/>
          <w:highlight w:val="none"/>
          <w:lang w:val="en-US" w:eastAsia="zh-CN" w:bidi="ar-SA"/>
        </w:rPr>
      </w:pPr>
      <w:r>
        <w:rPr>
          <w:rFonts w:hint="eastAsia" w:ascii="仿宋" w:hAnsi="仿宋" w:eastAsia="仿宋" w:cs="仿宋"/>
          <w:b w:val="0"/>
          <w:bCs/>
          <w:snapToGrid w:val="0"/>
          <w:color w:val="auto"/>
          <w:sz w:val="32"/>
          <w:szCs w:val="32"/>
          <w:highlight w:val="none"/>
          <w:lang w:val="en-US" w:eastAsia="zh-CN" w:bidi="ar-SA"/>
        </w:rPr>
        <w:fldChar w:fldCharType="begin"/>
      </w:r>
      <w:r>
        <w:rPr>
          <w:rFonts w:hint="eastAsia" w:ascii="仿宋" w:hAnsi="仿宋" w:eastAsia="仿宋" w:cs="仿宋"/>
          <w:b w:val="0"/>
          <w:bCs/>
          <w:snapToGrid w:val="0"/>
          <w:color w:val="auto"/>
          <w:sz w:val="32"/>
          <w:szCs w:val="32"/>
          <w:highlight w:val="none"/>
          <w:lang w:val="en-US" w:eastAsia="zh-CN" w:bidi="ar-SA"/>
        </w:rPr>
        <w:instrText xml:space="preserve"> = 5 \* GB3 \* MERGEFORMAT </w:instrText>
      </w:r>
      <w:r>
        <w:rPr>
          <w:rFonts w:hint="eastAsia" w:ascii="仿宋" w:hAnsi="仿宋" w:eastAsia="仿宋" w:cs="仿宋"/>
          <w:b w:val="0"/>
          <w:bCs/>
          <w:snapToGrid w:val="0"/>
          <w:color w:val="auto"/>
          <w:sz w:val="32"/>
          <w:szCs w:val="32"/>
          <w:highlight w:val="none"/>
          <w:lang w:val="en-US" w:eastAsia="zh-CN" w:bidi="ar-SA"/>
        </w:rPr>
        <w:fldChar w:fldCharType="separate"/>
      </w:r>
      <w:r>
        <w:rPr>
          <w:rFonts w:hint="eastAsia" w:ascii="仿宋" w:hAnsi="仿宋" w:eastAsia="仿宋" w:cs="仿宋"/>
          <w:b w:val="0"/>
          <w:bCs/>
          <w:snapToGrid w:val="0"/>
          <w:color w:val="auto"/>
          <w:sz w:val="32"/>
          <w:szCs w:val="32"/>
          <w:highlight w:val="none"/>
          <w:lang w:val="en-US" w:eastAsia="zh-CN" w:bidi="ar-SA"/>
        </w:rPr>
        <w:t>⑤</w:t>
      </w:r>
      <w:r>
        <w:rPr>
          <w:rFonts w:hint="eastAsia" w:ascii="仿宋" w:hAnsi="仿宋" w:eastAsia="仿宋" w:cs="仿宋"/>
          <w:b w:val="0"/>
          <w:bCs/>
          <w:snapToGrid w:val="0"/>
          <w:color w:val="auto"/>
          <w:sz w:val="32"/>
          <w:szCs w:val="32"/>
          <w:highlight w:val="none"/>
          <w:lang w:val="en-US" w:eastAsia="zh-CN" w:bidi="ar-SA"/>
        </w:rPr>
        <w:fldChar w:fldCharType="end"/>
      </w:r>
      <w:r>
        <w:rPr>
          <w:rFonts w:hint="eastAsia" w:ascii="仿宋" w:hAnsi="仿宋" w:eastAsia="仿宋" w:cs="仿宋"/>
          <w:b w:val="0"/>
          <w:bCs/>
          <w:snapToGrid w:val="0"/>
          <w:color w:val="auto"/>
          <w:sz w:val="32"/>
          <w:szCs w:val="32"/>
          <w:highlight w:val="none"/>
          <w:lang w:val="en-US" w:eastAsia="zh-CN" w:bidi="ar-SA"/>
        </w:rPr>
        <w:t>熟知办理年检、保险等程序的办理流程；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640" w:leftChars="200" w:right="0" w:firstLine="0" w:firstLineChars="0"/>
        <w:jc w:val="both"/>
        <w:textAlignment w:val="auto"/>
        <w:rPr>
          <w:rFonts w:hint="eastAsia" w:ascii="仿宋" w:hAnsi="仿宋" w:eastAsia="仿宋" w:cs="仿宋"/>
          <w:b w:val="0"/>
          <w:bCs/>
          <w:snapToGrid w:val="0"/>
          <w:color w:val="auto"/>
          <w:sz w:val="32"/>
          <w:szCs w:val="32"/>
          <w:highlight w:val="none"/>
          <w:lang w:val="en-US" w:eastAsia="zh-CN" w:bidi="ar-SA"/>
        </w:rPr>
      </w:pPr>
      <w:r>
        <w:rPr>
          <w:rFonts w:hint="eastAsia" w:ascii="仿宋" w:hAnsi="仿宋" w:eastAsia="仿宋" w:cs="仿宋"/>
          <w:b w:val="0"/>
          <w:bCs/>
          <w:snapToGrid w:val="0"/>
          <w:color w:val="auto"/>
          <w:sz w:val="32"/>
          <w:szCs w:val="32"/>
          <w:highlight w:val="none"/>
          <w:lang w:val="en-US" w:eastAsia="zh-CN" w:bidi="ar-SA"/>
        </w:rPr>
        <w:fldChar w:fldCharType="begin"/>
      </w:r>
      <w:r>
        <w:rPr>
          <w:rFonts w:hint="eastAsia" w:ascii="仿宋" w:hAnsi="仿宋" w:eastAsia="仿宋" w:cs="仿宋"/>
          <w:b w:val="0"/>
          <w:bCs/>
          <w:snapToGrid w:val="0"/>
          <w:color w:val="auto"/>
          <w:sz w:val="32"/>
          <w:szCs w:val="32"/>
          <w:highlight w:val="none"/>
          <w:lang w:val="en-US" w:eastAsia="zh-CN" w:bidi="ar-SA"/>
        </w:rPr>
        <w:instrText xml:space="preserve"> = 6 \* GB3 \* MERGEFORMAT </w:instrText>
      </w:r>
      <w:r>
        <w:rPr>
          <w:rFonts w:hint="eastAsia" w:ascii="仿宋" w:hAnsi="仿宋" w:eastAsia="仿宋" w:cs="仿宋"/>
          <w:b w:val="0"/>
          <w:bCs/>
          <w:snapToGrid w:val="0"/>
          <w:color w:val="auto"/>
          <w:sz w:val="32"/>
          <w:szCs w:val="32"/>
          <w:highlight w:val="none"/>
          <w:lang w:val="en-US" w:eastAsia="zh-CN" w:bidi="ar-SA"/>
        </w:rPr>
        <w:fldChar w:fldCharType="separate"/>
      </w:r>
      <w:r>
        <w:rPr>
          <w:rFonts w:hint="eastAsia" w:ascii="仿宋" w:hAnsi="仿宋" w:eastAsia="仿宋" w:cs="仿宋"/>
          <w:b w:val="0"/>
          <w:bCs/>
          <w:snapToGrid w:val="0"/>
          <w:color w:val="auto"/>
          <w:sz w:val="32"/>
          <w:szCs w:val="32"/>
          <w:highlight w:val="none"/>
          <w:lang w:val="en-US" w:eastAsia="zh-CN" w:bidi="ar-SA"/>
        </w:rPr>
        <w:t>⑥</w:t>
      </w:r>
      <w:r>
        <w:rPr>
          <w:rFonts w:hint="eastAsia" w:ascii="仿宋" w:hAnsi="仿宋" w:eastAsia="仿宋" w:cs="仿宋"/>
          <w:b w:val="0"/>
          <w:bCs/>
          <w:snapToGrid w:val="0"/>
          <w:color w:val="auto"/>
          <w:sz w:val="32"/>
          <w:szCs w:val="32"/>
          <w:highlight w:val="none"/>
          <w:lang w:val="en-US" w:eastAsia="zh-CN" w:bidi="ar-SA"/>
        </w:rPr>
        <w:fldChar w:fldCharType="end"/>
      </w:r>
      <w:r>
        <w:rPr>
          <w:rFonts w:hint="eastAsia" w:ascii="仿宋" w:hAnsi="仿宋" w:eastAsia="仿宋" w:cs="仿宋"/>
          <w:b w:val="0"/>
          <w:bCs/>
          <w:snapToGrid w:val="0"/>
          <w:color w:val="auto"/>
          <w:sz w:val="32"/>
          <w:szCs w:val="32"/>
          <w:highlight w:val="none"/>
          <w:lang w:val="en-US" w:eastAsia="zh-CN" w:bidi="ar-SA"/>
        </w:rPr>
        <w:t>无车辆驾驶安全责任事故；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snapToGrid w:val="0"/>
          <w:color w:val="auto"/>
          <w:sz w:val="32"/>
          <w:szCs w:val="32"/>
          <w:highlight w:val="none"/>
          <w:lang w:val="en-US" w:eastAsia="zh-CN" w:bidi="ar-SA"/>
        </w:rPr>
      </w:pPr>
      <w:r>
        <w:rPr>
          <w:rFonts w:hint="eastAsia" w:ascii="仿宋" w:hAnsi="仿宋" w:eastAsia="仿宋" w:cs="仿宋"/>
          <w:b w:val="0"/>
          <w:bCs/>
          <w:snapToGrid w:val="0"/>
          <w:color w:val="auto"/>
          <w:sz w:val="32"/>
          <w:szCs w:val="32"/>
          <w:highlight w:val="none"/>
          <w:lang w:val="en-US" w:eastAsia="zh-CN" w:bidi="ar-SA"/>
        </w:rPr>
        <w:fldChar w:fldCharType="begin"/>
      </w:r>
      <w:r>
        <w:rPr>
          <w:rFonts w:hint="eastAsia" w:ascii="仿宋" w:hAnsi="仿宋" w:eastAsia="仿宋" w:cs="仿宋"/>
          <w:b w:val="0"/>
          <w:bCs/>
          <w:snapToGrid w:val="0"/>
          <w:color w:val="auto"/>
          <w:sz w:val="32"/>
          <w:szCs w:val="32"/>
          <w:highlight w:val="none"/>
          <w:lang w:val="en-US" w:eastAsia="zh-CN" w:bidi="ar-SA"/>
        </w:rPr>
        <w:instrText xml:space="preserve"> = 7 \* GB3 \* MERGEFORMAT </w:instrText>
      </w:r>
      <w:r>
        <w:rPr>
          <w:rFonts w:hint="eastAsia" w:ascii="仿宋" w:hAnsi="仿宋" w:eastAsia="仿宋" w:cs="仿宋"/>
          <w:b w:val="0"/>
          <w:bCs/>
          <w:snapToGrid w:val="0"/>
          <w:color w:val="auto"/>
          <w:sz w:val="32"/>
          <w:szCs w:val="32"/>
          <w:highlight w:val="none"/>
          <w:lang w:val="en-US" w:eastAsia="zh-CN" w:bidi="ar-SA"/>
        </w:rPr>
        <w:fldChar w:fldCharType="separate"/>
      </w:r>
      <w:r>
        <w:rPr>
          <w:rFonts w:hint="eastAsia" w:ascii="仿宋" w:hAnsi="仿宋" w:eastAsia="仿宋" w:cs="仿宋"/>
          <w:b w:val="0"/>
          <w:bCs/>
          <w:snapToGrid w:val="0"/>
          <w:color w:val="auto"/>
          <w:sz w:val="32"/>
          <w:szCs w:val="32"/>
          <w:highlight w:val="none"/>
          <w:lang w:val="en-US" w:eastAsia="zh-CN" w:bidi="ar-SA"/>
        </w:rPr>
        <w:t>⑦</w:t>
      </w:r>
      <w:r>
        <w:rPr>
          <w:rFonts w:hint="eastAsia" w:ascii="仿宋" w:hAnsi="仿宋" w:eastAsia="仿宋" w:cs="仿宋"/>
          <w:b w:val="0"/>
          <w:bCs/>
          <w:snapToGrid w:val="0"/>
          <w:color w:val="auto"/>
          <w:sz w:val="32"/>
          <w:szCs w:val="32"/>
          <w:highlight w:val="none"/>
          <w:lang w:val="en-US" w:eastAsia="zh-CN" w:bidi="ar-SA"/>
        </w:rPr>
        <w:fldChar w:fldCharType="end"/>
      </w:r>
      <w:r>
        <w:rPr>
          <w:rFonts w:hint="eastAsia" w:ascii="仿宋" w:hAnsi="仿宋" w:eastAsia="仿宋" w:cs="仿宋"/>
          <w:b w:val="0"/>
          <w:bCs/>
          <w:snapToGrid w:val="0"/>
          <w:color w:val="auto"/>
          <w:sz w:val="32"/>
          <w:szCs w:val="32"/>
          <w:highlight w:val="none"/>
          <w:lang w:val="en-US" w:eastAsia="zh-CN" w:bidi="ar-SA"/>
        </w:rPr>
        <w:t>身体健康，品行良好，思想端正，具有较好的语言表达能力、沟通能力和思维反应能力；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snapToGrid w:val="0"/>
          <w:color w:val="auto"/>
          <w:sz w:val="32"/>
          <w:szCs w:val="32"/>
          <w:highlight w:val="none"/>
          <w:lang w:val="en-US" w:eastAsia="zh-CN" w:bidi="ar-SA"/>
        </w:rPr>
      </w:pPr>
      <w:r>
        <w:rPr>
          <w:rFonts w:hint="eastAsia" w:ascii="仿宋" w:hAnsi="仿宋" w:eastAsia="仿宋" w:cs="仿宋"/>
          <w:b w:val="0"/>
          <w:bCs/>
          <w:snapToGrid w:val="0"/>
          <w:color w:val="auto"/>
          <w:sz w:val="32"/>
          <w:szCs w:val="32"/>
          <w:highlight w:val="none"/>
          <w:lang w:val="en-US" w:eastAsia="zh-CN" w:bidi="ar-SA"/>
        </w:rPr>
        <w:fldChar w:fldCharType="begin"/>
      </w:r>
      <w:r>
        <w:rPr>
          <w:rFonts w:hint="eastAsia" w:ascii="仿宋" w:hAnsi="仿宋" w:eastAsia="仿宋" w:cs="仿宋"/>
          <w:b w:val="0"/>
          <w:bCs/>
          <w:snapToGrid w:val="0"/>
          <w:color w:val="auto"/>
          <w:sz w:val="32"/>
          <w:szCs w:val="32"/>
          <w:highlight w:val="none"/>
          <w:lang w:val="en-US" w:eastAsia="zh-CN" w:bidi="ar-SA"/>
        </w:rPr>
        <w:instrText xml:space="preserve"> = 8 \* GB3 \* MERGEFORMAT </w:instrText>
      </w:r>
      <w:r>
        <w:rPr>
          <w:rFonts w:hint="eastAsia" w:ascii="仿宋" w:hAnsi="仿宋" w:eastAsia="仿宋" w:cs="仿宋"/>
          <w:b w:val="0"/>
          <w:bCs/>
          <w:snapToGrid w:val="0"/>
          <w:color w:val="auto"/>
          <w:sz w:val="32"/>
          <w:szCs w:val="32"/>
          <w:highlight w:val="none"/>
          <w:lang w:val="en-US" w:eastAsia="zh-CN" w:bidi="ar-SA"/>
        </w:rPr>
        <w:fldChar w:fldCharType="separate"/>
      </w:r>
      <w:r>
        <w:rPr>
          <w:rFonts w:hint="eastAsia" w:ascii="仿宋" w:hAnsi="仿宋" w:eastAsia="仿宋" w:cs="仿宋"/>
          <w:b w:val="0"/>
          <w:bCs/>
          <w:snapToGrid w:val="0"/>
          <w:color w:val="auto"/>
          <w:sz w:val="32"/>
          <w:szCs w:val="32"/>
          <w:highlight w:val="none"/>
          <w:lang w:val="en-US" w:eastAsia="zh-CN" w:bidi="ar-SA"/>
        </w:rPr>
        <w:t>⑧</w:t>
      </w:r>
      <w:r>
        <w:rPr>
          <w:rFonts w:hint="eastAsia" w:ascii="仿宋" w:hAnsi="仿宋" w:eastAsia="仿宋" w:cs="仿宋"/>
          <w:b w:val="0"/>
          <w:bCs/>
          <w:snapToGrid w:val="0"/>
          <w:color w:val="auto"/>
          <w:sz w:val="32"/>
          <w:szCs w:val="32"/>
          <w:highlight w:val="none"/>
          <w:lang w:val="en-US" w:eastAsia="zh-CN" w:bidi="ar-SA"/>
        </w:rPr>
        <w:fldChar w:fldCharType="end"/>
      </w:r>
      <w:r>
        <w:rPr>
          <w:rFonts w:hint="eastAsia" w:ascii="仿宋" w:hAnsi="仿宋" w:eastAsia="仿宋" w:cs="仿宋"/>
          <w:b w:val="0"/>
          <w:bCs/>
          <w:snapToGrid w:val="0"/>
          <w:color w:val="auto"/>
          <w:sz w:val="32"/>
          <w:szCs w:val="32"/>
          <w:highlight w:val="none"/>
          <w:lang w:val="en-US" w:eastAsia="zh-CN" w:bidi="ar-SA"/>
        </w:rPr>
        <w:t>服从领导听从指挥，具备较强的服务意识、保密意识、心理承受能力和学习能力；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snapToGrid w:val="0"/>
          <w:color w:val="auto"/>
          <w:sz w:val="32"/>
          <w:szCs w:val="32"/>
          <w:highlight w:val="none"/>
          <w:lang w:val="en-US" w:eastAsia="zh-CN" w:bidi="ar-SA"/>
        </w:rPr>
      </w:pPr>
      <w:r>
        <w:rPr>
          <w:rFonts w:hint="eastAsia" w:ascii="仿宋" w:hAnsi="仿宋" w:eastAsia="仿宋" w:cs="仿宋"/>
          <w:b w:val="0"/>
          <w:bCs/>
          <w:snapToGrid w:val="0"/>
          <w:color w:val="auto"/>
          <w:sz w:val="32"/>
          <w:szCs w:val="32"/>
          <w:highlight w:val="none"/>
          <w:lang w:val="en-US" w:eastAsia="zh-CN" w:bidi="ar-SA"/>
        </w:rPr>
        <w:fldChar w:fldCharType="begin"/>
      </w:r>
      <w:r>
        <w:rPr>
          <w:rFonts w:hint="eastAsia" w:ascii="仿宋" w:hAnsi="仿宋" w:eastAsia="仿宋" w:cs="仿宋"/>
          <w:b w:val="0"/>
          <w:bCs/>
          <w:snapToGrid w:val="0"/>
          <w:color w:val="auto"/>
          <w:sz w:val="32"/>
          <w:szCs w:val="32"/>
          <w:highlight w:val="none"/>
          <w:lang w:val="en-US" w:eastAsia="zh-CN" w:bidi="ar-SA"/>
        </w:rPr>
        <w:instrText xml:space="preserve"> = 9 \* GB3 \* MERGEFORMAT </w:instrText>
      </w:r>
      <w:r>
        <w:rPr>
          <w:rFonts w:hint="eastAsia" w:ascii="仿宋" w:hAnsi="仿宋" w:eastAsia="仿宋" w:cs="仿宋"/>
          <w:b w:val="0"/>
          <w:bCs/>
          <w:snapToGrid w:val="0"/>
          <w:color w:val="auto"/>
          <w:sz w:val="32"/>
          <w:szCs w:val="32"/>
          <w:highlight w:val="none"/>
          <w:lang w:val="en-US" w:eastAsia="zh-CN" w:bidi="ar-SA"/>
        </w:rPr>
        <w:fldChar w:fldCharType="separate"/>
      </w:r>
      <w:r>
        <w:rPr>
          <w:rFonts w:hint="eastAsia" w:ascii="仿宋" w:hAnsi="仿宋" w:eastAsia="仿宋" w:cs="仿宋"/>
          <w:b w:val="0"/>
          <w:bCs/>
          <w:snapToGrid w:val="0"/>
          <w:color w:val="auto"/>
          <w:sz w:val="32"/>
          <w:szCs w:val="32"/>
          <w:highlight w:val="none"/>
          <w:lang w:val="en-US" w:eastAsia="zh-CN" w:bidi="ar-SA"/>
        </w:rPr>
        <w:t>⑨</w:t>
      </w:r>
      <w:r>
        <w:rPr>
          <w:rFonts w:hint="eastAsia" w:ascii="仿宋" w:hAnsi="仿宋" w:eastAsia="仿宋" w:cs="仿宋"/>
          <w:b w:val="0"/>
          <w:bCs/>
          <w:snapToGrid w:val="0"/>
          <w:color w:val="auto"/>
          <w:sz w:val="32"/>
          <w:szCs w:val="32"/>
          <w:highlight w:val="none"/>
          <w:lang w:val="en-US" w:eastAsia="zh-CN" w:bidi="ar-SA"/>
        </w:rPr>
        <w:fldChar w:fldCharType="end"/>
      </w:r>
      <w:r>
        <w:rPr>
          <w:rFonts w:hint="eastAsia" w:ascii="仿宋" w:hAnsi="仿宋" w:eastAsia="仿宋" w:cs="仿宋"/>
          <w:b w:val="0"/>
          <w:bCs/>
          <w:snapToGrid w:val="0"/>
          <w:color w:val="auto"/>
          <w:sz w:val="32"/>
          <w:szCs w:val="32"/>
          <w:highlight w:val="none"/>
          <w:lang w:val="en-US" w:eastAsia="zh-CN" w:bidi="ar-SA"/>
        </w:rPr>
        <w:t>爱岗敬业，能吃苦耐劳，具备良好的团队精神。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snapToGrid w:val="0"/>
          <w:color w:val="auto"/>
          <w:sz w:val="32"/>
          <w:szCs w:val="32"/>
          <w:highlight w:val="none"/>
          <w:lang w:val="en-US" w:eastAsia="zh-CN" w:bidi="ar-SA"/>
        </w:rPr>
      </w:pPr>
      <w:r>
        <w:rPr>
          <w:rFonts w:hint="eastAsia" w:ascii="仿宋" w:hAnsi="仿宋" w:eastAsia="仿宋" w:cs="仿宋"/>
          <w:b w:val="0"/>
          <w:bCs/>
          <w:snapToGrid w:val="0"/>
          <w:color w:val="auto"/>
          <w:sz w:val="32"/>
          <w:szCs w:val="32"/>
          <w:highlight w:val="none"/>
          <w:lang w:val="en-US" w:eastAsia="zh-CN" w:bidi="ar-SA"/>
        </w:rPr>
        <w:t>满足以上条件的人员必须在上岗前进行全员业务培训，并经我局组织考核，考试合格者方为符合条件。</w:t>
      </w:r>
    </w:p>
    <w:p>
      <w:pPr>
        <w:pStyle w:val="20"/>
        <w:rPr>
          <w:rFonts w:hint="eastAsia"/>
          <w:color w:val="auto"/>
          <w:highlight w:val="none"/>
          <w:lang w:val="en-US" w:eastAsia="zh-CN"/>
        </w:rPr>
      </w:pPr>
    </w:p>
    <w:p>
      <w:pPr>
        <w:pStyle w:val="22"/>
        <w:keepNext w:val="0"/>
        <w:keepLines w:val="0"/>
        <w:pageBreakBefore w:val="0"/>
        <w:numPr>
          <w:ilvl w:val="0"/>
          <w:numId w:val="4"/>
        </w:numPr>
        <w:kinsoku/>
        <w:overflowPunct/>
        <w:topLinePunct w:val="0"/>
        <w:autoSpaceDE/>
        <w:autoSpaceDN/>
        <w:bidi w:val="0"/>
        <w:spacing w:after="156" w:line="360" w:lineRule="auto"/>
        <w:ind w:firstLine="64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项目管理和实施要求</w:t>
      </w:r>
    </w:p>
    <w:p>
      <w:pPr>
        <w:pStyle w:val="27"/>
        <w:keepNext w:val="0"/>
        <w:keepLines w:val="0"/>
        <w:pageBreakBefore w:val="0"/>
        <w:kinsoku/>
        <w:overflowPunct/>
        <w:topLinePunct w:val="0"/>
        <w:autoSpaceDE/>
        <w:autoSpaceDN/>
        <w:bidi w:val="0"/>
        <w:spacing w:line="360" w:lineRule="auto"/>
        <w:ind w:firstLine="640" w:firstLineChars="200"/>
        <w:rPr>
          <w:rFonts w:hint="default" w:ascii="仿宋" w:hAnsi="仿宋" w:eastAsia="仿宋" w:cs="仿宋"/>
          <w:b w:val="0"/>
          <w:bCs/>
          <w:snapToGrid w:val="0"/>
          <w:color w:val="auto"/>
          <w:sz w:val="32"/>
          <w:szCs w:val="32"/>
          <w:highlight w:val="none"/>
          <w:lang w:val="en-US" w:eastAsia="zh-CN" w:bidi="ar-SA"/>
        </w:rPr>
      </w:pPr>
      <w:r>
        <w:rPr>
          <w:rFonts w:hint="eastAsia" w:ascii="仿宋" w:hAnsi="仿宋" w:eastAsia="仿宋" w:cs="仿宋"/>
          <w:b w:val="0"/>
          <w:bCs/>
          <w:snapToGrid w:val="0"/>
          <w:color w:val="auto"/>
          <w:sz w:val="32"/>
          <w:szCs w:val="32"/>
          <w:highlight w:val="none"/>
          <w:lang w:val="en-US" w:eastAsia="zh-CN" w:bidi="ar-SA"/>
        </w:rPr>
        <w:t>（一）项目实施总体要求</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both"/>
        <w:textAlignment w:val="auto"/>
        <w:rPr>
          <w:rFonts w:hint="eastAsia" w:ascii="仿宋" w:hAnsi="仿宋" w:eastAsia="仿宋" w:cs="仿宋"/>
          <w:b w:val="0"/>
          <w:bCs/>
          <w:color w:val="auto"/>
          <w:kern w:val="2"/>
          <w:sz w:val="32"/>
          <w:szCs w:val="32"/>
          <w:highlight w:val="none"/>
          <w:lang w:val="en-US" w:eastAsia="zh-CN" w:bidi="ar-SA"/>
        </w:rPr>
      </w:pPr>
      <w:r>
        <w:rPr>
          <w:rFonts w:hint="eastAsia" w:ascii="仿宋" w:hAnsi="仿宋" w:eastAsia="仿宋" w:cs="仿宋"/>
          <w:b w:val="0"/>
          <w:bCs/>
          <w:color w:val="auto"/>
          <w:kern w:val="2"/>
          <w:sz w:val="32"/>
          <w:szCs w:val="32"/>
          <w:highlight w:val="none"/>
          <w:lang w:val="en-US" w:eastAsia="zh-CN" w:bidi="ar-SA"/>
        </w:rPr>
        <w:t>1.本项目不允许中标人以任何名义和理由进行转包，如有发现，采购人有权单方终止合同，视为中标人违约，中标人违约对采购人造成的损失的，需另行支付相应的赔偿。</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both"/>
        <w:textAlignment w:val="auto"/>
        <w:rPr>
          <w:rFonts w:hint="eastAsia" w:ascii="仿宋" w:hAnsi="仿宋" w:eastAsia="仿宋" w:cs="仿宋"/>
          <w:b w:val="0"/>
          <w:bCs/>
          <w:color w:val="auto"/>
          <w:kern w:val="2"/>
          <w:sz w:val="32"/>
          <w:szCs w:val="32"/>
          <w:highlight w:val="none"/>
          <w:lang w:val="en-US" w:eastAsia="zh-CN" w:bidi="ar-SA"/>
        </w:rPr>
      </w:pPr>
      <w:r>
        <w:rPr>
          <w:rFonts w:hint="eastAsia" w:ascii="仿宋" w:hAnsi="仿宋" w:eastAsia="仿宋" w:cs="仿宋"/>
          <w:b w:val="0"/>
          <w:bCs/>
          <w:color w:val="auto"/>
          <w:kern w:val="2"/>
          <w:sz w:val="32"/>
          <w:szCs w:val="32"/>
          <w:highlight w:val="none"/>
          <w:lang w:val="en-US" w:eastAsia="zh-CN" w:bidi="ar-SA"/>
        </w:rPr>
        <w:t>2.中标人提供服务岗位人员保持相对稳定，采购人有权对中标人提供的人员服务期间的服务工作进行检查、验收，对不胜任任务的，采购人有权提出更换人员，中标人应该三日内提供对应的新岗位。</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3.岗位人员</w:t>
      </w:r>
      <w:r>
        <w:rPr>
          <w:rFonts w:hint="eastAsia" w:ascii="仿宋" w:hAnsi="仿宋" w:eastAsia="仿宋" w:cs="仿宋"/>
          <w:color w:val="auto"/>
          <w:sz w:val="32"/>
          <w:szCs w:val="32"/>
          <w:highlight w:val="none"/>
        </w:rPr>
        <w:t>因执行工作任务造成第三方损害应承担的赔偿责任，善后补偿</w:t>
      </w:r>
      <w:r>
        <w:rPr>
          <w:rFonts w:hint="eastAsia" w:ascii="仿宋" w:hAnsi="仿宋" w:eastAsia="仿宋" w:cs="仿宋"/>
          <w:color w:val="auto"/>
          <w:sz w:val="32"/>
          <w:szCs w:val="32"/>
          <w:highlight w:val="none"/>
          <w:lang w:eastAsia="zh-CN"/>
        </w:rPr>
        <w:t>、赔偿责任</w:t>
      </w:r>
      <w:r>
        <w:rPr>
          <w:rFonts w:hint="eastAsia" w:ascii="仿宋" w:hAnsi="仿宋" w:eastAsia="仿宋" w:cs="仿宋"/>
          <w:color w:val="auto"/>
          <w:sz w:val="32"/>
          <w:szCs w:val="32"/>
          <w:highlight w:val="none"/>
        </w:rPr>
        <w:t>由中标人</w:t>
      </w:r>
      <w:r>
        <w:rPr>
          <w:rFonts w:hint="eastAsia" w:ascii="仿宋" w:hAnsi="仿宋" w:eastAsia="仿宋" w:cs="仿宋"/>
          <w:color w:val="auto"/>
          <w:sz w:val="32"/>
          <w:szCs w:val="32"/>
          <w:highlight w:val="none"/>
          <w:lang w:eastAsia="zh-CN"/>
        </w:rPr>
        <w:t>承担</w:t>
      </w:r>
      <w:r>
        <w:rPr>
          <w:rFonts w:hint="eastAsia" w:ascii="仿宋" w:hAnsi="仿宋" w:eastAsia="仿宋" w:cs="仿宋"/>
          <w:color w:val="auto"/>
          <w:sz w:val="32"/>
          <w:szCs w:val="32"/>
          <w:highlight w:val="none"/>
        </w:rPr>
        <w:t>。</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4.合同期间，采购人因政策性</w:t>
      </w:r>
      <w:r>
        <w:rPr>
          <w:rFonts w:hint="eastAsia" w:ascii="仿宋" w:hAnsi="仿宋" w:eastAsia="仿宋" w:cs="仿宋"/>
          <w:color w:val="auto"/>
          <w:sz w:val="32"/>
          <w:szCs w:val="32"/>
          <w:highlight w:val="none"/>
        </w:rPr>
        <w:t>原因</w:t>
      </w:r>
      <w:r>
        <w:rPr>
          <w:rFonts w:hint="eastAsia" w:ascii="仿宋" w:hAnsi="仿宋" w:eastAsia="仿宋" w:cs="仿宋"/>
          <w:color w:val="auto"/>
          <w:sz w:val="32"/>
          <w:szCs w:val="32"/>
          <w:highlight w:val="none"/>
          <w:lang w:val="en-US" w:eastAsia="zh-CN"/>
        </w:rPr>
        <w:t>可能出现的变动，人员数量和岗位设置需留有弹性，费用按实际岗位工作量结算，具体人员以采购人的通知为准。</w:t>
      </w:r>
      <w:r>
        <w:rPr>
          <w:rFonts w:hint="eastAsia" w:ascii="仿宋" w:hAnsi="仿宋" w:eastAsia="仿宋" w:cs="仿宋"/>
          <w:color w:val="auto"/>
          <w:sz w:val="32"/>
          <w:szCs w:val="32"/>
          <w:highlight w:val="none"/>
        </w:rPr>
        <w:t>合同期内如中标人服务无法达到采购人要求，采购人有权终止合同。</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5.岗位人员</w:t>
      </w:r>
      <w:r>
        <w:rPr>
          <w:rFonts w:hint="eastAsia" w:ascii="仿宋" w:hAnsi="仿宋" w:eastAsia="仿宋" w:cs="仿宋"/>
          <w:color w:val="auto"/>
          <w:sz w:val="32"/>
          <w:szCs w:val="32"/>
          <w:highlight w:val="none"/>
        </w:rPr>
        <w:t>在采购人工作期间发生工伤、职业病、死亡等事故的，采购人应及时通报和配合中标人处理。发生的相应费用以及办理处理手续由中标人负责。</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both"/>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中标人应与</w:t>
      </w:r>
      <w:r>
        <w:rPr>
          <w:rFonts w:hint="eastAsia" w:ascii="仿宋" w:hAnsi="仿宋" w:eastAsia="仿宋" w:cs="仿宋"/>
          <w:color w:val="auto"/>
          <w:sz w:val="32"/>
          <w:szCs w:val="32"/>
          <w:highlight w:val="none"/>
          <w:lang w:val="en-US" w:eastAsia="zh-CN"/>
        </w:rPr>
        <w:t>岗位人员</w:t>
      </w:r>
      <w:r>
        <w:rPr>
          <w:rFonts w:hint="eastAsia" w:ascii="仿宋" w:hAnsi="仿宋" w:eastAsia="仿宋" w:cs="仿宋"/>
          <w:color w:val="auto"/>
          <w:sz w:val="32"/>
          <w:szCs w:val="32"/>
          <w:highlight w:val="none"/>
        </w:rPr>
        <w:t>建立劳动关系，并签订书面劳动合同。依</w:t>
      </w:r>
      <w:r>
        <w:rPr>
          <w:rFonts w:hint="eastAsia" w:ascii="仿宋" w:hAnsi="仿宋" w:eastAsia="仿宋" w:cs="仿宋"/>
          <w:color w:val="auto"/>
          <w:sz w:val="32"/>
          <w:szCs w:val="32"/>
          <w:highlight w:val="none"/>
          <w:lang w:eastAsia="zh-CN"/>
        </w:rPr>
        <w:t>法依规按时、足额</w:t>
      </w:r>
      <w:r>
        <w:rPr>
          <w:rFonts w:hint="eastAsia" w:ascii="仿宋" w:hAnsi="仿宋" w:eastAsia="仿宋" w:cs="仿宋"/>
          <w:color w:val="auto"/>
          <w:sz w:val="32"/>
          <w:szCs w:val="32"/>
          <w:highlight w:val="none"/>
        </w:rPr>
        <w:t>为</w:t>
      </w:r>
      <w:r>
        <w:rPr>
          <w:rFonts w:hint="eastAsia" w:ascii="仿宋" w:hAnsi="仿宋" w:eastAsia="仿宋" w:cs="仿宋"/>
          <w:color w:val="auto"/>
          <w:sz w:val="32"/>
          <w:szCs w:val="32"/>
          <w:highlight w:val="none"/>
          <w:lang w:eastAsia="zh-CN"/>
        </w:rPr>
        <w:t>岗位人员</w:t>
      </w:r>
      <w:r>
        <w:rPr>
          <w:rFonts w:hint="eastAsia" w:ascii="仿宋" w:hAnsi="仿宋" w:eastAsia="仿宋" w:cs="仿宋"/>
          <w:color w:val="auto"/>
          <w:sz w:val="32"/>
          <w:szCs w:val="32"/>
          <w:highlight w:val="none"/>
        </w:rPr>
        <w:t>缴纳社会保险和投保商业意外险，缴交残疾人保障金等。合同期间，因</w:t>
      </w:r>
      <w:r>
        <w:rPr>
          <w:rFonts w:hint="eastAsia" w:ascii="仿宋" w:hAnsi="仿宋" w:eastAsia="仿宋" w:cs="仿宋"/>
          <w:color w:val="auto"/>
          <w:sz w:val="32"/>
          <w:szCs w:val="32"/>
          <w:highlight w:val="none"/>
          <w:lang w:eastAsia="zh-CN"/>
        </w:rPr>
        <w:t>岗位人员</w:t>
      </w:r>
      <w:r>
        <w:rPr>
          <w:rFonts w:hint="eastAsia" w:ascii="仿宋" w:hAnsi="仿宋" w:eastAsia="仿宋" w:cs="仿宋"/>
          <w:color w:val="auto"/>
          <w:sz w:val="32"/>
          <w:szCs w:val="32"/>
          <w:highlight w:val="none"/>
        </w:rPr>
        <w:t>不能继续服务引起纠纷的，不得因此影响合同的继续履行。</w:t>
      </w:r>
      <w:r>
        <w:rPr>
          <w:rFonts w:hint="eastAsia" w:ascii="仿宋" w:hAnsi="仿宋" w:eastAsia="仿宋" w:cs="仿宋"/>
          <w:color w:val="auto"/>
          <w:kern w:val="0"/>
          <w:sz w:val="32"/>
          <w:szCs w:val="32"/>
          <w:highlight w:val="none"/>
          <w:lang w:val="en-US" w:eastAsia="zh-CN" w:bidi="ar-SA"/>
        </w:rPr>
        <w:t>解除或终止劳动合同时国家相关法律规定需要支付的费用由中标方负责。</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岗位人员</w:t>
      </w:r>
      <w:r>
        <w:rPr>
          <w:rFonts w:hint="eastAsia" w:ascii="仿宋" w:hAnsi="仿宋" w:eastAsia="仿宋" w:cs="仿宋"/>
          <w:color w:val="auto"/>
          <w:sz w:val="32"/>
          <w:szCs w:val="32"/>
          <w:highlight w:val="none"/>
        </w:rPr>
        <w:t>在工作中出现严重违反管理制度和工作纪律，导致被上级和地方政府部门通报的，或</w:t>
      </w:r>
      <w:r>
        <w:rPr>
          <w:rFonts w:hint="eastAsia" w:ascii="仿宋" w:hAnsi="仿宋" w:eastAsia="仿宋" w:cs="仿宋"/>
          <w:color w:val="auto"/>
          <w:sz w:val="32"/>
          <w:szCs w:val="32"/>
          <w:highlight w:val="none"/>
          <w:lang w:eastAsia="zh-CN"/>
        </w:rPr>
        <w:t>采购人认为岗位人员不能胜任服务要求、不服从管理的，</w:t>
      </w:r>
      <w:r>
        <w:rPr>
          <w:rFonts w:hint="eastAsia" w:ascii="仿宋" w:hAnsi="仿宋" w:eastAsia="仿宋" w:cs="仿宋"/>
          <w:color w:val="auto"/>
          <w:sz w:val="32"/>
          <w:szCs w:val="32"/>
          <w:highlight w:val="none"/>
        </w:rPr>
        <w:t>每次扣管理费的1%，并退回该人员。</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8.岗位人员</w:t>
      </w:r>
      <w:r>
        <w:rPr>
          <w:rFonts w:hint="eastAsia" w:ascii="仿宋" w:hAnsi="仿宋" w:eastAsia="仿宋" w:cs="仿宋"/>
          <w:color w:val="auto"/>
          <w:sz w:val="32"/>
          <w:szCs w:val="32"/>
          <w:highlight w:val="none"/>
          <w:lang w:eastAsia="zh-CN"/>
        </w:rPr>
        <w:t>休一个月以上假期的，中标人应</w:t>
      </w:r>
      <w:r>
        <w:rPr>
          <w:rFonts w:hint="eastAsia" w:ascii="仿宋" w:hAnsi="仿宋" w:eastAsia="仿宋" w:cs="仿宋"/>
          <w:color w:val="auto"/>
          <w:sz w:val="32"/>
          <w:szCs w:val="32"/>
          <w:highlight w:val="none"/>
          <w:lang w:val="en-US" w:eastAsia="zh-CN"/>
        </w:rPr>
        <w:t>安排替班人员，替班人员的薪酬由中标方负责</w:t>
      </w:r>
      <w:r>
        <w:rPr>
          <w:rFonts w:hint="eastAsia" w:ascii="仿宋" w:hAnsi="仿宋" w:eastAsia="仿宋" w:cs="仿宋"/>
          <w:color w:val="auto"/>
          <w:sz w:val="32"/>
          <w:szCs w:val="32"/>
          <w:highlight w:val="none"/>
        </w:rPr>
        <w:t>。</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因国家或地市政策调整社会保险基数的，或中标人未按政策规定足额承担应由其单位缴纳的社会保险费用而遭政府职能部门稽查和责令调整缴费基数或要求补缴社会保险费用的，中标人须即时调整和补缴。中标人因此遭到相关主管部门处罚的，还应承担赔偿责任。</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服务人员在采购人工作期间，应严格遵守和履行采购人依法制定的各项规章制度和岗位职责，以及保守采购人的工作秘密，维护采购人的声誉和利益。中标人有义务督促服务人员履行上述义务。服务人员因严重违反采购人依法制定的规章制度，不履行职责或因泄密造成采购人经济损失或负面影响的，采购人有权追究服务人员的法律责任。采购人可将此情况书面告知中标人，中标人配合采购人共同追究服务人员的经济或精神赔偿责任。</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both"/>
        <w:textAlignment w:val="auto"/>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11.</w:t>
      </w:r>
      <w:r>
        <w:rPr>
          <w:rFonts w:hint="eastAsia" w:ascii="仿宋" w:hAnsi="仿宋" w:eastAsia="仿宋" w:cs="仿宋"/>
          <w:bCs w:val="0"/>
          <w:color w:val="auto"/>
          <w:sz w:val="32"/>
          <w:szCs w:val="32"/>
          <w:highlight w:val="none"/>
        </w:rPr>
        <w:t>中标人需派1名业务经理，负责与采购人建立沟通协调和派驻服务人员的现场管理。</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12.未明确的其它约定事项或条款，待采购人与中标人签订合同时，由双方协商订立。</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13.中</w:t>
      </w:r>
      <w:r>
        <w:rPr>
          <w:rFonts w:hint="eastAsia" w:ascii="仿宋" w:hAnsi="仿宋" w:eastAsia="仿宋" w:cs="仿宋"/>
          <w:snapToGrid w:val="0"/>
          <w:color w:val="auto"/>
          <w:kern w:val="0"/>
          <w:sz w:val="32"/>
          <w:szCs w:val="32"/>
          <w:highlight w:val="none"/>
          <w:vertAlign w:val="baseline"/>
          <w:lang w:val="en-US" w:eastAsia="zh-CN"/>
        </w:rPr>
        <w:t>标人应当保证每月准时足额发放工资薪酬。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（二）实施时间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整体服务期限为2年，质量保障服务期限为2年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（三）实施地点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福建省莆田市城厢区凤凰山街道南门西路1119号</w:t>
      </w:r>
    </w:p>
    <w:p>
      <w:pPr>
        <w:pStyle w:val="26"/>
        <w:keepNext w:val="0"/>
        <w:keepLines w:val="0"/>
        <w:pageBreakBefore w:val="0"/>
        <w:kinsoku/>
        <w:overflowPunct/>
        <w:topLinePunct w:val="0"/>
        <w:autoSpaceDE/>
        <w:autoSpaceDN/>
        <w:bidi w:val="0"/>
        <w:spacing w:line="360" w:lineRule="auto"/>
        <w:ind w:firstLine="64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（四）实施方式</w:t>
      </w:r>
    </w:p>
    <w:p>
      <w:pPr>
        <w:pStyle w:val="22"/>
        <w:widowControl/>
        <w:numPr>
          <w:ilvl w:val="0"/>
          <w:numId w:val="0"/>
        </w:numPr>
        <w:autoSpaceDE/>
        <w:autoSpaceDN/>
        <w:adjustRightInd/>
        <w:spacing w:afterLines="0" w:line="360" w:lineRule="auto"/>
        <w:ind w:leftChars="200"/>
        <w:rPr>
          <w:rFonts w:hint="eastAsia"/>
          <w:highlight w:val="none"/>
          <w:lang w:val="en-US" w:eastAsia="zh-CN"/>
        </w:rPr>
      </w:pPr>
      <w:r>
        <w:rPr>
          <w:rFonts w:hint="eastAsia" w:ascii="仿宋_GB2312" w:hAnsi="仿宋_GB2312" w:eastAsia="仿宋_GB2312" w:cs="仿宋_GB2312"/>
          <w:snapToGrid w:val="0"/>
          <w:color w:val="auto"/>
          <w:sz w:val="32"/>
          <w:szCs w:val="32"/>
          <w:highlight w:val="none"/>
        </w:rPr>
        <w:t>驻场服务、现场服务。</w:t>
      </w:r>
    </w:p>
    <w:p>
      <w:pPr>
        <w:pStyle w:val="26"/>
        <w:keepNext w:val="0"/>
        <w:keepLines w:val="0"/>
        <w:pageBreakBefore w:val="0"/>
        <w:kinsoku/>
        <w:overflowPunct/>
        <w:topLinePunct w:val="0"/>
        <w:autoSpaceDE/>
        <w:autoSpaceDN/>
        <w:bidi w:val="0"/>
        <w:spacing w:line="360" w:lineRule="auto"/>
        <w:ind w:firstLine="64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（五）实施范围</w:t>
      </w:r>
    </w:p>
    <w:p>
      <w:pPr>
        <w:pStyle w:val="26"/>
        <w:keepNext w:val="0"/>
        <w:keepLines w:val="0"/>
        <w:pageBreakBefore w:val="0"/>
        <w:kinsoku/>
        <w:overflowPunct/>
        <w:topLinePunct w:val="0"/>
        <w:autoSpaceDE/>
        <w:autoSpaceDN/>
        <w:bidi w:val="0"/>
        <w:spacing w:line="360" w:lineRule="auto"/>
        <w:ind w:firstLine="640"/>
        <w:rPr>
          <w:rFonts w:hint="eastAsia" w:ascii="仿宋_GB2312" w:hAnsi="仿宋_GB2312" w:eastAsia="仿宋_GB2312" w:cs="仿宋_GB2312"/>
          <w:snapToGrid w:val="0"/>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国家税务总局荔城税务局办税服务厅、区局机关股室</w:t>
      </w:r>
    </w:p>
    <w:p>
      <w:pPr>
        <w:pStyle w:val="26"/>
        <w:keepNext w:val="0"/>
        <w:keepLines w:val="0"/>
        <w:pageBreakBefore w:val="0"/>
        <w:kinsoku/>
        <w:overflowPunct/>
        <w:topLinePunct w:val="0"/>
        <w:autoSpaceDE/>
        <w:autoSpaceDN/>
        <w:bidi w:val="0"/>
        <w:spacing w:line="360" w:lineRule="auto"/>
        <w:ind w:firstLine="640"/>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六、违约责任</w:t>
      </w:r>
    </w:p>
    <w:p>
      <w:pPr>
        <w:keepNext w:val="0"/>
        <w:keepLines w:val="0"/>
        <w:pageBreakBefore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合同签订后，2024年11月1日起中标人应提供符合条件的服务人员，如未达要求，每逾期一日，中标人应向采购人支付当年合同总价款的千分之一作为违约金，若逾期超过十五日，采购人有权单方面解除合同，并要求中标人支付当年合同总价款的20%作为违约金。</w:t>
      </w:r>
    </w:p>
    <w:p>
      <w:pPr>
        <w:keepNext w:val="0"/>
        <w:keepLines w:val="0"/>
        <w:pageBreakBefore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2.中标人当季服务质效考核得分低于80分的，采购人有权要求中标人查找原因并于采购人通知的一个月期限内整改，逾期未整改的或整改一次后仍不能符合要求的，采购人有权单方面解除合同，中标人应赔偿当年合同总价款的20%作为违约金。     </w:t>
      </w:r>
    </w:p>
    <w:p>
      <w:pPr>
        <w:keepNext w:val="0"/>
        <w:keepLines w:val="0"/>
        <w:pageBreakBefore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中标人未履行投标承诺，影响采购人正常运行的，采购人有权要求中标人在指定期限内整改，采购人逾期未整改的，每逾期一日，按照当年合同总价款的千分之一承担违约金并赔偿采购人因此受到的损失；逾期超过十五日，采购人有权单方面解除合同，并要求中标人支付当年合同总价款的20%作为违约金。</w:t>
      </w:r>
    </w:p>
    <w:p>
      <w:pPr>
        <w:pStyle w:val="26"/>
        <w:keepNext w:val="0"/>
        <w:keepLines w:val="0"/>
        <w:pageBreakBefore w:val="0"/>
        <w:kinsoku/>
        <w:overflowPunct/>
        <w:topLinePunct w:val="0"/>
        <w:autoSpaceDE/>
        <w:autoSpaceDN/>
        <w:bidi w:val="0"/>
        <w:spacing w:line="360" w:lineRule="auto"/>
        <w:ind w:firstLine="640"/>
        <w:rPr>
          <w:rFonts w:hint="eastAsia" w:ascii="仿宋_GB2312" w:hAnsi="仿宋_GB2312" w:eastAsia="仿宋_GB2312"/>
          <w:color w:val="auto"/>
          <w:sz w:val="32"/>
          <w:highlight w:val="none"/>
          <w:lang w:val="en" w:eastAsia="zh-CN"/>
        </w:rPr>
      </w:pPr>
      <w:r>
        <w:rPr>
          <w:rFonts w:hint="eastAsia" w:ascii="黑体" w:hAnsi="黑体" w:eastAsia="黑体"/>
          <w:color w:val="auto"/>
          <w:sz w:val="32"/>
          <w:szCs w:val="32"/>
          <w:highlight w:val="none"/>
          <w:lang w:val="en-US" w:eastAsia="zh-CN"/>
        </w:rPr>
        <w:t>七、</w:t>
      </w:r>
      <w:r>
        <w:rPr>
          <w:rFonts w:hint="eastAsia" w:ascii="黑体" w:hAnsi="黑体" w:eastAsia="黑体"/>
          <w:color w:val="auto"/>
          <w:sz w:val="32"/>
          <w:szCs w:val="32"/>
          <w:highlight w:val="none"/>
          <w:lang w:val="en" w:eastAsia="zh-CN"/>
        </w:rPr>
        <w:t>验收要求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1.考核验收工作由需求部门组成考核小组按考核标准进行实施</w:t>
      </w:r>
      <w:r>
        <w:rPr>
          <w:rFonts w:hint="eastAsia" w:ascii="仿宋" w:hAnsi="仿宋" w:eastAsia="仿宋" w:cs="仿宋"/>
          <w:b/>
          <w:bCs/>
          <w:color w:val="auto"/>
          <w:sz w:val="32"/>
          <w:szCs w:val="32"/>
          <w:highlight w:val="none"/>
          <w:lang w:val="en-US" w:eastAsia="zh-CN"/>
        </w:rPr>
        <w:t>（考核标准见附件）</w:t>
      </w:r>
      <w:r>
        <w:rPr>
          <w:rFonts w:hint="eastAsia" w:ascii="仿宋" w:hAnsi="仿宋" w:eastAsia="仿宋" w:cs="仿宋"/>
          <w:color w:val="auto"/>
          <w:sz w:val="32"/>
          <w:szCs w:val="32"/>
          <w:highlight w:val="none"/>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2.考核验收采取每月不定期随机抽查的形式。考核验收小组对考核现场根据考核办法进行考核评分。</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3.验收时间跨度为每月1日至月底。</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4.考核要求：验收总体满意度指数90%以上。</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于每年合同期末进行总体验收工作，中标人在履行每年度服务过程中，采购人将采用满意度调查等多种形式对其整体履约服务情况进行考核。若中标人年度综合考核＜80分的，采购人将不与其签订下个年度及之后的合同。</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6.每年度综合考核平均分80分以上（含80分），可根据招标文件约定条款及相关法律法规续签承包合同，续签合同的一切条款与原合同一样，合同价款根据相关法律法规按实际情况协商后签订。</w:t>
      </w:r>
    </w:p>
    <w:p>
      <w:pPr>
        <w:pStyle w:val="15"/>
        <w:keepNext w:val="0"/>
        <w:keepLines w:val="0"/>
        <w:pageBreakBefore w:val="0"/>
        <w:numPr>
          <w:ilvl w:val="0"/>
          <w:numId w:val="0"/>
        </w:numPr>
        <w:kinsoku/>
        <w:overflowPunct/>
        <w:topLinePunct w:val="0"/>
        <w:autoSpaceDE/>
        <w:autoSpaceDN/>
        <w:bidi w:val="0"/>
        <w:adjustRightInd/>
        <w:spacing w:line="360" w:lineRule="auto"/>
        <w:ind w:firstLine="640" w:firstLineChars="200"/>
        <w:jc w:val="both"/>
        <w:textAlignment w:val="auto"/>
        <w:rPr>
          <w:rFonts w:hint="eastAsia" w:ascii="仿宋_GB2312" w:hAnsi="仿宋_GB2312" w:eastAsia="仿宋_GB2312" w:cs="仿宋_GB2312"/>
          <w:snapToGrid w:val="0"/>
          <w:color w:val="auto"/>
          <w:sz w:val="32"/>
          <w:szCs w:val="32"/>
          <w:highlight w:val="none"/>
          <w:lang w:val="en" w:eastAsia="zh-CN"/>
        </w:rPr>
      </w:pPr>
      <w:r>
        <w:rPr>
          <w:rFonts w:hint="eastAsia" w:ascii="仿宋" w:hAnsi="仿宋" w:eastAsia="仿宋" w:cs="仿宋"/>
          <w:color w:val="auto"/>
          <w:sz w:val="32"/>
          <w:szCs w:val="32"/>
          <w:highlight w:val="none"/>
          <w:lang w:val="en-US" w:eastAsia="zh-CN"/>
        </w:rPr>
        <w:t>7.本项目合同期满后，采购人将视中标人的履约的综合考评情况，决定是否与中标人继续签订服务合同，本条款的最终解释权在采购人。</w:t>
      </w:r>
    </w:p>
    <w:p>
      <w:pPr>
        <w:pStyle w:val="26"/>
        <w:keepNext w:val="0"/>
        <w:keepLines w:val="0"/>
        <w:pageBreakBefore w:val="0"/>
        <w:kinsoku/>
        <w:overflowPunct/>
        <w:topLinePunct w:val="0"/>
        <w:autoSpaceDE/>
        <w:autoSpaceDN/>
        <w:bidi w:val="0"/>
        <w:spacing w:line="360" w:lineRule="auto"/>
        <w:ind w:firstLine="640"/>
        <w:rPr>
          <w:rFonts w:hint="eastAsia" w:ascii="黑体" w:hAnsi="黑体" w:eastAsia="黑体"/>
          <w:color w:val="auto"/>
          <w:sz w:val="32"/>
          <w:szCs w:val="32"/>
          <w:highlight w:val="none"/>
          <w:lang w:val="en" w:eastAsia="zh-CN"/>
        </w:rPr>
      </w:pPr>
      <w:r>
        <w:rPr>
          <w:rFonts w:hint="eastAsia" w:ascii="黑体" w:hAnsi="黑体" w:eastAsia="黑体"/>
          <w:color w:val="auto"/>
          <w:sz w:val="32"/>
          <w:szCs w:val="32"/>
          <w:highlight w:val="none"/>
          <w:lang w:val="en" w:eastAsia="zh-CN"/>
        </w:rPr>
        <w:t>八、供应商资质要求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1.本项目拟由符合国家有关法律规定、同时满足本项目资质要求、在中国境内（指关境内）注册的供应商为投标人。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2.符合《政府采购法》第二章第二十二条规定的条件，</w:t>
      </w:r>
      <w:r>
        <w:rPr>
          <w:rFonts w:hint="eastAsia" w:ascii="仿宋" w:hAnsi="仿宋" w:eastAsia="仿宋" w:cs="仿宋"/>
          <w:bCs/>
          <w:color w:val="auto"/>
          <w:sz w:val="32"/>
          <w:szCs w:val="32"/>
          <w:highlight w:val="none"/>
        </w:rPr>
        <w:t>并提供下列</w:t>
      </w:r>
      <w:r>
        <w:rPr>
          <w:rFonts w:hint="eastAsia" w:ascii="仿宋" w:hAnsi="仿宋" w:eastAsia="仿宋" w:cs="仿宋"/>
          <w:bCs/>
          <w:color w:val="auto"/>
          <w:sz w:val="32"/>
          <w:szCs w:val="32"/>
          <w:highlight w:val="none"/>
          <w:lang w:eastAsia="zh-CN"/>
        </w:rPr>
        <w:t>资格</w:t>
      </w:r>
      <w:r>
        <w:rPr>
          <w:rFonts w:hint="eastAsia" w:ascii="仿宋" w:hAnsi="仿宋" w:eastAsia="仿宋" w:cs="仿宋"/>
          <w:bCs/>
          <w:color w:val="auto"/>
          <w:sz w:val="32"/>
          <w:szCs w:val="32"/>
          <w:highlight w:val="none"/>
        </w:rPr>
        <w:t>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320" w:firstLineChars="1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（1）凡在中国境内注册，有能力提供本项目所述的货物或服务的投标人，须提供合格有效的营业执照副本复印件、税务登记证副本复印件，或提供三证合一的营业执照副本复印件。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320" w:firstLineChars="1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（2）提供上年度财务状况报告复印件 （如投标人为当年度新成立公司的，应提供于公司成立之日后的财务报表）；提供投标截止前六个月任意一个月依法缴纳税收和社会保障资金的相关材料。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320" w:firstLineChars="1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（3）提供无行贿犯罪记录承诺（说明）函（投标人自行对其有无行贿犯罪情形进行说明或承诺，格式自拟）。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320" w:firstLineChars="1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（4）参加政府采购活动前三年内在经营活动中没有重大违法记录的书面声明。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320" w:firstLineChars="1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5）投标人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320" w:firstLineChars="1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（6）具备履行合同所必需的设备和专业技术能力的证明材料 （由投标人根据项目需求提供说明材料）。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3.本项目不接受联合体投标。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color w:val="auto"/>
          <w:highlight w:val="none"/>
          <w:lang w:val="en" w:eastAsia="de-DE"/>
        </w:rPr>
      </w:pPr>
      <w:r>
        <w:rPr>
          <w:rFonts w:hint="eastAsia" w:ascii="仿宋" w:hAnsi="仿宋" w:eastAsia="仿宋" w:cs="仿宋"/>
          <w:b w:val="0"/>
          <w:bCs/>
          <w:color w:val="auto"/>
          <w:sz w:val="32"/>
          <w:szCs w:val="32"/>
          <w:highlight w:val="none"/>
          <w:lang w:val="en-US" w:eastAsia="zh-CN"/>
        </w:rPr>
        <w:t>4.因本项目涉及公共利益、社会关注度较高的采购项目，为避免将售后服务更完善、质量更优秀、性价比更高的优质企业排除在外，不专门面向中小企业预留采购份额。</w:t>
      </w:r>
    </w:p>
    <w:p>
      <w:pPr>
        <w:pStyle w:val="26"/>
        <w:keepNext w:val="0"/>
        <w:keepLines w:val="0"/>
        <w:pageBreakBefore w:val="0"/>
        <w:kinsoku/>
        <w:overflowPunct/>
        <w:topLinePunct w:val="0"/>
        <w:autoSpaceDE/>
        <w:autoSpaceDN/>
        <w:bidi w:val="0"/>
        <w:spacing w:line="360" w:lineRule="auto"/>
        <w:ind w:firstLine="640"/>
        <w:rPr>
          <w:rFonts w:hint="eastAsia" w:ascii="黑体" w:hAnsi="黑体" w:eastAsia="黑体"/>
          <w:color w:val="auto"/>
          <w:sz w:val="32"/>
          <w:szCs w:val="32"/>
          <w:highlight w:val="none"/>
          <w:lang w:val="en" w:eastAsia="zh-CN"/>
        </w:rPr>
      </w:pPr>
      <w:r>
        <w:rPr>
          <w:rFonts w:hint="eastAsia" w:ascii="黑体" w:hAnsi="黑体" w:eastAsia="黑体"/>
          <w:color w:val="auto"/>
          <w:sz w:val="32"/>
          <w:szCs w:val="32"/>
          <w:highlight w:val="none"/>
          <w:lang w:val="en" w:eastAsia="zh-CN"/>
        </w:rPr>
        <w:t>九、其他要求</w:t>
      </w:r>
    </w:p>
    <w:p>
      <w:pPr>
        <w:keepNext w:val="0"/>
        <w:keepLines w:val="0"/>
        <w:pageBreakBefore w:val="0"/>
        <w:kinsoku/>
        <w:overflowPunct/>
        <w:topLinePunct w:val="0"/>
        <w:autoSpaceDE/>
        <w:autoSpaceDN/>
        <w:bidi w:val="0"/>
        <w:adjustRightInd w:val="0"/>
        <w:snapToGrid w:val="0"/>
        <w:spacing w:line="360" w:lineRule="auto"/>
        <w:ind w:firstLine="640" w:firstLineChars="200"/>
        <w:jc w:val="left"/>
        <w:rPr>
          <w:rFonts w:hint="eastAsia"/>
          <w:color w:val="auto"/>
          <w:highlight w:val="none"/>
          <w:lang w:val="en" w:eastAsia="de-DE"/>
        </w:rPr>
      </w:pPr>
      <w:r>
        <w:rPr>
          <w:rFonts w:hint="eastAsia" w:ascii="仿宋_GB2312" w:hAnsi="仿宋_GB2312" w:eastAsia="仿宋_GB2312"/>
          <w:color w:val="auto"/>
          <w:highlight w:val="none"/>
          <w:lang w:val="en" w:eastAsia="de-DE"/>
        </w:rPr>
        <w:t>项目保密要求</w:t>
      </w:r>
      <w:r>
        <w:rPr>
          <w:rFonts w:hint="eastAsia" w:ascii="仿宋_GB2312" w:hAnsi="仿宋_GB2312" w:eastAsia="仿宋_GB2312"/>
          <w:color w:val="auto"/>
          <w:highlight w:val="none"/>
          <w:lang w:val="en" w:eastAsia="zh-CN"/>
        </w:rPr>
        <w:t>：</w:t>
      </w:r>
      <w:r>
        <w:rPr>
          <w:rFonts w:hint="eastAsia" w:ascii="仿宋" w:hAnsi="仿宋" w:eastAsia="仿宋" w:cs="仿宋"/>
          <w:b w:val="0"/>
          <w:bCs w:val="0"/>
          <w:color w:val="auto"/>
          <w:sz w:val="32"/>
          <w:szCs w:val="32"/>
          <w:highlight w:val="none"/>
          <w:lang w:val="en-US" w:eastAsia="zh-CN"/>
        </w:rPr>
        <w:t>中标人服务人员违反采购人的保密制度和安全管理制度，采购人有权要求中标人立即撤换有关服务人员，中标人应将对泄密人员的处理意见于三个工作日内报采购人，对于由此给采购人及纳税人造成利益损害的，中标人应承担相关法律责任，每出现一次，中标人应按照当年合同总价款的20%承担违约金并赔偿采购人因此受到的损失。</w:t>
      </w:r>
    </w:p>
    <w:p>
      <w:pPr>
        <w:keepNext w:val="0"/>
        <w:keepLines w:val="0"/>
        <w:pageBreakBefore w:val="0"/>
        <w:kinsoku/>
        <w:overflowPunct/>
        <w:topLinePunct w:val="0"/>
        <w:autoSpaceDE/>
        <w:autoSpaceDN/>
        <w:bidi w:val="0"/>
        <w:adjustRightInd w:val="0"/>
        <w:snapToGrid w:val="0"/>
        <w:spacing w:line="360" w:lineRule="auto"/>
        <w:ind w:firstLine="640" w:firstLineChars="200"/>
        <w:jc w:val="left"/>
        <w:rPr>
          <w:rFonts w:hint="eastAsia" w:ascii="黑体" w:hAnsi="黑体" w:eastAsia="黑体" w:cs="Times New Roman"/>
          <w:color w:val="auto"/>
          <w:highlight w:val="none"/>
          <w:lang w:val="en"/>
        </w:rPr>
      </w:pPr>
      <w:r>
        <w:rPr>
          <w:rFonts w:hint="eastAsia" w:ascii="黑体" w:hAnsi="黑体" w:eastAsia="黑体" w:cs="Times New Roman"/>
          <w:color w:val="auto"/>
          <w:highlight w:val="none"/>
          <w:lang w:val="en"/>
        </w:rPr>
        <w:t>十、付款方式</w:t>
      </w:r>
    </w:p>
    <w:p>
      <w:pPr>
        <w:keepNext w:val="0"/>
        <w:keepLines w:val="0"/>
        <w:pageBreakBefore w:val="0"/>
        <w:kinsoku/>
        <w:wordWrap/>
        <w:overflowPunct/>
        <w:topLinePunct w:val="0"/>
        <w:autoSpaceDE/>
        <w:autoSpaceDN/>
        <w:bidi w:val="0"/>
        <w:adjustRightInd/>
        <w:spacing w:line="360" w:lineRule="auto"/>
        <w:ind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1.采购人不接受需要支付预付款的供应商报价，所有采购均为到期结算（验收合格后付款）。</w:t>
      </w:r>
    </w:p>
    <w:p>
      <w:pPr>
        <w:keepNext w:val="0"/>
        <w:keepLines w:val="0"/>
        <w:pageBreakBefore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2.按月付款。验收合格，经采购人考核小组与中标人核对无误后，由中标人开具服务外包费用正式发票，采购人自收到正式发票的次月30日前以银行转账方式结算服务费用。</w:t>
      </w:r>
    </w:p>
    <w:p>
      <w:pPr>
        <w:keepNext w:val="0"/>
        <w:keepLines w:val="0"/>
        <w:pageBreakBefore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3.在合同签订前必须向采购人提交项目履约保证金人民币伍万元整，该保证金应转入采购人指定帐户。履约保证金于合同期满后经采购人全面评估后完全履约后30天内退还（不计利息）。</w:t>
      </w:r>
    </w:p>
    <w:p>
      <w:pPr>
        <w:pStyle w:val="26"/>
        <w:keepNext w:val="0"/>
        <w:keepLines w:val="0"/>
        <w:pageBreakBefore w:val="0"/>
        <w:kinsoku/>
        <w:overflowPunct/>
        <w:topLinePunct w:val="0"/>
        <w:autoSpaceDE/>
        <w:autoSpaceDN/>
        <w:bidi w:val="0"/>
        <w:spacing w:line="360" w:lineRule="auto"/>
        <w:ind w:firstLine="640"/>
        <w:rPr>
          <w:rFonts w:hint="eastAsia" w:ascii="仿宋_GB2312" w:hAnsi="仿宋_GB2312" w:eastAsia="仿宋_GB2312" w:cs="仿宋_GB2312"/>
          <w:b/>
          <w:snapToGrid w:val="0"/>
          <w:color w:val="auto"/>
          <w:kern w:val="44"/>
          <w:sz w:val="32"/>
          <w:szCs w:val="32"/>
          <w:highlight w:val="none"/>
        </w:rPr>
      </w:pPr>
      <w:r>
        <w:rPr>
          <w:rFonts w:hint="eastAsia" w:ascii="黑体" w:hAnsi="黑体" w:eastAsia="黑体"/>
          <w:color w:val="auto"/>
          <w:sz w:val="32"/>
          <w:szCs w:val="32"/>
          <w:highlight w:val="none"/>
          <w:lang w:val="en" w:eastAsia="zh-CN"/>
        </w:rPr>
        <w:t>十一、评标办法及标准</w:t>
      </w:r>
    </w:p>
    <w:p>
      <w:pPr>
        <w:pStyle w:val="26"/>
        <w:keepNext w:val="0"/>
        <w:keepLines w:val="0"/>
        <w:pageBreakBefore w:val="0"/>
        <w:kinsoku/>
        <w:overflowPunct/>
        <w:topLinePunct w:val="0"/>
        <w:autoSpaceDE/>
        <w:autoSpaceDN/>
        <w:bidi w:val="0"/>
        <w:spacing w:line="360" w:lineRule="auto"/>
        <w:ind w:firstLine="640"/>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（一）评标办法：综合评分法。</w:t>
      </w:r>
    </w:p>
    <w:p>
      <w:pPr>
        <w:pStyle w:val="26"/>
        <w:keepNext w:val="0"/>
        <w:keepLines w:val="0"/>
        <w:pageBreakBefore w:val="0"/>
        <w:kinsoku/>
        <w:overflowPunct/>
        <w:topLinePunct w:val="0"/>
        <w:autoSpaceDE/>
        <w:autoSpaceDN/>
        <w:bidi w:val="0"/>
        <w:spacing w:line="360" w:lineRule="auto"/>
        <w:ind w:firstLine="640"/>
        <w:rPr>
          <w:rStyle w:val="19"/>
          <w:rFonts w:hint="eastAsia" w:ascii="宋体" w:hAnsi="宋体" w:cs="宋体"/>
          <w:color w:val="auto"/>
          <w:sz w:val="21"/>
          <w:szCs w:val="21"/>
          <w:highlight w:val="none"/>
          <w:shd w:val="clear" w:color="auto" w:fill="FFFFFF"/>
        </w:rPr>
      </w:pPr>
      <w:r>
        <w:rPr>
          <w:rFonts w:hint="eastAsia" w:ascii="仿宋_GB2312" w:hAnsi="仿宋_GB2312" w:eastAsia="仿宋_GB2312" w:cs="仿宋_GB2312"/>
          <w:snapToGrid w:val="0"/>
          <w:color w:val="auto"/>
          <w:sz w:val="32"/>
          <w:szCs w:val="32"/>
          <w:highlight w:val="none"/>
          <w:lang w:val="en-US" w:eastAsia="zh-CN"/>
        </w:rPr>
        <w:t>（二）评分标准</w:t>
      </w:r>
    </w:p>
    <w:p>
      <w:pPr>
        <w:keepNext w:val="0"/>
        <w:keepLines w:val="0"/>
        <w:pageBreakBefore w:val="0"/>
        <w:kinsoku/>
        <w:overflowPunct/>
        <w:topLinePunct w:val="0"/>
        <w:autoSpaceDE/>
        <w:autoSpaceDN/>
        <w:bidi w:val="0"/>
        <w:spacing w:line="360" w:lineRule="auto"/>
        <w:ind w:firstLine="422"/>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各项评审因素的设置如下：</w:t>
      </w:r>
    </w:p>
    <w:p>
      <w:pPr>
        <w:keepNext w:val="0"/>
        <w:keepLines w:val="0"/>
        <w:pageBreakBefore w:val="0"/>
        <w:kinsoku/>
        <w:overflowPunct/>
        <w:topLinePunct w:val="0"/>
        <w:autoSpaceDE/>
        <w:autoSpaceDN/>
        <w:bidi w:val="0"/>
        <w:spacing w:line="360" w:lineRule="auto"/>
        <w:ind w:firstLine="422"/>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A：价格部份评分           满分13分</w:t>
      </w:r>
    </w:p>
    <w:p>
      <w:pPr>
        <w:keepNext w:val="0"/>
        <w:keepLines w:val="0"/>
        <w:pageBreakBefore w:val="0"/>
        <w:kinsoku/>
        <w:overflowPunct/>
        <w:topLinePunct w:val="0"/>
        <w:autoSpaceDE/>
        <w:autoSpaceDN/>
        <w:bidi w:val="0"/>
        <w:spacing w:line="360" w:lineRule="auto"/>
        <w:ind w:firstLine="422"/>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B：技术部份评分           满分69分</w:t>
      </w:r>
    </w:p>
    <w:p>
      <w:pPr>
        <w:keepNext w:val="0"/>
        <w:keepLines w:val="0"/>
        <w:pageBreakBefore w:val="0"/>
        <w:kinsoku/>
        <w:overflowPunct/>
        <w:topLinePunct w:val="0"/>
        <w:autoSpaceDE/>
        <w:autoSpaceDN/>
        <w:bidi w:val="0"/>
        <w:spacing w:line="360" w:lineRule="auto"/>
        <w:ind w:firstLine="422"/>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C：商务部份评分           满分18分</w:t>
      </w:r>
    </w:p>
    <w:p>
      <w:pPr>
        <w:pStyle w:val="26"/>
        <w:keepNext w:val="0"/>
        <w:keepLines w:val="0"/>
        <w:pageBreakBefore w:val="0"/>
        <w:kinsoku/>
        <w:overflowPunct/>
        <w:topLinePunct w:val="0"/>
        <w:autoSpaceDE/>
        <w:autoSpaceDN/>
        <w:bidi w:val="0"/>
        <w:spacing w:line="360" w:lineRule="auto"/>
        <w:ind w:firstLine="640"/>
        <w:rPr>
          <w:rFonts w:hint="eastAsia" w:ascii="仿宋_GB2312" w:hAnsi="仿宋_GB2312" w:eastAsia="仿宋_GB2312" w:cs="仿宋_GB2312"/>
          <w:snapToGrid w:val="0"/>
          <w:color w:val="auto"/>
          <w:sz w:val="32"/>
          <w:szCs w:val="32"/>
          <w:highlight w:val="none"/>
          <w:lang w:val="en-US" w:eastAsia="zh-CN"/>
        </w:rPr>
      </w:pPr>
    </w:p>
    <w:p>
      <w:pPr>
        <w:pStyle w:val="26"/>
        <w:keepNext w:val="0"/>
        <w:keepLines w:val="0"/>
        <w:pageBreakBefore w:val="0"/>
        <w:kinsoku/>
        <w:overflowPunct/>
        <w:topLinePunct w:val="0"/>
        <w:autoSpaceDE/>
        <w:autoSpaceDN/>
        <w:bidi w:val="0"/>
        <w:spacing w:line="360" w:lineRule="auto"/>
        <w:ind w:firstLine="640"/>
        <w:rPr>
          <w:rFonts w:hint="eastAsia" w:ascii="仿宋_GB2312" w:hAnsi="仿宋_GB2312" w:eastAsia="仿宋_GB2312" w:cs="仿宋_GB2312"/>
          <w:snapToGrid w:val="0"/>
          <w:color w:val="auto"/>
          <w:sz w:val="32"/>
          <w:szCs w:val="32"/>
          <w:highlight w:val="none"/>
          <w:lang w:val="en-US" w:eastAsia="zh-CN"/>
        </w:rPr>
      </w:pPr>
    </w:p>
    <w:p>
      <w:pPr>
        <w:pStyle w:val="8"/>
        <w:rPr>
          <w:rFonts w:hint="eastAsia" w:ascii="仿宋" w:hAnsi="仿宋" w:eastAsia="仿宋" w:cs="仿宋"/>
          <w:b/>
          <w:bCs/>
          <w:color w:val="auto"/>
          <w:sz w:val="32"/>
          <w:szCs w:val="32"/>
          <w:highlight w:val="none"/>
          <w:lang w:val="en-US" w:eastAsia="zh-CN"/>
        </w:rPr>
      </w:pPr>
    </w:p>
    <w:p>
      <w:pPr>
        <w:pStyle w:val="8"/>
        <w:rPr>
          <w:rFonts w:hint="eastAsia" w:ascii="仿宋" w:hAnsi="仿宋" w:eastAsia="仿宋" w:cs="仿宋"/>
          <w:b/>
          <w:bCs/>
          <w:color w:val="auto"/>
          <w:sz w:val="32"/>
          <w:szCs w:val="32"/>
          <w:highlight w:val="none"/>
          <w:lang w:val="en-US" w:eastAsia="zh-CN"/>
        </w:rPr>
      </w:pPr>
    </w:p>
    <w:p>
      <w:pPr>
        <w:pStyle w:val="8"/>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w:t>
      </w:r>
    </w:p>
    <w:p>
      <w:pPr>
        <w:keepNext w:val="0"/>
        <w:keepLines w:val="0"/>
        <w:pageBreakBefore w:val="0"/>
        <w:numPr>
          <w:ilvl w:val="0"/>
          <w:numId w:val="0"/>
        </w:numPr>
        <w:tabs>
          <w:tab w:val="left" w:pos="525"/>
          <w:tab w:val="left" w:pos="737"/>
        </w:tabs>
        <w:kinsoku/>
        <w:overflowPunct/>
        <w:topLinePunct w:val="0"/>
        <w:autoSpaceDE/>
        <w:autoSpaceDN/>
        <w:bidi w:val="0"/>
        <w:adjustRightInd/>
        <w:snapToGrid w:val="0"/>
        <w:spacing w:line="396" w:lineRule="auto"/>
        <w:ind w:firstLine="640" w:firstLineChars="200"/>
        <w:jc w:val="both"/>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1.</w:t>
      </w:r>
      <w:r>
        <w:rPr>
          <w:rFonts w:hint="eastAsia" w:ascii="仿宋" w:hAnsi="仿宋" w:eastAsia="仿宋" w:cs="仿宋"/>
          <w:b w:val="0"/>
          <w:bCs/>
          <w:color w:val="auto"/>
          <w:sz w:val="32"/>
          <w:szCs w:val="32"/>
          <w:highlight w:val="none"/>
        </w:rPr>
        <w:t>考核指标及内容</w:t>
      </w:r>
    </w:p>
    <w:tbl>
      <w:tblPr>
        <w:tblStyle w:val="17"/>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79"/>
        <w:gridCol w:w="1845"/>
        <w:gridCol w:w="1268"/>
        <w:gridCol w:w="877"/>
        <w:gridCol w:w="827"/>
        <w:gridCol w:w="1146"/>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4" w:type="dxa"/>
            <w:gridSpan w:val="8"/>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考核情况表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月份</w:t>
            </w:r>
          </w:p>
        </w:tc>
        <w:tc>
          <w:tcPr>
            <w:tcW w:w="4092" w:type="dxa"/>
            <w:gridSpan w:val="3"/>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p>
        </w:tc>
        <w:tc>
          <w:tcPr>
            <w:tcW w:w="1704" w:type="dxa"/>
            <w:gridSpan w:val="2"/>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被考</w:t>
            </w: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核人</w:t>
            </w:r>
          </w:p>
        </w:tc>
        <w:tc>
          <w:tcPr>
            <w:tcW w:w="2188" w:type="dxa"/>
            <w:gridSpan w:val="2"/>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项目</w:t>
            </w:r>
          </w:p>
        </w:tc>
        <w:tc>
          <w:tcPr>
            <w:tcW w:w="979" w:type="dxa"/>
            <w:noWrap w:val="0"/>
            <w:vAlign w:val="top"/>
          </w:tcPr>
          <w:p>
            <w:pPr>
              <w:keepNext w:val="0"/>
              <w:keepLines w:val="0"/>
              <w:pageBreakBefore w:val="0"/>
              <w:kinsoku/>
              <w:overflowPunct/>
              <w:topLinePunct w:val="0"/>
              <w:autoSpaceDE/>
              <w:autoSpaceDN/>
              <w:bidi w:val="0"/>
              <w:adjustRightInd/>
              <w:spacing w:line="396" w:lineRule="auto"/>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考核工作内容</w:t>
            </w:r>
          </w:p>
        </w:tc>
        <w:tc>
          <w:tcPr>
            <w:tcW w:w="1845" w:type="dxa"/>
            <w:noWrap w:val="0"/>
            <w:vAlign w:val="top"/>
          </w:tcPr>
          <w:p>
            <w:pPr>
              <w:keepNext w:val="0"/>
              <w:keepLines w:val="0"/>
              <w:pageBreakBefore w:val="0"/>
              <w:kinsoku/>
              <w:overflowPunct/>
              <w:topLinePunct w:val="0"/>
              <w:autoSpaceDE/>
              <w:autoSpaceDN/>
              <w:bidi w:val="0"/>
              <w:adjustRightInd/>
              <w:spacing w:line="396" w:lineRule="auto"/>
              <w:ind w:firstLine="540" w:firstLineChars="300"/>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完成标准</w:t>
            </w:r>
          </w:p>
        </w:tc>
        <w:tc>
          <w:tcPr>
            <w:tcW w:w="1268" w:type="dxa"/>
            <w:noWrap w:val="0"/>
            <w:vAlign w:val="top"/>
          </w:tcPr>
          <w:p>
            <w:pPr>
              <w:keepNext w:val="0"/>
              <w:keepLines w:val="0"/>
              <w:pageBreakBefore w:val="0"/>
              <w:kinsoku/>
              <w:overflowPunct/>
              <w:topLinePunct w:val="0"/>
              <w:autoSpaceDE/>
              <w:autoSpaceDN/>
              <w:bidi w:val="0"/>
              <w:adjustRightInd/>
              <w:spacing w:line="396" w:lineRule="auto"/>
              <w:ind w:firstLine="180" w:firstLineChars="100"/>
              <w:jc w:val="both"/>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评分规则</w:t>
            </w:r>
          </w:p>
        </w:tc>
        <w:tc>
          <w:tcPr>
            <w:tcW w:w="877" w:type="dxa"/>
            <w:noWrap w:val="0"/>
            <w:vAlign w:val="top"/>
          </w:tcPr>
          <w:p>
            <w:pPr>
              <w:keepNext w:val="0"/>
              <w:keepLines w:val="0"/>
              <w:pageBreakBefore w:val="0"/>
              <w:kinsoku/>
              <w:overflowPunct/>
              <w:topLinePunct w:val="0"/>
              <w:autoSpaceDE/>
              <w:autoSpaceDN/>
              <w:bidi w:val="0"/>
              <w:adjustRightInd/>
              <w:spacing w:line="396" w:lineRule="auto"/>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实际完成情况</w:t>
            </w:r>
          </w:p>
        </w:tc>
        <w:tc>
          <w:tcPr>
            <w:tcW w:w="827" w:type="dxa"/>
            <w:noWrap w:val="0"/>
            <w:vAlign w:val="top"/>
          </w:tcPr>
          <w:p>
            <w:pPr>
              <w:keepNext w:val="0"/>
              <w:keepLines w:val="0"/>
              <w:pageBreakBefore w:val="0"/>
              <w:kinsoku/>
              <w:overflowPunct/>
              <w:topLinePunct w:val="0"/>
              <w:autoSpaceDE/>
              <w:autoSpaceDN/>
              <w:bidi w:val="0"/>
              <w:adjustRightInd/>
              <w:spacing w:line="396" w:lineRule="auto"/>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扣分</w:t>
            </w:r>
          </w:p>
        </w:tc>
        <w:tc>
          <w:tcPr>
            <w:tcW w:w="1146" w:type="dxa"/>
            <w:noWrap w:val="0"/>
            <w:vAlign w:val="top"/>
          </w:tcPr>
          <w:p>
            <w:pPr>
              <w:keepNext w:val="0"/>
              <w:keepLines w:val="0"/>
              <w:pageBreakBefore w:val="0"/>
              <w:kinsoku/>
              <w:overflowPunct/>
              <w:topLinePunct w:val="0"/>
              <w:autoSpaceDE/>
              <w:autoSpaceDN/>
              <w:bidi w:val="0"/>
              <w:adjustRightInd/>
              <w:spacing w:line="396" w:lineRule="auto"/>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考核人</w:t>
            </w:r>
          </w:p>
          <w:p>
            <w:pPr>
              <w:keepNext w:val="0"/>
              <w:keepLines w:val="0"/>
              <w:pageBreakBefore w:val="0"/>
              <w:kinsoku/>
              <w:overflowPunct/>
              <w:topLinePunct w:val="0"/>
              <w:autoSpaceDE/>
              <w:autoSpaceDN/>
              <w:bidi w:val="0"/>
              <w:adjustRightInd/>
              <w:spacing w:line="396" w:lineRule="auto"/>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确认</w:t>
            </w:r>
          </w:p>
        </w:tc>
        <w:tc>
          <w:tcPr>
            <w:tcW w:w="1042" w:type="dxa"/>
            <w:noWrap w:val="0"/>
            <w:vAlign w:val="top"/>
          </w:tcPr>
          <w:p>
            <w:pPr>
              <w:keepNext w:val="0"/>
              <w:keepLines w:val="0"/>
              <w:pageBreakBefore w:val="0"/>
              <w:kinsoku/>
              <w:overflowPunct/>
              <w:topLinePunct w:val="0"/>
              <w:autoSpaceDE/>
              <w:autoSpaceDN/>
              <w:bidi w:val="0"/>
              <w:adjustRightInd/>
              <w:spacing w:line="396" w:lineRule="auto"/>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p>
          <w:p>
            <w:pPr>
              <w:pStyle w:val="15"/>
              <w:keepNext w:val="0"/>
              <w:keepLines w:val="0"/>
              <w:pageBreakBefore w:val="0"/>
              <w:tabs>
                <w:tab w:val="left" w:pos="0"/>
                <w:tab w:val="left" w:pos="993"/>
                <w:tab w:val="left" w:pos="1134"/>
              </w:tabs>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p>
          <w:p>
            <w:pPr>
              <w:pStyle w:val="15"/>
              <w:keepNext w:val="0"/>
              <w:keepLines w:val="0"/>
              <w:pageBreakBefore w:val="0"/>
              <w:tabs>
                <w:tab w:val="left" w:pos="0"/>
                <w:tab w:val="left" w:pos="993"/>
                <w:tab w:val="left" w:pos="1134"/>
              </w:tabs>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p>
          <w:p>
            <w:pPr>
              <w:pStyle w:val="15"/>
              <w:keepNext w:val="0"/>
              <w:keepLines w:val="0"/>
              <w:pageBreakBefore w:val="0"/>
              <w:tabs>
                <w:tab w:val="left" w:pos="0"/>
                <w:tab w:val="left" w:pos="993"/>
                <w:tab w:val="left" w:pos="1134"/>
              </w:tabs>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p>
          <w:p>
            <w:pPr>
              <w:pStyle w:val="15"/>
              <w:keepNext w:val="0"/>
              <w:keepLines w:val="0"/>
              <w:pageBreakBefore w:val="0"/>
              <w:tabs>
                <w:tab w:val="left" w:pos="0"/>
                <w:tab w:val="left" w:pos="993"/>
                <w:tab w:val="left" w:pos="1134"/>
              </w:tabs>
              <w:kinsoku/>
              <w:overflowPunct/>
              <w:topLinePunct w:val="0"/>
              <w:autoSpaceDE/>
              <w:autoSpaceDN/>
              <w:bidi w:val="0"/>
              <w:adjustRightInd/>
              <w:spacing w:line="396" w:lineRule="auto"/>
              <w:jc w:val="both"/>
              <w:textAlignment w:val="auto"/>
              <w:rPr>
                <w:rFonts w:hint="eastAsia"/>
                <w:color w:val="auto"/>
                <w:highlight w:val="none"/>
                <w:lang w:val="en-US" w:eastAsia="zh-CN"/>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日</w:t>
            </w:r>
            <w:r>
              <w:rPr>
                <w:rFonts w:hint="eastAsia" w:ascii="宋体" w:hAnsi="宋体" w:cs="宋体"/>
                <w:color w:val="auto"/>
                <w:sz w:val="18"/>
                <w:szCs w:val="18"/>
                <w:highlight w:val="none"/>
                <w:vertAlign w:val="baseline"/>
                <w:lang w:val="en-US" w:eastAsia="zh-CN"/>
              </w:rPr>
              <w:t>常</w:t>
            </w:r>
            <w:r>
              <w:rPr>
                <w:rFonts w:hint="eastAsia" w:ascii="宋体" w:hAnsi="宋体" w:eastAsia="宋体" w:cs="宋体"/>
                <w:color w:val="auto"/>
                <w:sz w:val="18"/>
                <w:szCs w:val="18"/>
                <w:highlight w:val="none"/>
                <w:vertAlign w:val="baseline"/>
                <w:lang w:val="en-US" w:eastAsia="zh-CN"/>
              </w:rPr>
              <w:t>工作</w:t>
            </w:r>
          </w:p>
        </w:tc>
        <w:tc>
          <w:tcPr>
            <w:tcW w:w="979"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r>
              <w:rPr>
                <w:rFonts w:hint="eastAsia" w:ascii="宋体" w:hAnsi="宋体" w:eastAsia="宋体" w:cs="宋体"/>
                <w:color w:val="auto"/>
                <w:sz w:val="18"/>
                <w:szCs w:val="18"/>
                <w:highlight w:val="none"/>
                <w:vertAlign w:val="baseline"/>
              </w:rPr>
              <w:t>业务考核（</w:t>
            </w:r>
            <w:r>
              <w:rPr>
                <w:rFonts w:hint="eastAsia" w:ascii="宋体" w:hAnsi="宋体" w:cs="宋体"/>
                <w:color w:val="auto"/>
                <w:sz w:val="18"/>
                <w:szCs w:val="18"/>
                <w:highlight w:val="none"/>
                <w:vertAlign w:val="baseline"/>
                <w:lang w:val="en-US" w:eastAsia="zh-CN"/>
              </w:rPr>
              <w:t>60</w:t>
            </w:r>
            <w:r>
              <w:rPr>
                <w:rFonts w:hint="eastAsia" w:ascii="宋体" w:hAnsi="宋体" w:eastAsia="宋体" w:cs="宋体"/>
                <w:color w:val="auto"/>
                <w:sz w:val="18"/>
                <w:szCs w:val="18"/>
                <w:highlight w:val="none"/>
                <w:vertAlign w:val="baseline"/>
              </w:rPr>
              <w:t>分）</w:t>
            </w:r>
          </w:p>
        </w:tc>
        <w:tc>
          <w:tcPr>
            <w:tcW w:w="1845"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办税操作业务咨询服务;2、办税服务厅“在线窗口”征纳互动业务咨询服务；3、人工综合窗口资料填报等业务咨询服务。4.新电子税务局每人次辅导时长。5.涉税业务资料扫描、整理工作量。6.全市020线上发票邮寄工作，日常处理纳税人售票辅助性工作。7.区局各类志愿服务活动参与时长。8.机关其他非执法类辅助性服务事项。9.司机驻点服务工作质量。</w:t>
            </w:r>
          </w:p>
        </w:tc>
        <w:tc>
          <w:tcPr>
            <w:tcW w:w="1268"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以业务量考核为基数。</w:t>
            </w:r>
          </w:p>
        </w:tc>
        <w:tc>
          <w:tcPr>
            <w:tcW w:w="877"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tc>
        <w:tc>
          <w:tcPr>
            <w:tcW w:w="827"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tc>
        <w:tc>
          <w:tcPr>
            <w:tcW w:w="1146"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tc>
        <w:tc>
          <w:tcPr>
            <w:tcW w:w="1042"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cs="宋体"/>
                <w:color w:val="auto"/>
                <w:sz w:val="18"/>
                <w:szCs w:val="18"/>
                <w:highlight w:val="none"/>
                <w:vertAlign w:val="baseline"/>
                <w:lang w:val="en-US" w:eastAsia="zh-CN"/>
              </w:rPr>
            </w:pPr>
          </w:p>
          <w:p>
            <w:pPr>
              <w:keepNext w:val="0"/>
              <w:keepLines w:val="0"/>
              <w:pageBreakBefore w:val="0"/>
              <w:kinsoku/>
              <w:overflowPunct/>
              <w:topLinePunct w:val="0"/>
              <w:autoSpaceDE/>
              <w:autoSpaceDN/>
              <w:bidi w:val="0"/>
              <w:adjustRightInd/>
              <w:spacing w:line="396" w:lineRule="auto"/>
              <w:jc w:val="both"/>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中标人可对各服务岗分别考核，综合汇总评分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tc>
        <w:tc>
          <w:tcPr>
            <w:tcW w:w="979"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r>
              <w:rPr>
                <w:rFonts w:hint="eastAsia" w:ascii="宋体" w:hAnsi="宋体" w:eastAsia="宋体" w:cs="宋体"/>
                <w:color w:val="auto"/>
                <w:sz w:val="18"/>
                <w:szCs w:val="18"/>
                <w:highlight w:val="none"/>
                <w:vertAlign w:val="baseline"/>
              </w:rPr>
              <w:t>考勤管理（</w:t>
            </w:r>
            <w:r>
              <w:rPr>
                <w:rFonts w:hint="eastAsia" w:ascii="宋体" w:hAnsi="宋体" w:cs="宋体"/>
                <w:color w:val="auto"/>
                <w:sz w:val="18"/>
                <w:szCs w:val="18"/>
                <w:highlight w:val="none"/>
                <w:vertAlign w:val="baseline"/>
                <w:lang w:val="en-US" w:eastAsia="zh-CN"/>
              </w:rPr>
              <w:t>2</w:t>
            </w:r>
            <w:r>
              <w:rPr>
                <w:rFonts w:hint="eastAsia" w:ascii="宋体" w:hAnsi="宋体" w:eastAsia="宋体" w:cs="宋体"/>
                <w:color w:val="auto"/>
                <w:sz w:val="18"/>
                <w:szCs w:val="18"/>
                <w:highlight w:val="none"/>
                <w:vertAlign w:val="baseline"/>
              </w:rPr>
              <w:t>0分）</w:t>
            </w:r>
          </w:p>
        </w:tc>
        <w:tc>
          <w:tcPr>
            <w:tcW w:w="1845"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r>
              <w:rPr>
                <w:rFonts w:hint="eastAsia" w:ascii="宋体" w:hAnsi="宋体" w:eastAsia="宋体" w:cs="宋体"/>
                <w:color w:val="auto"/>
                <w:sz w:val="18"/>
                <w:szCs w:val="18"/>
                <w:highlight w:val="none"/>
                <w:vertAlign w:val="baseline"/>
              </w:rPr>
              <w:t>遵守</w:t>
            </w:r>
            <w:r>
              <w:rPr>
                <w:rFonts w:hint="eastAsia" w:ascii="宋体" w:hAnsi="宋体" w:eastAsia="宋体" w:cs="宋体"/>
                <w:color w:val="auto"/>
                <w:sz w:val="18"/>
                <w:szCs w:val="18"/>
                <w:highlight w:val="none"/>
                <w:vertAlign w:val="baseline"/>
                <w:lang w:eastAsia="zh-CN"/>
              </w:rPr>
              <w:t>国家税务总局莆田市荔城区税务局工作</w:t>
            </w:r>
            <w:r>
              <w:rPr>
                <w:rFonts w:hint="eastAsia" w:ascii="宋体" w:hAnsi="宋体" w:eastAsia="宋体" w:cs="宋体"/>
                <w:color w:val="auto"/>
                <w:sz w:val="18"/>
                <w:szCs w:val="18"/>
                <w:highlight w:val="none"/>
                <w:vertAlign w:val="baseline"/>
              </w:rPr>
              <w:t>管理办法，不迟到、早退，不无故离岗。当月无病假、事假记录，且无迟到、早退、旷工等现象，</w:t>
            </w:r>
            <w:r>
              <w:rPr>
                <w:rFonts w:hint="eastAsia" w:ascii="宋体" w:hAnsi="宋体" w:cs="宋体"/>
                <w:color w:val="auto"/>
                <w:sz w:val="18"/>
                <w:szCs w:val="18"/>
                <w:highlight w:val="none"/>
                <w:vertAlign w:val="baseline"/>
                <w:lang w:val="en-US" w:eastAsia="zh-CN"/>
              </w:rPr>
              <w:t>该项满分</w:t>
            </w:r>
            <w:r>
              <w:rPr>
                <w:rFonts w:hint="eastAsia" w:ascii="宋体" w:hAnsi="宋体" w:eastAsia="宋体" w:cs="宋体"/>
                <w:color w:val="auto"/>
                <w:sz w:val="18"/>
                <w:szCs w:val="18"/>
                <w:highlight w:val="none"/>
                <w:vertAlign w:val="baseline"/>
              </w:rPr>
              <w:t>。</w:t>
            </w:r>
          </w:p>
        </w:tc>
        <w:tc>
          <w:tcPr>
            <w:tcW w:w="1268"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tc>
        <w:tc>
          <w:tcPr>
            <w:tcW w:w="877"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tc>
        <w:tc>
          <w:tcPr>
            <w:tcW w:w="827"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tc>
        <w:tc>
          <w:tcPr>
            <w:tcW w:w="1146"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tc>
        <w:tc>
          <w:tcPr>
            <w:tcW w:w="1042"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中标人按实核减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tc>
        <w:tc>
          <w:tcPr>
            <w:tcW w:w="979"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p>
            <w:pPr>
              <w:keepNext w:val="0"/>
              <w:keepLines w:val="0"/>
              <w:pageBreakBefore w:val="0"/>
              <w:kinsoku/>
              <w:overflowPunct/>
              <w:topLinePunct w:val="0"/>
              <w:autoSpaceDE/>
              <w:autoSpaceDN/>
              <w:bidi w:val="0"/>
              <w:adjustRightInd/>
              <w:spacing w:line="396" w:lineRule="auto"/>
              <w:jc w:val="both"/>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综合管理（20分）</w:t>
            </w:r>
          </w:p>
        </w:tc>
        <w:tc>
          <w:tcPr>
            <w:tcW w:w="1845"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p>
            <w:pPr>
              <w:keepNext w:val="0"/>
              <w:keepLines w:val="0"/>
              <w:pageBreakBefore w:val="0"/>
              <w:kinsoku/>
              <w:overflowPunct/>
              <w:topLinePunct w:val="0"/>
              <w:autoSpaceDE/>
              <w:autoSpaceDN/>
              <w:bidi w:val="0"/>
              <w:adjustRightInd/>
              <w:spacing w:line="396" w:lineRule="auto"/>
              <w:jc w:val="both"/>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包括日常行为规范、学习、服务态度等。</w:t>
            </w:r>
          </w:p>
        </w:tc>
        <w:tc>
          <w:tcPr>
            <w:tcW w:w="1268"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tc>
        <w:tc>
          <w:tcPr>
            <w:tcW w:w="877"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tc>
        <w:tc>
          <w:tcPr>
            <w:tcW w:w="827"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tc>
        <w:tc>
          <w:tcPr>
            <w:tcW w:w="1146"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tc>
        <w:tc>
          <w:tcPr>
            <w:tcW w:w="1042"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r>
              <w:rPr>
                <w:rFonts w:hint="eastAsia" w:ascii="宋体" w:hAnsi="宋体" w:cs="宋体"/>
                <w:color w:val="auto"/>
                <w:sz w:val="18"/>
                <w:szCs w:val="18"/>
                <w:highlight w:val="none"/>
                <w:vertAlign w:val="baseline"/>
                <w:lang w:val="en-US" w:eastAsia="zh-CN"/>
              </w:rPr>
              <w:t>中标人按实核减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gridSpan w:val="2"/>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合计</w:t>
            </w:r>
          </w:p>
        </w:tc>
        <w:tc>
          <w:tcPr>
            <w:tcW w:w="1845" w:type="dxa"/>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总分100分</w:t>
            </w:r>
          </w:p>
        </w:tc>
        <w:tc>
          <w:tcPr>
            <w:tcW w:w="5160" w:type="dxa"/>
            <w:gridSpan w:val="5"/>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4" w:type="dxa"/>
            <w:gridSpan w:val="8"/>
            <w:noWrap w:val="0"/>
            <w:vAlign w:val="top"/>
          </w:tcPr>
          <w:p>
            <w:pPr>
              <w:keepNext w:val="0"/>
              <w:keepLines w:val="0"/>
              <w:pageBreakBefore w:val="0"/>
              <w:kinsoku/>
              <w:overflowPunct/>
              <w:topLinePunct w:val="0"/>
              <w:autoSpaceDE/>
              <w:autoSpaceDN/>
              <w:bidi w:val="0"/>
              <w:adjustRightInd/>
              <w:spacing w:line="396" w:lineRule="auto"/>
              <w:jc w:val="both"/>
              <w:textAlignment w:val="auto"/>
              <w:rPr>
                <w:rFonts w:hint="eastAsia" w:ascii="宋体" w:hAnsi="宋体" w:eastAsia="宋体" w:cs="宋体"/>
                <w:color w:val="auto"/>
                <w:sz w:val="18"/>
                <w:szCs w:val="18"/>
                <w:highlight w:val="none"/>
                <w:vertAlign w:val="baseline"/>
              </w:rPr>
            </w:pPr>
            <w:r>
              <w:rPr>
                <w:rFonts w:hint="eastAsia" w:ascii="宋体" w:hAnsi="宋体" w:eastAsia="宋体" w:cs="宋体"/>
                <w:color w:val="auto"/>
                <w:sz w:val="18"/>
                <w:szCs w:val="18"/>
                <w:highlight w:val="none"/>
                <w:vertAlign w:val="baseline"/>
              </w:rPr>
              <w:t>考核结果：　□　９０分以上优秀　；　□　7０－９０</w:t>
            </w:r>
            <w:r>
              <w:rPr>
                <w:rFonts w:hint="eastAsia" w:ascii="宋体" w:hAnsi="宋体" w:cs="宋体"/>
                <w:color w:val="auto"/>
                <w:sz w:val="18"/>
                <w:szCs w:val="18"/>
                <w:highlight w:val="none"/>
                <w:vertAlign w:val="baseline"/>
                <w:lang w:val="en-US" w:eastAsia="zh-CN"/>
              </w:rPr>
              <w:t>合格</w:t>
            </w:r>
            <w:r>
              <w:rPr>
                <w:rFonts w:hint="eastAsia" w:ascii="宋体" w:hAnsi="宋体" w:eastAsia="宋体" w:cs="宋体"/>
                <w:color w:val="auto"/>
                <w:sz w:val="18"/>
                <w:szCs w:val="18"/>
                <w:highlight w:val="none"/>
                <w:vertAlign w:val="baseline"/>
              </w:rPr>
              <w:t>；　　□　6０－7０</w:t>
            </w:r>
            <w:r>
              <w:rPr>
                <w:rFonts w:hint="eastAsia" w:ascii="宋体" w:hAnsi="宋体" w:cs="宋体"/>
                <w:color w:val="auto"/>
                <w:sz w:val="18"/>
                <w:szCs w:val="18"/>
                <w:highlight w:val="none"/>
                <w:vertAlign w:val="baseline"/>
                <w:lang w:val="en-US" w:eastAsia="zh-CN"/>
              </w:rPr>
              <w:t>基本合格</w:t>
            </w:r>
            <w:r>
              <w:rPr>
                <w:rFonts w:hint="eastAsia" w:ascii="宋体" w:hAnsi="宋体" w:eastAsia="宋体" w:cs="宋体"/>
                <w:color w:val="auto"/>
                <w:sz w:val="18"/>
                <w:szCs w:val="18"/>
                <w:highlight w:val="none"/>
                <w:vertAlign w:val="baseline"/>
              </w:rPr>
              <w:t>；　□　6０分以下不</w:t>
            </w:r>
            <w:r>
              <w:rPr>
                <w:rFonts w:hint="eastAsia" w:ascii="宋体" w:hAnsi="宋体" w:cs="宋体"/>
                <w:color w:val="auto"/>
                <w:sz w:val="18"/>
                <w:szCs w:val="18"/>
                <w:highlight w:val="none"/>
                <w:vertAlign w:val="baseline"/>
                <w:lang w:val="en-US" w:eastAsia="zh-CN"/>
              </w:rPr>
              <w:t>合格</w:t>
            </w:r>
          </w:p>
        </w:tc>
      </w:tr>
    </w:tbl>
    <w:p>
      <w:pPr>
        <w:pStyle w:val="8"/>
        <w:rPr>
          <w:rFonts w:hint="default" w:ascii="仿宋" w:hAnsi="仿宋" w:eastAsia="仿宋" w:cs="仿宋"/>
          <w:b w:val="0"/>
          <w:bCs w:val="0"/>
          <w:color w:val="auto"/>
          <w:sz w:val="32"/>
          <w:szCs w:val="32"/>
          <w:highlight w:val="none"/>
          <w:lang w:val="en-US" w:eastAsia="zh-CN"/>
        </w:rPr>
      </w:pPr>
    </w:p>
    <w:p>
      <w:pPr>
        <w:pStyle w:val="8"/>
        <w:rPr>
          <w:rFonts w:hint="default" w:ascii="仿宋" w:hAnsi="仿宋" w:eastAsia="仿宋" w:cs="仿宋"/>
          <w:b w:val="0"/>
          <w:bCs w:val="0"/>
          <w:color w:val="auto"/>
          <w:sz w:val="32"/>
          <w:szCs w:val="32"/>
          <w:highlight w:val="none"/>
          <w:lang w:val="en-US" w:eastAsia="zh-CN"/>
        </w:rPr>
      </w:pPr>
    </w:p>
    <w:p>
      <w:pPr>
        <w:pStyle w:val="26"/>
        <w:keepNext w:val="0"/>
        <w:keepLines w:val="0"/>
        <w:pageBreakBefore w:val="0"/>
        <w:kinsoku/>
        <w:overflowPunct/>
        <w:topLinePunct w:val="0"/>
        <w:autoSpaceDE/>
        <w:autoSpaceDN/>
        <w:bidi w:val="0"/>
        <w:spacing w:line="360" w:lineRule="auto"/>
        <w:ind w:firstLine="640"/>
        <w:rPr>
          <w:rFonts w:hint="eastAsia" w:ascii="仿宋_GB2312" w:hAnsi="仿宋_GB2312" w:eastAsia="仿宋_GB2312" w:cs="仿宋_GB2312"/>
          <w:snapToGrid w:val="0"/>
          <w:color w:val="auto"/>
          <w:sz w:val="32"/>
          <w:szCs w:val="32"/>
          <w:highlight w:val="none"/>
          <w:lang w:val="en-US" w:eastAsia="zh-CN"/>
        </w:rPr>
      </w:pPr>
    </w:p>
    <w:p>
      <w:pPr>
        <w:pStyle w:val="10"/>
        <w:keepNext w:val="0"/>
        <w:keepLines w:val="0"/>
        <w:pageBreakBefore w:val="0"/>
        <w:kinsoku/>
        <w:overflowPunct/>
        <w:topLinePunct w:val="0"/>
        <w:autoSpaceDE/>
        <w:autoSpaceDN/>
        <w:bidi w:val="0"/>
        <w:spacing w:line="360" w:lineRule="auto"/>
        <w:ind w:left="0" w:right="429" w:firstLine="640" w:firstLineChars="200"/>
        <w:rPr>
          <w:rFonts w:hint="eastAsia" w:ascii="Calibri" w:hAnsi="Calibri" w:eastAsia="宋体"/>
          <w:color w:val="auto"/>
          <w:sz w:val="32"/>
          <w:szCs w:val="32"/>
          <w:highlight w:val="none"/>
        </w:rPr>
      </w:pPr>
    </w:p>
    <w:p>
      <w:pPr>
        <w:keepNext w:val="0"/>
        <w:keepLines w:val="0"/>
        <w:pageBreakBefore w:val="0"/>
        <w:kinsoku/>
        <w:overflowPunct/>
        <w:topLinePunct w:val="0"/>
        <w:autoSpaceDE/>
        <w:autoSpaceDN/>
        <w:bidi w:val="0"/>
        <w:adjustRightInd w:val="0"/>
        <w:snapToGrid w:val="0"/>
        <w:spacing w:line="360" w:lineRule="auto"/>
        <w:ind w:firstLine="640" w:firstLineChars="200"/>
        <w:rPr>
          <w:rFonts w:hint="eastAsia" w:ascii="仿宋_GB2312" w:hAnsi="仿宋_GB2312" w:eastAsia="仿宋_GB2312"/>
          <w:i/>
          <w:iCs/>
          <w:color w:val="auto"/>
          <w:highlight w:val="none"/>
        </w:rPr>
      </w:pPr>
    </w:p>
    <w:p>
      <w:pPr>
        <w:keepNext w:val="0"/>
        <w:keepLines w:val="0"/>
        <w:pageBreakBefore w:val="0"/>
        <w:kinsoku/>
        <w:overflowPunct/>
        <w:topLinePunct w:val="0"/>
        <w:autoSpaceDE/>
        <w:autoSpaceDN/>
        <w:bidi w:val="0"/>
        <w:spacing w:line="360" w:lineRule="auto"/>
        <w:ind w:firstLine="640" w:firstLineChars="200"/>
        <w:jc w:val="center"/>
        <w:rPr>
          <w:rFonts w:hint="eastAsia" w:ascii="仿宋_GB2312" w:hAnsi="仿宋_GB2312" w:eastAsia="仿宋_GB2312"/>
          <w:color w:val="auto"/>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MetaPlusLF">
    <w:altName w:val="Segoe Print"/>
    <w:panose1 w:val="00000000000000000000"/>
    <w:charset w:val="00"/>
    <w:family w:val="auto"/>
    <w:pitch w:val="default"/>
    <w:sig w:usb0="00000000" w:usb1="00000000" w:usb2="00000000" w:usb3="00000000" w:csb0="00000097"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C816C"/>
    <w:multiLevelType w:val="singleLevel"/>
    <w:tmpl w:val="ED7C816C"/>
    <w:lvl w:ilvl="0" w:tentative="0">
      <w:start w:val="1"/>
      <w:numFmt w:val="chineseCounting"/>
      <w:suff w:val="nothing"/>
      <w:lvlText w:val="（%1）"/>
      <w:lvlJc w:val="left"/>
      <w:rPr>
        <w:rFonts w:hint="eastAsia"/>
      </w:rPr>
    </w:lvl>
  </w:abstractNum>
  <w:abstractNum w:abstractNumId="1">
    <w:nsid w:val="0B3DD874"/>
    <w:multiLevelType w:val="singleLevel"/>
    <w:tmpl w:val="0B3DD874"/>
    <w:lvl w:ilvl="0" w:tentative="0">
      <w:start w:val="1"/>
      <w:numFmt w:val="chineseCounting"/>
      <w:suff w:val="nothing"/>
      <w:lvlText w:val="（%1）"/>
      <w:lvlJc w:val="left"/>
      <w:rPr>
        <w:rFonts w:hint="eastAsia"/>
      </w:rPr>
    </w:lvl>
  </w:abstractNum>
  <w:abstractNum w:abstractNumId="2">
    <w:nsid w:val="5D1C59FE"/>
    <w:multiLevelType w:val="multilevel"/>
    <w:tmpl w:val="5D1C59FE"/>
    <w:lvl w:ilvl="0" w:tentative="0">
      <w:start w:val="1"/>
      <w:numFmt w:val="decimal"/>
      <w:lvlText w:val="%1."/>
      <w:lvlJc w:val="left"/>
      <w:pPr>
        <w:tabs>
          <w:tab w:val="left" w:pos="425"/>
        </w:tabs>
        <w:ind w:left="425" w:hanging="425"/>
      </w:pPr>
      <w:rPr>
        <w:rFonts w:hint="default" w:ascii="宋体" w:hAnsi="宋体" w:eastAsia="宋体" w:cs="宋体"/>
      </w:rPr>
    </w:lvl>
    <w:lvl w:ilvl="1" w:tentative="0">
      <w:start w:val="1"/>
      <w:numFmt w:val="decimal"/>
      <w:lvlText w:val="%1.%2."/>
      <w:lvlJc w:val="left"/>
      <w:pPr>
        <w:tabs>
          <w:tab w:val="left" w:pos="3261"/>
        </w:tabs>
        <w:ind w:left="3261" w:hanging="567"/>
      </w:pPr>
      <w:rPr>
        <w:rFonts w:hint="default" w:ascii="宋体" w:hAnsi="宋体" w:eastAsia="宋体" w:cs="宋体"/>
      </w:rPr>
    </w:lvl>
    <w:lvl w:ilvl="2" w:tentative="0">
      <w:start w:val="1"/>
      <w:numFmt w:val="decimal"/>
      <w:suff w:val="space"/>
      <w:lvlText w:val="%1.%2.%3."/>
      <w:lvlJc w:val="center"/>
      <w:pPr>
        <w:ind w:left="0" w:firstLine="0"/>
      </w:pPr>
      <w:rPr>
        <w:rFonts w:hint="default" w:ascii="宋体" w:hAnsi="宋体" w:eastAsia="宋体" w:cs="宋体"/>
      </w:rPr>
    </w:lvl>
    <w:lvl w:ilvl="3" w:tentative="0">
      <w:start w:val="1"/>
      <w:numFmt w:val="decimal"/>
      <w:suff w:val="space"/>
      <w:lvlText w:val="%1.%2.%3.%4."/>
      <w:lvlJc w:val="left"/>
      <w:pPr>
        <w:ind w:left="850" w:hanging="850"/>
      </w:pPr>
      <w:rPr>
        <w:rFonts w:hint="default" w:ascii="宋体" w:hAnsi="宋体" w:eastAsia="宋体" w:cs="宋体"/>
      </w:rPr>
    </w:lvl>
    <w:lvl w:ilvl="4" w:tentative="0">
      <w:start w:val="1"/>
      <w:numFmt w:val="decimal"/>
      <w:pStyle w:val="6"/>
      <w:suff w:val="space"/>
      <w:lvlText w:val="%1.%2.%3.%4.%5."/>
      <w:lvlJc w:val="left"/>
      <w:pPr>
        <w:ind w:left="0" w:firstLine="0"/>
      </w:pPr>
      <w:rPr>
        <w:rFonts w:hint="default" w:ascii="宋体" w:hAnsi="宋体" w:eastAsia="宋体" w:cs="宋体"/>
      </w:rPr>
    </w:lvl>
    <w:lvl w:ilvl="5" w:tentative="0">
      <w:start w:val="1"/>
      <w:numFmt w:val="decimal"/>
      <w:lvlText w:val="%1.%2.%3.%4.%5.%6."/>
      <w:lvlJc w:val="left"/>
      <w:pPr>
        <w:tabs>
          <w:tab w:val="left" w:pos="1134"/>
        </w:tabs>
        <w:ind w:left="1134" w:hanging="1134"/>
      </w:pPr>
      <w:rPr>
        <w:rFonts w:hint="default" w:ascii="宋体" w:hAnsi="宋体" w:eastAsia="宋体" w:cs="宋体"/>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3">
    <w:nsid w:val="7C9D0E54"/>
    <w:multiLevelType w:val="singleLevel"/>
    <w:tmpl w:val="7C9D0E54"/>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MzZmNTk1NDg4MDcyYWNhYTUyMzFkNjZjNDU3ZjYifQ=="/>
  </w:docVars>
  <w:rsids>
    <w:rsidRoot w:val="007C3547"/>
    <w:rsid w:val="000218D5"/>
    <w:rsid w:val="00210D78"/>
    <w:rsid w:val="00250258"/>
    <w:rsid w:val="00294540"/>
    <w:rsid w:val="002C35B1"/>
    <w:rsid w:val="004B20C0"/>
    <w:rsid w:val="007B7314"/>
    <w:rsid w:val="007C3547"/>
    <w:rsid w:val="009B393D"/>
    <w:rsid w:val="00AE7629"/>
    <w:rsid w:val="00B73B09"/>
    <w:rsid w:val="00BC61C4"/>
    <w:rsid w:val="00C21E65"/>
    <w:rsid w:val="00E33169"/>
    <w:rsid w:val="00E90254"/>
    <w:rsid w:val="00F5032D"/>
    <w:rsid w:val="00F86E20"/>
    <w:rsid w:val="00F94277"/>
    <w:rsid w:val="012E0061"/>
    <w:rsid w:val="01B50D90"/>
    <w:rsid w:val="02621D4C"/>
    <w:rsid w:val="03AA7883"/>
    <w:rsid w:val="04686664"/>
    <w:rsid w:val="05391676"/>
    <w:rsid w:val="06B25400"/>
    <w:rsid w:val="07006F23"/>
    <w:rsid w:val="07D12EAA"/>
    <w:rsid w:val="08417B68"/>
    <w:rsid w:val="091F6216"/>
    <w:rsid w:val="09F539A6"/>
    <w:rsid w:val="0A0631A8"/>
    <w:rsid w:val="0B00554D"/>
    <w:rsid w:val="0B48244B"/>
    <w:rsid w:val="0BF81C10"/>
    <w:rsid w:val="0C4213F8"/>
    <w:rsid w:val="0F717234"/>
    <w:rsid w:val="0F7A6FB9"/>
    <w:rsid w:val="0F7F230A"/>
    <w:rsid w:val="0F95619B"/>
    <w:rsid w:val="0FD47603"/>
    <w:rsid w:val="1014324A"/>
    <w:rsid w:val="11444A01"/>
    <w:rsid w:val="121611DD"/>
    <w:rsid w:val="129B5FE9"/>
    <w:rsid w:val="1327480F"/>
    <w:rsid w:val="13D70B92"/>
    <w:rsid w:val="13DB7BB8"/>
    <w:rsid w:val="144C6861"/>
    <w:rsid w:val="14963A13"/>
    <w:rsid w:val="16AD3D6E"/>
    <w:rsid w:val="180843D9"/>
    <w:rsid w:val="18AC391B"/>
    <w:rsid w:val="193176A6"/>
    <w:rsid w:val="1AE85E2E"/>
    <w:rsid w:val="1BA853F9"/>
    <w:rsid w:val="1BBA7EB3"/>
    <w:rsid w:val="1C2011D7"/>
    <w:rsid w:val="1C4E099B"/>
    <w:rsid w:val="1D7500F5"/>
    <w:rsid w:val="1DA62122"/>
    <w:rsid w:val="1DE23EA8"/>
    <w:rsid w:val="1DFF2A29"/>
    <w:rsid w:val="1EC11861"/>
    <w:rsid w:val="1F036085"/>
    <w:rsid w:val="1F8B1E0A"/>
    <w:rsid w:val="20A46E47"/>
    <w:rsid w:val="21634ED2"/>
    <w:rsid w:val="233451D3"/>
    <w:rsid w:val="252457D5"/>
    <w:rsid w:val="25CF751D"/>
    <w:rsid w:val="26DE2A42"/>
    <w:rsid w:val="26F05B26"/>
    <w:rsid w:val="2714048A"/>
    <w:rsid w:val="2779782C"/>
    <w:rsid w:val="284C48AB"/>
    <w:rsid w:val="285039BB"/>
    <w:rsid w:val="287439B8"/>
    <w:rsid w:val="2889739E"/>
    <w:rsid w:val="28C476E8"/>
    <w:rsid w:val="2B2306BB"/>
    <w:rsid w:val="2B2C5EED"/>
    <w:rsid w:val="2BFF040B"/>
    <w:rsid w:val="2C010425"/>
    <w:rsid w:val="2C0F7B1E"/>
    <w:rsid w:val="2C4877BE"/>
    <w:rsid w:val="2C821B5F"/>
    <w:rsid w:val="2CE43857"/>
    <w:rsid w:val="2D4339A9"/>
    <w:rsid w:val="2D9C7479"/>
    <w:rsid w:val="2E020CB1"/>
    <w:rsid w:val="2FC8761F"/>
    <w:rsid w:val="30FC441A"/>
    <w:rsid w:val="31D252A4"/>
    <w:rsid w:val="32217FF4"/>
    <w:rsid w:val="34386D33"/>
    <w:rsid w:val="346C3AE4"/>
    <w:rsid w:val="359C038A"/>
    <w:rsid w:val="36462E1C"/>
    <w:rsid w:val="366542CC"/>
    <w:rsid w:val="36A02CEF"/>
    <w:rsid w:val="36C606B0"/>
    <w:rsid w:val="37C919B2"/>
    <w:rsid w:val="383B5633"/>
    <w:rsid w:val="38AA2124"/>
    <w:rsid w:val="3940188D"/>
    <w:rsid w:val="396A3EF5"/>
    <w:rsid w:val="3AA16843"/>
    <w:rsid w:val="3B515F88"/>
    <w:rsid w:val="3CA55C22"/>
    <w:rsid w:val="3D12218E"/>
    <w:rsid w:val="3D4B2BF8"/>
    <w:rsid w:val="3D97101B"/>
    <w:rsid w:val="3DC35179"/>
    <w:rsid w:val="3DDF47A4"/>
    <w:rsid w:val="3E26663E"/>
    <w:rsid w:val="3E485A72"/>
    <w:rsid w:val="3F1A134C"/>
    <w:rsid w:val="404225EC"/>
    <w:rsid w:val="40643B96"/>
    <w:rsid w:val="40882F6C"/>
    <w:rsid w:val="409C2A7F"/>
    <w:rsid w:val="40EA2E20"/>
    <w:rsid w:val="41410DB3"/>
    <w:rsid w:val="41907F10"/>
    <w:rsid w:val="4317255F"/>
    <w:rsid w:val="44C8534A"/>
    <w:rsid w:val="45044305"/>
    <w:rsid w:val="46A50AEB"/>
    <w:rsid w:val="46ED55AE"/>
    <w:rsid w:val="47375C9B"/>
    <w:rsid w:val="47BE22BD"/>
    <w:rsid w:val="47CF53F2"/>
    <w:rsid w:val="48463164"/>
    <w:rsid w:val="48AF6437"/>
    <w:rsid w:val="48B468FC"/>
    <w:rsid w:val="48BF6586"/>
    <w:rsid w:val="48E46E87"/>
    <w:rsid w:val="4A40403A"/>
    <w:rsid w:val="4CB655E8"/>
    <w:rsid w:val="4CF06CAF"/>
    <w:rsid w:val="4DAD1F94"/>
    <w:rsid w:val="4DBC55B0"/>
    <w:rsid w:val="4F0652A8"/>
    <w:rsid w:val="4F0D444B"/>
    <w:rsid w:val="4F9B33D1"/>
    <w:rsid w:val="518700E5"/>
    <w:rsid w:val="52903097"/>
    <w:rsid w:val="52CD28F3"/>
    <w:rsid w:val="53760E0E"/>
    <w:rsid w:val="54BF72D1"/>
    <w:rsid w:val="55D27ECA"/>
    <w:rsid w:val="55EF657B"/>
    <w:rsid w:val="55F11F59"/>
    <w:rsid w:val="563F2A11"/>
    <w:rsid w:val="56861064"/>
    <w:rsid w:val="56B4712B"/>
    <w:rsid w:val="57336621"/>
    <w:rsid w:val="57493558"/>
    <w:rsid w:val="574A1967"/>
    <w:rsid w:val="57815E3B"/>
    <w:rsid w:val="57C7000E"/>
    <w:rsid w:val="588756C5"/>
    <w:rsid w:val="593E2004"/>
    <w:rsid w:val="59403D16"/>
    <w:rsid w:val="59E67CE5"/>
    <w:rsid w:val="5A900FF3"/>
    <w:rsid w:val="5AA870C5"/>
    <w:rsid w:val="5B2E1FCB"/>
    <w:rsid w:val="5B522619"/>
    <w:rsid w:val="5B5469F8"/>
    <w:rsid w:val="5B5762AC"/>
    <w:rsid w:val="5B67183B"/>
    <w:rsid w:val="5C231588"/>
    <w:rsid w:val="5CF50AD2"/>
    <w:rsid w:val="5D7F3C2C"/>
    <w:rsid w:val="5DE314A5"/>
    <w:rsid w:val="5EFB2F11"/>
    <w:rsid w:val="5FBA33E4"/>
    <w:rsid w:val="60997EAC"/>
    <w:rsid w:val="609E0E89"/>
    <w:rsid w:val="60CA1DF7"/>
    <w:rsid w:val="61F52C7D"/>
    <w:rsid w:val="623B0E32"/>
    <w:rsid w:val="62605469"/>
    <w:rsid w:val="630279C7"/>
    <w:rsid w:val="63912B14"/>
    <w:rsid w:val="63B465DE"/>
    <w:rsid w:val="63E30435"/>
    <w:rsid w:val="64265A5F"/>
    <w:rsid w:val="642A7B4E"/>
    <w:rsid w:val="646E31B3"/>
    <w:rsid w:val="65310BC1"/>
    <w:rsid w:val="65B0180F"/>
    <w:rsid w:val="672755B4"/>
    <w:rsid w:val="682813BE"/>
    <w:rsid w:val="68631C9E"/>
    <w:rsid w:val="68C774B2"/>
    <w:rsid w:val="68F970DD"/>
    <w:rsid w:val="69E203AF"/>
    <w:rsid w:val="6ACD505D"/>
    <w:rsid w:val="6B7569B5"/>
    <w:rsid w:val="6C1E1315"/>
    <w:rsid w:val="6CF24C11"/>
    <w:rsid w:val="6DC71D1C"/>
    <w:rsid w:val="6DCC1A05"/>
    <w:rsid w:val="6EEB3706"/>
    <w:rsid w:val="6F1435A7"/>
    <w:rsid w:val="6FC45207"/>
    <w:rsid w:val="6FF95DF6"/>
    <w:rsid w:val="70035206"/>
    <w:rsid w:val="70047B14"/>
    <w:rsid w:val="71872A09"/>
    <w:rsid w:val="7487009A"/>
    <w:rsid w:val="74C319EE"/>
    <w:rsid w:val="75036F63"/>
    <w:rsid w:val="75926A5F"/>
    <w:rsid w:val="76C40D86"/>
    <w:rsid w:val="771E76AA"/>
    <w:rsid w:val="77996E44"/>
    <w:rsid w:val="78F2F73C"/>
    <w:rsid w:val="7B7873D3"/>
    <w:rsid w:val="7C517B07"/>
    <w:rsid w:val="7C647E8E"/>
    <w:rsid w:val="7C723D8E"/>
    <w:rsid w:val="7CED0C4A"/>
    <w:rsid w:val="7D7D0BDB"/>
    <w:rsid w:val="7DE860B7"/>
    <w:rsid w:val="7DF779E1"/>
    <w:rsid w:val="7DF83072"/>
    <w:rsid w:val="7E4173A5"/>
    <w:rsid w:val="7E4A06C4"/>
    <w:rsid w:val="7EFD4AE7"/>
    <w:rsid w:val="7F3520D9"/>
    <w:rsid w:val="7F97EBEA"/>
    <w:rsid w:val="7FAF7BB9"/>
    <w:rsid w:val="8BDEE1E5"/>
    <w:rsid w:val="979F33B1"/>
    <w:rsid w:val="9DF7CFBF"/>
    <w:rsid w:val="B6972A85"/>
    <w:rsid w:val="B9ED3079"/>
    <w:rsid w:val="F0FB2589"/>
    <w:rsid w:val="FBD994D1"/>
    <w:rsid w:val="FD45B67A"/>
    <w:rsid w:val="FE3780DF"/>
    <w:rsid w:val="FFFFB3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snapToGrid w:val="0"/>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5"/>
    <w:basedOn w:val="1"/>
    <w:next w:val="1"/>
    <w:qFormat/>
    <w:uiPriority w:val="9"/>
    <w:pPr>
      <w:keepNext/>
      <w:keepLines/>
      <w:numPr>
        <w:ilvl w:val="4"/>
        <w:numId w:val="1"/>
      </w:numPr>
      <w:tabs>
        <w:tab w:val="left" w:pos="425"/>
        <w:tab w:val="left" w:pos="991"/>
        <w:tab w:val="left" w:pos="1008"/>
      </w:tabs>
      <w:spacing w:before="280" w:after="290" w:line="376" w:lineRule="auto"/>
      <w:outlineLvl w:val="4"/>
    </w:pPr>
    <w:rPr>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after="200" w:line="276" w:lineRule="auto"/>
    </w:pPr>
    <w:rPr>
      <w:rFonts w:hint="eastAsia" w:ascii="微软雅黑" w:hAnsi="微软雅黑" w:eastAsia="微软雅黑" w:cs="Times New Roman"/>
      <w:color w:val="000000"/>
      <w:sz w:val="24"/>
      <w:szCs w:val="22"/>
      <w:lang w:val="en-US" w:eastAsia="zh-CN" w:bidi="ar-SA"/>
    </w:rPr>
  </w:style>
  <w:style w:type="paragraph" w:styleId="7">
    <w:name w:val="Normal Indent"/>
    <w:basedOn w:val="1"/>
    <w:qFormat/>
    <w:uiPriority w:val="0"/>
    <w:pPr>
      <w:ind w:firstLine="420"/>
    </w:pPr>
    <w:rPr>
      <w:rFonts w:ascii="Times New Roman" w:hAnsi="Times New Roman" w:cs="Times New Roman"/>
      <w:snapToGrid/>
      <w:kern w:val="2"/>
      <w:sz w:val="21"/>
      <w:szCs w:val="20"/>
    </w:rPr>
  </w:style>
  <w:style w:type="paragraph" w:styleId="8">
    <w:name w:val="Body Text"/>
    <w:basedOn w:val="1"/>
    <w:qFormat/>
    <w:uiPriority w:val="0"/>
    <w:pPr>
      <w:spacing w:line="380" w:lineRule="exact"/>
    </w:pPr>
    <w:rPr>
      <w:sz w:val="24"/>
    </w:rPr>
  </w:style>
  <w:style w:type="paragraph" w:styleId="9">
    <w:name w:val="Body Text Indent"/>
    <w:basedOn w:val="1"/>
    <w:qFormat/>
    <w:uiPriority w:val="0"/>
    <w:pPr>
      <w:spacing w:after="120"/>
      <w:ind w:left="420" w:leftChars="200"/>
    </w:pPr>
    <w:rPr>
      <w:kern w:val="0"/>
      <w:sz w:val="20"/>
    </w:rPr>
  </w:style>
  <w:style w:type="paragraph" w:styleId="10">
    <w:name w:val="Block Text"/>
    <w:basedOn w:val="1"/>
    <w:qFormat/>
    <w:uiPriority w:val="99"/>
    <w:pPr>
      <w:spacing w:line="400" w:lineRule="atLeast"/>
      <w:ind w:left="280" w:right="134" w:rightChars="134" w:firstLine="497"/>
    </w:pPr>
    <w:rPr>
      <w:rFonts w:ascii="宋体" w:hAnsi="宋体" w:eastAsia="楷体_GB2312"/>
      <w:sz w:val="24"/>
      <w:szCs w:val="20"/>
    </w:rPr>
  </w:style>
  <w:style w:type="paragraph" w:styleId="11">
    <w:name w:val="Plain Text"/>
    <w:basedOn w:val="1"/>
    <w:link w:val="21"/>
    <w:qFormat/>
    <w:uiPriority w:val="0"/>
    <w:rPr>
      <w:rFonts w:ascii="宋体" w:hAnsi="Courier New" w:cs="宋体"/>
      <w:snapToGrid/>
      <w:kern w:val="2"/>
      <w:sz w:val="21"/>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unhideWhenUsed/>
    <w:qFormat/>
    <w:uiPriority w:val="99"/>
    <w:pPr>
      <w:spacing w:before="100" w:beforeAutospacing="1" w:after="100" w:afterAutospacing="1"/>
      <w:jc w:val="left"/>
    </w:pPr>
    <w:rPr>
      <w:kern w:val="0"/>
      <w:sz w:val="24"/>
    </w:rPr>
  </w:style>
  <w:style w:type="paragraph" w:styleId="15">
    <w:name w:val="Body Text First Indent 2"/>
    <w:basedOn w:val="9"/>
    <w:qFormat/>
    <w:uiPriority w:val="0"/>
    <w:pPr>
      <w:ind w:firstLine="420" w:firstLineChars="200"/>
    </w:pPr>
    <w:rPr>
      <w:kern w:val="0"/>
      <w:sz w:val="20"/>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paragraph" w:customStyle="1" w:styleId="20">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纯文本 Char"/>
    <w:basedOn w:val="18"/>
    <w:link w:val="11"/>
    <w:qFormat/>
    <w:uiPriority w:val="0"/>
    <w:rPr>
      <w:rFonts w:ascii="宋体" w:hAnsi="Courier New" w:cs="宋体"/>
      <w:kern w:val="2"/>
      <w:sz w:val="21"/>
      <w:szCs w:val="21"/>
    </w:rPr>
  </w:style>
  <w:style w:type="paragraph" w:customStyle="1" w:styleId="22">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3">
    <w:name w:val="正常"/>
    <w:basedOn w:val="24"/>
    <w:qFormat/>
    <w:uiPriority w:val="0"/>
    <w:rPr>
      <w:sz w:val="24"/>
    </w:rPr>
  </w:style>
  <w:style w:type="paragraph" w:customStyle="1" w:styleId="24">
    <w:name w:val="小正常"/>
    <w:basedOn w:val="1"/>
    <w:qFormat/>
    <w:uiPriority w:val="0"/>
    <w:rPr>
      <w:rFonts w:cs="Times New Roman"/>
      <w:sz w:val="20"/>
      <w:szCs w:val="20"/>
    </w:rPr>
  </w:style>
  <w:style w:type="character" w:customStyle="1" w:styleId="25">
    <w:name w:val="列出段落 Char"/>
    <w:link w:val="26"/>
    <w:qFormat/>
    <w:uiPriority w:val="0"/>
    <w:rPr>
      <w:rFonts w:ascii="MetaPlusLF" w:hAnsi="MetaPlusLF"/>
      <w:lang w:val="de-DE" w:eastAsia="de-DE"/>
    </w:rPr>
  </w:style>
  <w:style w:type="paragraph" w:styleId="26">
    <w:name w:val="List Paragraph"/>
    <w:basedOn w:val="1"/>
    <w:link w:val="25"/>
    <w:qFormat/>
    <w:uiPriority w:val="0"/>
    <w:pPr>
      <w:widowControl/>
      <w:ind w:firstLine="420" w:firstLineChars="200"/>
      <w:jc w:val="left"/>
    </w:pPr>
    <w:rPr>
      <w:rFonts w:ascii="MetaPlusLF" w:hAnsi="MetaPlusLF" w:cs="Times New Roman"/>
      <w:snapToGrid/>
      <w:sz w:val="20"/>
      <w:szCs w:val="20"/>
      <w:lang w:val="de-DE" w:eastAsia="de-DE"/>
    </w:rPr>
  </w:style>
  <w:style w:type="paragraph" w:customStyle="1" w:styleId="27">
    <w:name w:val="表格文字"/>
    <w:basedOn w:val="1"/>
    <w:next w:val="8"/>
    <w:qFormat/>
    <w:uiPriority w:val="0"/>
    <w:pPr>
      <w:adjustRightInd w:val="0"/>
      <w:spacing w:line="420" w:lineRule="atLeast"/>
      <w:textAlignment w:val="baseline"/>
    </w:pPr>
    <w:rPr>
      <w:szCs w:val="20"/>
    </w:rPr>
  </w:style>
  <w:style w:type="paragraph" w:customStyle="1" w:styleId="28">
    <w:name w:val="p16"/>
    <w:qFormat/>
    <w:uiPriority w:val="99"/>
    <w:pPr>
      <w:jc w:val="both"/>
    </w:pPr>
    <w:rPr>
      <w:rFonts w:ascii="宋体" w:hAnsi="宋体" w:eastAsia="宋体" w:cs="宋体"/>
      <w:color w:val="000000"/>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8544</Words>
  <Characters>8827</Characters>
  <Lines>9</Lines>
  <Paragraphs>2</Paragraphs>
  <TotalTime>9</TotalTime>
  <ScaleCrop>false</ScaleCrop>
  <LinksUpToDate>false</LinksUpToDate>
  <CharactersWithSpaces>8918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2024-04-10T08:20:00Z</dcterms:created>
  <dc:creator>guest</dc:creator>
  <cp:lastModifiedBy>王佳玲</cp:lastModifiedBy>
  <cp:lastPrinted>2024-06-13T08:07:00Z</cp:lastPrinted>
  <dcterms:modified xsi:type="dcterms:W3CDTF">2024-06-20T09:25:35Z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A7E33C7A25CF4985A83B7FF424310CE7_12</vt:lpwstr>
  </property>
</Properties>
</file>