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E82E0">
      <w:pPr>
        <w:pStyle w:val="20"/>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国家税务总局莆田市</w:t>
      </w:r>
      <w:r>
        <w:rPr>
          <w:rFonts w:hint="eastAsia" w:ascii="仿宋" w:hAnsi="仿宋" w:eastAsia="仿宋" w:cs="仿宋"/>
          <w:b/>
          <w:bCs/>
          <w:color w:val="auto"/>
          <w:sz w:val="40"/>
          <w:szCs w:val="40"/>
          <w:highlight w:val="none"/>
          <w:lang w:eastAsia="zh-CN"/>
        </w:rPr>
        <w:t>秀屿区</w:t>
      </w:r>
      <w:r>
        <w:rPr>
          <w:rFonts w:hint="eastAsia" w:ascii="仿宋" w:hAnsi="仿宋" w:eastAsia="仿宋" w:cs="仿宋"/>
          <w:b/>
          <w:bCs/>
          <w:color w:val="auto"/>
          <w:sz w:val="40"/>
          <w:szCs w:val="40"/>
          <w:highlight w:val="none"/>
        </w:rPr>
        <w:t>税务局</w:t>
      </w:r>
    </w:p>
    <w:p w14:paraId="25B418AB">
      <w:pPr>
        <w:pStyle w:val="20"/>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lang w:eastAsia="zh-CN"/>
        </w:rPr>
        <w:t>纳税辅助性服务及其他服务外包项目采购</w:t>
      </w:r>
      <w:r>
        <w:rPr>
          <w:rFonts w:hint="eastAsia" w:ascii="仿宋" w:hAnsi="仿宋" w:eastAsia="仿宋" w:cs="仿宋"/>
          <w:b/>
          <w:bCs/>
          <w:color w:val="auto"/>
          <w:sz w:val="40"/>
          <w:szCs w:val="40"/>
          <w:highlight w:val="none"/>
        </w:rPr>
        <w:t>需求</w:t>
      </w:r>
    </w:p>
    <w:p w14:paraId="2917B6ED">
      <w:pPr>
        <w:pStyle w:val="26"/>
        <w:keepNext w:val="0"/>
        <w:keepLines w:val="0"/>
        <w:pageBreakBefore w:val="0"/>
        <w:kinsoku/>
        <w:overflowPunct/>
        <w:topLinePunct w:val="0"/>
        <w:autoSpaceDE/>
        <w:autoSpaceDN/>
        <w:bidi w:val="0"/>
        <w:spacing w:line="360" w:lineRule="auto"/>
        <w:ind w:firstLine="64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一、项目背景</w:t>
      </w:r>
    </w:p>
    <w:p w14:paraId="20B300FF">
      <w:pPr>
        <w:keepNext w:val="0"/>
        <w:keepLines w:val="0"/>
        <w:pageBreakBefore w:val="0"/>
        <w:widowControl/>
        <w:tabs>
          <w:tab w:val="left" w:pos="6930"/>
        </w:tabs>
        <w:kinsoku/>
        <w:wordWrap/>
        <w:overflowPunct/>
        <w:topLinePunct w:val="0"/>
        <w:autoSpaceDE/>
        <w:autoSpaceDN/>
        <w:bidi w:val="0"/>
        <w:adjustRightInd/>
        <w:snapToGrid/>
        <w:spacing w:line="440" w:lineRule="exact"/>
        <w:ind w:right="62" w:firstLine="56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8"/>
          <w:szCs w:val="28"/>
          <w:highlight w:val="none"/>
          <w:lang w:val="en-US" w:eastAsia="zh-CN"/>
        </w:rPr>
        <w:t>国家税务总局莆田市秀屿区税务局管辖的纳税人数量、服务缴费人数较往年增长幅度大，办税服务厅、税悦工作室纳税服务及机关后勤需求不断攀升，服务质量亟需进一步提质升级。我局拟将纳税</w:t>
      </w:r>
      <w:r>
        <w:rPr>
          <w:rFonts w:hint="eastAsia" w:ascii="仿宋" w:hAnsi="仿宋" w:eastAsia="仿宋" w:cs="仿宋"/>
          <w:color w:val="auto"/>
          <w:kern w:val="0"/>
          <w:sz w:val="28"/>
          <w:szCs w:val="28"/>
          <w:highlight w:val="none"/>
          <w:lang w:val="en-US" w:eastAsia="zh-CN" w:bidi="ar-SA"/>
        </w:rPr>
        <w:t>辅助性服务及其他服务项目（合计约35个岗位需求）对外公开招标采购</w:t>
      </w:r>
      <w:r>
        <w:rPr>
          <w:rFonts w:hint="eastAsia" w:ascii="仿宋" w:hAnsi="仿宋" w:eastAsia="仿宋" w:cs="仿宋"/>
          <w:color w:val="auto"/>
          <w:kern w:val="0"/>
          <w:sz w:val="28"/>
          <w:szCs w:val="28"/>
          <w:highlight w:val="none"/>
          <w:lang w:val="en-US" w:eastAsia="zh-CN"/>
        </w:rPr>
        <w:t>，本项目最高限价为488万元。在合同履行期间，人员数量和岗位设置，按实际需求以采购人通知确认为准。</w:t>
      </w:r>
    </w:p>
    <w:p w14:paraId="612646AF">
      <w:pPr>
        <w:pStyle w:val="26"/>
        <w:keepNext w:val="0"/>
        <w:keepLines w:val="0"/>
        <w:pageBreakBefore w:val="0"/>
        <w:kinsoku/>
        <w:overflowPunct/>
        <w:topLinePunct w:val="0"/>
        <w:autoSpaceDE/>
        <w:autoSpaceDN/>
        <w:bidi w:val="0"/>
        <w:spacing w:line="360" w:lineRule="auto"/>
        <w:ind w:firstLine="64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二、采购内容</w:t>
      </w:r>
    </w:p>
    <w:p w14:paraId="3D3D70AC">
      <w:pPr>
        <w:pStyle w:val="8"/>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bidi="ar-SA"/>
        </w:rPr>
        <w:t>1.纳税辅助性服务及其他服务项目，具体采购内容如下：</w:t>
      </w:r>
    </w:p>
    <w:tbl>
      <w:tblPr>
        <w:tblStyle w:val="16"/>
        <w:tblW w:w="922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89"/>
        <w:gridCol w:w="4882"/>
        <w:gridCol w:w="1198"/>
        <w:gridCol w:w="963"/>
      </w:tblGrid>
      <w:tr w14:paraId="0F20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14:paraId="66492C7C">
            <w:pPr>
              <w:keepNext w:val="0"/>
              <w:keepLines w:val="0"/>
              <w:pageBreakBefore w:val="0"/>
              <w:tabs>
                <w:tab w:val="left" w:pos="6930"/>
              </w:tabs>
              <w:kinsoku/>
              <w:overflowPunct/>
              <w:topLinePunct w:val="0"/>
              <w:autoSpaceDE/>
              <w:autoSpaceDN/>
              <w:bidi w:val="0"/>
              <w:spacing w:line="360" w:lineRule="auto"/>
              <w:ind w:right="62"/>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合同包</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36DF23AD">
            <w:pPr>
              <w:keepNext w:val="0"/>
              <w:keepLines w:val="0"/>
              <w:pageBreakBefore w:val="0"/>
              <w:tabs>
                <w:tab w:val="left" w:pos="6930"/>
              </w:tabs>
              <w:kinsoku/>
              <w:overflowPunct/>
              <w:topLinePunct w:val="0"/>
              <w:autoSpaceDE/>
              <w:autoSpaceDN/>
              <w:bidi w:val="0"/>
              <w:spacing w:line="360" w:lineRule="auto"/>
              <w:ind w:right="62"/>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项目</w:t>
            </w:r>
          </w:p>
          <w:p w14:paraId="55CABEF8">
            <w:pPr>
              <w:keepNext w:val="0"/>
              <w:keepLines w:val="0"/>
              <w:pageBreakBefore w:val="0"/>
              <w:tabs>
                <w:tab w:val="left" w:pos="6930"/>
              </w:tabs>
              <w:kinsoku/>
              <w:overflowPunct/>
              <w:topLinePunct w:val="0"/>
              <w:autoSpaceDE/>
              <w:autoSpaceDN/>
              <w:bidi w:val="0"/>
              <w:spacing w:line="360" w:lineRule="auto"/>
              <w:ind w:right="62"/>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名称</w:t>
            </w:r>
          </w:p>
        </w:tc>
        <w:tc>
          <w:tcPr>
            <w:tcW w:w="4882" w:type="dxa"/>
            <w:tcBorders>
              <w:top w:val="single" w:color="auto" w:sz="4" w:space="0"/>
              <w:left w:val="single" w:color="auto" w:sz="4" w:space="0"/>
              <w:bottom w:val="single" w:color="auto" w:sz="4" w:space="0"/>
              <w:right w:val="single" w:color="auto" w:sz="4" w:space="0"/>
            </w:tcBorders>
            <w:noWrap w:val="0"/>
            <w:vAlign w:val="center"/>
          </w:tcPr>
          <w:p w14:paraId="41E80924">
            <w:pPr>
              <w:keepNext w:val="0"/>
              <w:keepLines w:val="0"/>
              <w:pageBreakBefore w:val="0"/>
              <w:tabs>
                <w:tab w:val="left" w:pos="6930"/>
              </w:tabs>
              <w:kinsoku/>
              <w:overflowPunct/>
              <w:topLinePunct w:val="0"/>
              <w:autoSpaceDE/>
              <w:autoSpaceDN/>
              <w:bidi w:val="0"/>
              <w:spacing w:line="360" w:lineRule="auto"/>
              <w:ind w:right="62" w:firstLine="964" w:firstLineChars="400"/>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采购内容及要求</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F57E082">
            <w:pPr>
              <w:keepNext w:val="0"/>
              <w:keepLines w:val="0"/>
              <w:pageBreakBefore w:val="0"/>
              <w:tabs>
                <w:tab w:val="left" w:pos="6930"/>
              </w:tabs>
              <w:kinsoku/>
              <w:overflowPunct/>
              <w:topLinePunct w:val="0"/>
              <w:autoSpaceDE/>
              <w:autoSpaceDN/>
              <w:bidi w:val="0"/>
              <w:spacing w:line="360" w:lineRule="auto"/>
              <w:ind w:right="62"/>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最高限价（万元）</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1AD68753">
            <w:pPr>
              <w:keepNext w:val="0"/>
              <w:keepLines w:val="0"/>
              <w:pageBreakBefore w:val="0"/>
              <w:tabs>
                <w:tab w:val="left" w:pos="6930"/>
              </w:tabs>
              <w:kinsoku/>
              <w:overflowPunct/>
              <w:topLinePunct w:val="0"/>
              <w:autoSpaceDE/>
              <w:autoSpaceDN/>
              <w:bidi w:val="0"/>
              <w:spacing w:line="360" w:lineRule="auto"/>
              <w:ind w:right="62"/>
              <w:jc w:val="center"/>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服务</w:t>
            </w:r>
          </w:p>
          <w:p w14:paraId="3C765836">
            <w:pPr>
              <w:keepNext w:val="0"/>
              <w:keepLines w:val="0"/>
              <w:pageBreakBefore w:val="0"/>
              <w:tabs>
                <w:tab w:val="left" w:pos="6930"/>
              </w:tabs>
              <w:kinsoku/>
              <w:overflowPunct/>
              <w:topLinePunct w:val="0"/>
              <w:autoSpaceDE/>
              <w:autoSpaceDN/>
              <w:bidi w:val="0"/>
              <w:spacing w:line="360" w:lineRule="auto"/>
              <w:ind w:right="6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eastAsia="zh-CN"/>
              </w:rPr>
              <w:t>期限</w:t>
            </w:r>
          </w:p>
        </w:tc>
      </w:tr>
      <w:tr w14:paraId="0561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restart"/>
            <w:tcBorders>
              <w:top w:val="single" w:color="auto" w:sz="4" w:space="0"/>
              <w:left w:val="single" w:color="auto" w:sz="4" w:space="0"/>
              <w:right w:val="single" w:color="auto" w:sz="4" w:space="0"/>
            </w:tcBorders>
            <w:noWrap w:val="0"/>
            <w:vAlign w:val="center"/>
          </w:tcPr>
          <w:p w14:paraId="07427652">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服务外包项目</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3F1DB17E">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纳税辅助性服务</w:t>
            </w:r>
          </w:p>
          <w:p w14:paraId="3BB4160D">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p>
        </w:tc>
        <w:tc>
          <w:tcPr>
            <w:tcW w:w="4882" w:type="dxa"/>
            <w:tcBorders>
              <w:top w:val="single" w:color="auto" w:sz="4" w:space="0"/>
              <w:left w:val="single" w:color="auto" w:sz="4" w:space="0"/>
              <w:bottom w:val="single" w:color="auto" w:sz="4" w:space="0"/>
              <w:right w:val="single" w:color="auto" w:sz="4" w:space="0"/>
            </w:tcBorders>
            <w:noWrap w:val="0"/>
            <w:vAlign w:val="center"/>
          </w:tcPr>
          <w:p w14:paraId="529794AC">
            <w:pPr>
              <w:keepNext w:val="0"/>
              <w:keepLines w:val="0"/>
              <w:pageBreakBefore w:val="0"/>
              <w:tabs>
                <w:tab w:val="left" w:pos="6930"/>
              </w:tabs>
              <w:kinsoku/>
              <w:overflowPunct/>
              <w:topLinePunct w:val="0"/>
              <w:autoSpaceDE/>
              <w:autoSpaceDN/>
              <w:bidi w:val="0"/>
              <w:spacing w:line="440" w:lineRule="exact"/>
              <w:ind w:right="62" w:firstLine="0" w:firstLineChars="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为我局在指定地点提供窗口服务、导税服务、税费咨询服务、自助办税（费）辅导服务、涉税（费）宣传服务、协助做好业务档案资料的信息录入及整理等《办税服务厅编外人员授权负面清单》以外的有关非执法性服务事项。</w:t>
            </w:r>
          </w:p>
        </w:tc>
        <w:tc>
          <w:tcPr>
            <w:tcW w:w="1198" w:type="dxa"/>
            <w:vMerge w:val="restart"/>
            <w:tcBorders>
              <w:top w:val="single" w:color="auto" w:sz="4" w:space="0"/>
              <w:left w:val="single" w:color="auto" w:sz="4" w:space="0"/>
              <w:right w:val="single" w:color="auto" w:sz="4" w:space="0"/>
            </w:tcBorders>
            <w:noWrap w:val="0"/>
            <w:vAlign w:val="center"/>
          </w:tcPr>
          <w:p w14:paraId="03ECF81A">
            <w:pPr>
              <w:keepNext w:val="0"/>
              <w:keepLines w:val="0"/>
              <w:pageBreakBefore w:val="0"/>
              <w:tabs>
                <w:tab w:val="left" w:pos="6930"/>
              </w:tabs>
              <w:kinsoku/>
              <w:overflowPunct/>
              <w:topLinePunct w:val="0"/>
              <w:autoSpaceDE/>
              <w:autoSpaceDN/>
              <w:bidi w:val="0"/>
              <w:spacing w:line="360" w:lineRule="auto"/>
              <w:ind w:right="62"/>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488</w:t>
            </w:r>
          </w:p>
        </w:tc>
        <w:tc>
          <w:tcPr>
            <w:tcW w:w="963" w:type="dxa"/>
            <w:vMerge w:val="restart"/>
            <w:tcBorders>
              <w:top w:val="single" w:color="auto" w:sz="4" w:space="0"/>
              <w:left w:val="single" w:color="auto" w:sz="4" w:space="0"/>
              <w:right w:val="single" w:color="auto" w:sz="4" w:space="0"/>
            </w:tcBorders>
            <w:noWrap w:val="0"/>
            <w:vAlign w:val="center"/>
          </w:tcPr>
          <w:p w14:paraId="37978B87">
            <w:pPr>
              <w:keepNext w:val="0"/>
              <w:keepLines w:val="0"/>
              <w:pageBreakBefore w:val="0"/>
              <w:kinsoku/>
              <w:overflowPunct/>
              <w:topLinePunct w:val="0"/>
              <w:autoSpaceDE/>
              <w:autoSpaceDN/>
              <w:bidi w:val="0"/>
              <w:spacing w:line="360" w:lineRule="auto"/>
              <w:ind w:right="62"/>
              <w:jc w:val="center"/>
              <w:rPr>
                <w:rFonts w:hint="eastAsia" w:ascii="仿宋" w:hAnsi="仿宋" w:eastAsia="仿宋" w:cs="仿宋"/>
                <w:color w:val="auto"/>
                <w:kern w:val="2"/>
                <w:sz w:val="24"/>
                <w:szCs w:val="24"/>
                <w:highlight w:val="none"/>
                <w:lang w:val="en-US" w:eastAsia="zh-CN"/>
              </w:rPr>
            </w:pPr>
          </w:p>
          <w:p w14:paraId="1F5A2289">
            <w:pPr>
              <w:keepNext w:val="0"/>
              <w:keepLines w:val="0"/>
              <w:pageBreakBefore w:val="0"/>
              <w:kinsoku/>
              <w:overflowPunct/>
              <w:topLinePunct w:val="0"/>
              <w:autoSpaceDE/>
              <w:autoSpaceDN/>
              <w:bidi w:val="0"/>
              <w:spacing w:line="360" w:lineRule="auto"/>
              <w:ind w:right="62"/>
              <w:jc w:val="center"/>
              <w:rPr>
                <w:rFonts w:hint="eastAsia" w:ascii="仿宋" w:hAnsi="仿宋" w:eastAsia="仿宋" w:cs="仿宋"/>
                <w:color w:val="auto"/>
                <w:kern w:val="2"/>
                <w:sz w:val="24"/>
                <w:szCs w:val="24"/>
                <w:highlight w:val="none"/>
                <w:lang w:val="en-US" w:eastAsia="zh-CN"/>
              </w:rPr>
            </w:pPr>
          </w:p>
          <w:p w14:paraId="2F4F3372">
            <w:pPr>
              <w:keepNext w:val="0"/>
              <w:keepLines w:val="0"/>
              <w:pageBreakBefore w:val="0"/>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2024年11月1日-2026年12月31日</w:t>
            </w:r>
          </w:p>
        </w:tc>
      </w:tr>
      <w:tr w14:paraId="3719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1088" w:type="dxa"/>
            <w:vMerge w:val="continue"/>
            <w:tcBorders>
              <w:left w:val="single" w:color="auto" w:sz="4" w:space="0"/>
              <w:right w:val="single" w:color="auto" w:sz="4" w:space="0"/>
            </w:tcBorders>
            <w:noWrap w:val="0"/>
            <w:vAlign w:val="center"/>
          </w:tcPr>
          <w:p w14:paraId="30D7DD5C">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661123F">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其他服务</w:t>
            </w:r>
          </w:p>
          <w:p w14:paraId="522A26EA">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p>
        </w:tc>
        <w:tc>
          <w:tcPr>
            <w:tcW w:w="4882" w:type="dxa"/>
            <w:tcBorders>
              <w:top w:val="single" w:color="auto" w:sz="4" w:space="0"/>
              <w:left w:val="single" w:color="auto" w:sz="4" w:space="0"/>
              <w:bottom w:val="single" w:color="auto" w:sz="4" w:space="0"/>
              <w:right w:val="single" w:color="auto" w:sz="4" w:space="0"/>
            </w:tcBorders>
            <w:noWrap w:val="0"/>
            <w:vAlign w:val="center"/>
          </w:tcPr>
          <w:p w14:paraId="72A7B407">
            <w:pPr>
              <w:keepNext w:val="0"/>
              <w:keepLines w:val="0"/>
              <w:pageBreakBefore w:val="0"/>
              <w:tabs>
                <w:tab w:val="left" w:pos="6930"/>
              </w:tabs>
              <w:kinsoku/>
              <w:overflowPunct/>
              <w:topLinePunct w:val="0"/>
              <w:autoSpaceDE/>
              <w:autoSpaceDN/>
              <w:bidi w:val="0"/>
              <w:spacing w:line="440" w:lineRule="exact"/>
              <w:ind w:right="62"/>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机动车驾驶服务</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负责公务车辆</w:t>
            </w:r>
            <w:r>
              <w:rPr>
                <w:rFonts w:hint="eastAsia" w:ascii="仿宋" w:hAnsi="仿宋" w:eastAsia="仿宋" w:cs="仿宋"/>
                <w:color w:val="auto"/>
                <w:kern w:val="2"/>
                <w:sz w:val="24"/>
                <w:szCs w:val="24"/>
                <w:highlight w:val="none"/>
                <w:lang w:eastAsia="zh-CN"/>
              </w:rPr>
              <w:t>、执法车辆</w:t>
            </w:r>
            <w:r>
              <w:rPr>
                <w:rFonts w:hint="eastAsia" w:ascii="仿宋" w:hAnsi="仿宋" w:eastAsia="仿宋" w:cs="仿宋"/>
                <w:color w:val="auto"/>
                <w:kern w:val="2"/>
                <w:sz w:val="24"/>
                <w:szCs w:val="24"/>
                <w:highlight w:val="none"/>
              </w:rPr>
              <w:t>驾驶和保障等</w:t>
            </w:r>
            <w:r>
              <w:rPr>
                <w:rFonts w:hint="eastAsia" w:ascii="仿宋" w:hAnsi="仿宋" w:eastAsia="仿宋" w:cs="仿宋"/>
                <w:color w:val="auto"/>
                <w:kern w:val="2"/>
                <w:sz w:val="24"/>
                <w:szCs w:val="24"/>
                <w:highlight w:val="none"/>
                <w:lang w:eastAsia="zh-CN"/>
              </w:rPr>
              <w:t>；</w:t>
            </w:r>
          </w:p>
          <w:p w14:paraId="4EE27747">
            <w:pPr>
              <w:keepNext w:val="0"/>
              <w:keepLines w:val="0"/>
              <w:pageBreakBefore w:val="0"/>
              <w:tabs>
                <w:tab w:val="left" w:pos="6930"/>
              </w:tabs>
              <w:kinsoku/>
              <w:overflowPunct/>
              <w:topLinePunct w:val="0"/>
              <w:autoSpaceDE/>
              <w:autoSpaceDN/>
              <w:bidi w:val="0"/>
              <w:spacing w:line="440" w:lineRule="exact"/>
              <w:ind w:right="62"/>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文印文员服务</w:t>
            </w:r>
            <w:r>
              <w:rPr>
                <w:rFonts w:hint="eastAsia" w:ascii="仿宋" w:hAnsi="仿宋" w:eastAsia="仿宋" w:cs="仿宋"/>
                <w:color w:val="auto"/>
                <w:kern w:val="2"/>
                <w:sz w:val="24"/>
                <w:szCs w:val="24"/>
                <w:highlight w:val="none"/>
                <w:lang w:eastAsia="zh-CN"/>
              </w:rPr>
              <w:t>：负责文件收发、登记、跟踪工作；负责区局材料的排版、印刷、装订工作；负责区局会议座次表的制作、安排、校对</w:t>
            </w:r>
            <w:r>
              <w:rPr>
                <w:rFonts w:hint="eastAsia" w:ascii="仿宋" w:hAnsi="仿宋" w:eastAsia="仿宋" w:cs="仿宋"/>
                <w:color w:val="auto"/>
                <w:kern w:val="2"/>
                <w:sz w:val="24"/>
                <w:szCs w:val="24"/>
                <w:highlight w:val="none"/>
              </w:rPr>
              <w:t>等。</w:t>
            </w:r>
          </w:p>
        </w:tc>
        <w:tc>
          <w:tcPr>
            <w:tcW w:w="1198" w:type="dxa"/>
            <w:vMerge w:val="continue"/>
            <w:tcBorders>
              <w:left w:val="single" w:color="auto" w:sz="4" w:space="0"/>
              <w:right w:val="single" w:color="auto" w:sz="4" w:space="0"/>
            </w:tcBorders>
            <w:noWrap w:val="0"/>
            <w:vAlign w:val="center"/>
          </w:tcPr>
          <w:p w14:paraId="007728FF">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p>
        </w:tc>
        <w:tc>
          <w:tcPr>
            <w:tcW w:w="963" w:type="dxa"/>
            <w:vMerge w:val="continue"/>
            <w:tcBorders>
              <w:left w:val="single" w:color="auto" w:sz="4" w:space="0"/>
              <w:right w:val="single" w:color="auto" w:sz="4" w:space="0"/>
            </w:tcBorders>
            <w:noWrap w:val="0"/>
            <w:vAlign w:val="center"/>
          </w:tcPr>
          <w:p w14:paraId="14BAB336">
            <w:pPr>
              <w:keepNext w:val="0"/>
              <w:keepLines w:val="0"/>
              <w:pageBreakBefore w:val="0"/>
              <w:tabs>
                <w:tab w:val="left" w:pos="6930"/>
              </w:tabs>
              <w:kinsoku/>
              <w:overflowPunct/>
              <w:topLinePunct w:val="0"/>
              <w:autoSpaceDE/>
              <w:autoSpaceDN/>
              <w:bidi w:val="0"/>
              <w:spacing w:line="360" w:lineRule="auto"/>
              <w:ind w:right="62"/>
              <w:jc w:val="both"/>
              <w:rPr>
                <w:rFonts w:hint="eastAsia" w:ascii="仿宋" w:hAnsi="仿宋" w:eastAsia="仿宋" w:cs="仿宋"/>
                <w:color w:val="auto"/>
                <w:kern w:val="2"/>
                <w:sz w:val="24"/>
                <w:szCs w:val="24"/>
                <w:highlight w:val="none"/>
                <w:lang w:val="en-US" w:eastAsia="zh-CN"/>
              </w:rPr>
            </w:pPr>
          </w:p>
        </w:tc>
      </w:tr>
      <w:tr w14:paraId="2864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20" w:type="dxa"/>
            <w:gridSpan w:val="5"/>
            <w:tcBorders>
              <w:left w:val="single" w:color="auto" w:sz="4" w:space="0"/>
              <w:bottom w:val="single" w:color="auto" w:sz="4" w:space="0"/>
              <w:right w:val="single" w:color="auto" w:sz="4" w:space="0"/>
            </w:tcBorders>
            <w:noWrap w:val="0"/>
            <w:vAlign w:val="center"/>
          </w:tcPr>
          <w:p w14:paraId="68A66CF8">
            <w:pPr>
              <w:keepNext w:val="0"/>
              <w:keepLines w:val="0"/>
              <w:pageBreakBefore w:val="0"/>
              <w:tabs>
                <w:tab w:val="left" w:pos="6930"/>
              </w:tabs>
              <w:kinsoku/>
              <w:overflowPunct/>
              <w:topLinePunct w:val="0"/>
              <w:autoSpaceDE/>
              <w:autoSpaceDN/>
              <w:bidi w:val="0"/>
              <w:spacing w:line="440" w:lineRule="exact"/>
              <w:ind w:right="62"/>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val="0"/>
                <w:snapToGrid w:val="0"/>
                <w:color w:val="auto"/>
                <w:kern w:val="2"/>
                <w:sz w:val="24"/>
                <w:szCs w:val="24"/>
                <w:highlight w:val="none"/>
              </w:rPr>
              <w:t>注：本项目整体服务时间为</w:t>
            </w:r>
            <w:r>
              <w:rPr>
                <w:rFonts w:hint="eastAsia" w:ascii="仿宋" w:hAnsi="仿宋" w:eastAsia="仿宋" w:cs="仿宋"/>
                <w:b w:val="0"/>
                <w:bCs w:val="0"/>
                <w:snapToGrid w:val="0"/>
                <w:color w:val="auto"/>
                <w:kern w:val="2"/>
                <w:sz w:val="24"/>
                <w:szCs w:val="24"/>
                <w:highlight w:val="none"/>
                <w:lang w:val="en-US" w:eastAsia="zh-CN"/>
              </w:rPr>
              <w:t>2024年11月1日-2026年12月31日</w:t>
            </w:r>
            <w:r>
              <w:rPr>
                <w:rFonts w:hint="eastAsia" w:ascii="仿宋" w:hAnsi="仿宋" w:eastAsia="仿宋" w:cs="仿宋"/>
                <w:b w:val="0"/>
                <w:bCs w:val="0"/>
                <w:snapToGrid w:val="0"/>
                <w:color w:val="auto"/>
                <w:kern w:val="2"/>
                <w:sz w:val="24"/>
                <w:szCs w:val="24"/>
                <w:highlight w:val="none"/>
              </w:rPr>
              <w:t>，服务合同共分三期签订（第一期服务时间为</w:t>
            </w:r>
            <w:r>
              <w:rPr>
                <w:rFonts w:hint="eastAsia" w:ascii="仿宋" w:hAnsi="仿宋" w:eastAsia="仿宋" w:cs="仿宋"/>
                <w:b w:val="0"/>
                <w:bCs w:val="0"/>
                <w:snapToGrid w:val="0"/>
                <w:color w:val="auto"/>
                <w:kern w:val="2"/>
                <w:sz w:val="24"/>
                <w:szCs w:val="24"/>
                <w:highlight w:val="none"/>
                <w:lang w:val="en-US" w:eastAsia="zh-CN"/>
              </w:rPr>
              <w:t>2024年11月1日-2024年12月31日</w:t>
            </w:r>
            <w:r>
              <w:rPr>
                <w:rFonts w:hint="eastAsia" w:ascii="仿宋" w:hAnsi="仿宋" w:eastAsia="仿宋" w:cs="仿宋"/>
                <w:b w:val="0"/>
                <w:bCs w:val="0"/>
                <w:snapToGrid w:val="0"/>
                <w:color w:val="auto"/>
                <w:kern w:val="2"/>
                <w:sz w:val="24"/>
                <w:szCs w:val="24"/>
                <w:highlight w:val="none"/>
              </w:rPr>
              <w:t>；第二期服务时间为</w:t>
            </w:r>
            <w:r>
              <w:rPr>
                <w:rFonts w:hint="eastAsia" w:ascii="仿宋" w:hAnsi="仿宋" w:eastAsia="仿宋" w:cs="仿宋"/>
                <w:b w:val="0"/>
                <w:bCs w:val="0"/>
                <w:snapToGrid w:val="0"/>
                <w:color w:val="auto"/>
                <w:kern w:val="2"/>
                <w:sz w:val="24"/>
                <w:szCs w:val="24"/>
                <w:highlight w:val="none"/>
                <w:lang w:val="en-US" w:eastAsia="zh-CN"/>
              </w:rPr>
              <w:t>2025年1月1日-2025年12月31日</w:t>
            </w:r>
            <w:r>
              <w:rPr>
                <w:rFonts w:hint="eastAsia" w:ascii="仿宋" w:hAnsi="仿宋" w:eastAsia="仿宋" w:cs="仿宋"/>
                <w:b w:val="0"/>
                <w:bCs w:val="0"/>
                <w:snapToGrid w:val="0"/>
                <w:color w:val="auto"/>
                <w:kern w:val="2"/>
                <w:sz w:val="24"/>
                <w:szCs w:val="24"/>
                <w:highlight w:val="none"/>
              </w:rPr>
              <w:t>；第三期服务时间为</w:t>
            </w:r>
            <w:r>
              <w:rPr>
                <w:rFonts w:hint="eastAsia" w:ascii="仿宋" w:hAnsi="仿宋" w:eastAsia="仿宋" w:cs="仿宋"/>
                <w:b w:val="0"/>
                <w:bCs w:val="0"/>
                <w:snapToGrid w:val="0"/>
                <w:color w:val="auto"/>
                <w:kern w:val="2"/>
                <w:sz w:val="24"/>
                <w:szCs w:val="24"/>
                <w:highlight w:val="none"/>
                <w:lang w:val="en-US" w:eastAsia="zh-CN"/>
              </w:rPr>
              <w:t>2026年1月1日-2026年12月31日</w:t>
            </w:r>
            <w:r>
              <w:rPr>
                <w:rFonts w:hint="eastAsia" w:ascii="仿宋" w:hAnsi="仿宋" w:eastAsia="仿宋" w:cs="仿宋"/>
                <w:b w:val="0"/>
                <w:bCs w:val="0"/>
                <w:snapToGrid w:val="0"/>
                <w:color w:val="auto"/>
                <w:kern w:val="2"/>
                <w:sz w:val="24"/>
                <w:szCs w:val="24"/>
                <w:highlight w:val="none"/>
              </w:rPr>
              <w:t>）。第一期服务期满后，在满足续签合同的条件下，续签第二期服务合同（第三期以此类推）。</w:t>
            </w:r>
          </w:p>
        </w:tc>
      </w:tr>
    </w:tbl>
    <w:p w14:paraId="621743EA">
      <w:pPr>
        <w:pStyle w:val="8"/>
        <w:widowControl/>
        <w:spacing w:line="360" w:lineRule="auto"/>
        <w:ind w:firstLine="562" w:firstLineChars="200"/>
        <w:rPr>
          <w:rFonts w:hint="eastAsia" w:ascii="仿宋" w:hAnsi="仿宋" w:eastAsia="仿宋" w:cs="仿宋"/>
          <w:b/>
          <w:snapToGrid/>
          <w:sz w:val="28"/>
          <w:szCs w:val="28"/>
          <w:highlight w:val="none"/>
        </w:rPr>
      </w:pPr>
      <w:r>
        <w:rPr>
          <w:rFonts w:hint="eastAsia" w:ascii="仿宋" w:hAnsi="仿宋" w:eastAsia="仿宋" w:cs="仿宋"/>
          <w:b/>
          <w:sz w:val="28"/>
          <w:szCs w:val="28"/>
          <w:highlight w:val="none"/>
        </w:rPr>
        <w:t>2</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预算费用包括以下内容</w:t>
      </w:r>
    </w:p>
    <w:tbl>
      <w:tblPr>
        <w:tblStyle w:val="16"/>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7780"/>
      </w:tblGrid>
      <w:tr w14:paraId="3EBC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pct"/>
            <w:noWrap w:val="0"/>
            <w:vAlign w:val="center"/>
          </w:tcPr>
          <w:p w14:paraId="28505627">
            <w:pPr>
              <w:widowControl/>
              <w:spacing w:line="440" w:lineRule="exact"/>
              <w:ind w:left="11"/>
              <w:jc w:val="center"/>
              <w:rPr>
                <w:rFonts w:hint="eastAsia" w:ascii="仿宋" w:hAnsi="仿宋" w:eastAsia="仿宋" w:cs="仿宋"/>
                <w:kern w:val="2"/>
                <w:sz w:val="28"/>
                <w:szCs w:val="28"/>
                <w:highlight w:val="none"/>
                <w:lang w:val="de-DE" w:eastAsia="de-DE"/>
              </w:rPr>
            </w:pPr>
            <w:r>
              <w:rPr>
                <w:rFonts w:hint="eastAsia" w:ascii="仿宋" w:hAnsi="仿宋" w:eastAsia="仿宋" w:cs="仿宋"/>
                <w:kern w:val="2"/>
                <w:sz w:val="28"/>
                <w:szCs w:val="28"/>
                <w:highlight w:val="none"/>
                <w:lang w:val="de-DE" w:eastAsia="zh-CN"/>
              </w:rPr>
              <w:t>人员薪酬</w:t>
            </w:r>
          </w:p>
        </w:tc>
        <w:tc>
          <w:tcPr>
            <w:tcW w:w="4210" w:type="pct"/>
            <w:noWrap w:val="0"/>
            <w:vAlign w:val="top"/>
          </w:tcPr>
          <w:p w14:paraId="6865D7E0">
            <w:pPr>
              <w:widowControl/>
              <w:spacing w:line="440" w:lineRule="exact"/>
              <w:ind w:left="11"/>
              <w:jc w:val="left"/>
              <w:rPr>
                <w:rFonts w:hint="eastAsia" w:ascii="仿宋" w:hAnsi="仿宋" w:eastAsia="仿宋" w:cs="仿宋"/>
                <w:kern w:val="2"/>
                <w:sz w:val="28"/>
                <w:szCs w:val="28"/>
                <w:highlight w:val="none"/>
                <w:lang w:val="de-DE" w:eastAsia="de-DE"/>
              </w:rPr>
            </w:pPr>
            <w:r>
              <w:rPr>
                <w:rFonts w:hint="eastAsia" w:ascii="仿宋" w:hAnsi="仿宋" w:eastAsia="仿宋" w:cs="仿宋"/>
                <w:kern w:val="2"/>
                <w:sz w:val="28"/>
                <w:szCs w:val="28"/>
                <w:highlight w:val="none"/>
                <w:lang w:val="de-DE" w:eastAsia="de-DE"/>
              </w:rPr>
              <w:t>包括基本工资</w:t>
            </w:r>
            <w:r>
              <w:rPr>
                <w:rFonts w:hint="eastAsia" w:ascii="仿宋" w:hAnsi="仿宋" w:eastAsia="仿宋" w:cs="仿宋"/>
                <w:kern w:val="2"/>
                <w:sz w:val="28"/>
                <w:szCs w:val="28"/>
                <w:highlight w:val="none"/>
                <w:lang w:val="en-US" w:eastAsia="zh-CN"/>
              </w:rPr>
              <w:t>(含</w:t>
            </w:r>
            <w:r>
              <w:rPr>
                <w:rFonts w:hint="eastAsia" w:ascii="仿宋" w:hAnsi="仿宋" w:eastAsia="仿宋" w:cs="仿宋"/>
                <w:kern w:val="2"/>
                <w:sz w:val="28"/>
                <w:szCs w:val="28"/>
                <w:highlight w:val="none"/>
                <w:lang w:val="de-DE" w:eastAsia="de-DE"/>
              </w:rPr>
              <w:t>伙食补助</w:t>
            </w:r>
            <w:r>
              <w:rPr>
                <w:rFonts w:hint="eastAsia" w:ascii="仿宋" w:hAnsi="仿宋" w:eastAsia="仿宋" w:cs="仿宋"/>
                <w:kern w:val="2"/>
                <w:sz w:val="28"/>
                <w:szCs w:val="28"/>
                <w:highlight w:val="none"/>
                <w:lang w:val="de-DE" w:eastAsia="zh-CN"/>
              </w:rPr>
              <w:t>）</w:t>
            </w:r>
            <w:r>
              <w:rPr>
                <w:rFonts w:hint="eastAsia" w:ascii="仿宋" w:hAnsi="仿宋" w:eastAsia="仿宋" w:cs="仿宋"/>
                <w:kern w:val="2"/>
                <w:sz w:val="28"/>
                <w:szCs w:val="28"/>
                <w:highlight w:val="none"/>
                <w:lang w:val="de-DE" w:eastAsia="de-DE"/>
              </w:rPr>
              <w:t>、绩效工资、</w:t>
            </w:r>
            <w:r>
              <w:rPr>
                <w:rFonts w:hint="eastAsia" w:ascii="仿宋" w:hAnsi="仿宋" w:eastAsia="仿宋" w:cs="仿宋"/>
                <w:kern w:val="2"/>
                <w:sz w:val="28"/>
                <w:szCs w:val="28"/>
                <w:highlight w:val="none"/>
                <w:lang w:val="de-DE" w:eastAsia="zh-CN"/>
              </w:rPr>
              <w:t>单位承担的</w:t>
            </w:r>
            <w:r>
              <w:rPr>
                <w:rFonts w:hint="eastAsia" w:ascii="仿宋" w:hAnsi="仿宋" w:eastAsia="仿宋" w:cs="仿宋"/>
                <w:kern w:val="2"/>
                <w:sz w:val="28"/>
                <w:szCs w:val="28"/>
                <w:highlight w:val="none"/>
                <w:lang w:val="de-DE" w:eastAsia="de-DE"/>
              </w:rPr>
              <w:t>五险一金等。</w:t>
            </w:r>
          </w:p>
          <w:p w14:paraId="4E9FDA7D">
            <w:pPr>
              <w:widowControl/>
              <w:spacing w:line="440" w:lineRule="exact"/>
              <w:ind w:left="11"/>
              <w:jc w:val="left"/>
              <w:rPr>
                <w:rFonts w:hint="eastAsia" w:ascii="仿宋" w:hAnsi="仿宋" w:eastAsia="仿宋" w:cs="仿宋"/>
                <w:kern w:val="2"/>
                <w:sz w:val="28"/>
                <w:szCs w:val="28"/>
                <w:highlight w:val="none"/>
                <w:lang w:val="de-DE" w:eastAsia="zh-CN"/>
              </w:rPr>
            </w:pPr>
            <w:r>
              <w:rPr>
                <w:rFonts w:hint="eastAsia" w:ascii="仿宋" w:hAnsi="仿宋" w:eastAsia="仿宋" w:cs="仿宋"/>
                <w:kern w:val="2"/>
                <w:sz w:val="28"/>
                <w:szCs w:val="28"/>
                <w:highlight w:val="none"/>
                <w:lang w:val="de-DE" w:eastAsia="zh-CN"/>
              </w:rPr>
              <w:t>注：人员薪酬采取按月据实结算的方式，即以当月各岗位实际用工人数</w:t>
            </w:r>
            <w:r>
              <w:rPr>
                <w:rFonts w:hint="eastAsia" w:ascii="仿宋" w:hAnsi="仿宋" w:eastAsia="仿宋" w:cs="仿宋"/>
                <w:kern w:val="2"/>
                <w:sz w:val="28"/>
                <w:szCs w:val="28"/>
                <w:highlight w:val="none"/>
                <w:lang w:val="en-US" w:eastAsia="zh-CN"/>
              </w:rPr>
              <w:t>*对应岗位人员薪酬的合计金额</w:t>
            </w:r>
            <w:r>
              <w:rPr>
                <w:rFonts w:hint="eastAsia" w:ascii="仿宋" w:hAnsi="仿宋" w:eastAsia="仿宋" w:cs="仿宋"/>
                <w:kern w:val="2"/>
                <w:sz w:val="28"/>
                <w:szCs w:val="28"/>
                <w:highlight w:val="none"/>
                <w:lang w:val="de-DE" w:eastAsia="zh-CN"/>
              </w:rPr>
              <w:t>为准。</w:t>
            </w:r>
          </w:p>
        </w:tc>
      </w:tr>
      <w:tr w14:paraId="525F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noWrap w:val="0"/>
            <w:vAlign w:val="center"/>
          </w:tcPr>
          <w:p w14:paraId="47F6996C">
            <w:pPr>
              <w:widowControl/>
              <w:spacing w:line="440" w:lineRule="exact"/>
              <w:ind w:left="11"/>
              <w:jc w:val="center"/>
              <w:rPr>
                <w:rFonts w:hint="eastAsia" w:ascii="仿宋" w:hAnsi="仿宋" w:eastAsia="仿宋" w:cs="仿宋"/>
                <w:kern w:val="2"/>
                <w:sz w:val="28"/>
                <w:szCs w:val="28"/>
                <w:highlight w:val="none"/>
                <w:lang w:val="de-DE" w:eastAsia="de-DE"/>
              </w:rPr>
            </w:pPr>
            <w:r>
              <w:rPr>
                <w:rFonts w:hint="eastAsia" w:ascii="仿宋" w:hAnsi="仿宋" w:eastAsia="仿宋" w:cs="仿宋"/>
                <w:kern w:val="2"/>
                <w:sz w:val="28"/>
                <w:szCs w:val="28"/>
                <w:highlight w:val="none"/>
                <w:lang w:val="de-DE" w:eastAsia="de-DE"/>
              </w:rPr>
              <w:t>管理费用</w:t>
            </w:r>
          </w:p>
        </w:tc>
        <w:tc>
          <w:tcPr>
            <w:tcW w:w="4210" w:type="pct"/>
            <w:noWrap w:val="0"/>
            <w:vAlign w:val="top"/>
          </w:tcPr>
          <w:p w14:paraId="16905833">
            <w:pPr>
              <w:widowControl/>
              <w:spacing w:line="440" w:lineRule="exact"/>
              <w:ind w:left="11"/>
              <w:jc w:val="left"/>
              <w:rPr>
                <w:rFonts w:hint="eastAsia" w:ascii="仿宋" w:hAnsi="仿宋" w:eastAsia="仿宋" w:cs="仿宋"/>
                <w:kern w:val="2"/>
                <w:sz w:val="28"/>
                <w:szCs w:val="28"/>
                <w:highlight w:val="none"/>
                <w:lang w:val="de-DE" w:eastAsia="de-DE"/>
              </w:rPr>
            </w:pPr>
            <w:r>
              <w:rPr>
                <w:rFonts w:hint="eastAsia" w:ascii="仿宋" w:hAnsi="仿宋" w:eastAsia="仿宋" w:cs="仿宋"/>
                <w:kern w:val="2"/>
                <w:sz w:val="28"/>
                <w:szCs w:val="28"/>
                <w:highlight w:val="none"/>
                <w:lang w:val="de-DE" w:eastAsia="zh-CN"/>
              </w:rPr>
              <w:t>包</w:t>
            </w:r>
            <w:r>
              <w:rPr>
                <w:rFonts w:hint="eastAsia" w:ascii="仿宋" w:hAnsi="仿宋" w:eastAsia="仿宋" w:cs="仿宋"/>
                <w:b w:val="0"/>
                <w:bCs w:val="0"/>
                <w:color w:val="auto"/>
                <w:sz w:val="28"/>
                <w:szCs w:val="28"/>
                <w:highlight w:val="none"/>
                <w:lang w:val="en-US" w:eastAsia="zh-CN"/>
              </w:rPr>
              <w:t>含工会经费、应</w:t>
            </w:r>
            <w:r>
              <w:rPr>
                <w:rFonts w:hint="eastAsia" w:ascii="仿宋" w:hAnsi="仿宋" w:eastAsia="仿宋" w:cs="仿宋"/>
                <w:color w:val="auto"/>
                <w:kern w:val="0"/>
                <w:sz w:val="28"/>
                <w:szCs w:val="28"/>
                <w:highlight w:val="none"/>
                <w:lang w:val="en-US" w:eastAsia="zh-CN"/>
              </w:rPr>
              <w:t>缴</w:t>
            </w:r>
            <w:r>
              <w:rPr>
                <w:rFonts w:hint="eastAsia" w:ascii="仿宋" w:hAnsi="仿宋" w:eastAsia="仿宋" w:cs="仿宋"/>
                <w:b w:val="0"/>
                <w:bCs w:val="0"/>
                <w:color w:val="auto"/>
                <w:sz w:val="28"/>
                <w:szCs w:val="28"/>
                <w:highlight w:val="none"/>
                <w:lang w:val="en-US" w:eastAsia="zh-CN"/>
              </w:rPr>
              <w:t>税费、商业险、培训费、招聘费、服装费、健康体检、离职相关费用以及其他日常服务及各项用工风险应承担的费用等本项目涉及的一切费用</w:t>
            </w:r>
          </w:p>
        </w:tc>
      </w:tr>
    </w:tbl>
    <w:p w14:paraId="179EB15F">
      <w:pPr>
        <w:widowControl/>
        <w:spacing w:line="440" w:lineRule="exact"/>
        <w:ind w:firstLine="562" w:firstLineChars="200"/>
        <w:rPr>
          <w:rFonts w:hint="eastAsia" w:ascii="仿宋" w:hAnsi="仿宋" w:eastAsia="仿宋" w:cs="仿宋"/>
          <w:b/>
          <w:snapToGrid/>
          <w:sz w:val="28"/>
          <w:szCs w:val="28"/>
          <w:highlight w:val="none"/>
        </w:rPr>
      </w:pPr>
      <w:r>
        <w:rPr>
          <w:rFonts w:hint="eastAsia" w:ascii="仿宋" w:hAnsi="仿宋" w:eastAsia="仿宋" w:cs="仿宋"/>
          <w:b/>
          <w:snapToGrid/>
          <w:sz w:val="28"/>
          <w:szCs w:val="28"/>
          <w:highlight w:val="none"/>
        </w:rPr>
        <w:t>3</w:t>
      </w:r>
      <w:r>
        <w:rPr>
          <w:rFonts w:hint="eastAsia" w:ascii="仿宋" w:hAnsi="仿宋" w:eastAsia="仿宋" w:cs="仿宋"/>
          <w:b/>
          <w:snapToGrid/>
          <w:sz w:val="28"/>
          <w:szCs w:val="28"/>
          <w:highlight w:val="none"/>
          <w:lang w:val="en-US" w:eastAsia="zh-CN"/>
        </w:rPr>
        <w:t>.</w:t>
      </w:r>
      <w:r>
        <w:rPr>
          <w:rFonts w:hint="eastAsia" w:ascii="仿宋" w:hAnsi="仿宋" w:eastAsia="仿宋" w:cs="仿宋"/>
          <w:b/>
          <w:snapToGrid/>
          <w:sz w:val="28"/>
          <w:szCs w:val="28"/>
          <w:highlight w:val="none"/>
        </w:rPr>
        <w:t>人员岗位及数量要求</w:t>
      </w:r>
    </w:p>
    <w:tbl>
      <w:tblPr>
        <w:tblStyle w:val="16"/>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4212"/>
        <w:gridCol w:w="3106"/>
      </w:tblGrid>
      <w:tr w14:paraId="1C15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noWrap w:val="0"/>
            <w:vAlign w:val="center"/>
          </w:tcPr>
          <w:p w14:paraId="0E4A5C75">
            <w:pPr>
              <w:spacing w:line="440" w:lineRule="exact"/>
              <w:jc w:val="center"/>
              <w:rPr>
                <w:rFonts w:hint="eastAsia" w:ascii="仿宋" w:hAnsi="仿宋" w:eastAsia="仿宋" w:cs="仿宋"/>
                <w:snapToGrid/>
                <w:kern w:val="2"/>
                <w:sz w:val="28"/>
                <w:szCs w:val="28"/>
                <w:highlight w:val="none"/>
              </w:rPr>
            </w:pPr>
            <w:r>
              <w:rPr>
                <w:rFonts w:hint="eastAsia" w:ascii="仿宋" w:hAnsi="仿宋" w:eastAsia="仿宋" w:cs="仿宋"/>
                <w:snapToGrid/>
                <w:kern w:val="2"/>
                <w:sz w:val="28"/>
                <w:szCs w:val="28"/>
                <w:highlight w:val="none"/>
              </w:rPr>
              <w:t>服务类别</w:t>
            </w:r>
          </w:p>
        </w:tc>
        <w:tc>
          <w:tcPr>
            <w:tcW w:w="2288" w:type="pct"/>
            <w:noWrap w:val="0"/>
            <w:vAlign w:val="center"/>
          </w:tcPr>
          <w:p w14:paraId="0A178065">
            <w:pPr>
              <w:spacing w:line="440" w:lineRule="exact"/>
              <w:jc w:val="center"/>
              <w:rPr>
                <w:rFonts w:hint="eastAsia" w:ascii="仿宋" w:hAnsi="仿宋" w:eastAsia="仿宋" w:cs="仿宋"/>
                <w:snapToGrid/>
                <w:kern w:val="2"/>
                <w:sz w:val="28"/>
                <w:szCs w:val="28"/>
                <w:highlight w:val="none"/>
              </w:rPr>
            </w:pPr>
            <w:r>
              <w:rPr>
                <w:rFonts w:hint="eastAsia" w:ascii="仿宋" w:hAnsi="仿宋" w:eastAsia="仿宋" w:cs="仿宋"/>
                <w:snapToGrid/>
                <w:kern w:val="2"/>
                <w:sz w:val="28"/>
                <w:szCs w:val="28"/>
                <w:highlight w:val="none"/>
              </w:rPr>
              <w:t>岗位</w:t>
            </w:r>
          </w:p>
        </w:tc>
        <w:tc>
          <w:tcPr>
            <w:tcW w:w="1687" w:type="pct"/>
            <w:noWrap w:val="0"/>
            <w:vAlign w:val="center"/>
          </w:tcPr>
          <w:p w14:paraId="27A39477">
            <w:pPr>
              <w:spacing w:line="440" w:lineRule="exact"/>
              <w:jc w:val="center"/>
              <w:rPr>
                <w:rFonts w:hint="eastAsia" w:ascii="仿宋" w:hAnsi="仿宋" w:eastAsia="仿宋" w:cs="仿宋"/>
                <w:snapToGrid/>
                <w:kern w:val="2"/>
                <w:sz w:val="28"/>
                <w:szCs w:val="28"/>
                <w:highlight w:val="none"/>
              </w:rPr>
            </w:pPr>
            <w:r>
              <w:rPr>
                <w:rFonts w:hint="eastAsia" w:ascii="仿宋" w:hAnsi="仿宋" w:eastAsia="仿宋" w:cs="仿宋"/>
                <w:snapToGrid/>
                <w:kern w:val="2"/>
                <w:sz w:val="28"/>
                <w:szCs w:val="28"/>
                <w:highlight w:val="none"/>
              </w:rPr>
              <w:t>人员需求数量</w:t>
            </w:r>
          </w:p>
        </w:tc>
      </w:tr>
      <w:tr w14:paraId="34CD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vMerge w:val="restart"/>
            <w:noWrap w:val="0"/>
            <w:vAlign w:val="center"/>
          </w:tcPr>
          <w:p w14:paraId="461D5471">
            <w:pPr>
              <w:widowControl/>
              <w:tabs>
                <w:tab w:val="left" w:pos="6930"/>
              </w:tabs>
              <w:spacing w:line="360" w:lineRule="auto"/>
              <w:ind w:left="0" w:right="62"/>
              <w:jc w:val="both"/>
              <w:textAlignment w:val="auto"/>
              <w:rPr>
                <w:rFonts w:hint="eastAsia" w:ascii="仿宋" w:hAnsi="仿宋" w:eastAsia="仿宋" w:cs="仿宋"/>
                <w:kern w:val="2"/>
                <w:sz w:val="28"/>
                <w:szCs w:val="28"/>
                <w:highlight w:val="none"/>
              </w:rPr>
            </w:pPr>
            <w:r>
              <w:rPr>
                <w:rFonts w:hint="eastAsia" w:ascii="仿宋" w:hAnsi="仿宋" w:eastAsia="仿宋" w:cs="仿宋"/>
                <w:color w:val="auto"/>
                <w:kern w:val="2"/>
                <w:sz w:val="24"/>
                <w:szCs w:val="24"/>
                <w:highlight w:val="none"/>
                <w:lang w:val="en-US" w:eastAsia="zh-CN"/>
              </w:rPr>
              <w:t>纳税辅助性服务</w:t>
            </w:r>
          </w:p>
        </w:tc>
        <w:tc>
          <w:tcPr>
            <w:tcW w:w="2288" w:type="pct"/>
            <w:noWrap w:val="0"/>
            <w:vAlign w:val="center"/>
          </w:tcPr>
          <w:p w14:paraId="322C4EFA">
            <w:pPr>
              <w:widowControl/>
              <w:spacing w:line="360" w:lineRule="exact"/>
              <w:ind w:left="11"/>
              <w:jc w:val="center"/>
              <w:textAlignment w:val="center"/>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eastAsia="zh-CN"/>
              </w:rPr>
              <w:t>办税服务厅窗口服务</w:t>
            </w:r>
          </w:p>
        </w:tc>
        <w:tc>
          <w:tcPr>
            <w:tcW w:w="1687" w:type="pct"/>
            <w:noWrap w:val="0"/>
            <w:vAlign w:val="center"/>
          </w:tcPr>
          <w:p w14:paraId="53D668EC">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9</w:t>
            </w:r>
            <w:r>
              <w:rPr>
                <w:rFonts w:hint="eastAsia" w:ascii="仿宋" w:hAnsi="仿宋" w:eastAsia="仿宋" w:cs="仿宋"/>
                <w:kern w:val="2"/>
                <w:sz w:val="28"/>
                <w:szCs w:val="28"/>
                <w:highlight w:val="none"/>
              </w:rPr>
              <w:t>人</w:t>
            </w:r>
          </w:p>
        </w:tc>
      </w:tr>
      <w:tr w14:paraId="2F82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vMerge w:val="continue"/>
            <w:noWrap w:val="0"/>
            <w:vAlign w:val="center"/>
          </w:tcPr>
          <w:p w14:paraId="18584AAC">
            <w:pPr>
              <w:widowControl/>
              <w:spacing w:line="360" w:lineRule="exact"/>
              <w:ind w:left="11"/>
              <w:jc w:val="center"/>
              <w:textAlignment w:val="center"/>
              <w:rPr>
                <w:rFonts w:hint="eastAsia" w:ascii="仿宋" w:hAnsi="仿宋" w:eastAsia="仿宋" w:cs="仿宋"/>
                <w:kern w:val="2"/>
                <w:sz w:val="28"/>
                <w:szCs w:val="28"/>
                <w:highlight w:val="none"/>
              </w:rPr>
            </w:pPr>
          </w:p>
        </w:tc>
        <w:tc>
          <w:tcPr>
            <w:tcW w:w="2288" w:type="pct"/>
            <w:noWrap w:val="0"/>
            <w:vAlign w:val="center"/>
          </w:tcPr>
          <w:p w14:paraId="4B345A47">
            <w:pPr>
              <w:widowControl/>
              <w:spacing w:line="360" w:lineRule="exact"/>
              <w:ind w:left="11"/>
              <w:jc w:val="center"/>
              <w:textAlignment w:val="center"/>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eastAsia="zh-CN"/>
              </w:rPr>
              <w:t>行政服务中心窗口服务</w:t>
            </w:r>
          </w:p>
        </w:tc>
        <w:tc>
          <w:tcPr>
            <w:tcW w:w="1687" w:type="pct"/>
            <w:noWrap w:val="0"/>
            <w:vAlign w:val="center"/>
          </w:tcPr>
          <w:p w14:paraId="3408F795">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人</w:t>
            </w:r>
          </w:p>
        </w:tc>
      </w:tr>
      <w:tr w14:paraId="6438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vMerge w:val="continue"/>
            <w:noWrap w:val="0"/>
            <w:vAlign w:val="center"/>
          </w:tcPr>
          <w:p w14:paraId="46C53F68">
            <w:pPr>
              <w:widowControl/>
              <w:spacing w:line="360" w:lineRule="exact"/>
              <w:ind w:left="11"/>
              <w:jc w:val="center"/>
              <w:textAlignment w:val="center"/>
              <w:rPr>
                <w:rFonts w:hint="eastAsia" w:ascii="仿宋" w:hAnsi="仿宋" w:eastAsia="仿宋" w:cs="仿宋"/>
                <w:kern w:val="2"/>
                <w:sz w:val="28"/>
                <w:szCs w:val="28"/>
                <w:highlight w:val="none"/>
              </w:rPr>
            </w:pPr>
          </w:p>
        </w:tc>
        <w:tc>
          <w:tcPr>
            <w:tcW w:w="2288" w:type="pct"/>
            <w:noWrap w:val="0"/>
            <w:vAlign w:val="center"/>
          </w:tcPr>
          <w:p w14:paraId="6FCD2CF2">
            <w:pPr>
              <w:widowControl/>
              <w:spacing w:line="360" w:lineRule="exact"/>
              <w:ind w:left="11"/>
              <w:jc w:val="center"/>
              <w:textAlignment w:val="center"/>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eastAsia="zh-CN"/>
              </w:rPr>
              <w:t>导税服务</w:t>
            </w:r>
          </w:p>
        </w:tc>
        <w:tc>
          <w:tcPr>
            <w:tcW w:w="1687" w:type="pct"/>
            <w:noWrap w:val="0"/>
            <w:vAlign w:val="center"/>
          </w:tcPr>
          <w:p w14:paraId="3D81C6EF">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7</w:t>
            </w:r>
            <w:r>
              <w:rPr>
                <w:rFonts w:hint="eastAsia" w:ascii="仿宋" w:hAnsi="仿宋" w:eastAsia="仿宋" w:cs="仿宋"/>
                <w:kern w:val="2"/>
                <w:sz w:val="28"/>
                <w:szCs w:val="28"/>
                <w:highlight w:val="none"/>
              </w:rPr>
              <w:t>人</w:t>
            </w:r>
          </w:p>
        </w:tc>
      </w:tr>
      <w:tr w14:paraId="2146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vMerge w:val="continue"/>
            <w:noWrap w:val="0"/>
            <w:vAlign w:val="center"/>
          </w:tcPr>
          <w:p w14:paraId="4F82AE6C">
            <w:pPr>
              <w:widowControl/>
              <w:spacing w:line="360" w:lineRule="exact"/>
              <w:ind w:left="11"/>
              <w:jc w:val="center"/>
              <w:textAlignment w:val="center"/>
              <w:rPr>
                <w:rFonts w:hint="eastAsia" w:ascii="仿宋" w:hAnsi="仿宋" w:eastAsia="仿宋" w:cs="仿宋"/>
                <w:kern w:val="2"/>
                <w:sz w:val="28"/>
                <w:szCs w:val="28"/>
                <w:highlight w:val="none"/>
              </w:rPr>
            </w:pPr>
          </w:p>
        </w:tc>
        <w:tc>
          <w:tcPr>
            <w:tcW w:w="2288" w:type="pct"/>
            <w:noWrap w:val="0"/>
            <w:vAlign w:val="center"/>
          </w:tcPr>
          <w:p w14:paraId="4EFAB63A">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资料整理服务</w:t>
            </w:r>
          </w:p>
        </w:tc>
        <w:tc>
          <w:tcPr>
            <w:tcW w:w="1687" w:type="pct"/>
            <w:noWrap w:val="0"/>
            <w:vAlign w:val="center"/>
          </w:tcPr>
          <w:p w14:paraId="0B8A2836">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1人</w:t>
            </w:r>
          </w:p>
        </w:tc>
      </w:tr>
      <w:tr w14:paraId="63F6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vMerge w:val="continue"/>
            <w:noWrap w:val="0"/>
            <w:vAlign w:val="center"/>
          </w:tcPr>
          <w:p w14:paraId="7813AF6E">
            <w:pPr>
              <w:widowControl/>
              <w:spacing w:line="360" w:lineRule="exact"/>
              <w:ind w:left="11"/>
              <w:jc w:val="center"/>
              <w:textAlignment w:val="center"/>
              <w:rPr>
                <w:rFonts w:hint="eastAsia" w:ascii="仿宋" w:hAnsi="仿宋" w:eastAsia="仿宋" w:cs="仿宋"/>
                <w:kern w:val="2"/>
                <w:sz w:val="28"/>
                <w:szCs w:val="28"/>
                <w:highlight w:val="none"/>
              </w:rPr>
            </w:pPr>
          </w:p>
        </w:tc>
        <w:tc>
          <w:tcPr>
            <w:tcW w:w="2288" w:type="pct"/>
            <w:noWrap w:val="0"/>
            <w:vAlign w:val="center"/>
          </w:tcPr>
          <w:p w14:paraId="2C2ECC22">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电话咨询座席服务</w:t>
            </w:r>
          </w:p>
        </w:tc>
        <w:tc>
          <w:tcPr>
            <w:tcW w:w="1687" w:type="pct"/>
            <w:noWrap w:val="0"/>
            <w:vAlign w:val="center"/>
          </w:tcPr>
          <w:p w14:paraId="4D177CE0">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7</w:t>
            </w:r>
            <w:r>
              <w:rPr>
                <w:rFonts w:hint="eastAsia" w:ascii="仿宋" w:hAnsi="仿宋" w:eastAsia="仿宋" w:cs="仿宋"/>
                <w:kern w:val="2"/>
                <w:sz w:val="28"/>
                <w:szCs w:val="28"/>
                <w:highlight w:val="none"/>
              </w:rPr>
              <w:t>人</w:t>
            </w:r>
          </w:p>
        </w:tc>
      </w:tr>
      <w:tr w14:paraId="6848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vMerge w:val="restart"/>
            <w:noWrap w:val="0"/>
            <w:vAlign w:val="center"/>
          </w:tcPr>
          <w:p w14:paraId="21FFBF92">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eastAsia="zh-CN"/>
              </w:rPr>
              <w:t>其他</w:t>
            </w:r>
            <w:r>
              <w:rPr>
                <w:rFonts w:hint="eastAsia" w:ascii="仿宋" w:hAnsi="仿宋" w:eastAsia="仿宋" w:cs="仿宋"/>
                <w:kern w:val="2"/>
                <w:sz w:val="28"/>
                <w:szCs w:val="28"/>
                <w:highlight w:val="none"/>
              </w:rPr>
              <w:t>服务</w:t>
            </w:r>
          </w:p>
        </w:tc>
        <w:tc>
          <w:tcPr>
            <w:tcW w:w="2288" w:type="pct"/>
            <w:noWrap w:val="0"/>
            <w:vAlign w:val="center"/>
          </w:tcPr>
          <w:p w14:paraId="350D84E8">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eastAsia="zh-CN"/>
              </w:rPr>
              <w:t>文印</w:t>
            </w:r>
            <w:r>
              <w:rPr>
                <w:rFonts w:hint="eastAsia" w:ascii="仿宋" w:hAnsi="仿宋" w:eastAsia="仿宋" w:cs="仿宋"/>
                <w:kern w:val="2"/>
                <w:sz w:val="28"/>
                <w:szCs w:val="28"/>
                <w:highlight w:val="none"/>
              </w:rPr>
              <w:t>文员</w:t>
            </w:r>
          </w:p>
        </w:tc>
        <w:tc>
          <w:tcPr>
            <w:tcW w:w="1687" w:type="pct"/>
            <w:noWrap w:val="0"/>
            <w:vAlign w:val="center"/>
          </w:tcPr>
          <w:p w14:paraId="002C990E">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人</w:t>
            </w:r>
          </w:p>
        </w:tc>
      </w:tr>
      <w:tr w14:paraId="6CAD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vMerge w:val="continue"/>
            <w:noWrap w:val="0"/>
            <w:vAlign w:val="center"/>
          </w:tcPr>
          <w:p w14:paraId="0A2590C7">
            <w:pPr>
              <w:widowControl/>
              <w:spacing w:line="360" w:lineRule="exact"/>
              <w:ind w:left="11"/>
              <w:jc w:val="center"/>
              <w:textAlignment w:val="center"/>
              <w:rPr>
                <w:rFonts w:hint="eastAsia" w:ascii="仿宋" w:hAnsi="仿宋" w:eastAsia="仿宋" w:cs="仿宋"/>
                <w:kern w:val="2"/>
                <w:sz w:val="28"/>
                <w:szCs w:val="28"/>
                <w:highlight w:val="none"/>
              </w:rPr>
            </w:pPr>
          </w:p>
        </w:tc>
        <w:tc>
          <w:tcPr>
            <w:tcW w:w="2288" w:type="pct"/>
            <w:noWrap w:val="0"/>
            <w:vAlign w:val="center"/>
          </w:tcPr>
          <w:p w14:paraId="7938CF2C">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驾驶员</w:t>
            </w:r>
          </w:p>
        </w:tc>
        <w:tc>
          <w:tcPr>
            <w:tcW w:w="1687" w:type="pct"/>
            <w:noWrap w:val="0"/>
            <w:vAlign w:val="center"/>
          </w:tcPr>
          <w:p w14:paraId="2EBB7894">
            <w:pPr>
              <w:widowControl/>
              <w:spacing w:line="360" w:lineRule="exact"/>
              <w:ind w:left="11"/>
              <w:jc w:val="center"/>
              <w:textAlignment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人</w:t>
            </w:r>
          </w:p>
        </w:tc>
      </w:tr>
      <w:tr w14:paraId="1F38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pct"/>
            <w:noWrap w:val="0"/>
            <w:vAlign w:val="center"/>
          </w:tcPr>
          <w:p w14:paraId="29AA8723">
            <w:pPr>
              <w:spacing w:line="440" w:lineRule="exact"/>
              <w:ind w:left="11" w:firstLine="361"/>
              <w:rPr>
                <w:rFonts w:hint="eastAsia" w:ascii="仿宋" w:hAnsi="仿宋" w:eastAsia="仿宋" w:cs="仿宋"/>
                <w:snapToGrid/>
                <w:kern w:val="2"/>
                <w:sz w:val="28"/>
                <w:szCs w:val="28"/>
                <w:highlight w:val="none"/>
              </w:rPr>
            </w:pPr>
          </w:p>
        </w:tc>
        <w:tc>
          <w:tcPr>
            <w:tcW w:w="2288" w:type="pct"/>
            <w:noWrap w:val="0"/>
            <w:vAlign w:val="center"/>
          </w:tcPr>
          <w:p w14:paraId="269817ED">
            <w:pPr>
              <w:spacing w:line="440" w:lineRule="exact"/>
              <w:jc w:val="center"/>
              <w:rPr>
                <w:rFonts w:hint="eastAsia" w:ascii="仿宋" w:hAnsi="仿宋" w:eastAsia="仿宋" w:cs="仿宋"/>
                <w:snapToGrid/>
                <w:kern w:val="2"/>
                <w:sz w:val="28"/>
                <w:szCs w:val="28"/>
                <w:highlight w:val="none"/>
              </w:rPr>
            </w:pPr>
            <w:r>
              <w:rPr>
                <w:rFonts w:hint="eastAsia" w:ascii="仿宋" w:hAnsi="仿宋" w:eastAsia="仿宋" w:cs="仿宋"/>
                <w:snapToGrid/>
                <w:kern w:val="2"/>
                <w:sz w:val="28"/>
                <w:szCs w:val="28"/>
                <w:highlight w:val="none"/>
              </w:rPr>
              <w:t>合计</w:t>
            </w:r>
          </w:p>
        </w:tc>
        <w:tc>
          <w:tcPr>
            <w:tcW w:w="1687" w:type="pct"/>
            <w:noWrap w:val="0"/>
            <w:vAlign w:val="center"/>
          </w:tcPr>
          <w:p w14:paraId="57B89C46">
            <w:pPr>
              <w:spacing w:line="440" w:lineRule="exact"/>
              <w:jc w:val="center"/>
              <w:rPr>
                <w:rFonts w:hint="eastAsia" w:ascii="仿宋" w:hAnsi="仿宋" w:eastAsia="仿宋" w:cs="仿宋"/>
                <w:snapToGrid/>
                <w:kern w:val="2"/>
                <w:sz w:val="28"/>
                <w:szCs w:val="28"/>
                <w:highlight w:val="none"/>
              </w:rPr>
            </w:pPr>
            <w:r>
              <w:rPr>
                <w:rFonts w:hint="eastAsia" w:ascii="仿宋" w:hAnsi="仿宋" w:eastAsia="仿宋" w:cs="仿宋"/>
                <w:snapToGrid/>
                <w:kern w:val="2"/>
                <w:sz w:val="28"/>
                <w:szCs w:val="28"/>
                <w:highlight w:val="none"/>
                <w:lang w:val="en-US" w:eastAsia="zh-CN"/>
              </w:rPr>
              <w:t>35</w:t>
            </w:r>
            <w:r>
              <w:rPr>
                <w:rFonts w:hint="eastAsia" w:ascii="仿宋" w:hAnsi="仿宋" w:eastAsia="仿宋" w:cs="仿宋"/>
                <w:snapToGrid/>
                <w:kern w:val="2"/>
                <w:sz w:val="28"/>
                <w:szCs w:val="28"/>
                <w:highlight w:val="none"/>
              </w:rPr>
              <w:t>人</w:t>
            </w:r>
          </w:p>
        </w:tc>
      </w:tr>
    </w:tbl>
    <w:p w14:paraId="33BBDCC3">
      <w:pPr>
        <w:widowControl/>
        <w:spacing w:line="440" w:lineRule="exact"/>
        <w:ind w:firstLine="562" w:firstLineChars="200"/>
        <w:rPr>
          <w:rFonts w:hint="eastAsia" w:ascii="仿宋" w:hAnsi="仿宋" w:eastAsia="仿宋" w:cs="仿宋"/>
          <w:b/>
          <w:snapToGrid/>
          <w:sz w:val="28"/>
          <w:szCs w:val="28"/>
          <w:highlight w:val="none"/>
          <w:lang w:eastAsia="zh-CN"/>
        </w:rPr>
      </w:pPr>
      <w:r>
        <w:rPr>
          <w:rFonts w:hint="eastAsia" w:ascii="仿宋" w:hAnsi="仿宋" w:eastAsia="仿宋" w:cs="仿宋"/>
          <w:b/>
          <w:snapToGrid/>
          <w:sz w:val="28"/>
          <w:szCs w:val="28"/>
          <w:highlight w:val="none"/>
        </w:rPr>
        <w:t>说明:因</w:t>
      </w:r>
      <w:r>
        <w:rPr>
          <w:rFonts w:hint="eastAsia" w:ascii="仿宋" w:hAnsi="仿宋" w:eastAsia="仿宋" w:cs="仿宋"/>
          <w:b/>
          <w:snapToGrid/>
          <w:sz w:val="28"/>
          <w:szCs w:val="28"/>
          <w:highlight w:val="none"/>
          <w:lang w:eastAsia="zh-CN"/>
        </w:rPr>
        <w:t>采</w:t>
      </w:r>
      <w:r>
        <w:rPr>
          <w:rFonts w:hint="eastAsia" w:ascii="仿宋" w:hAnsi="仿宋" w:eastAsia="仿宋" w:cs="仿宋"/>
          <w:b/>
          <w:snapToGrid/>
          <w:sz w:val="28"/>
          <w:szCs w:val="28"/>
          <w:highlight w:val="none"/>
        </w:rPr>
        <w:t>购人实际需要,服务项目及岗位人员数量有变化的,执行采购人要求。</w:t>
      </w:r>
    </w:p>
    <w:p w14:paraId="1970BAE1">
      <w:pPr>
        <w:widowControl/>
        <w:spacing w:line="440" w:lineRule="exact"/>
        <w:ind w:firstLine="562" w:firstLineChars="200"/>
        <w:rPr>
          <w:rFonts w:hint="eastAsia" w:ascii="仿宋" w:hAnsi="仿宋" w:eastAsia="仿宋" w:cs="仿宋"/>
          <w:b/>
          <w:snapToGrid/>
          <w:sz w:val="28"/>
          <w:szCs w:val="28"/>
          <w:highlight w:val="none"/>
        </w:rPr>
      </w:pPr>
      <w:r>
        <w:rPr>
          <w:rFonts w:hint="eastAsia" w:ascii="仿宋" w:hAnsi="仿宋" w:eastAsia="仿宋" w:cs="仿宋"/>
          <w:b/>
          <w:snapToGrid/>
          <w:sz w:val="28"/>
          <w:szCs w:val="28"/>
          <w:highlight w:val="none"/>
        </w:rPr>
        <w:t>4</w:t>
      </w:r>
      <w:r>
        <w:rPr>
          <w:rFonts w:hint="eastAsia" w:ascii="仿宋" w:hAnsi="仿宋" w:eastAsia="仿宋" w:cs="仿宋"/>
          <w:b/>
          <w:snapToGrid/>
          <w:sz w:val="28"/>
          <w:szCs w:val="28"/>
          <w:highlight w:val="none"/>
          <w:lang w:val="en-US" w:eastAsia="zh-CN"/>
        </w:rPr>
        <w:t>.</w:t>
      </w:r>
      <w:r>
        <w:rPr>
          <w:rFonts w:hint="eastAsia" w:ascii="仿宋" w:hAnsi="仿宋" w:eastAsia="仿宋" w:cs="仿宋"/>
          <w:b/>
          <w:snapToGrid/>
          <w:sz w:val="28"/>
          <w:szCs w:val="28"/>
          <w:highlight w:val="none"/>
        </w:rPr>
        <w:t>报价要求：</w:t>
      </w:r>
    </w:p>
    <w:p w14:paraId="470EEE8E">
      <w:pPr>
        <w:widowControl/>
        <w:spacing w:line="440" w:lineRule="exact"/>
        <w:ind w:left="11" w:firstLine="560" w:firstLineChars="200"/>
        <w:jc w:val="left"/>
        <w:rPr>
          <w:rFonts w:hint="eastAsia" w:ascii="仿宋" w:hAnsi="仿宋" w:eastAsia="仿宋" w:cs="仿宋"/>
          <w:snapToGrid/>
          <w:color w:val="auto"/>
          <w:kern w:val="2"/>
          <w:sz w:val="28"/>
          <w:szCs w:val="28"/>
          <w:highlight w:val="none"/>
          <w:lang w:val="de-DE" w:eastAsia="de-DE"/>
        </w:rPr>
      </w:pPr>
      <w:r>
        <w:rPr>
          <w:rFonts w:hint="eastAsia" w:ascii="仿宋" w:hAnsi="仿宋" w:eastAsia="仿宋" w:cs="仿宋"/>
          <w:snapToGrid/>
          <w:kern w:val="2"/>
          <w:sz w:val="28"/>
          <w:szCs w:val="28"/>
          <w:highlight w:val="none"/>
          <w:lang w:val="de-DE" w:eastAsia="de-DE"/>
        </w:rPr>
        <w:t>4.1投标人必须对招标项目的所有内容进行投标响应，投标报价包括服务期限内的所有费用；投标人分项报价须列出各项费用的计算相关标准及依据，投标分项报价表必须详细列明</w:t>
      </w:r>
      <w:r>
        <w:rPr>
          <w:rFonts w:hint="eastAsia" w:ascii="仿宋" w:hAnsi="仿宋" w:eastAsia="仿宋" w:cs="仿宋"/>
          <w:snapToGrid/>
          <w:sz w:val="28"/>
          <w:szCs w:val="28"/>
          <w:highlight w:val="none"/>
          <w:lang w:eastAsia="zh-CN"/>
        </w:rPr>
        <w:t>人员薪酬</w:t>
      </w:r>
      <w:r>
        <w:rPr>
          <w:rFonts w:hint="eastAsia" w:ascii="仿宋" w:hAnsi="仿宋" w:eastAsia="仿宋" w:cs="仿宋"/>
          <w:snapToGrid/>
          <w:kern w:val="2"/>
          <w:sz w:val="28"/>
          <w:szCs w:val="28"/>
          <w:highlight w:val="none"/>
          <w:lang w:val="de-DE" w:eastAsia="de-DE"/>
        </w:rPr>
        <w:t>、管理费用</w:t>
      </w:r>
      <w:r>
        <w:rPr>
          <w:rFonts w:hint="eastAsia" w:ascii="仿宋" w:hAnsi="仿宋" w:eastAsia="仿宋" w:cs="仿宋"/>
          <w:snapToGrid/>
          <w:kern w:val="2"/>
          <w:sz w:val="28"/>
          <w:szCs w:val="28"/>
          <w:highlight w:val="none"/>
          <w:lang w:val="de-DE" w:eastAsia="zh-CN"/>
        </w:rPr>
        <w:t>等</w:t>
      </w:r>
      <w:r>
        <w:rPr>
          <w:rFonts w:hint="eastAsia" w:ascii="仿宋" w:hAnsi="仿宋" w:eastAsia="仿宋" w:cs="仿宋"/>
          <w:snapToGrid/>
          <w:kern w:val="2"/>
          <w:sz w:val="28"/>
          <w:szCs w:val="28"/>
          <w:highlight w:val="none"/>
          <w:lang w:val="de-DE" w:eastAsia="de-DE"/>
        </w:rPr>
        <w:t>所涉及的各细项费用。各项费用不管是否在投标人报</w:t>
      </w:r>
      <w:r>
        <w:rPr>
          <w:rFonts w:hint="eastAsia" w:ascii="仿宋" w:hAnsi="仿宋" w:eastAsia="仿宋" w:cs="仿宋"/>
          <w:snapToGrid/>
          <w:color w:val="auto"/>
          <w:kern w:val="2"/>
          <w:sz w:val="28"/>
          <w:szCs w:val="28"/>
          <w:highlight w:val="none"/>
          <w:lang w:val="de-DE" w:eastAsia="de-DE"/>
        </w:rPr>
        <w:t>价书中单列，均视为报价总价中已包括该费用。</w:t>
      </w:r>
    </w:p>
    <w:p w14:paraId="44E121F0">
      <w:pPr>
        <w:widowControl/>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4.2本项目投标报价</w:t>
      </w:r>
      <w:r>
        <w:rPr>
          <w:rFonts w:hint="eastAsia" w:ascii="仿宋" w:hAnsi="仿宋" w:eastAsia="仿宋" w:cs="仿宋"/>
          <w:color w:val="auto"/>
          <w:sz w:val="28"/>
          <w:szCs w:val="28"/>
          <w:highlight w:val="none"/>
          <w:u w:val="none"/>
        </w:rPr>
        <w:t>测算应保证用于支付服务人员</w:t>
      </w:r>
      <w:r>
        <w:rPr>
          <w:rFonts w:hint="eastAsia" w:ascii="仿宋" w:hAnsi="仿宋" w:eastAsia="仿宋" w:cs="仿宋"/>
          <w:color w:val="auto"/>
          <w:sz w:val="28"/>
          <w:szCs w:val="28"/>
          <w:highlight w:val="none"/>
          <w:u w:val="none"/>
          <w:lang w:eastAsia="zh-CN"/>
        </w:rPr>
        <w:t>的</w:t>
      </w:r>
      <w:r>
        <w:rPr>
          <w:rFonts w:hint="eastAsia" w:ascii="仿宋" w:hAnsi="仿宋" w:eastAsia="仿宋" w:cs="仿宋"/>
          <w:snapToGrid/>
          <w:color w:val="auto"/>
          <w:sz w:val="28"/>
          <w:szCs w:val="28"/>
          <w:highlight w:val="none"/>
          <w:u w:val="none"/>
          <w:lang w:eastAsia="zh-CN"/>
        </w:rPr>
        <w:t>人员薪酬</w:t>
      </w:r>
      <w:r>
        <w:rPr>
          <w:rFonts w:hint="eastAsia" w:ascii="仿宋" w:hAnsi="仿宋" w:eastAsia="仿宋" w:cs="仿宋"/>
          <w:color w:val="auto"/>
          <w:sz w:val="28"/>
          <w:szCs w:val="28"/>
          <w:highlight w:val="none"/>
          <w:u w:val="none"/>
        </w:rPr>
        <w:t>总额占外包服务费总金额比例≥</w:t>
      </w:r>
      <w:r>
        <w:rPr>
          <w:rFonts w:hint="eastAsia" w:ascii="仿宋" w:hAnsi="仿宋" w:eastAsia="仿宋" w:cs="仿宋"/>
          <w:color w:val="auto"/>
          <w:sz w:val="28"/>
          <w:szCs w:val="28"/>
          <w:highlight w:val="none"/>
          <w:u w:val="none"/>
          <w:lang w:val="en-US" w:eastAsia="zh-CN"/>
        </w:rPr>
        <w:t>90</w:t>
      </w:r>
      <w:r>
        <w:rPr>
          <w:rFonts w:hint="eastAsia" w:ascii="仿宋" w:hAnsi="仿宋" w:eastAsia="仿宋" w:cs="仿宋"/>
          <w:color w:val="auto"/>
          <w:sz w:val="28"/>
          <w:szCs w:val="28"/>
          <w:highlight w:val="none"/>
          <w:u w:val="none"/>
        </w:rPr>
        <w:t>%，且基本工资</w:t>
      </w:r>
      <w:r>
        <w:rPr>
          <w:rFonts w:hint="eastAsia" w:ascii="仿宋" w:hAnsi="仿宋" w:eastAsia="仿宋" w:cs="仿宋"/>
          <w:color w:val="auto"/>
          <w:sz w:val="28"/>
          <w:szCs w:val="28"/>
          <w:highlight w:val="none"/>
          <w:u w:val="none"/>
          <w:lang w:eastAsia="zh-CN"/>
        </w:rPr>
        <w:t>（含伙食费）</w:t>
      </w:r>
      <w:r>
        <w:rPr>
          <w:rFonts w:hint="eastAsia" w:ascii="仿宋" w:hAnsi="仿宋" w:eastAsia="仿宋" w:cs="仿宋"/>
          <w:b w:val="0"/>
          <w:bCs w:val="0"/>
          <w:color w:val="auto"/>
          <w:sz w:val="28"/>
          <w:szCs w:val="28"/>
          <w:highlight w:val="none"/>
          <w:u w:val="none"/>
        </w:rPr>
        <w:t>占</w:t>
      </w:r>
      <w:r>
        <w:rPr>
          <w:rFonts w:hint="eastAsia" w:ascii="仿宋" w:hAnsi="仿宋" w:eastAsia="仿宋" w:cs="仿宋"/>
          <w:b w:val="0"/>
          <w:bCs w:val="0"/>
          <w:snapToGrid/>
          <w:color w:val="auto"/>
          <w:sz w:val="28"/>
          <w:szCs w:val="28"/>
          <w:highlight w:val="none"/>
          <w:u w:val="none"/>
          <w:lang w:eastAsia="zh-CN"/>
        </w:rPr>
        <w:t>人员薪酬</w:t>
      </w:r>
      <w:r>
        <w:rPr>
          <w:rFonts w:hint="eastAsia" w:ascii="仿宋" w:hAnsi="仿宋" w:eastAsia="仿宋" w:cs="仿宋"/>
          <w:b w:val="0"/>
          <w:bCs w:val="0"/>
          <w:color w:val="auto"/>
          <w:sz w:val="28"/>
          <w:szCs w:val="28"/>
          <w:highlight w:val="none"/>
          <w:u w:val="none"/>
        </w:rPr>
        <w:t>金额</w:t>
      </w:r>
      <w:r>
        <w:rPr>
          <w:rFonts w:hint="eastAsia" w:ascii="仿宋" w:hAnsi="仿宋" w:eastAsia="仿宋" w:cs="仿宋"/>
          <w:color w:val="auto"/>
          <w:sz w:val="28"/>
          <w:szCs w:val="28"/>
          <w:highlight w:val="none"/>
          <w:u w:val="none"/>
        </w:rPr>
        <w:t>比例≥</w:t>
      </w:r>
      <w:r>
        <w:rPr>
          <w:rFonts w:hint="eastAsia" w:ascii="仿宋" w:hAnsi="仿宋" w:eastAsia="仿宋" w:cs="仿宋"/>
          <w:color w:val="auto"/>
          <w:sz w:val="28"/>
          <w:szCs w:val="28"/>
          <w:highlight w:val="none"/>
          <w:u w:val="none"/>
          <w:lang w:val="en-US" w:eastAsia="zh-CN"/>
        </w:rPr>
        <w:t>70</w:t>
      </w:r>
      <w:r>
        <w:rPr>
          <w:rFonts w:hint="eastAsia" w:ascii="仿宋" w:hAnsi="仿宋" w:eastAsia="仿宋" w:cs="仿宋"/>
          <w:color w:val="auto"/>
          <w:sz w:val="28"/>
          <w:szCs w:val="28"/>
          <w:highlight w:val="none"/>
          <w:u w:val="none"/>
        </w:rPr>
        <w:t>%；若比例低于</w:t>
      </w:r>
      <w:r>
        <w:rPr>
          <w:rFonts w:hint="eastAsia" w:ascii="仿宋" w:hAnsi="仿宋" w:eastAsia="仿宋" w:cs="仿宋"/>
          <w:color w:val="auto"/>
          <w:sz w:val="28"/>
          <w:szCs w:val="28"/>
          <w:highlight w:val="none"/>
          <w:u w:val="none"/>
          <w:lang w:eastAsia="zh-CN"/>
        </w:rPr>
        <w:t>前述</w:t>
      </w:r>
      <w:r>
        <w:rPr>
          <w:rFonts w:hint="eastAsia" w:ascii="仿宋" w:hAnsi="仿宋" w:eastAsia="仿宋" w:cs="仿宋"/>
          <w:color w:val="auto"/>
          <w:sz w:val="28"/>
          <w:szCs w:val="28"/>
          <w:highlight w:val="none"/>
          <w:u w:val="none"/>
        </w:rPr>
        <w:t>要求或测算</w:t>
      </w:r>
      <w:r>
        <w:rPr>
          <w:rFonts w:hint="eastAsia" w:ascii="仿宋" w:hAnsi="仿宋" w:eastAsia="仿宋" w:cs="仿宋"/>
          <w:color w:val="auto"/>
          <w:sz w:val="28"/>
          <w:szCs w:val="28"/>
          <w:highlight w:val="none"/>
        </w:rPr>
        <w:t>依据达不到</w:t>
      </w:r>
      <w:r>
        <w:rPr>
          <w:rFonts w:hint="eastAsia" w:ascii="仿宋" w:hAnsi="仿宋" w:eastAsia="仿宋" w:cs="仿宋"/>
          <w:snapToGrid/>
          <w:color w:val="auto"/>
          <w:sz w:val="28"/>
          <w:szCs w:val="28"/>
          <w:highlight w:val="none"/>
          <w:lang w:eastAsia="zh-CN"/>
        </w:rPr>
        <w:t>人员薪酬</w:t>
      </w:r>
      <w:r>
        <w:rPr>
          <w:rFonts w:hint="eastAsia" w:ascii="仿宋" w:hAnsi="仿宋" w:eastAsia="仿宋" w:cs="仿宋"/>
          <w:color w:val="auto"/>
          <w:sz w:val="28"/>
          <w:szCs w:val="28"/>
          <w:highlight w:val="none"/>
        </w:rPr>
        <w:t>标准的，在评标过程中对该投标文件按无效投标处理。</w:t>
      </w:r>
    </w:p>
    <w:p w14:paraId="3792C547">
      <w:pPr>
        <w:widowControl/>
        <w:spacing w:line="440" w:lineRule="exact"/>
        <w:ind w:firstLine="560" w:firstLineChars="20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rPr>
        <w:t>4.3投标人应确保所有服务外包人员的工资不得低于莆田市最低工资标准且不得低于</w:t>
      </w:r>
      <w:r>
        <w:rPr>
          <w:rFonts w:hint="eastAsia" w:ascii="仿宋" w:hAnsi="仿宋" w:eastAsia="仿宋" w:cs="仿宋"/>
          <w:kern w:val="2"/>
          <w:sz w:val="28"/>
          <w:szCs w:val="28"/>
          <w:highlight w:val="none"/>
        </w:rPr>
        <w:t>同行业</w:t>
      </w:r>
      <w:r>
        <w:rPr>
          <w:rFonts w:hint="eastAsia" w:ascii="仿宋" w:hAnsi="仿宋" w:eastAsia="仿宋" w:cs="仿宋"/>
          <w:kern w:val="2"/>
          <w:sz w:val="28"/>
          <w:szCs w:val="28"/>
          <w:highlight w:val="none"/>
          <w:lang w:eastAsia="zh-CN"/>
        </w:rPr>
        <w:t>平均薪酬</w:t>
      </w:r>
      <w:r>
        <w:rPr>
          <w:rFonts w:hint="eastAsia" w:ascii="仿宋" w:hAnsi="仿宋" w:eastAsia="仿宋" w:cs="仿宋"/>
          <w:kern w:val="2"/>
          <w:sz w:val="28"/>
          <w:szCs w:val="28"/>
          <w:highlight w:val="none"/>
        </w:rPr>
        <w:t>水平</w:t>
      </w:r>
      <w:r>
        <w:rPr>
          <w:rFonts w:hint="eastAsia" w:ascii="仿宋" w:hAnsi="仿宋" w:eastAsia="仿宋" w:cs="仿宋"/>
          <w:snapToGrid/>
          <w:color w:val="auto"/>
          <w:sz w:val="28"/>
          <w:szCs w:val="28"/>
          <w:highlight w:val="none"/>
        </w:rPr>
        <w:t>。</w:t>
      </w:r>
    </w:p>
    <w:p w14:paraId="6F4A72DA">
      <w:pPr>
        <w:widowControl/>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napToGrid/>
          <w:color w:val="auto"/>
          <w:sz w:val="28"/>
          <w:szCs w:val="28"/>
          <w:highlight w:val="none"/>
        </w:rPr>
        <w:t>4.4本项目最高限价为</w:t>
      </w:r>
      <w:r>
        <w:rPr>
          <w:rFonts w:hint="eastAsia" w:ascii="仿宋" w:hAnsi="仿宋" w:eastAsia="仿宋" w:cs="仿宋"/>
          <w:snapToGrid/>
          <w:color w:val="auto"/>
          <w:sz w:val="28"/>
          <w:szCs w:val="28"/>
          <w:highlight w:val="none"/>
          <w:lang w:val="en-US" w:eastAsia="zh-CN"/>
        </w:rPr>
        <w:t>488</w:t>
      </w:r>
      <w:r>
        <w:rPr>
          <w:rFonts w:hint="eastAsia" w:ascii="仿宋" w:hAnsi="仿宋" w:eastAsia="仿宋" w:cs="仿宋"/>
          <w:snapToGrid/>
          <w:color w:val="auto"/>
          <w:sz w:val="28"/>
          <w:szCs w:val="28"/>
          <w:highlight w:val="none"/>
        </w:rPr>
        <w:t>万元，总体服务时间为</w:t>
      </w:r>
      <w:r>
        <w:rPr>
          <w:rFonts w:hint="eastAsia" w:ascii="仿宋" w:hAnsi="仿宋" w:eastAsia="仿宋" w:cs="仿宋"/>
          <w:snapToGrid/>
          <w:color w:val="auto"/>
          <w:sz w:val="28"/>
          <w:szCs w:val="28"/>
          <w:highlight w:val="none"/>
          <w:lang w:val="en-US" w:eastAsia="zh-CN"/>
        </w:rPr>
        <w:t>2024年11月1日-2026年12月31日</w:t>
      </w:r>
      <w:r>
        <w:rPr>
          <w:rFonts w:hint="eastAsia" w:ascii="仿宋" w:hAnsi="仿宋" w:eastAsia="仿宋" w:cs="仿宋"/>
          <w:snapToGrid/>
          <w:color w:val="auto"/>
          <w:sz w:val="28"/>
          <w:szCs w:val="28"/>
          <w:highlight w:val="none"/>
        </w:rPr>
        <w:t>，所需服务</w:t>
      </w:r>
      <w:r>
        <w:rPr>
          <w:rFonts w:hint="eastAsia" w:ascii="仿宋" w:hAnsi="仿宋" w:eastAsia="仿宋" w:cs="仿宋"/>
          <w:snapToGrid/>
          <w:color w:val="auto"/>
          <w:sz w:val="28"/>
          <w:szCs w:val="28"/>
          <w:highlight w:val="none"/>
          <w:lang w:eastAsia="zh-CN"/>
        </w:rPr>
        <w:t>外包</w:t>
      </w:r>
      <w:r>
        <w:rPr>
          <w:rFonts w:hint="eastAsia" w:ascii="仿宋" w:hAnsi="仿宋" w:eastAsia="仿宋" w:cs="仿宋"/>
          <w:snapToGrid/>
          <w:color w:val="auto"/>
          <w:sz w:val="28"/>
          <w:szCs w:val="28"/>
          <w:highlight w:val="none"/>
        </w:rPr>
        <w:t>人员</w:t>
      </w:r>
      <w:r>
        <w:rPr>
          <w:rFonts w:hint="eastAsia" w:ascii="仿宋" w:hAnsi="仿宋" w:eastAsia="仿宋" w:cs="仿宋"/>
          <w:snapToGrid/>
          <w:color w:val="auto"/>
          <w:sz w:val="28"/>
          <w:szCs w:val="28"/>
          <w:highlight w:val="none"/>
          <w:lang w:eastAsia="zh-CN"/>
        </w:rPr>
        <w:t>共约</w:t>
      </w:r>
      <w:r>
        <w:rPr>
          <w:rFonts w:hint="eastAsia" w:ascii="仿宋" w:hAnsi="仿宋" w:eastAsia="仿宋" w:cs="仿宋"/>
          <w:snapToGrid/>
          <w:color w:val="auto"/>
          <w:sz w:val="28"/>
          <w:szCs w:val="28"/>
          <w:highlight w:val="none"/>
          <w:lang w:val="en-US" w:eastAsia="zh-CN"/>
        </w:rPr>
        <w:t>35</w:t>
      </w:r>
      <w:r>
        <w:rPr>
          <w:rFonts w:hint="eastAsia" w:ascii="仿宋" w:hAnsi="仿宋" w:eastAsia="仿宋" w:cs="仿宋"/>
          <w:snapToGrid/>
          <w:sz w:val="28"/>
          <w:szCs w:val="28"/>
          <w:highlight w:val="none"/>
        </w:rPr>
        <w:t>人</w:t>
      </w:r>
      <w:r>
        <w:rPr>
          <w:rFonts w:hint="eastAsia" w:ascii="仿宋" w:hAnsi="仿宋" w:eastAsia="仿宋" w:cs="仿宋"/>
          <w:snapToGrid/>
          <w:sz w:val="28"/>
          <w:szCs w:val="28"/>
          <w:highlight w:val="none"/>
          <w:lang w:eastAsia="zh-CN"/>
        </w:rPr>
        <w:t>，第一期（</w:t>
      </w:r>
      <w:r>
        <w:rPr>
          <w:rFonts w:hint="eastAsia" w:ascii="仿宋" w:hAnsi="仿宋" w:eastAsia="仿宋" w:cs="仿宋"/>
          <w:snapToGrid/>
          <w:sz w:val="28"/>
          <w:szCs w:val="28"/>
          <w:highlight w:val="none"/>
          <w:lang w:val="en-US" w:eastAsia="zh-CN"/>
        </w:rPr>
        <w:t>2024年11月至2024年12月31日）所需服务外包人员35人，后续两期</w:t>
      </w:r>
      <w:r>
        <w:rPr>
          <w:rFonts w:hint="eastAsia" w:ascii="仿宋" w:hAnsi="仿宋" w:eastAsia="仿宋" w:cs="仿宋"/>
          <w:snapToGrid/>
          <w:sz w:val="28"/>
          <w:szCs w:val="28"/>
          <w:highlight w:val="none"/>
          <w:lang w:eastAsia="zh-CN"/>
        </w:rPr>
        <w:t>人员需求量按照采购人实际需求和上级政策要求确定</w:t>
      </w:r>
      <w:r>
        <w:rPr>
          <w:rFonts w:hint="eastAsia" w:ascii="仿宋" w:hAnsi="仿宋" w:eastAsia="仿宋" w:cs="仿宋"/>
          <w:snapToGrid/>
          <w:sz w:val="28"/>
          <w:szCs w:val="28"/>
          <w:highlight w:val="none"/>
        </w:rPr>
        <w:t>。项目结算金额以采购人当期确认的人岗数量为准。若人员不足</w:t>
      </w:r>
      <w:r>
        <w:rPr>
          <w:rFonts w:hint="eastAsia" w:ascii="仿宋" w:hAnsi="仿宋" w:eastAsia="仿宋" w:cs="仿宋"/>
          <w:snapToGrid/>
          <w:sz w:val="28"/>
          <w:szCs w:val="28"/>
          <w:highlight w:val="none"/>
          <w:lang w:eastAsia="zh-CN"/>
        </w:rPr>
        <w:t>采购人要求的</w:t>
      </w:r>
      <w:r>
        <w:rPr>
          <w:rFonts w:hint="eastAsia" w:ascii="仿宋" w:hAnsi="仿宋" w:eastAsia="仿宋" w:cs="仿宋"/>
          <w:snapToGrid/>
          <w:sz w:val="28"/>
          <w:szCs w:val="28"/>
          <w:highlight w:val="none"/>
          <w:lang w:val="en-US" w:eastAsia="zh-CN"/>
        </w:rPr>
        <w:t>需求量</w:t>
      </w:r>
      <w:r>
        <w:rPr>
          <w:rFonts w:hint="eastAsia" w:ascii="仿宋" w:hAnsi="仿宋" w:eastAsia="仿宋" w:cs="仿宋"/>
          <w:snapToGrid/>
          <w:sz w:val="28"/>
          <w:szCs w:val="28"/>
          <w:highlight w:val="none"/>
        </w:rPr>
        <w:t>，则按投标测算的</w:t>
      </w:r>
      <w:r>
        <w:rPr>
          <w:rFonts w:hint="eastAsia" w:ascii="仿宋" w:hAnsi="仿宋" w:eastAsia="仿宋" w:cs="仿宋"/>
          <w:snapToGrid/>
          <w:sz w:val="28"/>
          <w:szCs w:val="28"/>
          <w:highlight w:val="none"/>
          <w:lang w:eastAsia="zh-CN"/>
        </w:rPr>
        <w:t>人员薪酬</w:t>
      </w:r>
      <w:r>
        <w:rPr>
          <w:rFonts w:hint="eastAsia" w:ascii="仿宋" w:hAnsi="仿宋" w:eastAsia="仿宋" w:cs="仿宋"/>
          <w:snapToGrid/>
          <w:kern w:val="2"/>
          <w:sz w:val="28"/>
          <w:szCs w:val="28"/>
          <w:highlight w:val="none"/>
          <w:lang w:val="de-DE" w:eastAsia="de-DE"/>
        </w:rPr>
        <w:t>、管理费用</w:t>
      </w:r>
      <w:r>
        <w:rPr>
          <w:rFonts w:hint="eastAsia" w:ascii="仿宋" w:hAnsi="仿宋" w:eastAsia="仿宋" w:cs="仿宋"/>
          <w:snapToGrid/>
          <w:sz w:val="28"/>
          <w:szCs w:val="28"/>
          <w:highlight w:val="none"/>
        </w:rPr>
        <w:t>等所有涉及的相关品目按实一并扣除。</w:t>
      </w:r>
    </w:p>
    <w:p w14:paraId="5D95E837">
      <w:pPr>
        <w:widowControl/>
        <w:spacing w:line="440" w:lineRule="exact"/>
        <w:ind w:firstLine="560" w:firstLineChars="200"/>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rPr>
        <w:t>4.5</w:t>
      </w:r>
      <w:r>
        <w:rPr>
          <w:rFonts w:hint="eastAsia" w:ascii="仿宋" w:hAnsi="仿宋" w:eastAsia="仿宋" w:cs="仿宋"/>
          <w:b w:val="0"/>
          <w:bCs w:val="0"/>
          <w:color w:val="auto"/>
          <w:sz w:val="28"/>
          <w:szCs w:val="28"/>
          <w:highlight w:val="none"/>
          <w:lang w:val="en-US" w:eastAsia="zh-CN"/>
        </w:rPr>
        <w:t>本项目服务期间，采购人无须另外向中标人支付规定之外的其他任何费用，如国家或地方相关部门出台政策，对税收、企业经营性费用、员工最低工资标准、社保缴纳基数及社会福利政策等方面进行了调整，费用增加部分由中标人自行承担，采购人不再增加或承担任何费用。</w:t>
      </w:r>
    </w:p>
    <w:p w14:paraId="4DCC737F">
      <w:pPr>
        <w:widowControl/>
        <w:spacing w:line="440" w:lineRule="exact"/>
        <w:ind w:firstLine="560" w:firstLineChars="200"/>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rPr>
        <w:t>5</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lang w:eastAsia="zh-CN"/>
        </w:rPr>
        <w:t>履约保证金：</w:t>
      </w:r>
      <w:r>
        <w:rPr>
          <w:rFonts w:hint="eastAsia" w:ascii="仿宋" w:hAnsi="仿宋" w:eastAsia="仿宋" w:cs="仿宋"/>
          <w:snapToGrid/>
          <w:color w:val="auto"/>
          <w:sz w:val="28"/>
          <w:szCs w:val="28"/>
          <w:highlight w:val="none"/>
          <w:lang w:val="en-US" w:eastAsia="zh-CN"/>
        </w:rPr>
        <w:t>10万元。</w:t>
      </w:r>
    </w:p>
    <w:p w14:paraId="090102F3">
      <w:pPr>
        <w:widowControl/>
        <w:spacing w:line="440" w:lineRule="exact"/>
        <w:ind w:firstLine="560"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lang w:val="en-US" w:eastAsia="zh-CN"/>
        </w:rPr>
        <w:t>6.</w:t>
      </w:r>
      <w:r>
        <w:rPr>
          <w:rFonts w:hint="eastAsia" w:ascii="仿宋" w:hAnsi="仿宋" w:eastAsia="仿宋" w:cs="仿宋"/>
          <w:snapToGrid/>
          <w:sz w:val="28"/>
          <w:szCs w:val="28"/>
          <w:highlight w:val="none"/>
        </w:rPr>
        <w:t>采购人不</w:t>
      </w:r>
      <w:r>
        <w:rPr>
          <w:rFonts w:hint="eastAsia" w:ascii="仿宋" w:hAnsi="仿宋" w:eastAsia="仿宋" w:cs="仿宋"/>
          <w:snapToGrid/>
          <w:sz w:val="28"/>
          <w:szCs w:val="28"/>
          <w:highlight w:val="none"/>
          <w:lang w:eastAsia="zh-CN"/>
        </w:rPr>
        <w:t>专门</w:t>
      </w:r>
      <w:r>
        <w:rPr>
          <w:rFonts w:hint="eastAsia" w:ascii="仿宋" w:hAnsi="仿宋" w:eastAsia="仿宋" w:cs="仿宋"/>
          <w:snapToGrid/>
          <w:sz w:val="28"/>
          <w:szCs w:val="28"/>
          <w:highlight w:val="none"/>
        </w:rPr>
        <w:t>组织现场勘察会，采购人在本</w:t>
      </w:r>
      <w:r>
        <w:rPr>
          <w:rFonts w:hint="eastAsia" w:ascii="仿宋" w:hAnsi="仿宋" w:eastAsia="仿宋" w:cs="仿宋"/>
          <w:snapToGrid/>
          <w:sz w:val="28"/>
          <w:szCs w:val="28"/>
          <w:highlight w:val="none"/>
          <w:lang w:eastAsia="zh-CN"/>
        </w:rPr>
        <w:t>方案</w:t>
      </w:r>
      <w:r>
        <w:rPr>
          <w:rFonts w:hint="eastAsia" w:ascii="仿宋" w:hAnsi="仿宋" w:eastAsia="仿宋" w:cs="仿宋"/>
          <w:snapToGrid/>
          <w:sz w:val="28"/>
          <w:szCs w:val="28"/>
          <w:highlight w:val="none"/>
        </w:rPr>
        <w:t>中介绍的招标项目相关情况，是采购人现有的能被投标人利用的资料，投标人对此作出的任何推论、理解和结论，采购人均不负责任。投标人进入采购人单位进行现场勘察，不得因此使采购人承担与之有关的责任和蒙受损失，投标人应承担勘察现场的费用、责任和风险。</w:t>
      </w:r>
    </w:p>
    <w:p w14:paraId="76107813">
      <w:pPr>
        <w:pStyle w:val="22"/>
        <w:spacing w:afterLines="0" w:line="440" w:lineRule="exact"/>
        <w:ind w:firstLine="560"/>
        <w:outlineLvl w:val="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服务要求</w:t>
      </w:r>
    </w:p>
    <w:p w14:paraId="40BE937A">
      <w:pPr>
        <w:pStyle w:val="22"/>
        <w:spacing w:afterLines="0" w:line="440" w:lineRule="exact"/>
        <w:ind w:firstLine="56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w:t>
      </w:r>
      <w:r>
        <w:rPr>
          <w:rFonts w:hint="eastAsia" w:ascii="仿宋" w:hAnsi="仿宋" w:eastAsia="仿宋" w:cs="仿宋"/>
          <w:sz w:val="28"/>
          <w:szCs w:val="28"/>
          <w:highlight w:val="none"/>
        </w:rPr>
        <w:t>标人根据采购人要求，安排具备相应技术能力的人员至采购人指定地点提供服务，遵守采购人相关规章制度和岗位职责开展工作，</w:t>
      </w:r>
      <w:r>
        <w:rPr>
          <w:rFonts w:hint="eastAsia" w:ascii="仿宋" w:hAnsi="仿宋" w:eastAsia="仿宋" w:cs="仿宋"/>
          <w:sz w:val="28"/>
          <w:szCs w:val="28"/>
          <w:highlight w:val="none"/>
          <w:lang w:eastAsia="zh-CN"/>
        </w:rPr>
        <w:t>中</w:t>
      </w:r>
      <w:r>
        <w:rPr>
          <w:rFonts w:hint="eastAsia" w:ascii="仿宋" w:hAnsi="仿宋" w:eastAsia="仿宋" w:cs="仿宋"/>
          <w:sz w:val="28"/>
          <w:szCs w:val="28"/>
          <w:highlight w:val="none"/>
        </w:rPr>
        <w:t>标人招聘录用的服务人员必须满足采购人所需服务的要求。</w:t>
      </w:r>
    </w:p>
    <w:p w14:paraId="007817B3">
      <w:pPr>
        <w:widowControl/>
        <w:spacing w:afterLines="0" w:line="440" w:lineRule="exact"/>
        <w:ind w:firstLine="562" w:firstLineChars="200"/>
        <w:outlineLvl w:val="0"/>
        <w:rPr>
          <w:rFonts w:hint="eastAsia" w:ascii="仿宋" w:hAnsi="仿宋" w:eastAsia="仿宋" w:cs="仿宋"/>
          <w:b/>
          <w:bCs/>
          <w:snapToGrid/>
          <w:sz w:val="28"/>
          <w:szCs w:val="28"/>
          <w:highlight w:val="none"/>
        </w:rPr>
      </w:pPr>
      <w:r>
        <w:rPr>
          <w:rFonts w:hint="eastAsia" w:ascii="仿宋" w:hAnsi="仿宋" w:eastAsia="仿宋" w:cs="仿宋"/>
          <w:b/>
          <w:bCs/>
          <w:snapToGrid/>
          <w:sz w:val="28"/>
          <w:szCs w:val="28"/>
          <w:highlight w:val="none"/>
        </w:rPr>
        <w:t>1.基本要求</w:t>
      </w:r>
    </w:p>
    <w:p w14:paraId="007EEF4C">
      <w:pPr>
        <w:widowControl/>
        <w:spacing w:afterLines="0" w:line="440" w:lineRule="exact"/>
        <w:ind w:firstLine="560" w:firstLineChars="200"/>
        <w:outlineLvl w:val="0"/>
        <w:rPr>
          <w:rFonts w:hint="eastAsia" w:ascii="仿宋" w:hAnsi="仿宋" w:eastAsia="仿宋" w:cs="仿宋"/>
          <w:snapToGrid/>
          <w:sz w:val="28"/>
          <w:szCs w:val="28"/>
          <w:highlight w:val="none"/>
          <w:lang w:eastAsia="zh-CN"/>
        </w:rPr>
      </w:pPr>
      <w:r>
        <w:rPr>
          <w:rFonts w:hint="eastAsia" w:ascii="仿宋" w:hAnsi="仿宋" w:eastAsia="仿宋" w:cs="仿宋"/>
          <w:snapToGrid/>
          <w:sz w:val="28"/>
          <w:szCs w:val="28"/>
          <w:highlight w:val="none"/>
        </w:rPr>
        <w:t>（1）考虑到工作的延续性，在同等条件下，中标人应优先从国家税务总局莆田市</w:t>
      </w:r>
      <w:r>
        <w:rPr>
          <w:rFonts w:hint="eastAsia" w:ascii="仿宋" w:hAnsi="仿宋" w:eastAsia="仿宋" w:cs="仿宋"/>
          <w:snapToGrid/>
          <w:sz w:val="28"/>
          <w:szCs w:val="28"/>
          <w:highlight w:val="none"/>
          <w:lang w:eastAsia="zh-CN"/>
        </w:rPr>
        <w:t>秀屿区</w:t>
      </w:r>
      <w:r>
        <w:rPr>
          <w:rFonts w:hint="eastAsia" w:ascii="仿宋" w:hAnsi="仿宋" w:eastAsia="仿宋" w:cs="仿宋"/>
          <w:snapToGrid/>
          <w:sz w:val="28"/>
          <w:szCs w:val="28"/>
          <w:highlight w:val="none"/>
        </w:rPr>
        <w:t>税务局现有编外人员中选聘。同时</w:t>
      </w:r>
      <w:r>
        <w:rPr>
          <w:rFonts w:hint="eastAsia" w:ascii="仿宋" w:hAnsi="仿宋" w:eastAsia="仿宋" w:cs="仿宋"/>
          <w:snapToGrid/>
          <w:sz w:val="28"/>
          <w:szCs w:val="28"/>
          <w:highlight w:val="none"/>
          <w:lang w:eastAsia="zh-CN"/>
        </w:rPr>
        <w:t>中</w:t>
      </w:r>
      <w:r>
        <w:rPr>
          <w:rFonts w:hint="eastAsia" w:ascii="仿宋" w:hAnsi="仿宋" w:eastAsia="仿宋" w:cs="仿宋"/>
          <w:kern w:val="2"/>
          <w:sz w:val="28"/>
          <w:szCs w:val="28"/>
          <w:highlight w:val="none"/>
        </w:rPr>
        <w:t>标人</w:t>
      </w:r>
      <w:r>
        <w:rPr>
          <w:rFonts w:hint="eastAsia" w:ascii="仿宋" w:hAnsi="仿宋" w:eastAsia="仿宋" w:cs="仿宋"/>
          <w:color w:val="000000"/>
          <w:kern w:val="2"/>
          <w:sz w:val="28"/>
          <w:szCs w:val="28"/>
          <w:highlight w:val="none"/>
        </w:rPr>
        <w:t>为本项目提供的服务外包人员必须无</w:t>
      </w:r>
      <w:r>
        <w:rPr>
          <w:rFonts w:hint="eastAsia" w:ascii="仿宋" w:hAnsi="仿宋" w:eastAsia="仿宋" w:cs="仿宋"/>
          <w:color w:val="000000"/>
          <w:kern w:val="2"/>
          <w:sz w:val="28"/>
          <w:szCs w:val="28"/>
          <w:highlight w:val="none"/>
          <w:lang w:eastAsia="zh-CN"/>
        </w:rPr>
        <w:t>违法犯罪记录，</w:t>
      </w:r>
      <w:r>
        <w:rPr>
          <w:rFonts w:hint="eastAsia" w:ascii="仿宋" w:hAnsi="仿宋" w:eastAsia="仿宋" w:cs="仿宋"/>
          <w:kern w:val="2"/>
          <w:sz w:val="28"/>
          <w:szCs w:val="28"/>
          <w:highlight w:val="none"/>
        </w:rPr>
        <w:t>所有服务外包人员的上岗或变更应向采购人报告，经</w:t>
      </w:r>
      <w:r>
        <w:rPr>
          <w:rFonts w:hint="eastAsia" w:ascii="仿宋" w:hAnsi="仿宋" w:eastAsia="仿宋" w:cs="仿宋"/>
          <w:kern w:val="2"/>
          <w:sz w:val="28"/>
          <w:szCs w:val="28"/>
          <w:highlight w:val="none"/>
          <w:lang w:eastAsia="zh-CN"/>
        </w:rPr>
        <w:t>服务所在部门（分局）负责人</w:t>
      </w:r>
      <w:r>
        <w:rPr>
          <w:rFonts w:hint="eastAsia" w:ascii="仿宋" w:hAnsi="仿宋" w:eastAsia="仿宋" w:cs="仿宋"/>
          <w:kern w:val="2"/>
          <w:sz w:val="28"/>
          <w:szCs w:val="28"/>
          <w:highlight w:val="none"/>
        </w:rPr>
        <w:t>审核同意后方可上岗</w:t>
      </w:r>
      <w:r>
        <w:rPr>
          <w:rFonts w:hint="eastAsia" w:ascii="仿宋" w:hAnsi="仿宋" w:eastAsia="仿宋" w:cs="仿宋"/>
          <w:kern w:val="2"/>
          <w:sz w:val="28"/>
          <w:szCs w:val="28"/>
          <w:highlight w:val="none"/>
          <w:lang w:eastAsia="zh-CN"/>
        </w:rPr>
        <w:t>；</w:t>
      </w:r>
    </w:p>
    <w:p w14:paraId="69A75648">
      <w:pPr>
        <w:widowControl/>
        <w:spacing w:afterLines="0" w:line="440" w:lineRule="exact"/>
        <w:ind w:firstLine="560" w:firstLineChars="200"/>
        <w:outlineLvl w:val="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（2）提供的</w:t>
      </w:r>
      <w:r>
        <w:rPr>
          <w:rFonts w:hint="eastAsia" w:ascii="仿宋" w:hAnsi="仿宋" w:eastAsia="仿宋" w:cs="仿宋"/>
          <w:snapToGrid/>
          <w:sz w:val="28"/>
          <w:szCs w:val="28"/>
          <w:highlight w:val="none"/>
          <w:lang w:eastAsia="zh-CN"/>
        </w:rPr>
        <w:t>外包</w:t>
      </w:r>
      <w:r>
        <w:rPr>
          <w:rFonts w:hint="eastAsia" w:ascii="仿宋" w:hAnsi="仿宋" w:eastAsia="仿宋" w:cs="仿宋"/>
          <w:snapToGrid/>
          <w:sz w:val="28"/>
          <w:szCs w:val="28"/>
          <w:highlight w:val="none"/>
        </w:rPr>
        <w:t>服务人员需身体健康（入场时提供体检报告）、精神面貌佳</w:t>
      </w:r>
      <w:r>
        <w:rPr>
          <w:rFonts w:hint="eastAsia" w:ascii="仿宋" w:hAnsi="仿宋" w:eastAsia="仿宋" w:cs="仿宋"/>
          <w:snapToGrid/>
          <w:sz w:val="28"/>
          <w:szCs w:val="28"/>
          <w:highlight w:val="none"/>
          <w:lang w:eastAsia="zh-CN"/>
        </w:rPr>
        <w:t>、</w:t>
      </w:r>
      <w:r>
        <w:rPr>
          <w:rFonts w:hint="eastAsia" w:ascii="仿宋" w:hAnsi="仿宋" w:eastAsia="仿宋" w:cs="仿宋"/>
          <w:snapToGrid/>
          <w:sz w:val="28"/>
          <w:szCs w:val="28"/>
          <w:highlight w:val="none"/>
        </w:rPr>
        <w:t>应变能力强、服务态端正、有法律意识、有保密意识、责任心强。</w:t>
      </w:r>
    </w:p>
    <w:p w14:paraId="3BFB3ED3">
      <w:pPr>
        <w:widowControl/>
        <w:spacing w:afterLines="0" w:line="440" w:lineRule="exact"/>
        <w:ind w:firstLine="560" w:firstLineChars="200"/>
        <w:outlineLvl w:val="0"/>
        <w:rPr>
          <w:rFonts w:hint="eastAsia" w:ascii="仿宋" w:hAnsi="仿宋" w:eastAsia="仿宋" w:cs="仿宋"/>
          <w:snapToGrid/>
          <w:sz w:val="28"/>
          <w:szCs w:val="28"/>
          <w:highlight w:val="none"/>
          <w:lang w:eastAsia="zh-CN"/>
        </w:rPr>
      </w:pPr>
      <w:r>
        <w:rPr>
          <w:rFonts w:hint="eastAsia" w:ascii="仿宋" w:hAnsi="仿宋" w:eastAsia="仿宋" w:cs="仿宋"/>
          <w:snapToGrid/>
          <w:sz w:val="28"/>
          <w:szCs w:val="28"/>
          <w:highlight w:val="none"/>
        </w:rPr>
        <w:t>（3）</w:t>
      </w:r>
      <w:r>
        <w:rPr>
          <w:rFonts w:hint="eastAsia" w:ascii="仿宋" w:hAnsi="仿宋" w:eastAsia="仿宋" w:cs="仿宋"/>
          <w:snapToGrid/>
          <w:sz w:val="28"/>
          <w:szCs w:val="28"/>
          <w:highlight w:val="none"/>
          <w:lang w:eastAsia="zh-CN"/>
        </w:rPr>
        <w:t>中</w:t>
      </w:r>
      <w:r>
        <w:rPr>
          <w:rFonts w:hint="eastAsia" w:ascii="仿宋" w:hAnsi="仿宋" w:eastAsia="仿宋" w:cs="仿宋"/>
          <w:snapToGrid/>
          <w:sz w:val="28"/>
          <w:szCs w:val="28"/>
          <w:highlight w:val="none"/>
        </w:rPr>
        <w:t>标人提供的</w:t>
      </w:r>
      <w:r>
        <w:rPr>
          <w:rFonts w:hint="eastAsia" w:ascii="仿宋" w:hAnsi="仿宋" w:eastAsia="仿宋" w:cs="仿宋"/>
          <w:snapToGrid/>
          <w:sz w:val="28"/>
          <w:szCs w:val="28"/>
          <w:highlight w:val="none"/>
          <w:lang w:eastAsia="zh-CN"/>
        </w:rPr>
        <w:t>外包</w:t>
      </w:r>
      <w:r>
        <w:rPr>
          <w:rFonts w:hint="eastAsia" w:ascii="仿宋" w:hAnsi="仿宋" w:eastAsia="仿宋" w:cs="仿宋"/>
          <w:snapToGrid/>
          <w:sz w:val="28"/>
          <w:szCs w:val="28"/>
          <w:highlight w:val="none"/>
        </w:rPr>
        <w:t>服务人员满足采购需求的各项要求，遵守</w:t>
      </w:r>
      <w:r>
        <w:rPr>
          <w:rFonts w:hint="eastAsia" w:ascii="仿宋" w:hAnsi="仿宋" w:eastAsia="仿宋" w:cs="仿宋"/>
          <w:snapToGrid/>
          <w:sz w:val="28"/>
          <w:szCs w:val="28"/>
          <w:highlight w:val="none"/>
          <w:lang w:eastAsia="zh-CN"/>
        </w:rPr>
        <w:t>采</w:t>
      </w:r>
      <w:r>
        <w:rPr>
          <w:rFonts w:hint="eastAsia" w:ascii="仿宋" w:hAnsi="仿宋" w:eastAsia="仿宋" w:cs="仿宋"/>
          <w:snapToGrid/>
          <w:sz w:val="28"/>
          <w:szCs w:val="28"/>
          <w:highlight w:val="none"/>
        </w:rPr>
        <w:t>购人的制度要求，包括:</w:t>
      </w:r>
    </w:p>
    <w:p w14:paraId="64CF3B39">
      <w:pPr>
        <w:widowControl/>
        <w:spacing w:afterLines="0" w:line="440" w:lineRule="exact"/>
        <w:ind w:firstLine="560" w:firstLineChars="200"/>
        <w:outlineLvl w:val="0"/>
        <w:rPr>
          <w:rFonts w:hint="eastAsia" w:ascii="仿宋" w:hAnsi="仿宋" w:eastAsia="仿宋" w:cs="仿宋"/>
          <w:snapToGrid/>
          <w:sz w:val="28"/>
          <w:szCs w:val="28"/>
          <w:highlight w:val="none"/>
          <w:lang w:eastAsia="zh-CN"/>
        </w:rPr>
      </w:pPr>
      <w:r>
        <w:rPr>
          <w:rFonts w:hint="eastAsia" w:ascii="仿宋" w:hAnsi="仿宋" w:eastAsia="仿宋" w:cs="仿宋"/>
          <w:snapToGrid/>
          <w:sz w:val="28"/>
          <w:szCs w:val="28"/>
          <w:highlight w:val="none"/>
        </w:rPr>
        <w:t>①遵纪守法，品行端正，具有良好的职业道德，爱岗</w:t>
      </w:r>
      <w:r>
        <w:rPr>
          <w:rFonts w:hint="eastAsia" w:ascii="仿宋" w:hAnsi="仿宋" w:eastAsia="仿宋" w:cs="仿宋"/>
          <w:snapToGrid/>
          <w:sz w:val="28"/>
          <w:szCs w:val="28"/>
          <w:highlight w:val="none"/>
          <w:lang w:eastAsia="zh-CN"/>
        </w:rPr>
        <w:t>敬</w:t>
      </w:r>
      <w:r>
        <w:rPr>
          <w:rFonts w:hint="eastAsia" w:ascii="仿宋" w:hAnsi="仿宋" w:eastAsia="仿宋" w:cs="仿宋"/>
          <w:snapToGrid/>
          <w:sz w:val="28"/>
          <w:szCs w:val="28"/>
          <w:highlight w:val="none"/>
        </w:rPr>
        <w:t>业，无违法违纪行为;</w:t>
      </w:r>
    </w:p>
    <w:p w14:paraId="21293161">
      <w:pPr>
        <w:widowControl/>
        <w:spacing w:afterLines="0" w:line="440" w:lineRule="exact"/>
        <w:ind w:firstLine="560" w:firstLineChars="200"/>
        <w:outlineLvl w:val="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②服务态度端正，责任心强，认真做好本职工作;</w:t>
      </w:r>
    </w:p>
    <w:p w14:paraId="04177895">
      <w:pPr>
        <w:widowControl/>
        <w:spacing w:afterLines="0" w:line="440" w:lineRule="exact"/>
        <w:ind w:firstLine="560" w:firstLineChars="200"/>
        <w:outlineLvl w:val="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③认真传递相关资料，妥善保存，定期整理，并履行登记、签字手续，确保资料</w:t>
      </w:r>
      <w:r>
        <w:rPr>
          <w:rFonts w:hint="eastAsia" w:ascii="仿宋" w:hAnsi="仿宋" w:eastAsia="仿宋" w:cs="仿宋"/>
          <w:snapToGrid/>
          <w:sz w:val="28"/>
          <w:szCs w:val="28"/>
          <w:highlight w:val="none"/>
          <w:lang w:eastAsia="zh-CN"/>
        </w:rPr>
        <w:t>传</w:t>
      </w:r>
      <w:r>
        <w:rPr>
          <w:rFonts w:hint="eastAsia" w:ascii="仿宋" w:hAnsi="仿宋" w:eastAsia="仿宋" w:cs="仿宋"/>
          <w:snapToGrid/>
          <w:sz w:val="28"/>
          <w:szCs w:val="28"/>
          <w:highlight w:val="none"/>
        </w:rPr>
        <w:t>递安全;</w:t>
      </w:r>
    </w:p>
    <w:p w14:paraId="12EFC209">
      <w:pPr>
        <w:widowControl/>
        <w:spacing w:afterLines="0" w:line="440" w:lineRule="exact"/>
        <w:ind w:firstLine="560" w:firstLineChars="200"/>
        <w:outlineLvl w:val="0"/>
        <w:rPr>
          <w:rFonts w:hint="eastAsia" w:ascii="仿宋" w:hAnsi="仿宋" w:eastAsia="仿宋" w:cs="仿宋"/>
          <w:snapToGrid/>
          <w:sz w:val="28"/>
          <w:szCs w:val="28"/>
          <w:highlight w:val="none"/>
          <w:lang w:eastAsia="zh-CN"/>
        </w:rPr>
      </w:pPr>
      <w:r>
        <w:rPr>
          <w:rFonts w:hint="eastAsia" w:ascii="仿宋" w:hAnsi="仿宋" w:eastAsia="仿宋" w:cs="仿宋"/>
          <w:snapToGrid/>
          <w:sz w:val="28"/>
          <w:szCs w:val="28"/>
          <w:highlight w:val="none"/>
        </w:rPr>
        <w:t>④严格执行保密及廉政制度，</w:t>
      </w:r>
      <w:r>
        <w:rPr>
          <w:rFonts w:hint="eastAsia" w:ascii="仿宋" w:hAnsi="仿宋" w:eastAsia="仿宋" w:cs="仿宋"/>
          <w:snapToGrid/>
          <w:sz w:val="28"/>
          <w:szCs w:val="28"/>
          <w:highlight w:val="none"/>
          <w:lang w:eastAsia="zh-CN"/>
        </w:rPr>
        <w:t>禁止与不良涉税中介勾连勾兑，不得违规违规经商办企业（兼职），</w:t>
      </w:r>
      <w:r>
        <w:rPr>
          <w:rFonts w:hint="eastAsia" w:ascii="仿宋" w:hAnsi="仿宋" w:eastAsia="仿宋" w:cs="仿宋"/>
          <w:snapToGrid/>
          <w:sz w:val="28"/>
          <w:szCs w:val="28"/>
          <w:highlight w:val="none"/>
        </w:rPr>
        <w:t>不得泄露采购人办公资料及纳税人信息，中标人</w:t>
      </w:r>
      <w:r>
        <w:rPr>
          <w:rFonts w:hint="eastAsia" w:ascii="仿宋" w:hAnsi="仿宋" w:eastAsia="仿宋" w:cs="仿宋"/>
          <w:snapToGrid/>
          <w:sz w:val="28"/>
          <w:szCs w:val="28"/>
          <w:highlight w:val="none"/>
          <w:lang w:eastAsia="zh-CN"/>
        </w:rPr>
        <w:t>为本项目提供</w:t>
      </w:r>
      <w:r>
        <w:rPr>
          <w:rFonts w:hint="eastAsia" w:ascii="仿宋" w:hAnsi="仿宋" w:eastAsia="仿宋" w:cs="仿宋"/>
          <w:snapToGrid/>
          <w:sz w:val="28"/>
          <w:szCs w:val="28"/>
          <w:highlight w:val="none"/>
        </w:rPr>
        <w:t>的</w:t>
      </w:r>
      <w:r>
        <w:rPr>
          <w:rFonts w:hint="eastAsia" w:ascii="仿宋" w:hAnsi="仿宋" w:eastAsia="仿宋" w:cs="仿宋"/>
          <w:snapToGrid/>
          <w:sz w:val="28"/>
          <w:szCs w:val="28"/>
          <w:highlight w:val="none"/>
          <w:lang w:eastAsia="zh-CN"/>
        </w:rPr>
        <w:t>外包</w:t>
      </w:r>
      <w:r>
        <w:rPr>
          <w:rFonts w:hint="eastAsia" w:ascii="仿宋" w:hAnsi="仿宋" w:eastAsia="仿宋" w:cs="仿宋"/>
          <w:snapToGrid/>
          <w:sz w:val="28"/>
          <w:szCs w:val="28"/>
          <w:highlight w:val="none"/>
        </w:rPr>
        <w:t>服务人员，必须与采购人签订</w:t>
      </w:r>
      <w:r>
        <w:rPr>
          <w:rFonts w:hint="eastAsia" w:ascii="仿宋" w:hAnsi="仿宋" w:eastAsia="仿宋" w:cs="仿宋"/>
          <w:snapToGrid/>
          <w:sz w:val="28"/>
          <w:szCs w:val="28"/>
          <w:highlight w:val="none"/>
          <w:lang w:eastAsia="zh-CN"/>
        </w:rPr>
        <w:t>《</w:t>
      </w:r>
      <w:r>
        <w:rPr>
          <w:rFonts w:hint="eastAsia" w:ascii="仿宋" w:hAnsi="仿宋" w:eastAsia="仿宋" w:cs="仿宋"/>
          <w:snapToGrid/>
          <w:sz w:val="28"/>
          <w:szCs w:val="28"/>
          <w:highlight w:val="none"/>
        </w:rPr>
        <w:t>信息保护及保密协议》</w:t>
      </w:r>
      <w:r>
        <w:rPr>
          <w:rFonts w:hint="eastAsia" w:ascii="仿宋" w:hAnsi="仿宋" w:eastAsia="仿宋" w:cs="仿宋"/>
          <w:snapToGrid/>
          <w:sz w:val="28"/>
          <w:szCs w:val="28"/>
          <w:highlight w:val="none"/>
          <w:lang w:eastAsia="zh-CN"/>
        </w:rPr>
        <w:t>、《廉政协议》等承诺书和协议</w:t>
      </w:r>
      <w:r>
        <w:rPr>
          <w:rFonts w:hint="eastAsia" w:ascii="仿宋" w:hAnsi="仿宋" w:eastAsia="仿宋" w:cs="仿宋"/>
          <w:snapToGrid/>
          <w:sz w:val="28"/>
          <w:szCs w:val="28"/>
          <w:highlight w:val="none"/>
        </w:rPr>
        <w:t>；</w:t>
      </w:r>
    </w:p>
    <w:p w14:paraId="0426E22E">
      <w:pPr>
        <w:widowControl/>
        <w:spacing w:afterLines="0" w:line="440" w:lineRule="exact"/>
        <w:ind w:firstLine="560" w:firstLineChars="200"/>
        <w:outlineLvl w:val="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⑤保持办公区域整洁卫生；</w:t>
      </w:r>
    </w:p>
    <w:p w14:paraId="7CE79E39">
      <w:pPr>
        <w:widowControl/>
        <w:spacing w:afterLines="0" w:line="440" w:lineRule="exact"/>
        <w:ind w:firstLine="560" w:firstLineChars="200"/>
        <w:outlineLvl w:val="0"/>
        <w:rPr>
          <w:rFonts w:hint="eastAsia" w:ascii="仿宋" w:hAnsi="仿宋" w:eastAsia="仿宋" w:cs="仿宋"/>
          <w:snapToGrid/>
          <w:sz w:val="28"/>
          <w:szCs w:val="28"/>
          <w:highlight w:val="none"/>
          <w:lang w:eastAsia="zh-CN"/>
        </w:rPr>
      </w:pPr>
      <w:r>
        <w:rPr>
          <w:rFonts w:hint="eastAsia" w:ascii="仿宋" w:hAnsi="仿宋" w:eastAsia="仿宋" w:cs="仿宋"/>
          <w:snapToGrid/>
          <w:sz w:val="28"/>
          <w:szCs w:val="28"/>
          <w:highlight w:val="none"/>
        </w:rPr>
        <w:t>⑥按时完成部门负责人和领导临时安排的工作；</w:t>
      </w:r>
    </w:p>
    <w:p w14:paraId="2C236694">
      <w:pPr>
        <w:widowControl/>
        <w:spacing w:afterLines="0" w:line="440" w:lineRule="exact"/>
        <w:ind w:firstLine="560" w:firstLineChars="200"/>
        <w:outlineLvl w:val="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⑦具有舆情风控意识、法律意识，应急反应能力强。</w:t>
      </w:r>
    </w:p>
    <w:p w14:paraId="1497FBB5">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snapToGrid/>
          <w:sz w:val="28"/>
          <w:szCs w:val="28"/>
          <w:highlight w:val="none"/>
          <w:lang w:eastAsia="zh-CN"/>
        </w:rPr>
        <w:t>⑧具有</w:t>
      </w:r>
      <w:r>
        <w:rPr>
          <w:rFonts w:hint="eastAsia" w:ascii="仿宋" w:hAnsi="仿宋" w:eastAsia="仿宋" w:cs="仿宋"/>
          <w:kern w:val="2"/>
          <w:sz w:val="28"/>
          <w:szCs w:val="28"/>
          <w:highlight w:val="none"/>
        </w:rPr>
        <w:t>节能减排</w:t>
      </w:r>
      <w:r>
        <w:rPr>
          <w:rFonts w:hint="eastAsia" w:ascii="仿宋" w:hAnsi="仿宋" w:eastAsia="仿宋" w:cs="仿宋"/>
          <w:kern w:val="2"/>
          <w:sz w:val="28"/>
          <w:szCs w:val="28"/>
          <w:highlight w:val="none"/>
          <w:lang w:eastAsia="zh-CN"/>
        </w:rPr>
        <w:t>意识，</w:t>
      </w:r>
      <w:r>
        <w:rPr>
          <w:rFonts w:hint="eastAsia" w:ascii="仿宋" w:hAnsi="仿宋" w:eastAsia="仿宋" w:cs="仿宋"/>
          <w:kern w:val="2"/>
          <w:sz w:val="28"/>
          <w:szCs w:val="28"/>
          <w:highlight w:val="none"/>
        </w:rPr>
        <w:t>在工作过程中应合理使用资源（如打印纸、面巾纸等），对于水电等设施，使用后应当及时关闭，杜绝浪费资源行为。</w:t>
      </w:r>
    </w:p>
    <w:p w14:paraId="5394A28F">
      <w:pPr>
        <w:widowControl/>
        <w:spacing w:line="440" w:lineRule="exact"/>
        <w:ind w:firstLineChars="200"/>
        <w:rPr>
          <w:rFonts w:hint="eastAsia" w:ascii="仿宋" w:hAnsi="仿宋" w:eastAsia="仿宋" w:cs="仿宋"/>
          <w:b/>
          <w:bCs/>
          <w:snapToGrid/>
          <w:sz w:val="28"/>
          <w:szCs w:val="28"/>
          <w:highlight w:val="none"/>
          <w:lang w:eastAsia="zh-CN"/>
        </w:rPr>
      </w:pPr>
      <w:r>
        <w:rPr>
          <w:rFonts w:hint="eastAsia" w:ascii="仿宋" w:hAnsi="仿宋" w:eastAsia="仿宋" w:cs="仿宋"/>
          <w:b/>
          <w:bCs/>
          <w:snapToGrid/>
          <w:sz w:val="28"/>
          <w:szCs w:val="28"/>
          <w:highlight w:val="none"/>
        </w:rPr>
        <w:t>2</w:t>
      </w:r>
      <w:r>
        <w:rPr>
          <w:rFonts w:hint="eastAsia" w:ascii="仿宋" w:hAnsi="仿宋" w:eastAsia="仿宋" w:cs="仿宋"/>
          <w:b/>
          <w:bCs/>
          <w:snapToGrid/>
          <w:sz w:val="28"/>
          <w:szCs w:val="28"/>
          <w:highlight w:val="none"/>
          <w:lang w:eastAsia="zh-CN"/>
        </w:rPr>
        <w:t>.</w:t>
      </w:r>
      <w:r>
        <w:rPr>
          <w:rFonts w:hint="eastAsia" w:ascii="仿宋" w:hAnsi="仿宋" w:eastAsia="仿宋" w:cs="仿宋"/>
          <w:b/>
          <w:bCs/>
          <w:snapToGrid/>
          <w:sz w:val="28"/>
          <w:szCs w:val="28"/>
          <w:highlight w:val="none"/>
        </w:rPr>
        <w:t>岗位要求</w:t>
      </w:r>
    </w:p>
    <w:p w14:paraId="7D3FE106">
      <w:pPr>
        <w:widowControl/>
        <w:spacing w:line="440" w:lineRule="exact"/>
        <w:ind w:firstLineChars="200"/>
        <w:rPr>
          <w:rFonts w:hint="eastAsia" w:ascii="仿宋" w:hAnsi="仿宋" w:eastAsia="仿宋" w:cs="仿宋"/>
          <w:b/>
          <w:bCs/>
          <w:snapToGrid/>
          <w:sz w:val="28"/>
          <w:szCs w:val="28"/>
          <w:highlight w:val="none"/>
        </w:rPr>
      </w:pPr>
      <w:r>
        <w:rPr>
          <w:rFonts w:hint="eastAsia" w:ascii="仿宋" w:hAnsi="仿宋" w:eastAsia="仿宋" w:cs="仿宋"/>
          <w:b/>
          <w:bCs/>
          <w:snapToGrid/>
          <w:sz w:val="28"/>
          <w:szCs w:val="28"/>
          <w:highlight w:val="none"/>
        </w:rPr>
        <w:t>2.1</w:t>
      </w:r>
      <w:r>
        <w:rPr>
          <w:rFonts w:hint="eastAsia" w:ascii="仿宋" w:hAnsi="仿宋" w:eastAsia="仿宋" w:cs="仿宋"/>
          <w:b/>
          <w:bCs/>
          <w:snapToGrid/>
          <w:sz w:val="28"/>
          <w:szCs w:val="28"/>
          <w:highlight w:val="none"/>
          <w:lang w:eastAsia="zh-CN"/>
        </w:rPr>
        <w:t>纳税</w:t>
      </w:r>
      <w:r>
        <w:rPr>
          <w:rFonts w:hint="eastAsia" w:ascii="仿宋" w:hAnsi="仿宋" w:eastAsia="仿宋" w:cs="仿宋"/>
          <w:b/>
          <w:bCs/>
          <w:snapToGrid/>
          <w:sz w:val="28"/>
          <w:szCs w:val="28"/>
          <w:highlight w:val="none"/>
        </w:rPr>
        <w:t>辅助</w:t>
      </w:r>
      <w:r>
        <w:rPr>
          <w:rFonts w:hint="eastAsia" w:ascii="仿宋" w:hAnsi="仿宋" w:eastAsia="仿宋" w:cs="仿宋"/>
          <w:b/>
          <w:bCs/>
          <w:snapToGrid/>
          <w:sz w:val="28"/>
          <w:szCs w:val="28"/>
          <w:highlight w:val="none"/>
          <w:lang w:eastAsia="zh-CN"/>
        </w:rPr>
        <w:t>性</w:t>
      </w:r>
      <w:r>
        <w:rPr>
          <w:rFonts w:hint="eastAsia" w:ascii="仿宋" w:hAnsi="仿宋" w:eastAsia="仿宋" w:cs="仿宋"/>
          <w:b/>
          <w:bCs/>
          <w:snapToGrid/>
          <w:sz w:val="28"/>
          <w:szCs w:val="28"/>
          <w:highlight w:val="none"/>
        </w:rPr>
        <w:t>服务</w:t>
      </w:r>
    </w:p>
    <w:p w14:paraId="563FA3EC">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lang w:val="en-US" w:eastAsia="zh-CN"/>
        </w:rPr>
        <w:t>(</w:t>
      </w:r>
      <w:r>
        <w:rPr>
          <w:rFonts w:hint="eastAsia" w:ascii="仿宋" w:hAnsi="仿宋" w:eastAsia="仿宋" w:cs="仿宋"/>
          <w:snapToGrid/>
          <w:sz w:val="28"/>
          <w:szCs w:val="28"/>
          <w:highlight w:val="none"/>
        </w:rPr>
        <w:t>1</w:t>
      </w:r>
      <w:r>
        <w:rPr>
          <w:rFonts w:hint="eastAsia" w:ascii="仿宋" w:hAnsi="仿宋" w:eastAsia="仿宋" w:cs="仿宋"/>
          <w:snapToGrid/>
          <w:sz w:val="28"/>
          <w:szCs w:val="28"/>
          <w:highlight w:val="none"/>
          <w:lang w:val="en-US" w:eastAsia="zh-CN"/>
        </w:rPr>
        <w:t>)</w:t>
      </w:r>
      <w:r>
        <w:rPr>
          <w:rFonts w:hint="eastAsia" w:ascii="仿宋" w:hAnsi="仿宋" w:eastAsia="仿宋" w:cs="仿宋"/>
          <w:snapToGrid/>
          <w:sz w:val="28"/>
          <w:szCs w:val="28"/>
          <w:highlight w:val="none"/>
        </w:rPr>
        <w:t>人员配置要求:</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27"/>
        <w:gridCol w:w="1063"/>
        <w:gridCol w:w="5165"/>
      </w:tblGrid>
      <w:tr w14:paraId="54EB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7726B0CF">
            <w:pPr>
              <w:widowControl/>
              <w:numPr>
                <w:ilvl w:val="-1"/>
                <w:numId w:val="0"/>
              </w:numPr>
              <w:spacing w:line="440" w:lineRule="exact"/>
              <w:ind w:firstLine="0" w:firstLineChars="0"/>
              <w:jc w:val="left"/>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序号</w:t>
            </w:r>
          </w:p>
        </w:tc>
        <w:tc>
          <w:tcPr>
            <w:tcW w:w="2127" w:type="dxa"/>
          </w:tcPr>
          <w:p w14:paraId="7A423F42">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服务部门</w:t>
            </w:r>
          </w:p>
        </w:tc>
        <w:tc>
          <w:tcPr>
            <w:tcW w:w="1063" w:type="dxa"/>
          </w:tcPr>
          <w:p w14:paraId="4155B799">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人数</w:t>
            </w:r>
          </w:p>
        </w:tc>
        <w:tc>
          <w:tcPr>
            <w:tcW w:w="5165" w:type="dxa"/>
          </w:tcPr>
          <w:p w14:paraId="11D244E7">
            <w:pPr>
              <w:widowControl/>
              <w:numPr>
                <w:ilvl w:val="-1"/>
                <w:numId w:val="0"/>
              </w:numPr>
              <w:spacing w:line="440" w:lineRule="exact"/>
              <w:ind w:firstLine="560" w:firstLineChars="200"/>
              <w:jc w:val="left"/>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备注</w:t>
            </w:r>
          </w:p>
        </w:tc>
      </w:tr>
      <w:tr w14:paraId="4E61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5743FF96">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1</w:t>
            </w:r>
          </w:p>
        </w:tc>
        <w:tc>
          <w:tcPr>
            <w:tcW w:w="2127" w:type="dxa"/>
          </w:tcPr>
          <w:p w14:paraId="054E0C6E">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办税服务厅</w:t>
            </w:r>
          </w:p>
        </w:tc>
        <w:tc>
          <w:tcPr>
            <w:tcW w:w="1063" w:type="dxa"/>
          </w:tcPr>
          <w:p w14:paraId="001E05EE">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22</w:t>
            </w:r>
          </w:p>
        </w:tc>
        <w:tc>
          <w:tcPr>
            <w:tcW w:w="5165" w:type="dxa"/>
          </w:tcPr>
          <w:p w14:paraId="336A4260">
            <w:pPr>
              <w:widowControl/>
              <w:numPr>
                <w:ilvl w:val="-1"/>
                <w:numId w:val="0"/>
              </w:numPr>
              <w:spacing w:line="440" w:lineRule="exact"/>
              <w:ind w:firstLine="0" w:firstLineChars="0"/>
              <w:jc w:val="left"/>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含派驻区行政服务中心窗口5人</w:t>
            </w:r>
          </w:p>
        </w:tc>
      </w:tr>
      <w:tr w14:paraId="0AF8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1A7C7F7">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2</w:t>
            </w:r>
          </w:p>
        </w:tc>
        <w:tc>
          <w:tcPr>
            <w:tcW w:w="2127" w:type="dxa"/>
          </w:tcPr>
          <w:p w14:paraId="5D7AA66A">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纳税服务股</w:t>
            </w:r>
          </w:p>
        </w:tc>
        <w:tc>
          <w:tcPr>
            <w:tcW w:w="1063" w:type="dxa"/>
          </w:tcPr>
          <w:p w14:paraId="43F06F13">
            <w:pPr>
              <w:widowControl/>
              <w:numPr>
                <w:ilvl w:val="-1"/>
                <w:numId w:val="0"/>
              </w:numPr>
              <w:spacing w:line="440" w:lineRule="exact"/>
              <w:ind w:firstLine="0" w:firstLineChars="0"/>
              <w:jc w:val="center"/>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7</w:t>
            </w:r>
          </w:p>
        </w:tc>
        <w:tc>
          <w:tcPr>
            <w:tcW w:w="5165" w:type="dxa"/>
          </w:tcPr>
          <w:p w14:paraId="7D820A53">
            <w:pPr>
              <w:widowControl/>
              <w:numPr>
                <w:ilvl w:val="-1"/>
                <w:numId w:val="0"/>
              </w:numPr>
              <w:spacing w:line="440" w:lineRule="exact"/>
              <w:ind w:firstLine="0" w:firstLineChars="0"/>
              <w:jc w:val="left"/>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税悦工作室</w:t>
            </w:r>
          </w:p>
        </w:tc>
      </w:tr>
      <w:tr w14:paraId="76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4"/>
          </w:tcPr>
          <w:p w14:paraId="27F48CAA">
            <w:pPr>
              <w:widowControl/>
              <w:numPr>
                <w:ilvl w:val="-1"/>
                <w:numId w:val="0"/>
              </w:numPr>
              <w:spacing w:line="440" w:lineRule="exact"/>
              <w:ind w:firstLine="560" w:firstLineChars="200"/>
              <w:jc w:val="left"/>
              <w:rPr>
                <w:rFonts w:hint="eastAsia" w:ascii="仿宋" w:hAnsi="仿宋" w:eastAsia="仿宋" w:cs="仿宋"/>
                <w:b w:val="0"/>
                <w:bCs w:val="0"/>
                <w:kern w:val="2"/>
                <w:sz w:val="28"/>
                <w:szCs w:val="28"/>
                <w:highlight w:val="none"/>
                <w:vertAlign w:val="baseline"/>
                <w:lang w:val="en-US" w:eastAsia="zh-CN"/>
              </w:rPr>
            </w:pPr>
            <w:r>
              <w:rPr>
                <w:rFonts w:hint="eastAsia" w:ascii="仿宋" w:hAnsi="仿宋" w:eastAsia="仿宋" w:cs="仿宋"/>
                <w:b w:val="0"/>
                <w:bCs w:val="0"/>
                <w:kern w:val="2"/>
                <w:sz w:val="28"/>
                <w:szCs w:val="28"/>
                <w:highlight w:val="none"/>
                <w:vertAlign w:val="baseline"/>
                <w:lang w:val="en-US" w:eastAsia="zh-CN"/>
              </w:rPr>
              <w:t>注:采购人的服务预估需要29人，投标人投入本项目的人数必须满足采购人的服务要求，根据服务需求的实际情况安排适当的人数为采购人提供服务。如采购人服务需求内容发生变化，中标人应当根据采购人变更后的实际需求情况调整提供服务的人数。</w:t>
            </w:r>
          </w:p>
        </w:tc>
      </w:tr>
    </w:tbl>
    <w:p w14:paraId="613801B7">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（2）服务内容:</w:t>
      </w:r>
    </w:p>
    <w:p w14:paraId="0D7FCAD2">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①电话咨询座席服务：在征纳互动平台上与纳税人进行实时互动，并设立专门的电话咨询热线，接听纳税人咨询电话，提供涉税咨询服务，为其提供完整准确的解决方案，解答各类税费问题，满足纳税人远程办税需求。同时，及时收集问题、记录纳税人对税务服务的评价，收集纳税人的服务感受和意见建议。</w:t>
      </w:r>
    </w:p>
    <w:p w14:paraId="19C8AC65">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②导税服务：在办税服务厅帮助纳税人排队取号，引导纳税人到相关服务区域办理各类涉税事项，辅导纳税人正确填写涉税表单，为纳税人解答疑问并提供帮助；辅导纳税人使用电子税务局进行网上申报与税费缴纳，对重点人群实行“一对一”咨询辅导；辅导纳税人正确使用自助办税终端等设施，跟踪自助服务设备的日常维护。</w:t>
      </w:r>
    </w:p>
    <w:p w14:paraId="73B54BC0">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③窗口服务：在办公二区办税服务厅设置分类设立综合服务、发票管理等服务窗口，提供受理纳税人登记注销、税费申报、发票领购、代开发票等涉税事项申请，审核相关材料，办理涉税事项等服务，确保纳税人办事便捷。在区行政服务中心设立房产交易、车购税、税务-医社保等服务窗口，提供不动产转让涉税事项的办理服务，包括不动产转让交易价格评估、政策应用评估、纳税申报、代开发票等；提供车辆购置税的申报缴纳、证明开具、优惠政策及退税等业务的办理服务；受理缴费人医社保政策咨询、查询、缴费等服务。</w:t>
      </w:r>
    </w:p>
    <w:p w14:paraId="2D875AEA">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④资料整理服务：负责涉税资料的收集、整理、归档和保管。</w:t>
      </w:r>
    </w:p>
    <w:p w14:paraId="15FE24A2">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（3）服务人</w:t>
      </w:r>
      <w:r>
        <w:rPr>
          <w:rFonts w:hint="eastAsia" w:ascii="仿宋" w:hAnsi="仿宋" w:eastAsia="仿宋" w:cs="仿宋"/>
          <w:snapToGrid/>
          <w:sz w:val="28"/>
          <w:szCs w:val="28"/>
          <w:highlight w:val="none"/>
          <w:lang w:eastAsia="zh-CN"/>
        </w:rPr>
        <w:t>员应具备以下条件</w:t>
      </w:r>
      <w:r>
        <w:rPr>
          <w:rFonts w:hint="eastAsia" w:ascii="仿宋" w:hAnsi="仿宋" w:eastAsia="仿宋" w:cs="仿宋"/>
          <w:snapToGrid/>
          <w:sz w:val="28"/>
          <w:szCs w:val="28"/>
          <w:highlight w:val="none"/>
        </w:rPr>
        <w:t>:</w:t>
      </w:r>
    </w:p>
    <w:p w14:paraId="18F601AA">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①具有中华人民共和国国籍，拥护中华人民共和国宪法，拥护中国共产党领导和社会主义制度，自觉维护国家和单位利益，遵纪守法，自觉遵守和执行单位的规章制度、职工行为规范，无不良记录</w:t>
      </w:r>
      <w:r>
        <w:rPr>
          <w:rFonts w:hint="eastAsia" w:ascii="仿宋" w:hAnsi="仿宋" w:eastAsia="仿宋" w:cs="仿宋"/>
          <w:snapToGrid/>
          <w:sz w:val="28"/>
          <w:szCs w:val="28"/>
          <w:highlight w:val="none"/>
          <w:lang w:val="en-US" w:eastAsia="zh-CN"/>
        </w:rPr>
        <w:t>,服从领导,听从指挥，具备较强的服务意识、保密意识、心理承受能力和学习能力；爱岗敬业，工作踏实认真，能吃苦耐劳，具备良好的团队精神</w:t>
      </w:r>
      <w:r>
        <w:rPr>
          <w:rFonts w:hint="eastAsia" w:ascii="仿宋" w:hAnsi="仿宋" w:eastAsia="仿宋" w:cs="仿宋"/>
          <w:snapToGrid/>
          <w:sz w:val="28"/>
          <w:szCs w:val="28"/>
          <w:highlight w:val="none"/>
        </w:rPr>
        <w:t>；</w:t>
      </w:r>
    </w:p>
    <w:p w14:paraId="5E0F3ACE">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②学历:大专文凭或</w:t>
      </w:r>
      <w:r>
        <w:rPr>
          <w:rFonts w:hint="eastAsia" w:ascii="仿宋" w:hAnsi="仿宋" w:eastAsia="仿宋" w:cs="仿宋"/>
          <w:snapToGrid/>
          <w:sz w:val="28"/>
          <w:szCs w:val="28"/>
          <w:highlight w:val="none"/>
          <w:lang w:eastAsia="zh-CN"/>
        </w:rPr>
        <w:t>以</w:t>
      </w:r>
      <w:r>
        <w:rPr>
          <w:rFonts w:hint="eastAsia" w:ascii="仿宋" w:hAnsi="仿宋" w:eastAsia="仿宋" w:cs="仿宋"/>
          <w:snapToGrid/>
          <w:sz w:val="28"/>
          <w:szCs w:val="28"/>
          <w:highlight w:val="none"/>
        </w:rPr>
        <w:t>上，年龄20-45岁（</w:t>
      </w:r>
      <w:r>
        <w:rPr>
          <w:rFonts w:hint="eastAsia" w:ascii="仿宋" w:hAnsi="仿宋" w:eastAsia="仿宋" w:cs="仿宋"/>
          <w:snapToGrid/>
          <w:sz w:val="28"/>
          <w:szCs w:val="28"/>
          <w:highlight w:val="none"/>
          <w:lang w:eastAsia="zh-CN"/>
        </w:rPr>
        <w:t>从</w:t>
      </w:r>
      <w:r>
        <w:rPr>
          <w:rFonts w:hint="eastAsia" w:ascii="仿宋" w:hAnsi="仿宋" w:eastAsia="仿宋" w:cs="仿宋"/>
          <w:snapToGrid/>
          <w:sz w:val="28"/>
          <w:szCs w:val="28"/>
          <w:highlight w:val="none"/>
        </w:rPr>
        <w:t>现有编外人员中选聘业务熟练</w:t>
      </w:r>
      <w:r>
        <w:rPr>
          <w:rFonts w:hint="eastAsia" w:ascii="仿宋" w:hAnsi="仿宋" w:eastAsia="仿宋" w:cs="仿宋"/>
          <w:snapToGrid/>
          <w:sz w:val="28"/>
          <w:szCs w:val="28"/>
          <w:highlight w:val="none"/>
          <w:lang w:eastAsia="zh-CN"/>
        </w:rPr>
        <w:t>且</w:t>
      </w:r>
      <w:r>
        <w:rPr>
          <w:rFonts w:hint="eastAsia" w:ascii="仿宋" w:hAnsi="仿宋" w:eastAsia="仿宋" w:cs="仿宋"/>
          <w:snapToGrid/>
          <w:sz w:val="28"/>
          <w:szCs w:val="28"/>
          <w:highlight w:val="none"/>
        </w:rPr>
        <w:t>表现优秀者，</w:t>
      </w:r>
      <w:r>
        <w:rPr>
          <w:rFonts w:hint="eastAsia" w:ascii="仿宋" w:hAnsi="仿宋" w:eastAsia="仿宋" w:cs="仿宋"/>
          <w:snapToGrid/>
          <w:sz w:val="28"/>
          <w:szCs w:val="28"/>
          <w:highlight w:val="none"/>
          <w:lang w:eastAsia="zh-CN"/>
        </w:rPr>
        <w:t>不受学历和年龄限制</w:t>
      </w:r>
      <w:r>
        <w:rPr>
          <w:rFonts w:hint="eastAsia" w:ascii="仿宋" w:hAnsi="仿宋" w:eastAsia="仿宋" w:cs="仿宋"/>
          <w:snapToGrid/>
          <w:sz w:val="28"/>
          <w:szCs w:val="28"/>
          <w:highlight w:val="none"/>
        </w:rPr>
        <w:t>），性别不限，形象气质好</w:t>
      </w:r>
      <w:r>
        <w:rPr>
          <w:rFonts w:hint="eastAsia" w:ascii="仿宋" w:hAnsi="仿宋" w:eastAsia="仿宋" w:cs="仿宋"/>
          <w:snapToGrid/>
          <w:sz w:val="28"/>
          <w:szCs w:val="28"/>
          <w:highlight w:val="none"/>
          <w:lang w:eastAsia="zh-CN"/>
        </w:rPr>
        <w:t>。</w:t>
      </w:r>
    </w:p>
    <w:p w14:paraId="3C400CFE">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③身体健康，具备较强的服务意识和语言表达能力、良好的沟通能力、记忆能力、心理承受能力和学习能力，采购人适时组织面试；</w:t>
      </w:r>
    </w:p>
    <w:p w14:paraId="16E7ABC3">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④普通话流利，具有较强的交流沟通能力，熟悉电脑常规操作。熟悉相关税收政策及业务知识。</w:t>
      </w:r>
    </w:p>
    <w:p w14:paraId="32AA3F9B">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⑤有1年及以上的相关岗位工作经验。</w:t>
      </w:r>
    </w:p>
    <w:p w14:paraId="467FF7A0">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满足以上条件的人员必须在上岗前进行全员业务培训，并经</w:t>
      </w:r>
      <w:r>
        <w:rPr>
          <w:rFonts w:hint="eastAsia" w:ascii="仿宋" w:hAnsi="仿宋" w:eastAsia="仿宋" w:cs="仿宋"/>
          <w:snapToGrid/>
          <w:sz w:val="28"/>
          <w:szCs w:val="28"/>
          <w:highlight w:val="none"/>
          <w:lang w:eastAsia="zh-CN"/>
        </w:rPr>
        <w:t>采购人</w:t>
      </w:r>
      <w:r>
        <w:rPr>
          <w:rFonts w:hint="eastAsia" w:ascii="仿宋" w:hAnsi="仿宋" w:eastAsia="仿宋" w:cs="仿宋"/>
          <w:snapToGrid/>
          <w:sz w:val="28"/>
          <w:szCs w:val="28"/>
          <w:highlight w:val="none"/>
        </w:rPr>
        <w:t>组织考核，考试合格者方为符合条件。</w:t>
      </w:r>
    </w:p>
    <w:p w14:paraId="0BCA1E18">
      <w:pPr>
        <w:widowControl/>
        <w:spacing w:line="440" w:lineRule="exact"/>
        <w:ind w:firstLineChars="200"/>
        <w:rPr>
          <w:rFonts w:hint="eastAsia" w:ascii="仿宋" w:hAnsi="仿宋" w:eastAsia="仿宋" w:cs="仿宋"/>
          <w:b/>
          <w:bCs/>
          <w:snapToGrid/>
          <w:sz w:val="28"/>
          <w:szCs w:val="28"/>
          <w:highlight w:val="none"/>
        </w:rPr>
      </w:pPr>
      <w:r>
        <w:rPr>
          <w:rFonts w:hint="eastAsia" w:ascii="仿宋" w:hAnsi="仿宋" w:eastAsia="仿宋" w:cs="仿宋"/>
          <w:b/>
          <w:bCs/>
          <w:snapToGrid/>
          <w:sz w:val="28"/>
          <w:szCs w:val="28"/>
          <w:highlight w:val="none"/>
        </w:rPr>
        <w:t>2.2机动车驾驶服务</w:t>
      </w:r>
    </w:p>
    <w:p w14:paraId="72B9468E">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（1）服务内容:负责局机关车辆驾驶，保障公务用车。确保行车安全，维护保养车辆。文明驾驶，优质服务。</w:t>
      </w:r>
    </w:p>
    <w:p w14:paraId="0886DFF3">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（2）服务人员</w:t>
      </w:r>
      <w:r>
        <w:rPr>
          <w:rFonts w:hint="eastAsia" w:ascii="仿宋" w:hAnsi="仿宋" w:eastAsia="仿宋" w:cs="仿宋"/>
          <w:snapToGrid/>
          <w:sz w:val="28"/>
          <w:szCs w:val="28"/>
          <w:highlight w:val="none"/>
          <w:lang w:eastAsia="zh-CN"/>
        </w:rPr>
        <w:t>应具备以下条件</w:t>
      </w:r>
      <w:r>
        <w:rPr>
          <w:rFonts w:hint="eastAsia" w:ascii="仿宋" w:hAnsi="仿宋" w:eastAsia="仿宋" w:cs="仿宋"/>
          <w:snapToGrid/>
          <w:sz w:val="28"/>
          <w:szCs w:val="28"/>
          <w:highlight w:val="none"/>
        </w:rPr>
        <w:t>:</w:t>
      </w:r>
    </w:p>
    <w:p w14:paraId="3F49E2E4">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①具有中华人民共和国国籍，拥护中华人民共和国宪法，拥护中国共产党领导和社会主义制度，自觉维护国家和单位利益，遵纪守法，自觉遵守和执行单位的规章制度、职工行为规范，无不良记录</w:t>
      </w:r>
      <w:r>
        <w:rPr>
          <w:rFonts w:hint="eastAsia" w:ascii="仿宋" w:hAnsi="仿宋" w:eastAsia="仿宋" w:cs="仿宋"/>
          <w:snapToGrid/>
          <w:sz w:val="28"/>
          <w:szCs w:val="28"/>
          <w:highlight w:val="none"/>
          <w:lang w:val="en-US" w:eastAsia="zh-CN"/>
        </w:rPr>
        <w:t>,服从领导,听从指挥，具备较强的服务意识、保密意识、心理承受能力和学习能力；爱岗敬业，工作踏实认真，能吃苦耐劳，具备良好的团队精神</w:t>
      </w:r>
      <w:r>
        <w:rPr>
          <w:rFonts w:hint="eastAsia" w:ascii="仿宋" w:hAnsi="仿宋" w:eastAsia="仿宋" w:cs="仿宋"/>
          <w:snapToGrid/>
          <w:sz w:val="28"/>
          <w:szCs w:val="28"/>
          <w:highlight w:val="none"/>
        </w:rPr>
        <w:t>；</w:t>
      </w:r>
    </w:p>
    <w:p w14:paraId="1E3A068E">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②年龄原则上不超过45周岁（从现有编外人员中选聘表现优秀者，不受年龄限制）；</w:t>
      </w:r>
    </w:p>
    <w:p w14:paraId="781087AF">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③执有C1或以上级别驾照</w:t>
      </w:r>
      <w:r>
        <w:rPr>
          <w:rFonts w:hint="eastAsia" w:ascii="仿宋" w:hAnsi="仿宋" w:eastAsia="仿宋" w:cs="仿宋"/>
          <w:snapToGrid/>
          <w:sz w:val="28"/>
          <w:szCs w:val="28"/>
          <w:highlight w:val="none"/>
          <w:lang w:eastAsia="zh-CN"/>
        </w:rPr>
        <w:t>、行驶证</w:t>
      </w:r>
      <w:r>
        <w:rPr>
          <w:rFonts w:hint="eastAsia" w:ascii="仿宋" w:hAnsi="仿宋" w:eastAsia="仿宋" w:cs="仿宋"/>
          <w:snapToGrid/>
          <w:sz w:val="28"/>
          <w:szCs w:val="28"/>
          <w:highlight w:val="none"/>
        </w:rPr>
        <w:t>，3年（含）以上驾驶</w:t>
      </w:r>
      <w:r>
        <w:rPr>
          <w:rFonts w:hint="eastAsia" w:ascii="仿宋" w:hAnsi="仿宋" w:eastAsia="仿宋" w:cs="仿宋"/>
          <w:snapToGrid/>
          <w:sz w:val="28"/>
          <w:szCs w:val="28"/>
          <w:highlight w:val="none"/>
          <w:lang w:eastAsia="zh-CN"/>
        </w:rPr>
        <w:t>经验</w:t>
      </w:r>
      <w:r>
        <w:rPr>
          <w:rFonts w:hint="eastAsia" w:ascii="仿宋" w:hAnsi="仿宋" w:eastAsia="仿宋" w:cs="仿宋"/>
          <w:snapToGrid/>
          <w:sz w:val="28"/>
          <w:szCs w:val="28"/>
          <w:highlight w:val="none"/>
        </w:rPr>
        <w:t>,熟悉本地路况，具有良好的驾驶技术及较强的安全意识，熟知驾驶和车辆相关的知识和法律；</w:t>
      </w:r>
    </w:p>
    <w:p w14:paraId="0D760EB8">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④具备基本车辆故障判断能力</w:t>
      </w:r>
      <w:r>
        <w:rPr>
          <w:rFonts w:hint="eastAsia" w:ascii="仿宋" w:hAnsi="仿宋" w:eastAsia="仿宋" w:cs="仿宋"/>
          <w:snapToGrid/>
          <w:sz w:val="28"/>
          <w:szCs w:val="28"/>
          <w:highlight w:val="none"/>
          <w:lang w:eastAsia="zh-CN"/>
        </w:rPr>
        <w:t>，</w:t>
      </w:r>
      <w:r>
        <w:rPr>
          <w:rFonts w:hint="eastAsia" w:ascii="仿宋" w:hAnsi="仿宋" w:eastAsia="仿宋" w:cs="仿宋"/>
          <w:snapToGrid/>
          <w:sz w:val="28"/>
          <w:szCs w:val="28"/>
          <w:highlight w:val="none"/>
        </w:rPr>
        <w:t>掌握一定的车辆机械故障处理技能，有能力在紧急情况下排除简单故障，确保车</w:t>
      </w:r>
      <w:r>
        <w:rPr>
          <w:rFonts w:hint="eastAsia" w:ascii="仿宋" w:hAnsi="仿宋" w:eastAsia="仿宋" w:cs="仿宋"/>
          <w:snapToGrid/>
          <w:sz w:val="28"/>
          <w:szCs w:val="28"/>
          <w:highlight w:val="none"/>
          <w:lang w:eastAsia="zh-CN"/>
        </w:rPr>
        <w:t>辆</w:t>
      </w:r>
      <w:r>
        <w:rPr>
          <w:rFonts w:hint="eastAsia" w:ascii="仿宋" w:hAnsi="仿宋" w:eastAsia="仿宋" w:cs="仿宋"/>
          <w:snapToGrid/>
          <w:sz w:val="28"/>
          <w:szCs w:val="28"/>
          <w:highlight w:val="none"/>
        </w:rPr>
        <w:t>正常运行；</w:t>
      </w:r>
    </w:p>
    <w:p w14:paraId="2FD269B6">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⑤熟悉车辆的性能，定期对车辆进行保养，保证车辆良好状态，保持车辆清洁卫生。</w:t>
      </w:r>
    </w:p>
    <w:p w14:paraId="0B95F15E">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⑥熟知办理年检、保险等程序的办理流程；</w:t>
      </w:r>
    </w:p>
    <w:p w14:paraId="5FB30E4A">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⑦无车辆驾驶安全责任事故；</w:t>
      </w:r>
    </w:p>
    <w:p w14:paraId="64F05F01">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⑧身体健康，品行良好，思想端正，具有较好的语言表达能力、沟通能力和思维反应能力。</w:t>
      </w:r>
    </w:p>
    <w:p w14:paraId="7CF8C11D">
      <w:pPr>
        <w:widowControl/>
        <w:spacing w:line="440" w:lineRule="exact"/>
        <w:ind w:firstLineChars="200"/>
        <w:rPr>
          <w:rFonts w:hint="eastAsia" w:ascii="仿宋" w:hAnsi="仿宋" w:eastAsia="仿宋" w:cs="仿宋"/>
          <w:b/>
          <w:bCs/>
          <w:snapToGrid/>
          <w:sz w:val="28"/>
          <w:szCs w:val="28"/>
          <w:highlight w:val="none"/>
        </w:rPr>
      </w:pPr>
      <w:r>
        <w:rPr>
          <w:rFonts w:hint="eastAsia" w:ascii="仿宋" w:hAnsi="仿宋" w:eastAsia="仿宋" w:cs="仿宋"/>
          <w:b/>
          <w:bCs/>
          <w:snapToGrid/>
          <w:sz w:val="28"/>
          <w:szCs w:val="28"/>
          <w:highlight w:val="none"/>
        </w:rPr>
        <w:t>2.3文印文员服务</w:t>
      </w:r>
    </w:p>
    <w:p w14:paraId="72351628">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(1</w:t>
      </w:r>
      <w:r>
        <w:rPr>
          <w:rFonts w:hint="eastAsia" w:ascii="仿宋" w:hAnsi="仿宋" w:eastAsia="仿宋" w:cs="仿宋"/>
          <w:snapToGrid/>
          <w:sz w:val="28"/>
          <w:szCs w:val="28"/>
          <w:highlight w:val="none"/>
          <w:lang w:eastAsia="zh-CN"/>
        </w:rPr>
        <w:t>)</w:t>
      </w:r>
      <w:r>
        <w:rPr>
          <w:rFonts w:hint="eastAsia" w:ascii="仿宋" w:hAnsi="仿宋" w:eastAsia="仿宋" w:cs="仿宋"/>
          <w:snapToGrid/>
          <w:sz w:val="28"/>
          <w:szCs w:val="28"/>
          <w:highlight w:val="none"/>
        </w:rPr>
        <w:t>服务内容:</w:t>
      </w:r>
    </w:p>
    <w:p w14:paraId="75655FB9">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①负责文件收发、登记、跟踪工作；完成领导安排的其他工作。</w:t>
      </w:r>
    </w:p>
    <w:p w14:paraId="102EBEE7">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②负责区局材料的排版、印刷、装订工作；</w:t>
      </w:r>
    </w:p>
    <w:p w14:paraId="32BC8DD6">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③负责区局会议座次表的制作、安排、校对以及对接物业工作；</w:t>
      </w:r>
    </w:p>
    <w:p w14:paraId="409DD69C">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④负责各类耗材以及消耗品的报备、领取、使用安排工作；</w:t>
      </w:r>
    </w:p>
    <w:p w14:paraId="217A22EA">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⑤快递收发、登记、跟踪到件情况工作(包括但不限于顺丰、EMS)。</w:t>
      </w:r>
    </w:p>
    <w:p w14:paraId="34FD19AA">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⑥完成领导安排的其他工作。</w:t>
      </w:r>
    </w:p>
    <w:p w14:paraId="217D9B56">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（2）服务人员</w:t>
      </w:r>
      <w:r>
        <w:rPr>
          <w:rFonts w:hint="eastAsia" w:ascii="仿宋" w:hAnsi="仿宋" w:eastAsia="仿宋" w:cs="仿宋"/>
          <w:snapToGrid/>
          <w:sz w:val="28"/>
          <w:szCs w:val="28"/>
          <w:highlight w:val="none"/>
          <w:lang w:eastAsia="zh-CN"/>
        </w:rPr>
        <w:t>应具备以下条件</w:t>
      </w:r>
      <w:r>
        <w:rPr>
          <w:rFonts w:hint="eastAsia" w:ascii="仿宋" w:hAnsi="仿宋" w:eastAsia="仿宋" w:cs="仿宋"/>
          <w:snapToGrid/>
          <w:sz w:val="28"/>
          <w:szCs w:val="28"/>
          <w:highlight w:val="none"/>
        </w:rPr>
        <w:t>:</w:t>
      </w:r>
    </w:p>
    <w:p w14:paraId="1F128CF3">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①具有中华人民共和国国籍，拥护中华人民共和国宪法，拥护中国共产党领导和社会主义制度，自觉维护国家和单位利益，遵纪守法，自觉遵守和执行单位的规章制度、职工行为规范，无不良记录</w:t>
      </w:r>
      <w:r>
        <w:rPr>
          <w:rFonts w:hint="eastAsia" w:ascii="仿宋" w:hAnsi="仿宋" w:eastAsia="仿宋" w:cs="仿宋"/>
          <w:snapToGrid/>
          <w:sz w:val="28"/>
          <w:szCs w:val="28"/>
          <w:highlight w:val="none"/>
          <w:lang w:val="en-US" w:eastAsia="zh-CN"/>
        </w:rPr>
        <w:t>,服从领导,听从指挥，具备较强的服务意识、保密意识、心理承受能力和学习能力；爱岗敬业，工作踏实认真，能吃苦耐劳，具备良好的团队精神</w:t>
      </w:r>
      <w:r>
        <w:rPr>
          <w:rFonts w:hint="eastAsia" w:ascii="仿宋" w:hAnsi="仿宋" w:eastAsia="仿宋" w:cs="仿宋"/>
          <w:snapToGrid/>
          <w:sz w:val="28"/>
          <w:szCs w:val="28"/>
          <w:highlight w:val="none"/>
        </w:rPr>
        <w:t>；</w:t>
      </w:r>
    </w:p>
    <w:p w14:paraId="08CE9CB0">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②</w:t>
      </w:r>
      <w:r>
        <w:rPr>
          <w:rFonts w:hint="eastAsia" w:ascii="仿宋" w:hAnsi="仿宋" w:eastAsia="仿宋" w:cs="仿宋"/>
          <w:snapToGrid/>
          <w:sz w:val="28"/>
          <w:szCs w:val="28"/>
          <w:highlight w:val="none"/>
          <w:lang w:eastAsia="zh-CN"/>
        </w:rPr>
        <w:t>大</w:t>
      </w:r>
      <w:r>
        <w:rPr>
          <w:rFonts w:hint="eastAsia" w:ascii="仿宋" w:hAnsi="仿宋" w:eastAsia="仿宋" w:cs="仿宋"/>
          <w:snapToGrid/>
          <w:sz w:val="28"/>
          <w:szCs w:val="28"/>
          <w:highlight w:val="none"/>
        </w:rPr>
        <w:t>专或</w:t>
      </w:r>
      <w:r>
        <w:rPr>
          <w:rFonts w:hint="eastAsia" w:ascii="仿宋" w:hAnsi="仿宋" w:eastAsia="仿宋" w:cs="仿宋"/>
          <w:snapToGrid/>
          <w:sz w:val="28"/>
          <w:szCs w:val="28"/>
          <w:highlight w:val="none"/>
          <w:lang w:eastAsia="zh-CN"/>
        </w:rPr>
        <w:t>以</w:t>
      </w:r>
      <w:r>
        <w:rPr>
          <w:rFonts w:hint="eastAsia" w:ascii="仿宋" w:hAnsi="仿宋" w:eastAsia="仿宋" w:cs="仿宋"/>
          <w:snapToGrid/>
          <w:sz w:val="28"/>
          <w:szCs w:val="28"/>
          <w:highlight w:val="none"/>
        </w:rPr>
        <w:t>上文凭，不限专业、性别，年龄20-45岁（从现有编外人员中选聘业务熟练</w:t>
      </w:r>
      <w:r>
        <w:rPr>
          <w:rFonts w:hint="eastAsia" w:ascii="仿宋" w:hAnsi="仿宋" w:eastAsia="仿宋" w:cs="仿宋"/>
          <w:snapToGrid/>
          <w:sz w:val="28"/>
          <w:szCs w:val="28"/>
          <w:highlight w:val="none"/>
          <w:lang w:eastAsia="zh-CN"/>
        </w:rPr>
        <w:t>且</w:t>
      </w:r>
      <w:r>
        <w:rPr>
          <w:rFonts w:hint="eastAsia" w:ascii="仿宋" w:hAnsi="仿宋" w:eastAsia="仿宋" w:cs="仿宋"/>
          <w:snapToGrid/>
          <w:sz w:val="28"/>
          <w:szCs w:val="28"/>
          <w:highlight w:val="none"/>
        </w:rPr>
        <w:t>表现优秀者，不受学历和年龄限制</w:t>
      </w:r>
      <w:r>
        <w:rPr>
          <w:rFonts w:hint="eastAsia" w:ascii="仿宋" w:hAnsi="仿宋" w:eastAsia="仿宋" w:cs="仿宋"/>
          <w:snapToGrid/>
          <w:sz w:val="28"/>
          <w:szCs w:val="28"/>
          <w:highlight w:val="none"/>
          <w:lang w:eastAsia="zh-CN"/>
        </w:rPr>
        <w:t>)</w:t>
      </w:r>
      <w:r>
        <w:rPr>
          <w:rFonts w:hint="eastAsia" w:ascii="仿宋" w:hAnsi="仿宋" w:eastAsia="仿宋" w:cs="仿宋"/>
          <w:snapToGrid/>
          <w:sz w:val="28"/>
          <w:szCs w:val="28"/>
          <w:highlight w:val="none"/>
        </w:rPr>
        <w:t>，形象气质好。</w:t>
      </w:r>
    </w:p>
    <w:p w14:paraId="6A506EC0">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③普通话流利，具有较强的交流沟通能力，熟悉电脑常规操作。</w:t>
      </w:r>
    </w:p>
    <w:p w14:paraId="537CF058">
      <w:pPr>
        <w:widowControl/>
        <w:spacing w:line="440" w:lineRule="exact"/>
        <w:ind w:firstLineChars="200"/>
        <w:rPr>
          <w:rFonts w:hint="eastAsia" w:ascii="仿宋" w:hAnsi="仿宋" w:eastAsia="仿宋" w:cs="仿宋"/>
          <w:snapToGrid/>
          <w:sz w:val="28"/>
          <w:szCs w:val="28"/>
          <w:highlight w:val="none"/>
        </w:rPr>
      </w:pPr>
      <w:r>
        <w:rPr>
          <w:rFonts w:hint="eastAsia" w:ascii="仿宋" w:hAnsi="仿宋" w:eastAsia="仿宋" w:cs="仿宋"/>
          <w:snapToGrid/>
          <w:sz w:val="28"/>
          <w:szCs w:val="28"/>
          <w:highlight w:val="none"/>
        </w:rPr>
        <w:t>④有1年及以上的相关岗位工作经验。</w:t>
      </w:r>
    </w:p>
    <w:p w14:paraId="7F229C48">
      <w:pPr>
        <w:numPr>
          <w:ilvl w:val="-1"/>
          <w:numId w:val="0"/>
        </w:numPr>
        <w:spacing w:line="440" w:lineRule="exact"/>
        <w:ind w:leftChars="200" w:firstLine="0" w:firstLineChars="0"/>
        <w:outlineLvl w:val="1"/>
        <w:rPr>
          <w:rFonts w:hint="eastAsia" w:ascii="仿宋" w:hAnsi="仿宋" w:eastAsia="仿宋" w:cs="仿宋"/>
          <w:b/>
          <w:bCs/>
          <w:kern w:val="2"/>
          <w:sz w:val="28"/>
          <w:szCs w:val="28"/>
          <w:highlight w:val="none"/>
        </w:rPr>
      </w:pPr>
      <w:r>
        <w:rPr>
          <w:rFonts w:hint="eastAsia" w:ascii="仿宋" w:hAnsi="仿宋" w:eastAsia="仿宋" w:cs="仿宋"/>
          <w:b/>
          <w:bCs/>
          <w:lang w:val="en-US" w:eastAsia="zh-CN"/>
        </w:rPr>
        <w:t>3.</w:t>
      </w:r>
      <w:r>
        <w:rPr>
          <w:rFonts w:hint="eastAsia" w:ascii="仿宋" w:hAnsi="仿宋" w:eastAsia="仿宋" w:cs="仿宋"/>
          <w:b/>
          <w:bCs/>
          <w:kern w:val="2"/>
          <w:sz w:val="28"/>
          <w:szCs w:val="28"/>
          <w:highlight w:val="none"/>
        </w:rPr>
        <w:t>人员储备</w:t>
      </w:r>
    </w:p>
    <w:p w14:paraId="1C9997BA">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中标人应制定人员储备计划，按本项目要求，针对本项目服务外包人员需求的波动等情况，制定人员管理规范，保障有充分的人员补充渠道，确保人员出勤率，满足项目用人需求。</w:t>
      </w:r>
    </w:p>
    <w:p w14:paraId="3CF91E3C">
      <w:pPr>
        <w:numPr>
          <w:ilvl w:val="-1"/>
          <w:numId w:val="0"/>
        </w:numPr>
        <w:spacing w:line="440" w:lineRule="exact"/>
        <w:ind w:leftChars="200" w:firstLine="0" w:firstLineChars="0"/>
        <w:outlineLvl w:val="1"/>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rPr>
        <w:t>4.</w:t>
      </w:r>
      <w:r>
        <w:rPr>
          <w:rFonts w:hint="eastAsia" w:ascii="仿宋" w:hAnsi="仿宋" w:eastAsia="仿宋" w:cs="仿宋"/>
          <w:b/>
          <w:bCs/>
          <w:kern w:val="2"/>
          <w:sz w:val="28"/>
          <w:szCs w:val="28"/>
          <w:highlight w:val="none"/>
        </w:rPr>
        <w:t>人员到位</w:t>
      </w:r>
    </w:p>
    <w:p w14:paraId="071DC032">
      <w:pPr>
        <w:spacing w:line="440" w:lineRule="exact"/>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1</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服务外包人员的招录，经采购人确认符合条件后，中标人应在签订合同后5日内完成</w:t>
      </w:r>
      <w:r>
        <w:rPr>
          <w:rFonts w:hint="eastAsia" w:ascii="仿宋" w:hAnsi="仿宋" w:eastAsia="仿宋" w:cs="仿宋"/>
          <w:kern w:val="2"/>
          <w:sz w:val="28"/>
          <w:szCs w:val="28"/>
          <w:highlight w:val="none"/>
          <w:lang w:eastAsia="zh-CN"/>
        </w:rPr>
        <w:t>。</w:t>
      </w:r>
    </w:p>
    <w:p w14:paraId="57738308">
      <w:pPr>
        <w:spacing w:line="440" w:lineRule="exact"/>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2</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服务外包人员变动或因</w:t>
      </w:r>
      <w:r>
        <w:rPr>
          <w:rFonts w:hint="eastAsia" w:ascii="仿宋" w:hAnsi="仿宋" w:eastAsia="仿宋" w:cs="仿宋"/>
          <w:color w:val="auto"/>
          <w:kern w:val="2"/>
          <w:sz w:val="28"/>
          <w:szCs w:val="28"/>
          <w:highlight w:val="none"/>
          <w:shd w:val="clear" w:color="auto" w:fill="auto"/>
          <w:lang w:eastAsia="zh-CN"/>
        </w:rPr>
        <w:t>请长假</w:t>
      </w:r>
      <w:r>
        <w:rPr>
          <w:rFonts w:hint="eastAsia" w:ascii="仿宋" w:hAnsi="仿宋" w:eastAsia="仿宋" w:cs="仿宋"/>
          <w:kern w:val="2"/>
          <w:sz w:val="28"/>
          <w:szCs w:val="28"/>
          <w:highlight w:val="none"/>
        </w:rPr>
        <w:t>需要补充人员的，中标人应在接到采购人通知的5日内完成</w:t>
      </w:r>
      <w:r>
        <w:rPr>
          <w:rFonts w:hint="eastAsia" w:ascii="仿宋" w:hAnsi="仿宋" w:eastAsia="仿宋" w:cs="仿宋"/>
          <w:kern w:val="2"/>
          <w:sz w:val="28"/>
          <w:szCs w:val="28"/>
          <w:highlight w:val="none"/>
          <w:lang w:eastAsia="zh-CN"/>
        </w:rPr>
        <w:t>。</w:t>
      </w:r>
    </w:p>
    <w:p w14:paraId="51166B54">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3</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投标人</w:t>
      </w:r>
      <w:r>
        <w:rPr>
          <w:rFonts w:hint="eastAsia" w:ascii="仿宋" w:hAnsi="仿宋" w:eastAsia="仿宋" w:cs="仿宋"/>
          <w:kern w:val="2"/>
          <w:sz w:val="28"/>
          <w:szCs w:val="28"/>
          <w:highlight w:val="none"/>
          <w:lang w:eastAsia="zh-CN"/>
        </w:rPr>
        <w:t>在合同签订后</w:t>
      </w:r>
      <w:r>
        <w:rPr>
          <w:rFonts w:hint="eastAsia" w:ascii="仿宋" w:hAnsi="仿宋" w:eastAsia="仿宋" w:cs="仿宋"/>
          <w:kern w:val="2"/>
          <w:sz w:val="28"/>
          <w:szCs w:val="28"/>
          <w:highlight w:val="none"/>
          <w:lang w:val="en-US" w:eastAsia="zh-CN"/>
        </w:rPr>
        <w:t>10日内</w:t>
      </w:r>
      <w:r>
        <w:rPr>
          <w:rFonts w:hint="eastAsia" w:ascii="仿宋" w:hAnsi="仿宋" w:eastAsia="仿宋" w:cs="仿宋"/>
          <w:kern w:val="2"/>
          <w:sz w:val="28"/>
          <w:szCs w:val="28"/>
          <w:highlight w:val="none"/>
        </w:rPr>
        <w:t>，应向采购人提供配置于本项目所有服务外包人员的户籍所在地派出出具的无犯罪记录证明或提供承诺函，以及所有服务外包人员名单及健康证、有效的身份证件，未提供的采购人将取消其中标资格。</w:t>
      </w:r>
    </w:p>
    <w:p w14:paraId="24A7080B">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4</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中标人要做好采购人原后勤服务外包人员服务外包合同衔接期的平稳过渡工作，保证采购人后勤保障工作平稳、正常、有序运转。</w:t>
      </w:r>
    </w:p>
    <w:p w14:paraId="619F80D5">
      <w:pPr>
        <w:numPr>
          <w:ilvl w:val="-1"/>
          <w:numId w:val="0"/>
        </w:numPr>
        <w:spacing w:line="440" w:lineRule="exact"/>
        <w:ind w:leftChars="200" w:firstLine="0" w:firstLineChars="0"/>
        <w:outlineLvl w:val="1"/>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rPr>
        <w:t>5.</w:t>
      </w:r>
      <w:r>
        <w:rPr>
          <w:rFonts w:hint="eastAsia" w:ascii="仿宋" w:hAnsi="仿宋" w:eastAsia="仿宋" w:cs="仿宋"/>
          <w:b/>
          <w:bCs/>
          <w:kern w:val="2"/>
          <w:sz w:val="28"/>
          <w:szCs w:val="28"/>
          <w:highlight w:val="none"/>
        </w:rPr>
        <w:t>人员管理</w:t>
      </w:r>
    </w:p>
    <w:p w14:paraId="62147A58">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1</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中标人应按规定签订劳动合同，并及时支付服务外包人员的</w:t>
      </w:r>
      <w:r>
        <w:rPr>
          <w:rFonts w:hint="eastAsia" w:ascii="仿宋" w:hAnsi="仿宋" w:eastAsia="仿宋" w:cs="仿宋"/>
          <w:kern w:val="2"/>
          <w:sz w:val="28"/>
          <w:szCs w:val="28"/>
          <w:highlight w:val="none"/>
          <w:lang w:eastAsia="zh-CN"/>
        </w:rPr>
        <w:t>人员薪酬</w:t>
      </w:r>
      <w:r>
        <w:rPr>
          <w:rFonts w:hint="eastAsia" w:ascii="仿宋" w:hAnsi="仿宋" w:eastAsia="仿宋" w:cs="仿宋"/>
          <w:kern w:val="2"/>
          <w:sz w:val="28"/>
          <w:szCs w:val="28"/>
          <w:highlight w:val="none"/>
        </w:rPr>
        <w:t>等，服务外包人员</w:t>
      </w:r>
      <w:r>
        <w:rPr>
          <w:rFonts w:hint="eastAsia" w:ascii="仿宋" w:hAnsi="仿宋" w:eastAsia="仿宋" w:cs="仿宋"/>
          <w:kern w:val="2"/>
          <w:sz w:val="28"/>
          <w:szCs w:val="28"/>
          <w:highlight w:val="none"/>
          <w:lang w:eastAsia="zh-CN"/>
        </w:rPr>
        <w:t>的人员薪酬</w:t>
      </w:r>
      <w:r>
        <w:rPr>
          <w:rFonts w:hint="eastAsia" w:ascii="仿宋" w:hAnsi="仿宋" w:eastAsia="仿宋" w:cs="仿宋"/>
          <w:kern w:val="2"/>
          <w:sz w:val="28"/>
          <w:szCs w:val="28"/>
          <w:highlight w:val="none"/>
        </w:rPr>
        <w:t>水平应符合相关法律法规规定，不低于同行业</w:t>
      </w:r>
      <w:r>
        <w:rPr>
          <w:rFonts w:hint="eastAsia" w:ascii="仿宋" w:hAnsi="仿宋" w:eastAsia="仿宋" w:cs="仿宋"/>
          <w:kern w:val="2"/>
          <w:sz w:val="28"/>
          <w:szCs w:val="28"/>
          <w:highlight w:val="none"/>
          <w:lang w:eastAsia="zh-CN"/>
        </w:rPr>
        <w:t>平均薪酬</w:t>
      </w:r>
      <w:r>
        <w:rPr>
          <w:rFonts w:hint="eastAsia" w:ascii="仿宋" w:hAnsi="仿宋" w:eastAsia="仿宋" w:cs="仿宋"/>
          <w:kern w:val="2"/>
          <w:sz w:val="28"/>
          <w:szCs w:val="28"/>
          <w:highlight w:val="none"/>
        </w:rPr>
        <w:t>水平。中标人与服务外包人员签订的劳动合同应提供复印件给采购方备存，采购人有权掌握和督促落实中标人支付服务外包人员的</w:t>
      </w:r>
      <w:r>
        <w:rPr>
          <w:rFonts w:hint="eastAsia" w:ascii="仿宋" w:hAnsi="仿宋" w:eastAsia="仿宋" w:cs="仿宋"/>
          <w:kern w:val="2"/>
          <w:sz w:val="28"/>
          <w:szCs w:val="28"/>
          <w:highlight w:val="none"/>
          <w:lang w:eastAsia="zh-CN"/>
        </w:rPr>
        <w:t>人员薪酬</w:t>
      </w:r>
      <w:r>
        <w:rPr>
          <w:rFonts w:hint="eastAsia" w:ascii="仿宋" w:hAnsi="仿宋" w:eastAsia="仿宋" w:cs="仿宋"/>
          <w:kern w:val="2"/>
          <w:sz w:val="28"/>
          <w:szCs w:val="28"/>
          <w:highlight w:val="none"/>
        </w:rPr>
        <w:t>和教育培训费用支出等情况。</w:t>
      </w:r>
    </w:p>
    <w:p w14:paraId="78186CBF">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2</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采购人对以下情形，有权提出撤换服务外包人员的要求，中标人应按采购人要求进行撤换，并在采购人指定时间内完成（一般为5日内）：</w:t>
      </w:r>
    </w:p>
    <w:p w14:paraId="6A937033">
      <w:pPr>
        <w:spacing w:line="440" w:lineRule="exact"/>
        <w:ind w:firstLine="560" w:firstLineChars="200"/>
        <w:rPr>
          <w:rFonts w:hint="eastAsia" w:ascii="仿宋" w:hAnsi="仿宋" w:eastAsia="仿宋" w:cs="仿宋"/>
          <w:kern w:val="2"/>
          <w:sz w:val="28"/>
          <w:szCs w:val="28"/>
          <w:highlight w:val="red"/>
          <w:lang w:eastAsia="zh-CN"/>
        </w:rPr>
      </w:pPr>
      <w:r>
        <w:rPr>
          <w:rFonts w:hint="eastAsia" w:ascii="仿宋" w:hAnsi="仿宋" w:eastAsia="仿宋" w:cs="仿宋"/>
          <w:kern w:val="2"/>
          <w:sz w:val="28"/>
          <w:szCs w:val="28"/>
          <w:highlight w:val="none"/>
          <w:lang w:eastAsia="zh-CN"/>
        </w:rPr>
        <w:t>①</w:t>
      </w:r>
      <w:r>
        <w:rPr>
          <w:rFonts w:hint="eastAsia" w:ascii="仿宋" w:hAnsi="仿宋" w:eastAsia="仿宋" w:cs="仿宋"/>
          <w:kern w:val="2"/>
          <w:sz w:val="28"/>
          <w:szCs w:val="28"/>
          <w:highlight w:val="none"/>
        </w:rPr>
        <w:t>连续两次月度考核均为不合格的；</w:t>
      </w:r>
      <w:r>
        <w:rPr>
          <w:rFonts w:hint="eastAsia" w:ascii="仿宋" w:hAnsi="仿宋" w:eastAsia="仿宋" w:cs="仿宋"/>
          <w:kern w:val="2"/>
          <w:sz w:val="28"/>
          <w:szCs w:val="28"/>
          <w:highlight w:val="none"/>
          <w:lang w:eastAsia="zh-CN"/>
        </w:rPr>
        <w:t>月度考核由服务需求部门组织。</w:t>
      </w:r>
    </w:p>
    <w:p w14:paraId="2D66E31B">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eastAsia="zh-CN"/>
        </w:rPr>
        <w:t>②</w:t>
      </w:r>
      <w:r>
        <w:rPr>
          <w:rFonts w:hint="eastAsia" w:ascii="仿宋" w:hAnsi="仿宋" w:eastAsia="仿宋" w:cs="仿宋"/>
          <w:kern w:val="2"/>
          <w:sz w:val="28"/>
          <w:szCs w:val="28"/>
          <w:highlight w:val="none"/>
        </w:rPr>
        <w:t>严重影响税务形象，被有关部门通报的；</w:t>
      </w:r>
    </w:p>
    <w:p w14:paraId="7B1A64B7">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eastAsia="zh-CN"/>
        </w:rPr>
        <w:t>③</w:t>
      </w:r>
      <w:r>
        <w:rPr>
          <w:rFonts w:hint="eastAsia" w:ascii="仿宋" w:hAnsi="仿宋" w:eastAsia="仿宋" w:cs="仿宋"/>
          <w:kern w:val="2"/>
          <w:sz w:val="28"/>
          <w:szCs w:val="28"/>
          <w:highlight w:val="none"/>
        </w:rPr>
        <w:t>在一个工作年度内，被投诉三次以上的（含三次）；</w:t>
      </w:r>
    </w:p>
    <w:p w14:paraId="7D73A949">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eastAsia="zh-CN"/>
        </w:rPr>
        <w:t>④</w:t>
      </w:r>
      <w:r>
        <w:rPr>
          <w:rFonts w:hint="eastAsia" w:ascii="仿宋" w:hAnsi="仿宋" w:eastAsia="仿宋" w:cs="仿宋"/>
          <w:kern w:val="2"/>
          <w:sz w:val="28"/>
          <w:szCs w:val="28"/>
          <w:highlight w:val="none"/>
        </w:rPr>
        <w:t>因个人身体原因，不适合服务外包岗位的；</w:t>
      </w:r>
    </w:p>
    <w:p w14:paraId="3AE4047D">
      <w:pPr>
        <w:spacing w:line="440" w:lineRule="exact"/>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eastAsia="zh-CN"/>
        </w:rPr>
        <w:t>⑤采购人认为该服务外包人员无法胜任工作或满足服务需求的；</w:t>
      </w:r>
    </w:p>
    <w:p w14:paraId="5196C672">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eastAsia="zh-CN"/>
        </w:rPr>
        <w:t>⑥</w:t>
      </w:r>
      <w:r>
        <w:rPr>
          <w:rFonts w:hint="eastAsia" w:ascii="仿宋" w:hAnsi="仿宋" w:eastAsia="仿宋" w:cs="仿宋"/>
          <w:kern w:val="2"/>
          <w:sz w:val="28"/>
          <w:szCs w:val="28"/>
          <w:highlight w:val="none"/>
        </w:rPr>
        <w:t>其它影响工作的情形。</w:t>
      </w:r>
    </w:p>
    <w:p w14:paraId="7A3BB5C4">
      <w:pPr>
        <w:numPr>
          <w:ilvl w:val="-1"/>
          <w:numId w:val="0"/>
        </w:numPr>
        <w:spacing w:line="440" w:lineRule="exact"/>
        <w:ind w:leftChars="200" w:firstLine="0" w:firstLineChars="0"/>
        <w:outlineLvl w:val="1"/>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rPr>
        <w:t>6.</w:t>
      </w:r>
      <w:r>
        <w:rPr>
          <w:rFonts w:hint="eastAsia" w:ascii="仿宋" w:hAnsi="仿宋" w:eastAsia="仿宋" w:cs="仿宋"/>
          <w:b/>
          <w:bCs/>
          <w:kern w:val="2"/>
          <w:sz w:val="28"/>
          <w:szCs w:val="28"/>
          <w:highlight w:val="none"/>
        </w:rPr>
        <w:t>安全管理</w:t>
      </w:r>
    </w:p>
    <w:p w14:paraId="542F4CEC">
      <w:pPr>
        <w:spacing w:line="440" w:lineRule="exact"/>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1</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中标人应</w:t>
      </w:r>
      <w:r>
        <w:rPr>
          <w:rFonts w:hint="eastAsia" w:ascii="仿宋" w:hAnsi="仿宋" w:eastAsia="仿宋" w:cs="仿宋"/>
          <w:kern w:val="2"/>
          <w:sz w:val="28"/>
          <w:szCs w:val="28"/>
          <w:highlight w:val="none"/>
          <w:lang w:eastAsia="zh-CN"/>
        </w:rPr>
        <w:t>确保</w:t>
      </w:r>
      <w:r>
        <w:rPr>
          <w:rFonts w:hint="eastAsia" w:ascii="仿宋" w:hAnsi="仿宋" w:eastAsia="仿宋" w:cs="仿宋"/>
          <w:kern w:val="2"/>
          <w:sz w:val="28"/>
          <w:szCs w:val="28"/>
          <w:highlight w:val="none"/>
        </w:rPr>
        <w:t>对所有服务</w:t>
      </w:r>
      <w:r>
        <w:rPr>
          <w:rFonts w:hint="eastAsia" w:ascii="仿宋" w:hAnsi="仿宋" w:eastAsia="仿宋" w:cs="仿宋"/>
          <w:kern w:val="2"/>
          <w:sz w:val="28"/>
          <w:szCs w:val="28"/>
          <w:highlight w:val="none"/>
          <w:lang w:eastAsia="zh-CN"/>
        </w:rPr>
        <w:t>外包</w:t>
      </w:r>
      <w:r>
        <w:rPr>
          <w:rFonts w:hint="eastAsia" w:ascii="仿宋" w:hAnsi="仿宋" w:eastAsia="仿宋" w:cs="仿宋"/>
          <w:kern w:val="2"/>
          <w:sz w:val="28"/>
          <w:szCs w:val="28"/>
          <w:highlight w:val="none"/>
        </w:rPr>
        <w:t>人员加强网络安全管理，必须按照要求签订保密协议和网络安全承诺书，同时对于所有服务人员应定期进行网络安全和数据安全相关规定培训及警示教育</w:t>
      </w:r>
      <w:r>
        <w:rPr>
          <w:rFonts w:hint="eastAsia" w:ascii="仿宋" w:hAnsi="仿宋" w:eastAsia="仿宋" w:cs="仿宋"/>
          <w:kern w:val="2"/>
          <w:sz w:val="28"/>
          <w:szCs w:val="28"/>
          <w:highlight w:val="none"/>
          <w:lang w:eastAsia="zh-CN"/>
        </w:rPr>
        <w:t>。</w:t>
      </w:r>
    </w:p>
    <w:p w14:paraId="59EE746B">
      <w:pPr>
        <w:spacing w:line="440" w:lineRule="exact"/>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2</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中标人应</w:t>
      </w:r>
      <w:r>
        <w:rPr>
          <w:rFonts w:hint="eastAsia" w:ascii="仿宋" w:hAnsi="仿宋" w:eastAsia="仿宋" w:cs="仿宋"/>
          <w:kern w:val="2"/>
          <w:sz w:val="28"/>
          <w:szCs w:val="28"/>
          <w:highlight w:val="none"/>
          <w:lang w:eastAsia="zh-CN"/>
        </w:rPr>
        <w:t>确保所有服务外包人员</w:t>
      </w:r>
      <w:r>
        <w:rPr>
          <w:rFonts w:hint="eastAsia" w:ascii="仿宋" w:hAnsi="仿宋" w:eastAsia="仿宋" w:cs="仿宋"/>
          <w:kern w:val="2"/>
          <w:sz w:val="28"/>
          <w:szCs w:val="28"/>
          <w:highlight w:val="none"/>
        </w:rPr>
        <w:t>熟知并严格遵守采购人单位的网络安全、数据安全相关规定，严格区分内外网，严禁发生违规外联事件。未经采购人同意，</w:t>
      </w:r>
      <w:r>
        <w:rPr>
          <w:rFonts w:hint="eastAsia" w:ascii="仿宋" w:hAnsi="仿宋" w:eastAsia="仿宋" w:cs="仿宋"/>
          <w:kern w:val="2"/>
          <w:sz w:val="28"/>
          <w:szCs w:val="28"/>
          <w:highlight w:val="none"/>
          <w:lang w:eastAsia="zh-CN"/>
        </w:rPr>
        <w:t>中标人及其所提供的服务外包人员</w:t>
      </w:r>
      <w:r>
        <w:rPr>
          <w:rFonts w:hint="eastAsia" w:ascii="仿宋" w:hAnsi="仿宋" w:eastAsia="仿宋" w:cs="仿宋"/>
          <w:kern w:val="2"/>
          <w:sz w:val="28"/>
          <w:szCs w:val="28"/>
          <w:highlight w:val="none"/>
        </w:rPr>
        <w:t>不得访问、修改、披露、利用、转让、销毁与工作相关的数据，并需严格按照个人信息保护和数据安全相关法律和制度要求，履行责任义务，切实加强信息安全保护</w:t>
      </w:r>
      <w:r>
        <w:rPr>
          <w:rFonts w:hint="eastAsia" w:ascii="仿宋" w:hAnsi="仿宋" w:eastAsia="仿宋" w:cs="仿宋"/>
          <w:kern w:val="2"/>
          <w:sz w:val="28"/>
          <w:szCs w:val="28"/>
          <w:highlight w:val="none"/>
          <w:lang w:eastAsia="zh-CN"/>
        </w:rPr>
        <w:t>。</w:t>
      </w:r>
    </w:p>
    <w:p w14:paraId="27F6D4DA">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3</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服务外包人员在工作期间发生工伤、</w:t>
      </w:r>
      <w:r>
        <w:rPr>
          <w:rFonts w:hint="eastAsia" w:ascii="仿宋" w:hAnsi="仿宋" w:eastAsia="仿宋" w:cs="仿宋"/>
          <w:kern w:val="2"/>
          <w:sz w:val="28"/>
          <w:szCs w:val="28"/>
          <w:highlight w:val="none"/>
          <w:lang w:eastAsia="zh-CN"/>
        </w:rPr>
        <w:t>职业病、</w:t>
      </w:r>
      <w:r>
        <w:rPr>
          <w:rFonts w:hint="eastAsia" w:ascii="仿宋" w:hAnsi="仿宋" w:eastAsia="仿宋" w:cs="仿宋"/>
          <w:kern w:val="2"/>
          <w:sz w:val="28"/>
          <w:szCs w:val="28"/>
          <w:highlight w:val="none"/>
        </w:rPr>
        <w:t>经济补偿、劳动纠纷等问题，均由中标人承担。</w:t>
      </w:r>
    </w:p>
    <w:p w14:paraId="09428F17">
      <w:pPr>
        <w:numPr>
          <w:ilvl w:val="-1"/>
          <w:numId w:val="0"/>
        </w:numPr>
        <w:spacing w:line="440" w:lineRule="exact"/>
        <w:ind w:leftChars="200" w:firstLine="0" w:firstLineChars="0"/>
        <w:outlineLvl w:val="1"/>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rPr>
        <w:t>7.</w:t>
      </w:r>
      <w:r>
        <w:rPr>
          <w:rFonts w:hint="eastAsia" w:ascii="仿宋" w:hAnsi="仿宋" w:eastAsia="仿宋" w:cs="仿宋"/>
          <w:b/>
          <w:bCs/>
          <w:kern w:val="2"/>
          <w:sz w:val="28"/>
          <w:szCs w:val="28"/>
          <w:highlight w:val="none"/>
        </w:rPr>
        <w:t>运营管理</w:t>
      </w:r>
    </w:p>
    <w:p w14:paraId="21ADDF40">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1</w:t>
      </w:r>
      <w:r>
        <w:rPr>
          <w:rFonts w:hint="eastAsia" w:ascii="仿宋" w:hAnsi="仿宋" w:eastAsia="仿宋" w:cs="仿宋"/>
          <w:kern w:val="2"/>
          <w:sz w:val="28"/>
          <w:szCs w:val="28"/>
          <w:highlight w:val="none"/>
          <w:lang w:val="en-US" w:eastAsia="zh-CN"/>
        </w:rPr>
        <w:t>)</w:t>
      </w:r>
      <w:r>
        <w:rPr>
          <w:rFonts w:hint="eastAsia" w:ascii="仿宋" w:hAnsi="仿宋" w:eastAsia="仿宋" w:cs="仿宋"/>
          <w:kern w:val="2"/>
          <w:sz w:val="28"/>
          <w:szCs w:val="28"/>
          <w:highlight w:val="none"/>
        </w:rPr>
        <w:t>为保障本项目有效运作，中标人与采购人应建立有效的沟通机制。中标人每月须根据双方确定的要求，于每月5日前提供服务人员考核明细、预计支出</w:t>
      </w:r>
      <w:r>
        <w:rPr>
          <w:rFonts w:hint="eastAsia" w:ascii="仿宋" w:hAnsi="仿宋" w:eastAsia="仿宋" w:cs="仿宋"/>
          <w:kern w:val="2"/>
          <w:sz w:val="28"/>
          <w:szCs w:val="28"/>
          <w:highlight w:val="none"/>
          <w:lang w:eastAsia="zh-CN"/>
        </w:rPr>
        <w:t>人员薪酬</w:t>
      </w:r>
      <w:r>
        <w:rPr>
          <w:rFonts w:hint="eastAsia" w:ascii="仿宋" w:hAnsi="仿宋" w:eastAsia="仿宋" w:cs="仿宋"/>
          <w:kern w:val="2"/>
          <w:sz w:val="28"/>
          <w:szCs w:val="28"/>
          <w:highlight w:val="none"/>
        </w:rPr>
        <w:t>情况等分析材料给采购人，并根据运营的情况，及时发现存在的问题，提出完善和解决方案。</w:t>
      </w:r>
    </w:p>
    <w:p w14:paraId="7DE8C968">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2.中标人应严格要求服务外包人员遵守采购人各项管理规定，包括保密制度、信息安全管理规定及编外人员管理制度规定等。</w:t>
      </w:r>
    </w:p>
    <w:p w14:paraId="2476E348">
      <w:pPr>
        <w:spacing w:line="44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3.中标人要对服务外包人员</w:t>
      </w:r>
      <w:r>
        <w:rPr>
          <w:rFonts w:hint="eastAsia" w:ascii="仿宋" w:hAnsi="仿宋" w:eastAsia="仿宋" w:cs="仿宋"/>
          <w:kern w:val="2"/>
          <w:sz w:val="28"/>
          <w:szCs w:val="28"/>
          <w:highlight w:val="none"/>
          <w:lang w:eastAsia="zh-CN"/>
        </w:rPr>
        <w:t>每年至少</w:t>
      </w:r>
      <w:r>
        <w:rPr>
          <w:rFonts w:hint="eastAsia" w:ascii="仿宋" w:hAnsi="仿宋" w:eastAsia="仿宋" w:cs="仿宋"/>
          <w:kern w:val="2"/>
          <w:sz w:val="28"/>
          <w:szCs w:val="28"/>
          <w:highlight w:val="none"/>
        </w:rPr>
        <w:t>进行</w:t>
      </w:r>
      <w:r>
        <w:rPr>
          <w:rFonts w:hint="eastAsia" w:ascii="仿宋" w:hAnsi="仿宋" w:eastAsia="仿宋" w:cs="仿宋"/>
          <w:kern w:val="2"/>
          <w:sz w:val="28"/>
          <w:szCs w:val="28"/>
          <w:highlight w:val="none"/>
          <w:lang w:val="en-US" w:eastAsia="zh-CN"/>
        </w:rPr>
        <w:t>1次集中</w:t>
      </w:r>
      <w:r>
        <w:rPr>
          <w:rFonts w:hint="eastAsia" w:ascii="仿宋" w:hAnsi="仿宋" w:eastAsia="仿宋" w:cs="仿宋"/>
          <w:kern w:val="2"/>
          <w:sz w:val="28"/>
          <w:szCs w:val="28"/>
          <w:highlight w:val="none"/>
        </w:rPr>
        <w:t>培训，培训内容包括但不限于岗前安全培训、相关岗位技能培训、职业心态修养培训、职业道德修养培训、职业技能培训、安全事故处理培训等相关内容。</w:t>
      </w:r>
    </w:p>
    <w:p w14:paraId="13598807">
      <w:pPr>
        <w:spacing w:line="44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kern w:val="2"/>
          <w:sz w:val="28"/>
          <w:szCs w:val="28"/>
          <w:highlight w:val="none"/>
        </w:rPr>
        <w:t>4.中标人应对服务外包人员按月实行绩效考核制度，服务外包人员工作时间以采购人实际需要为准，服务外包人员应无条件服从采购人依法依规的工作安排；若不服从，采购人有权将该服务外包人员退回至中标人并要求另派其</w:t>
      </w:r>
      <w:r>
        <w:rPr>
          <w:rFonts w:hint="eastAsia" w:ascii="仿宋" w:hAnsi="仿宋" w:eastAsia="仿宋" w:cs="仿宋"/>
          <w:color w:val="auto"/>
          <w:kern w:val="2"/>
          <w:sz w:val="28"/>
          <w:szCs w:val="28"/>
          <w:highlight w:val="none"/>
        </w:rPr>
        <w:t>他资质不低于采购要求的服务外包人员。</w:t>
      </w:r>
    </w:p>
    <w:p w14:paraId="119B58D1">
      <w:pPr>
        <w:pStyle w:val="22"/>
        <w:spacing w:afterLines="0" w:line="440" w:lineRule="exact"/>
        <w:ind w:firstLine="560"/>
        <w:outlineLvl w:val="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、项目管理和实施要求</w:t>
      </w:r>
    </w:p>
    <w:p w14:paraId="0516D68F">
      <w:pPr>
        <w:keepNext w:val="0"/>
        <w:keepLines w:val="0"/>
        <w:pageBreakBefore w:val="0"/>
        <w:kinsoku/>
        <w:overflowPunct/>
        <w:topLinePunct w:val="0"/>
        <w:autoSpaceDE/>
        <w:autoSpaceDN/>
        <w:bidi w:val="0"/>
        <w:spacing w:line="440" w:lineRule="exact"/>
        <w:ind w:firstLine="562" w:firstLineChars="200"/>
        <w:rPr>
          <w:rFonts w:hint="eastAsia" w:ascii="仿宋" w:hAnsi="仿宋" w:eastAsia="仿宋" w:cs="仿宋"/>
          <w:b w:val="0"/>
          <w:bCs w:val="0"/>
          <w:snapToGrid w:val="0"/>
          <w:color w:val="auto"/>
          <w:kern w:val="2"/>
          <w:sz w:val="28"/>
          <w:szCs w:val="28"/>
          <w:highlight w:val="none"/>
          <w:lang w:val="en-US" w:eastAsia="zh-CN" w:bidi="ar-SA"/>
        </w:rPr>
      </w:pPr>
      <w:r>
        <w:rPr>
          <w:rFonts w:hint="eastAsia" w:ascii="仿宋" w:hAnsi="仿宋" w:eastAsia="仿宋" w:cs="仿宋"/>
          <w:b/>
          <w:bCs/>
          <w:snapToGrid w:val="0"/>
          <w:color w:val="auto"/>
          <w:kern w:val="2"/>
          <w:sz w:val="28"/>
          <w:szCs w:val="28"/>
          <w:highlight w:val="none"/>
          <w:lang w:val="en-US" w:eastAsia="zh-CN" w:bidi="ar-SA"/>
        </w:rPr>
        <w:t>（一）项目实施总体要求</w:t>
      </w:r>
    </w:p>
    <w:p w14:paraId="564CA29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1.本项目不允许中标人以任何名义和理由进行转包，如有发现，采购人有权单方终止合同，视为中标人违约，中标人违约对采购人造成的损失的，需另行支付相应的赔偿。</w:t>
      </w:r>
    </w:p>
    <w:p w14:paraId="1090B5FA">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2.中标人提供</w:t>
      </w:r>
      <w:r>
        <w:rPr>
          <w:rFonts w:hint="eastAsia" w:ascii="仿宋" w:hAnsi="仿宋" w:eastAsia="仿宋" w:cs="仿宋"/>
          <w:kern w:val="2"/>
          <w:sz w:val="28"/>
          <w:szCs w:val="28"/>
          <w:highlight w:val="none"/>
        </w:rPr>
        <w:t>服务外包人员</w:t>
      </w:r>
      <w:r>
        <w:rPr>
          <w:rFonts w:hint="eastAsia" w:ascii="仿宋" w:hAnsi="仿宋" w:eastAsia="仿宋" w:cs="仿宋"/>
          <w:b w:val="0"/>
          <w:bCs w:val="0"/>
          <w:color w:val="auto"/>
          <w:kern w:val="2"/>
          <w:sz w:val="28"/>
          <w:szCs w:val="28"/>
          <w:highlight w:val="none"/>
          <w:lang w:val="en-US" w:eastAsia="zh-CN" w:bidi="ar-SA"/>
        </w:rPr>
        <w:t>保持相对稳定，采购人有权对中标人提供的人员服务期间的服务工作进行检查、验收，对不胜任任务的，采购人有权提出更换人员，中标人应该三日内提供对应的新岗位。</w:t>
      </w:r>
    </w:p>
    <w:p w14:paraId="5021B461">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因执行工作任务造成第三方损害应承担的赔偿责任，善后补偿</w:t>
      </w:r>
      <w:r>
        <w:rPr>
          <w:rFonts w:hint="eastAsia" w:ascii="仿宋" w:hAnsi="仿宋" w:eastAsia="仿宋" w:cs="仿宋"/>
          <w:color w:val="auto"/>
          <w:kern w:val="2"/>
          <w:sz w:val="28"/>
          <w:szCs w:val="28"/>
          <w:highlight w:val="none"/>
          <w:lang w:eastAsia="zh-CN"/>
        </w:rPr>
        <w:t>、赔偿责任</w:t>
      </w:r>
      <w:r>
        <w:rPr>
          <w:rFonts w:hint="eastAsia" w:ascii="仿宋" w:hAnsi="仿宋" w:eastAsia="仿宋" w:cs="仿宋"/>
          <w:color w:val="auto"/>
          <w:kern w:val="2"/>
          <w:sz w:val="28"/>
          <w:szCs w:val="28"/>
          <w:highlight w:val="none"/>
        </w:rPr>
        <w:t>由中标人</w:t>
      </w:r>
      <w:r>
        <w:rPr>
          <w:rFonts w:hint="eastAsia" w:ascii="仿宋" w:hAnsi="仿宋" w:eastAsia="仿宋" w:cs="仿宋"/>
          <w:color w:val="auto"/>
          <w:kern w:val="2"/>
          <w:sz w:val="28"/>
          <w:szCs w:val="28"/>
          <w:highlight w:val="none"/>
          <w:lang w:eastAsia="zh-CN"/>
        </w:rPr>
        <w:t>承担</w:t>
      </w:r>
      <w:r>
        <w:rPr>
          <w:rFonts w:hint="eastAsia" w:ascii="仿宋" w:hAnsi="仿宋" w:eastAsia="仿宋" w:cs="仿宋"/>
          <w:color w:val="auto"/>
          <w:kern w:val="2"/>
          <w:sz w:val="28"/>
          <w:szCs w:val="28"/>
          <w:highlight w:val="none"/>
        </w:rPr>
        <w:t>。</w:t>
      </w:r>
    </w:p>
    <w:p w14:paraId="5D8E576C">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4.合同期间，采购人因政策性</w:t>
      </w:r>
      <w:r>
        <w:rPr>
          <w:rFonts w:hint="eastAsia" w:ascii="仿宋" w:hAnsi="仿宋" w:eastAsia="仿宋" w:cs="仿宋"/>
          <w:color w:val="auto"/>
          <w:kern w:val="2"/>
          <w:sz w:val="28"/>
          <w:szCs w:val="28"/>
          <w:highlight w:val="none"/>
        </w:rPr>
        <w:t>原因</w:t>
      </w:r>
      <w:r>
        <w:rPr>
          <w:rFonts w:hint="eastAsia" w:ascii="仿宋" w:hAnsi="仿宋" w:eastAsia="仿宋" w:cs="仿宋"/>
          <w:color w:val="auto"/>
          <w:kern w:val="2"/>
          <w:sz w:val="28"/>
          <w:szCs w:val="28"/>
          <w:highlight w:val="none"/>
          <w:lang w:val="en-US" w:eastAsia="zh-CN"/>
        </w:rPr>
        <w:t>可能出现的变动，人员数量和岗位设置需留有弹性，费用按实际岗位工作量结算，具体人员以采购人的通知为准。</w:t>
      </w:r>
      <w:r>
        <w:rPr>
          <w:rFonts w:hint="eastAsia" w:ascii="仿宋" w:hAnsi="仿宋" w:eastAsia="仿宋" w:cs="仿宋"/>
          <w:color w:val="auto"/>
          <w:kern w:val="2"/>
          <w:sz w:val="28"/>
          <w:szCs w:val="28"/>
          <w:highlight w:val="none"/>
        </w:rPr>
        <w:t>合同期内如中标人服务无法达到采购人要求，采购人有权终止合同。</w:t>
      </w:r>
    </w:p>
    <w:p w14:paraId="26A5E092">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在采购人工作期间发生工伤、职业病、死亡等事故的，采购人应及时通报和配合中标人处理。发生的相应费用以及办理处理手续由中标人负责。</w:t>
      </w:r>
    </w:p>
    <w:p w14:paraId="7EB38883">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中标人应与</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建立劳动关系，并签订书面劳动合同。依</w:t>
      </w:r>
      <w:r>
        <w:rPr>
          <w:rFonts w:hint="eastAsia" w:ascii="仿宋" w:hAnsi="仿宋" w:eastAsia="仿宋" w:cs="仿宋"/>
          <w:color w:val="auto"/>
          <w:kern w:val="2"/>
          <w:sz w:val="28"/>
          <w:szCs w:val="28"/>
          <w:highlight w:val="none"/>
          <w:lang w:eastAsia="zh-CN"/>
        </w:rPr>
        <w:t>法依规按时、足额</w:t>
      </w:r>
      <w:r>
        <w:rPr>
          <w:rFonts w:hint="eastAsia" w:ascii="仿宋" w:hAnsi="仿宋" w:eastAsia="仿宋" w:cs="仿宋"/>
          <w:color w:val="auto"/>
          <w:kern w:val="2"/>
          <w:sz w:val="28"/>
          <w:szCs w:val="28"/>
          <w:highlight w:val="none"/>
        </w:rPr>
        <w:t>为</w:t>
      </w:r>
      <w:r>
        <w:rPr>
          <w:rFonts w:hint="eastAsia" w:ascii="仿宋" w:hAnsi="仿宋" w:eastAsia="仿宋" w:cs="仿宋"/>
          <w:color w:val="auto"/>
          <w:kern w:val="2"/>
          <w:sz w:val="28"/>
          <w:szCs w:val="28"/>
          <w:highlight w:val="none"/>
          <w:lang w:eastAsia="zh-CN"/>
        </w:rPr>
        <w:t>岗位人员</w:t>
      </w:r>
      <w:r>
        <w:rPr>
          <w:rFonts w:hint="eastAsia" w:ascii="仿宋" w:hAnsi="仿宋" w:eastAsia="仿宋" w:cs="仿宋"/>
          <w:color w:val="auto"/>
          <w:kern w:val="2"/>
          <w:sz w:val="28"/>
          <w:szCs w:val="28"/>
          <w:highlight w:val="none"/>
        </w:rPr>
        <w:t>缴纳社会保险和投保商业意外险，缴交残疾人保障金等。合同期间，因</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不能继续服务引起纠纷的，不得因此影响合同的继续履行。</w:t>
      </w:r>
      <w:r>
        <w:rPr>
          <w:rFonts w:hint="eastAsia" w:ascii="仿宋" w:hAnsi="仿宋" w:eastAsia="仿宋" w:cs="仿宋"/>
          <w:color w:val="auto"/>
          <w:kern w:val="2"/>
          <w:sz w:val="28"/>
          <w:szCs w:val="28"/>
          <w:highlight w:val="none"/>
          <w:lang w:val="en-US" w:eastAsia="zh-CN" w:bidi="ar-SA"/>
        </w:rPr>
        <w:t>解除或终止劳动合同时国家相关法律规定需要支付的费用由中标方负责。</w:t>
      </w:r>
    </w:p>
    <w:p w14:paraId="5BBAFA48">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在工作中出现严重违反管理制度和工作纪律，导致被上级和地方政府部门通报的，或</w:t>
      </w:r>
      <w:r>
        <w:rPr>
          <w:rFonts w:hint="eastAsia" w:ascii="仿宋" w:hAnsi="仿宋" w:eastAsia="仿宋" w:cs="仿宋"/>
          <w:color w:val="auto"/>
          <w:kern w:val="2"/>
          <w:sz w:val="28"/>
          <w:szCs w:val="28"/>
          <w:highlight w:val="none"/>
          <w:lang w:eastAsia="zh-CN"/>
        </w:rPr>
        <w:t>采购人认为</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lang w:eastAsia="zh-CN"/>
        </w:rPr>
        <w:t>不能胜任服务要求、不服从管理的，</w:t>
      </w:r>
      <w:r>
        <w:rPr>
          <w:rFonts w:hint="eastAsia" w:ascii="仿宋" w:hAnsi="仿宋" w:eastAsia="仿宋" w:cs="仿宋"/>
          <w:color w:val="auto"/>
          <w:kern w:val="2"/>
          <w:sz w:val="28"/>
          <w:szCs w:val="28"/>
          <w:highlight w:val="none"/>
        </w:rPr>
        <w:t>每次扣管理费的1%，并退回该人员。</w:t>
      </w:r>
    </w:p>
    <w:p w14:paraId="2775F6EA">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因国家或地市政策调整社会保险基数的，或中标人未按政策规定足额承担应由其单位缴纳的社会保险费用而遭政府职能部门稽查和责令调整缴费基数或要求补缴社会保险费用的，中标人须即时调整和补缴。中标人因此遭到相关主管部门处罚的，还应承担赔偿责任。</w:t>
      </w:r>
    </w:p>
    <w:p w14:paraId="6004AE34">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kern w:val="2"/>
          <w:sz w:val="28"/>
          <w:szCs w:val="28"/>
          <w:highlight w:val="none"/>
          <w:lang w:val="en-US" w:eastAsia="zh-CN"/>
        </w:rPr>
        <w:t>9</w:t>
      </w:r>
      <w:r>
        <w:rPr>
          <w:rFonts w:hint="eastAsia" w:ascii="仿宋" w:hAnsi="仿宋" w:eastAsia="仿宋" w:cs="仿宋"/>
          <w:color w:val="auto"/>
          <w:kern w:val="2"/>
          <w:sz w:val="28"/>
          <w:szCs w:val="28"/>
          <w:highlight w:val="none"/>
          <w:lang w:val="en-US" w:eastAsia="zh-CN"/>
        </w:rPr>
        <w:t>.</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在采购人工作期间，应严格遵守和履行采购人依法制定的各项规章制度和岗位职责，以及保守采购人的工作秘密，维护采购人的声誉和利益。中标人有义务督促服务人员履行上述义务。</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因严重违反采购人依法制定的规章制度，不履行职责或因泄密造成采购人经济损失或负面影响的，采购人有权追究</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的法律责任。采购人可将此情况书面告知中标人，中标人配合采购人共同追究</w:t>
      </w:r>
      <w:r>
        <w:rPr>
          <w:rFonts w:hint="eastAsia" w:ascii="仿宋" w:hAnsi="仿宋" w:eastAsia="仿宋" w:cs="仿宋"/>
          <w:kern w:val="2"/>
          <w:sz w:val="28"/>
          <w:szCs w:val="28"/>
          <w:highlight w:val="none"/>
        </w:rPr>
        <w:t>服务外包人员</w:t>
      </w:r>
      <w:r>
        <w:rPr>
          <w:rFonts w:hint="eastAsia" w:ascii="仿宋" w:hAnsi="仿宋" w:eastAsia="仿宋" w:cs="仿宋"/>
          <w:color w:val="auto"/>
          <w:kern w:val="2"/>
          <w:sz w:val="28"/>
          <w:szCs w:val="28"/>
          <w:highlight w:val="none"/>
        </w:rPr>
        <w:t>的经济或精神赔偿责任。</w:t>
      </w:r>
    </w:p>
    <w:p w14:paraId="0630178B">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kern w:val="2"/>
          <w:sz w:val="28"/>
          <w:szCs w:val="28"/>
          <w:highlight w:val="none"/>
          <w:lang w:val="en-US" w:eastAsia="zh-CN"/>
        </w:rPr>
        <w:t>0</w:t>
      </w:r>
      <w:r>
        <w:rPr>
          <w:rFonts w:hint="eastAsia" w:ascii="仿宋" w:hAnsi="仿宋" w:eastAsia="仿宋" w:cs="仿宋"/>
          <w:color w:val="auto"/>
          <w:kern w:val="2"/>
          <w:sz w:val="28"/>
          <w:szCs w:val="28"/>
          <w:highlight w:val="none"/>
          <w:lang w:val="en-US" w:eastAsia="zh-CN"/>
        </w:rPr>
        <w:t>.</w:t>
      </w:r>
      <w:r>
        <w:rPr>
          <w:rFonts w:hint="eastAsia" w:ascii="仿宋" w:hAnsi="仿宋" w:eastAsia="仿宋" w:cs="仿宋"/>
          <w:bCs w:val="0"/>
          <w:color w:val="auto"/>
          <w:kern w:val="2"/>
          <w:sz w:val="28"/>
          <w:szCs w:val="28"/>
          <w:highlight w:val="none"/>
        </w:rPr>
        <w:t>中标人需派1名业务经理，负责与采购人建立沟通协调和派驻服务人员的现场管理。</w:t>
      </w:r>
    </w:p>
    <w:p w14:paraId="2B0C7F6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kern w:val="2"/>
          <w:sz w:val="28"/>
          <w:szCs w:val="28"/>
          <w:highlight w:val="none"/>
          <w:lang w:val="en-US" w:eastAsia="zh-CN"/>
        </w:rPr>
        <w:t>1</w:t>
      </w:r>
      <w:r>
        <w:rPr>
          <w:rFonts w:hint="eastAsia" w:ascii="仿宋" w:hAnsi="仿宋" w:eastAsia="仿宋" w:cs="仿宋"/>
          <w:color w:val="auto"/>
          <w:kern w:val="2"/>
          <w:sz w:val="28"/>
          <w:szCs w:val="28"/>
          <w:highlight w:val="none"/>
          <w:lang w:val="en-US" w:eastAsia="zh-CN"/>
        </w:rPr>
        <w:t>.未明确的其它约定事项或条款，待采购人与中标人签订合同时，由双方协商订立。</w:t>
      </w:r>
    </w:p>
    <w:p w14:paraId="6347E118">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snapToGrid w:val="0"/>
          <w:kern w:val="2"/>
          <w:sz w:val="28"/>
          <w:szCs w:val="28"/>
          <w:highlight w:val="none"/>
          <w:vertAlign w:val="baseline"/>
          <w:lang w:val="en-US" w:eastAsia="zh-CN"/>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kern w:val="2"/>
          <w:sz w:val="28"/>
          <w:szCs w:val="28"/>
          <w:highlight w:val="none"/>
          <w:lang w:val="en-US" w:eastAsia="zh-CN"/>
        </w:rPr>
        <w:t>2</w:t>
      </w:r>
      <w:r>
        <w:rPr>
          <w:rFonts w:hint="eastAsia" w:ascii="仿宋" w:hAnsi="仿宋" w:eastAsia="仿宋" w:cs="仿宋"/>
          <w:color w:val="auto"/>
          <w:kern w:val="2"/>
          <w:sz w:val="28"/>
          <w:szCs w:val="28"/>
          <w:highlight w:val="none"/>
          <w:lang w:val="en-US" w:eastAsia="zh-CN"/>
        </w:rPr>
        <w:t>.中</w:t>
      </w:r>
      <w:r>
        <w:rPr>
          <w:rFonts w:hint="eastAsia" w:ascii="仿宋" w:hAnsi="仿宋" w:eastAsia="仿宋" w:cs="仿宋"/>
          <w:snapToGrid w:val="0"/>
          <w:color w:val="auto"/>
          <w:kern w:val="2"/>
          <w:sz w:val="28"/>
          <w:szCs w:val="28"/>
          <w:highlight w:val="none"/>
          <w:vertAlign w:val="baseline"/>
          <w:lang w:val="en-US" w:eastAsia="zh-CN"/>
        </w:rPr>
        <w:t>标人应当保证每月准时足额发放工资薪酬。</w:t>
      </w:r>
    </w:p>
    <w:p w14:paraId="4B7A2158">
      <w:pPr>
        <w:adjustRightInd w:val="0"/>
        <w:snapToGrid w:val="0"/>
        <w:spacing w:line="44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highlight w:val="none"/>
          <w:lang w:val="en-US" w:eastAsia="zh-CN"/>
        </w:rPr>
        <w:t>（二）项目</w:t>
      </w:r>
      <w:r>
        <w:rPr>
          <w:rFonts w:hint="eastAsia" w:ascii="仿宋" w:hAnsi="仿宋" w:eastAsia="仿宋" w:cs="仿宋"/>
          <w:b/>
          <w:bCs/>
          <w:color w:val="auto"/>
          <w:kern w:val="2"/>
          <w:sz w:val="28"/>
          <w:szCs w:val="28"/>
          <w:highlight w:val="none"/>
        </w:rPr>
        <w:t>实</w:t>
      </w:r>
      <w:r>
        <w:rPr>
          <w:rFonts w:hint="eastAsia" w:ascii="仿宋" w:hAnsi="仿宋" w:eastAsia="仿宋" w:cs="仿宋"/>
          <w:b/>
          <w:bCs/>
          <w:color w:val="auto"/>
          <w:sz w:val="28"/>
          <w:szCs w:val="28"/>
          <w:highlight w:val="none"/>
        </w:rPr>
        <w:t>施</w:t>
      </w:r>
      <w:r>
        <w:rPr>
          <w:rFonts w:hint="eastAsia" w:ascii="仿宋" w:hAnsi="仿宋" w:eastAsia="仿宋" w:cs="仿宋"/>
          <w:b/>
          <w:bCs/>
          <w:color w:val="auto"/>
          <w:sz w:val="28"/>
          <w:szCs w:val="28"/>
          <w:highlight w:val="none"/>
          <w:lang w:eastAsia="zh-CN"/>
        </w:rPr>
        <w:t>的</w:t>
      </w:r>
      <w:r>
        <w:rPr>
          <w:rFonts w:hint="eastAsia" w:ascii="仿宋" w:hAnsi="仿宋" w:eastAsia="仿宋" w:cs="仿宋"/>
          <w:b/>
          <w:bCs/>
          <w:color w:val="auto"/>
          <w:sz w:val="28"/>
          <w:szCs w:val="28"/>
          <w:highlight w:val="none"/>
        </w:rPr>
        <w:t>时间</w:t>
      </w:r>
      <w:r>
        <w:rPr>
          <w:rFonts w:hint="eastAsia" w:ascii="仿宋" w:hAnsi="仿宋" w:eastAsia="仿宋" w:cs="仿宋"/>
          <w:b/>
          <w:bCs/>
          <w:color w:val="auto"/>
          <w:sz w:val="28"/>
          <w:szCs w:val="28"/>
          <w:highlight w:val="none"/>
          <w:lang w:eastAsia="zh-CN"/>
        </w:rPr>
        <w:t>、地点、范围、方式</w:t>
      </w:r>
    </w:p>
    <w:p w14:paraId="0E237B36">
      <w:pPr>
        <w:adjustRightInd w:val="0"/>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实施时间：</w:t>
      </w:r>
      <w:r>
        <w:rPr>
          <w:rFonts w:hint="eastAsia" w:ascii="仿宋" w:hAnsi="仿宋" w:eastAsia="仿宋" w:cs="仿宋"/>
          <w:color w:val="auto"/>
          <w:sz w:val="28"/>
          <w:szCs w:val="28"/>
          <w:highlight w:val="none"/>
        </w:rPr>
        <w:t>本项目整体服务时间为</w:t>
      </w:r>
      <w:r>
        <w:rPr>
          <w:rFonts w:hint="eastAsia" w:ascii="仿宋" w:hAnsi="仿宋" w:eastAsia="仿宋" w:cs="仿宋"/>
          <w:color w:val="auto"/>
          <w:sz w:val="28"/>
          <w:szCs w:val="28"/>
          <w:highlight w:val="none"/>
          <w:lang w:val="en-US" w:eastAsia="zh-CN"/>
        </w:rPr>
        <w:t>2024年11月1日-2026年12月31日</w:t>
      </w:r>
      <w:r>
        <w:rPr>
          <w:rFonts w:hint="eastAsia" w:ascii="仿宋" w:hAnsi="仿宋" w:eastAsia="仿宋" w:cs="仿宋"/>
          <w:b w:val="0"/>
          <w:bCs w:val="0"/>
          <w:color w:val="auto"/>
          <w:sz w:val="28"/>
          <w:szCs w:val="28"/>
          <w:highlight w:val="none"/>
        </w:rPr>
        <w:t>，服务合同共分三期签订</w:t>
      </w:r>
      <w:r>
        <w:rPr>
          <w:rFonts w:hint="eastAsia" w:ascii="仿宋" w:hAnsi="仿宋" w:eastAsia="仿宋" w:cs="仿宋"/>
          <w:b w:val="0"/>
          <w:bCs w:val="0"/>
          <w:snapToGrid/>
          <w:sz w:val="28"/>
          <w:szCs w:val="28"/>
          <w:highlight w:val="none"/>
        </w:rPr>
        <w:t>（第一期服务时间为</w:t>
      </w:r>
      <w:r>
        <w:rPr>
          <w:rFonts w:hint="eastAsia" w:ascii="仿宋" w:hAnsi="仿宋" w:eastAsia="仿宋" w:cs="仿宋"/>
          <w:b w:val="0"/>
          <w:bCs w:val="0"/>
          <w:snapToGrid/>
          <w:sz w:val="28"/>
          <w:szCs w:val="28"/>
          <w:highlight w:val="none"/>
          <w:lang w:val="en-US" w:eastAsia="zh-CN"/>
        </w:rPr>
        <w:t>2024年11月1日-2024年12月31日</w:t>
      </w:r>
      <w:r>
        <w:rPr>
          <w:rFonts w:hint="eastAsia" w:ascii="仿宋" w:hAnsi="仿宋" w:eastAsia="仿宋" w:cs="仿宋"/>
          <w:b w:val="0"/>
          <w:bCs w:val="0"/>
          <w:snapToGrid/>
          <w:sz w:val="28"/>
          <w:szCs w:val="28"/>
          <w:highlight w:val="none"/>
        </w:rPr>
        <w:t>；第二期服务时间为</w:t>
      </w:r>
      <w:r>
        <w:rPr>
          <w:rFonts w:hint="eastAsia" w:ascii="仿宋" w:hAnsi="仿宋" w:eastAsia="仿宋" w:cs="仿宋"/>
          <w:b w:val="0"/>
          <w:bCs w:val="0"/>
          <w:snapToGrid/>
          <w:sz w:val="28"/>
          <w:szCs w:val="28"/>
          <w:highlight w:val="none"/>
          <w:lang w:val="en-US" w:eastAsia="zh-CN"/>
        </w:rPr>
        <w:t>2025年1月1日-2025年12月31日</w:t>
      </w:r>
      <w:r>
        <w:rPr>
          <w:rFonts w:hint="eastAsia" w:ascii="仿宋" w:hAnsi="仿宋" w:eastAsia="仿宋" w:cs="仿宋"/>
          <w:b w:val="0"/>
          <w:bCs w:val="0"/>
          <w:snapToGrid/>
          <w:sz w:val="28"/>
          <w:szCs w:val="28"/>
          <w:highlight w:val="none"/>
        </w:rPr>
        <w:t>；第三期服务时间为</w:t>
      </w:r>
      <w:r>
        <w:rPr>
          <w:rFonts w:hint="eastAsia" w:ascii="仿宋" w:hAnsi="仿宋" w:eastAsia="仿宋" w:cs="仿宋"/>
          <w:b w:val="0"/>
          <w:bCs w:val="0"/>
          <w:snapToGrid/>
          <w:sz w:val="28"/>
          <w:szCs w:val="28"/>
          <w:highlight w:val="none"/>
          <w:lang w:val="en-US" w:eastAsia="zh-CN"/>
        </w:rPr>
        <w:t>2026年1月1日-2026年12月31日</w:t>
      </w:r>
      <w:r>
        <w:rPr>
          <w:rFonts w:hint="eastAsia" w:ascii="仿宋" w:hAnsi="仿宋" w:eastAsia="仿宋" w:cs="仿宋"/>
          <w:b w:val="0"/>
          <w:bCs w:val="0"/>
          <w:snapToGrid/>
          <w:sz w:val="28"/>
          <w:szCs w:val="28"/>
          <w:highlight w:val="none"/>
        </w:rPr>
        <w:t>）。</w:t>
      </w:r>
      <w:r>
        <w:rPr>
          <w:rFonts w:hint="eastAsia" w:ascii="仿宋" w:hAnsi="仿宋" w:eastAsia="仿宋" w:cs="仿宋"/>
          <w:b w:val="0"/>
          <w:bCs w:val="0"/>
          <w:color w:val="auto"/>
          <w:sz w:val="28"/>
          <w:szCs w:val="28"/>
          <w:highlight w:val="none"/>
        </w:rPr>
        <w:t>第一期服务期满后，在满足续签合同的条件下，续签第二期服务合同（第三期以</w:t>
      </w:r>
      <w:r>
        <w:rPr>
          <w:rFonts w:hint="eastAsia" w:ascii="仿宋" w:hAnsi="仿宋" w:eastAsia="仿宋" w:cs="仿宋"/>
          <w:color w:val="auto"/>
          <w:sz w:val="28"/>
          <w:szCs w:val="28"/>
          <w:highlight w:val="none"/>
        </w:rPr>
        <w:t>此类推）。</w:t>
      </w:r>
    </w:p>
    <w:p w14:paraId="5C08326C">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napToGrid/>
          <w:kern w:val="0"/>
          <w:sz w:val="28"/>
          <w:szCs w:val="28"/>
          <w:highlight w:val="none"/>
          <w:lang w:val="en-US" w:eastAsia="zh-CN"/>
        </w:rPr>
      </w:pPr>
      <w:r>
        <w:rPr>
          <w:rFonts w:hint="eastAsia" w:ascii="仿宋" w:hAnsi="仿宋" w:eastAsia="仿宋" w:cs="仿宋"/>
          <w:color w:val="auto"/>
          <w:sz w:val="28"/>
          <w:szCs w:val="28"/>
          <w:highlight w:val="none"/>
        </w:rPr>
        <w:t>实施地点：</w:t>
      </w:r>
      <w:r>
        <w:rPr>
          <w:rFonts w:hint="eastAsia" w:ascii="仿宋" w:hAnsi="仿宋" w:eastAsia="仿宋" w:cs="仿宋"/>
          <w:snapToGrid/>
          <w:color w:val="auto"/>
          <w:kern w:val="0"/>
          <w:sz w:val="28"/>
          <w:szCs w:val="28"/>
          <w:highlight w:val="none"/>
          <w:lang w:val="en-US" w:eastAsia="zh-CN"/>
        </w:rPr>
        <w:t>福建省</w:t>
      </w:r>
      <w:r>
        <w:rPr>
          <w:rFonts w:hint="eastAsia" w:ascii="仿宋" w:hAnsi="仿宋" w:eastAsia="仿宋" w:cs="仿宋"/>
          <w:color w:val="auto"/>
          <w:kern w:val="0"/>
          <w:sz w:val="28"/>
          <w:szCs w:val="28"/>
          <w:highlight w:val="none"/>
          <w:lang w:val="en-US" w:eastAsia="zh-CN"/>
        </w:rPr>
        <w:t>莆田市</w:t>
      </w:r>
      <w:r>
        <w:rPr>
          <w:rFonts w:hint="eastAsia" w:ascii="仿宋" w:hAnsi="仿宋" w:eastAsia="仿宋" w:cs="仿宋"/>
          <w:snapToGrid/>
          <w:color w:val="auto"/>
          <w:kern w:val="0"/>
          <w:sz w:val="28"/>
          <w:szCs w:val="28"/>
          <w:highlight w:val="none"/>
          <w:lang w:val="en-US" w:eastAsia="zh-CN"/>
        </w:rPr>
        <w:t>秀屿区兴秀路1575号、福建省莆田市秀屿区兴秀路1333号、福建省莆田市秀屿区秀屿大道99号。</w:t>
      </w:r>
    </w:p>
    <w:p w14:paraId="0C1FCFED">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实施</w:t>
      </w:r>
      <w:r>
        <w:rPr>
          <w:rFonts w:hint="eastAsia" w:ascii="仿宋" w:hAnsi="仿宋" w:eastAsia="仿宋" w:cs="仿宋"/>
          <w:sz w:val="28"/>
          <w:szCs w:val="28"/>
          <w:highlight w:val="none"/>
          <w:lang w:val="en-US" w:eastAsia="zh-CN"/>
        </w:rPr>
        <w:t>范围：</w:t>
      </w:r>
      <w:r>
        <w:rPr>
          <w:rFonts w:hint="eastAsia" w:ascii="仿宋" w:hAnsi="仿宋" w:eastAsia="仿宋" w:cs="仿宋"/>
          <w:color w:val="auto"/>
          <w:sz w:val="28"/>
          <w:szCs w:val="28"/>
          <w:highlight w:val="none"/>
          <w:lang w:val="en-US" w:eastAsia="zh-CN"/>
        </w:rPr>
        <w:t>国家</w:t>
      </w:r>
      <w:r>
        <w:rPr>
          <w:rFonts w:hint="eastAsia" w:ascii="仿宋" w:hAnsi="仿宋" w:eastAsia="仿宋" w:cs="仿宋"/>
          <w:sz w:val="28"/>
          <w:szCs w:val="28"/>
          <w:highlight w:val="none"/>
          <w:lang w:val="en-US" w:eastAsia="zh-CN"/>
        </w:rPr>
        <w:t>税务总局秀屿税务局办税服务厅（含派驻区行政服务中心窗口）、纳税服务股、办公室；</w:t>
      </w:r>
    </w:p>
    <w:p w14:paraId="0922DD5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实施方式：现场服务。</w:t>
      </w:r>
    </w:p>
    <w:p w14:paraId="2454957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五、服务考核办法</w:t>
      </w:r>
    </w:p>
    <w:p w14:paraId="6C82B09D">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（一）考核评价对象</w:t>
      </w:r>
    </w:p>
    <w:p w14:paraId="2B2F36C1">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1.本办法适用于中标人。</w:t>
      </w:r>
    </w:p>
    <w:p w14:paraId="0B7359AD">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2.本项目外包服务人员提供的服务内容。</w:t>
      </w:r>
    </w:p>
    <w:p w14:paraId="2087BBB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（二）考核评价原则</w:t>
      </w:r>
    </w:p>
    <w:p w14:paraId="2A3B25A3">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1.按月考核。对于中标人现场管理等情况进行月度考核，由采购人根据考核细则统计每月分值，</w:t>
      </w:r>
      <w:r>
        <w:rPr>
          <w:rFonts w:hint="eastAsia" w:ascii="仿宋" w:hAnsi="仿宋" w:eastAsia="仿宋" w:cs="仿宋"/>
          <w:kern w:val="2"/>
          <w:sz w:val="28"/>
          <w:szCs w:val="28"/>
          <w:highlight w:val="none"/>
        </w:rPr>
        <w:t>考核分数达90分及以上的，为优秀；考核分数达80分但未达90分的，为合格；考核分数未达80分的，为不合格</w:t>
      </w:r>
      <w:r>
        <w:rPr>
          <w:rFonts w:hint="eastAsia" w:ascii="仿宋" w:hAnsi="仿宋" w:eastAsia="仿宋" w:cs="仿宋"/>
          <w:kern w:val="2"/>
          <w:sz w:val="28"/>
          <w:szCs w:val="28"/>
          <w:highlight w:val="none"/>
          <w:lang w:eastAsia="zh-CN"/>
        </w:rPr>
        <w:t>，</w:t>
      </w:r>
      <w:r>
        <w:rPr>
          <w:rFonts w:hint="eastAsia" w:ascii="仿宋" w:hAnsi="仿宋" w:eastAsia="仿宋" w:cs="仿宋"/>
          <w:color w:val="auto"/>
          <w:sz w:val="28"/>
          <w:szCs w:val="28"/>
          <w:highlight w:val="none"/>
          <w:u w:val="none"/>
        </w:rPr>
        <w:t>支付服务人员</w:t>
      </w:r>
      <w:r>
        <w:rPr>
          <w:rFonts w:hint="eastAsia" w:ascii="仿宋" w:hAnsi="仿宋" w:eastAsia="仿宋" w:cs="仿宋"/>
          <w:color w:val="auto"/>
          <w:sz w:val="28"/>
          <w:szCs w:val="28"/>
          <w:highlight w:val="none"/>
          <w:u w:val="none"/>
          <w:lang w:eastAsia="zh-CN"/>
        </w:rPr>
        <w:t>的</w:t>
      </w:r>
      <w:r>
        <w:rPr>
          <w:rFonts w:hint="eastAsia" w:ascii="仿宋" w:hAnsi="仿宋" w:eastAsia="仿宋" w:cs="仿宋"/>
          <w:snapToGrid/>
          <w:color w:val="auto"/>
          <w:sz w:val="28"/>
          <w:szCs w:val="28"/>
          <w:highlight w:val="none"/>
          <w:u w:val="none"/>
          <w:lang w:eastAsia="zh-CN"/>
        </w:rPr>
        <w:t>人员薪酬</w:t>
      </w:r>
      <w:r>
        <w:rPr>
          <w:rFonts w:hint="eastAsia" w:ascii="仿宋" w:hAnsi="仿宋" w:eastAsia="仿宋" w:cs="仿宋"/>
          <w:color w:val="auto"/>
          <w:sz w:val="28"/>
          <w:szCs w:val="28"/>
          <w:highlight w:val="none"/>
          <w:u w:val="none"/>
        </w:rPr>
        <w:t>总额占外包服务费总金额比例</w:t>
      </w:r>
      <w:r>
        <w:rPr>
          <w:rFonts w:hint="eastAsia" w:ascii="仿宋" w:hAnsi="仿宋" w:eastAsia="仿宋" w:cs="仿宋"/>
          <w:color w:val="auto"/>
          <w:sz w:val="28"/>
          <w:szCs w:val="28"/>
          <w:highlight w:val="none"/>
          <w:u w:val="none"/>
          <w:lang w:val="en-US" w:eastAsia="zh-CN"/>
        </w:rPr>
        <w:t>&lt;90</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的</w:t>
      </w:r>
      <w:r>
        <w:rPr>
          <w:rFonts w:hint="eastAsia" w:ascii="仿宋" w:hAnsi="仿宋" w:eastAsia="仿宋" w:cs="仿宋"/>
          <w:kern w:val="2"/>
          <w:sz w:val="28"/>
          <w:szCs w:val="28"/>
          <w:highlight w:val="none"/>
        </w:rPr>
        <w:t>，考核</w:t>
      </w:r>
      <w:r>
        <w:rPr>
          <w:rFonts w:hint="eastAsia" w:ascii="仿宋" w:hAnsi="仿宋" w:eastAsia="仿宋" w:cs="仿宋"/>
          <w:kern w:val="2"/>
          <w:sz w:val="28"/>
          <w:szCs w:val="28"/>
          <w:highlight w:val="none"/>
          <w:lang w:eastAsia="zh-CN"/>
        </w:rPr>
        <w:t>结果直接</w:t>
      </w:r>
      <w:r>
        <w:rPr>
          <w:rFonts w:hint="eastAsia" w:ascii="仿宋" w:hAnsi="仿宋" w:eastAsia="仿宋" w:cs="仿宋"/>
          <w:kern w:val="2"/>
          <w:sz w:val="28"/>
          <w:szCs w:val="28"/>
          <w:highlight w:val="none"/>
        </w:rPr>
        <w:t>为不合格。</w:t>
      </w:r>
      <w:r>
        <w:rPr>
          <w:rFonts w:hint="eastAsia" w:ascii="仿宋" w:hAnsi="仿宋" w:eastAsia="仿宋" w:cs="仿宋"/>
          <w:sz w:val="28"/>
          <w:szCs w:val="28"/>
          <w:highlight w:val="none"/>
          <w:lang w:val="en-US" w:eastAsia="zh-CN"/>
        </w:rPr>
        <w:t>根据考核分值拨付考核月份的费用。考核90分（含）以上的不扣费用;考核90分（不含）以下的，每少1分扣除当月应支付服务费用的1%，依此类推。</w:t>
      </w:r>
      <w:r>
        <w:rPr>
          <w:rFonts w:hint="eastAsia" w:ascii="仿宋" w:hAnsi="仿宋" w:eastAsia="仿宋" w:cs="仿宋"/>
          <w:kern w:val="2"/>
          <w:sz w:val="28"/>
          <w:szCs w:val="28"/>
          <w:highlight w:val="none"/>
        </w:rPr>
        <w:t>当期合同中连续两次考核不合格或累计三次考核不合格的，</w:t>
      </w:r>
      <w:r>
        <w:rPr>
          <w:rFonts w:hint="eastAsia" w:ascii="仿宋" w:hAnsi="仿宋" w:eastAsia="仿宋" w:cs="仿宋"/>
          <w:color w:val="auto"/>
          <w:sz w:val="28"/>
          <w:szCs w:val="28"/>
          <w:highlight w:val="none"/>
          <w:u w:val="none"/>
        </w:rPr>
        <w:t>支付服务人员</w:t>
      </w:r>
      <w:r>
        <w:rPr>
          <w:rFonts w:hint="eastAsia" w:ascii="仿宋" w:hAnsi="仿宋" w:eastAsia="仿宋" w:cs="仿宋"/>
          <w:color w:val="auto"/>
          <w:sz w:val="28"/>
          <w:szCs w:val="28"/>
          <w:highlight w:val="none"/>
          <w:u w:val="none"/>
          <w:lang w:eastAsia="zh-CN"/>
        </w:rPr>
        <w:t>的</w:t>
      </w:r>
      <w:r>
        <w:rPr>
          <w:rFonts w:hint="eastAsia" w:ascii="仿宋" w:hAnsi="仿宋" w:eastAsia="仿宋" w:cs="仿宋"/>
          <w:snapToGrid/>
          <w:color w:val="auto"/>
          <w:sz w:val="28"/>
          <w:szCs w:val="28"/>
          <w:highlight w:val="none"/>
          <w:u w:val="none"/>
          <w:lang w:eastAsia="zh-CN"/>
        </w:rPr>
        <w:t>人员薪酬</w:t>
      </w:r>
      <w:r>
        <w:rPr>
          <w:rFonts w:hint="eastAsia" w:ascii="仿宋" w:hAnsi="仿宋" w:eastAsia="仿宋" w:cs="仿宋"/>
          <w:color w:val="auto"/>
          <w:sz w:val="28"/>
          <w:szCs w:val="28"/>
          <w:highlight w:val="none"/>
          <w:u w:val="none"/>
        </w:rPr>
        <w:t>总额占外包服务费总金额比例</w:t>
      </w:r>
      <w:r>
        <w:rPr>
          <w:rFonts w:hint="eastAsia" w:ascii="仿宋" w:hAnsi="仿宋" w:eastAsia="仿宋" w:cs="仿宋"/>
          <w:color w:val="auto"/>
          <w:sz w:val="28"/>
          <w:szCs w:val="28"/>
          <w:highlight w:val="none"/>
          <w:u w:val="none"/>
          <w:lang w:val="en-US" w:eastAsia="zh-CN"/>
        </w:rPr>
        <w:t>&lt;90</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的，中标人拒绝整改的，</w:t>
      </w:r>
      <w:r>
        <w:rPr>
          <w:rFonts w:hint="eastAsia" w:ascii="仿宋" w:hAnsi="仿宋" w:eastAsia="仿宋" w:cs="仿宋"/>
          <w:kern w:val="2"/>
          <w:sz w:val="28"/>
          <w:szCs w:val="28"/>
          <w:highlight w:val="none"/>
        </w:rPr>
        <w:t>采购人有权单方面终止合同，扣除全部履约保证金，并重新</w:t>
      </w:r>
      <w:r>
        <w:rPr>
          <w:rFonts w:hint="eastAsia" w:ascii="仿宋" w:hAnsi="仿宋" w:eastAsia="仿宋" w:cs="仿宋"/>
          <w:kern w:val="2"/>
          <w:sz w:val="28"/>
          <w:szCs w:val="28"/>
          <w:highlight w:val="none"/>
          <w:lang w:eastAsia="zh-CN"/>
        </w:rPr>
        <w:t>开展</w:t>
      </w:r>
      <w:r>
        <w:rPr>
          <w:rFonts w:hint="eastAsia" w:ascii="仿宋" w:hAnsi="仿宋" w:eastAsia="仿宋" w:cs="仿宋"/>
          <w:kern w:val="2"/>
          <w:sz w:val="28"/>
          <w:szCs w:val="28"/>
          <w:highlight w:val="none"/>
        </w:rPr>
        <w:t>采购</w:t>
      </w:r>
      <w:r>
        <w:rPr>
          <w:rFonts w:hint="eastAsia" w:ascii="仿宋" w:hAnsi="仿宋" w:eastAsia="仿宋" w:cs="仿宋"/>
          <w:kern w:val="2"/>
          <w:sz w:val="28"/>
          <w:szCs w:val="28"/>
          <w:highlight w:val="none"/>
          <w:lang w:eastAsia="zh-CN"/>
        </w:rPr>
        <w:t>活动</w:t>
      </w:r>
      <w:r>
        <w:rPr>
          <w:rFonts w:hint="eastAsia" w:ascii="仿宋" w:hAnsi="仿宋" w:eastAsia="仿宋" w:cs="仿宋"/>
          <w:kern w:val="2"/>
          <w:sz w:val="28"/>
          <w:szCs w:val="28"/>
          <w:highlight w:val="none"/>
        </w:rPr>
        <w:t>。重新采购服务</w:t>
      </w:r>
      <w:r>
        <w:rPr>
          <w:rFonts w:hint="eastAsia" w:ascii="仿宋" w:hAnsi="仿宋" w:eastAsia="仿宋" w:cs="仿宋"/>
          <w:kern w:val="2"/>
          <w:sz w:val="28"/>
          <w:szCs w:val="28"/>
          <w:highlight w:val="none"/>
          <w:lang w:eastAsia="zh-CN"/>
        </w:rPr>
        <w:t>的过渡</w:t>
      </w:r>
      <w:r>
        <w:rPr>
          <w:rFonts w:hint="eastAsia" w:ascii="仿宋" w:hAnsi="仿宋" w:eastAsia="仿宋" w:cs="仿宋"/>
          <w:kern w:val="2"/>
          <w:sz w:val="28"/>
          <w:szCs w:val="28"/>
          <w:highlight w:val="none"/>
        </w:rPr>
        <w:t>期间，若采购人有需要，原中标人仍需向采购人提供服务，直至采购人重新签订采购合同</w:t>
      </w:r>
      <w:r>
        <w:rPr>
          <w:rFonts w:hint="eastAsia" w:ascii="仿宋" w:hAnsi="仿宋" w:eastAsia="仿宋" w:cs="仿宋"/>
          <w:kern w:val="2"/>
          <w:sz w:val="28"/>
          <w:szCs w:val="28"/>
          <w:highlight w:val="none"/>
          <w:lang w:eastAsia="zh-CN"/>
        </w:rPr>
        <w:t>为</w:t>
      </w:r>
      <w:r>
        <w:rPr>
          <w:rFonts w:hint="eastAsia" w:ascii="仿宋" w:hAnsi="仿宋" w:eastAsia="仿宋" w:cs="仿宋"/>
          <w:kern w:val="2"/>
          <w:sz w:val="28"/>
          <w:szCs w:val="28"/>
          <w:highlight w:val="none"/>
        </w:rPr>
        <w:t>止。</w:t>
      </w:r>
    </w:p>
    <w:p w14:paraId="35CCD14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2.定期考核与随机抽查原则。依据考核细则的要求，对中标人就本项目的人员要求、日常管理、工作服务质量与服务态度、服务保障方面进行抽查，对违反要求的进行扣分。</w:t>
      </w:r>
    </w:p>
    <w:p w14:paraId="558BE4C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3.考核细则由采购人负责解释，并有权根据实际服务需求进行调整，调整后的服务内容送达中标人，中标人应当及时调整。</w:t>
      </w:r>
    </w:p>
    <w:p w14:paraId="694FFAE3">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对于服务考核为合格及以上的服务单位，若存在减分项，需及时对考核减分项进行认真分析，并向采购人提交书面的分析及整改报告。</w:t>
      </w:r>
    </w:p>
    <w:p w14:paraId="3E97D6A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（三）考核评价标准</w:t>
      </w:r>
    </w:p>
    <w:p w14:paraId="5A5F0DED">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对于中标人服务情况的考核采用百分制原则，其中人员要求10分，日常管理20分，工作服务质量与服务态度50分，服务保障20分。考核过程采用扣分制，扣分标准按照考核细则进行。所有项目分值扣完为止，不计算负分。</w:t>
      </w:r>
    </w:p>
    <w:p w14:paraId="38B60152">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（四）考核评价细则</w:t>
      </w:r>
    </w:p>
    <w:p w14:paraId="1FEA30F7">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1.人员要求（10分）</w:t>
      </w:r>
    </w:p>
    <w:p w14:paraId="6E7DB602">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（1）中标人需严格按采购人的要求提供服务，所安排人员未满足采购人服务需求的，每人次扣3分。</w:t>
      </w:r>
    </w:p>
    <w:p w14:paraId="6A387C0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（2）中标人需对新服务人员进行思想素质、职业技能、安全防范及各项规章制度的培训，无培训及培训不合格，每人次扣2分。</w:t>
      </w:r>
    </w:p>
    <w:p w14:paraId="1D4AFB48">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（3）中标人需在新服务人员入职前完善各项资料和相关手续,明确劳动关系和签署相关法律文件，未按要求完善，每人次扣2分。</w:t>
      </w:r>
    </w:p>
    <w:p w14:paraId="0446E2C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（4）中标人依法办理好新进人员的工伤保险、养老保险、医疗保险、失业保险、生育保险、住房公积金等国家法律法规明确需办理的各项内容，未依法足额办理或办理不完善每人次扣3分。</w:t>
      </w:r>
    </w:p>
    <w:p w14:paraId="013C1D9E">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2.日常管理（20分）</w:t>
      </w:r>
    </w:p>
    <w:p w14:paraId="3E5FBC1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中标人负责对服务人员日常管理，包括对员工的考勤、劳动纪律、作风建设等，未按要求管理的，扣3分。凡有迟到、早退、旷工等情况的，中标人应如实记录，并按月提供考勤表，作为考核的依据。外包服务人员事假、病假、婚假、丧假等</w:t>
      </w:r>
      <w:r>
        <w:rPr>
          <w:rFonts w:hint="eastAsia" w:ascii="仿宋" w:hAnsi="仿宋" w:eastAsia="仿宋" w:cs="仿宋"/>
          <w:b w:val="0"/>
          <w:bCs w:val="0"/>
          <w:color w:val="auto"/>
          <w:sz w:val="28"/>
          <w:szCs w:val="28"/>
          <w:highlight w:val="none"/>
          <w:lang w:val="en-US" w:eastAsia="zh-CN"/>
        </w:rPr>
        <w:t>连续超过7天（含）假期的</w:t>
      </w:r>
      <w:r>
        <w:rPr>
          <w:rFonts w:hint="eastAsia" w:ascii="仿宋" w:hAnsi="仿宋" w:eastAsia="仿宋" w:cs="仿宋"/>
          <w:color w:val="auto"/>
          <w:sz w:val="28"/>
          <w:szCs w:val="28"/>
          <w:highlight w:val="none"/>
          <w:lang w:val="en-US" w:eastAsia="zh-CN"/>
        </w:rPr>
        <w:t>，</w:t>
      </w:r>
      <w:r>
        <w:rPr>
          <w:rFonts w:hint="eastAsia" w:ascii="仿宋" w:hAnsi="仿宋" w:eastAsia="仿宋" w:cs="仿宋"/>
          <w:sz w:val="28"/>
          <w:szCs w:val="28"/>
          <w:highlight w:val="none"/>
          <w:lang w:val="en-US" w:eastAsia="zh-CN"/>
        </w:rPr>
        <w:t>中标人需提前安排人员替换，确保满足采购人的服务需求。</w:t>
      </w:r>
    </w:p>
    <w:p w14:paraId="220A38D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（2）中标人安排的外包服务人员需服从采购人就服务内容的提出的合理要求。否则每人次扣10分。</w:t>
      </w:r>
    </w:p>
    <w:p w14:paraId="4B41DFCF">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3.服务质量与服务态度（50分）</w:t>
      </w:r>
    </w:p>
    <w:p w14:paraId="180090A7">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（1）中标人服务人员需认真对待及时完成服务内容，出现人员未遵循《办税厅工作要求》，违反“首问责任制”、“一次性告知”等服务规范和服务制度的，每次扣5分。</w:t>
      </w:r>
    </w:p>
    <w:p w14:paraId="749370B3">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（2）中标人服务人员，若发生“吃拿卡要”、与涉税中介勾连勾兑或违反国家法律法规和廉政纪律规定的，一经查实，每人次扣25分。</w:t>
      </w:r>
    </w:p>
    <w:p w14:paraId="25CF35A0">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（3）中标人服务人员，被采购人或接受服务方投诉的，每人次扣5分。</w:t>
      </w:r>
    </w:p>
    <w:p w14:paraId="71FC0CB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（4）中标人服务人员，提供服务过程中出现一般错误的，每人次扣5分；出现重大错误的，每人次扣15分。</w:t>
      </w:r>
    </w:p>
    <w:p w14:paraId="5328420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4.服务保障（20分）</w:t>
      </w:r>
    </w:p>
    <w:p w14:paraId="483D4771">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中标人根据采购人的服务需求标准，招聘相应人员，并对其服务人员进行管理，服务人员只与中标人存在劳动法律关系（包括劳动合同关系、工资保险关系和劳动用工手续等），中标人为用工单位及用人单位，服务人员与采购单位既不存在用工关系也不存在用人关系。服务人员在提供服务过程中接受采购人的相关指令行为，是代表中标人的职务行为，不形成事实用工或用人关系。</w:t>
      </w:r>
    </w:p>
    <w:p w14:paraId="64DC5022">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（2）中标人负责每年至少对服务人员进行1次集中培训，如劳动保障法律法规、心理常识教育、员工手册学习及相关业务培训等，负责服务人员社保政策咨询服务。</w:t>
      </w:r>
    </w:p>
    <w:p w14:paraId="76E62BB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（3）中标人负责承担服务人员工资、社保等，扣缴个人所得税、“五险一金”等；为服务人员购买社会保险，办理社会保险相关事项等。</w:t>
      </w:r>
    </w:p>
    <w:p w14:paraId="627FA2A3">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（4）中标人负责服务人员工伤、工亡保险等事务办理，并承担全部责任与费用。</w:t>
      </w:r>
    </w:p>
    <w:p w14:paraId="26066B4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（5）中标人提供服务人员的身份证复印件等证件给采购人备案。</w:t>
      </w:r>
    </w:p>
    <w:p w14:paraId="2134B3FC">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（6）中标人负责服务人员的劳动争议调解、仲裁、诉讼处理，办理工亡员工善后事务处理、理赔谈判等，并承担前述全部费用。</w:t>
      </w:r>
    </w:p>
    <w:p w14:paraId="5BF8F87F">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（7）为服务人员出具相关证明:如收入证明、在职离职证明、转正定级证明、参保证明等。</w:t>
      </w:r>
    </w:p>
    <w:p w14:paraId="37D36C18">
      <w:pPr>
        <w:keepNext w:val="0"/>
        <w:keepLines w:val="0"/>
        <w:pageBreakBefore w:val="0"/>
        <w:widowControl/>
        <w:numPr>
          <w:ilvl w:val="0"/>
          <w:numId w:val="0"/>
        </w:numPr>
        <w:kinsoku/>
        <w:overflowPunct/>
        <w:topLinePunct w:val="0"/>
        <w:autoSpaceDE/>
        <w:autoSpaceDN/>
        <w:bidi w:val="0"/>
        <w:adjustRightInd w:val="0"/>
        <w:snapToGrid w:val="0"/>
        <w:spacing w:line="44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中标人前述对服务人员的服务保障内容是确保对采购人服务的基础，以上每项为未办理或未及时办理，每人次扣2分。</w:t>
      </w:r>
    </w:p>
    <w:p w14:paraId="597AC31E">
      <w:pPr>
        <w:keepNext w:val="0"/>
        <w:keepLines w:val="0"/>
        <w:pageBreakBefore w:val="0"/>
        <w:widowControl/>
        <w:numPr>
          <w:ilvl w:val="0"/>
          <w:numId w:val="0"/>
        </w:numPr>
        <w:kinsoku/>
        <w:overflowPunct/>
        <w:topLinePunct w:val="0"/>
        <w:autoSpaceDE/>
        <w:autoSpaceDN/>
        <w:bidi w:val="0"/>
        <w:adjustRightInd w:val="0"/>
        <w:snapToGrid w:val="0"/>
        <w:spacing w:line="440" w:lineRule="exact"/>
        <w:ind w:firstLine="562"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六、违约责任</w:t>
      </w:r>
    </w:p>
    <w:p w14:paraId="47FC12A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合同签订后，2024年11月1日起中标人应提供符合条件的服务人员，如未达要求，每逾期一日，中标人应向采购人支付当年合同总价款的千分之一作为违约金，若逾期超过十五日，采购人有权单方面解除合同，并要求中标人支付当年合同总价款的20%作为违约金。</w:t>
      </w:r>
    </w:p>
    <w:p w14:paraId="589184D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中标人当季服务质效考核得分低于80分的，采购人有权要求中标人查找原因并于采购人通知的一个月期限内整改，逾期未整改的或整改一次后仍不能符合要求的，采购人有权单方面解除合同，中标人应赔偿当年合同总价款的20%作为违约金。</w:t>
      </w:r>
    </w:p>
    <w:p w14:paraId="59C17E2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中标人未履行投标承诺，影响采购人正常运行的，采购人有权要求中标人在指定期限内整改，中标人逾期未整改的，每逾期一日，按照当年合同总价款的千分之一承担违约金并赔偿采购人因此受到的损失；逾期超过十五日，采购人有权单方面解除合同，并要求中标人支付当年合同总价款的20%作为违约金。</w:t>
      </w:r>
    </w:p>
    <w:p w14:paraId="60F1E500">
      <w:pPr>
        <w:keepNext w:val="0"/>
        <w:keepLines w:val="0"/>
        <w:pageBreakBefore w:val="0"/>
        <w:numPr>
          <w:ilvl w:val="0"/>
          <w:numId w:val="0"/>
        </w:numPr>
        <w:kinsoku/>
        <w:overflowPunct/>
        <w:topLinePunct w:val="0"/>
        <w:autoSpaceDE/>
        <w:autoSpaceDN/>
        <w:bidi w:val="0"/>
        <w:adjustRightInd w:val="0"/>
        <w:snapToGrid w:val="0"/>
        <w:spacing w:line="440" w:lineRule="exact"/>
        <w:ind w:firstLine="56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七、验收要求</w:t>
      </w:r>
    </w:p>
    <w:p w14:paraId="10514FA2">
      <w:pPr>
        <w:pStyle w:val="1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1.考核验收工作由需求部门组成考核小组按考核评价标准进行实施。</w:t>
      </w:r>
    </w:p>
    <w:p w14:paraId="2770B60D">
      <w:pPr>
        <w:pStyle w:val="1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2.考核验收采取每月不定期随机抽查的形式。考核验收小组对考核现场根据考核办法进行考核评分。</w:t>
      </w:r>
    </w:p>
    <w:p w14:paraId="28209C05">
      <w:pPr>
        <w:pStyle w:val="1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3.验收时间跨度为每月1日至月底。</w:t>
      </w:r>
    </w:p>
    <w:p w14:paraId="34B96F9A">
      <w:pPr>
        <w:pStyle w:val="1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4.考核要求：验收总体满意度指数90%以上。</w:t>
      </w:r>
    </w:p>
    <w:p w14:paraId="731C53ED">
      <w:pPr>
        <w:pStyle w:val="1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于每年合同期末进行总体验收工作，中标人在履行每年度服务过程中，采购人将采用满意度调查等多种形式对其整体履约服务情况进行考核。若中标人年度综合考核＜80分的，采购人将不与其签订下个年度及之后的合同。</w:t>
      </w:r>
    </w:p>
    <w:p w14:paraId="3272A6D9">
      <w:pPr>
        <w:pStyle w:val="1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6.每年度综合考核平均分80分以上（含80分），可根据招标文件约定条款及相关法律法规续签承包合同，续签合同的一切条款与原合同一样，合同价款根据相关法律法规按实际情况协商后签订。</w:t>
      </w:r>
    </w:p>
    <w:p w14:paraId="76EA761A">
      <w:pPr>
        <w:pStyle w:val="15"/>
        <w:keepNext w:val="0"/>
        <w:keepLines w:val="0"/>
        <w:pageBreakBefore w:val="0"/>
        <w:numPr>
          <w:ilvl w:val="0"/>
          <w:numId w:val="0"/>
        </w:numPr>
        <w:kinsoku/>
        <w:overflowPunct/>
        <w:topLinePunct w:val="0"/>
        <w:autoSpaceDE/>
        <w:autoSpaceDN/>
        <w:bidi w:val="0"/>
        <w:adjustRightInd/>
        <w:spacing w:after="0" w:line="440" w:lineRule="exact"/>
        <w:ind w:firstLine="560" w:firstLineChars="200"/>
        <w:jc w:val="both"/>
        <w:textAlignment w:val="auto"/>
        <w:rPr>
          <w:rFonts w:hint="eastAsia" w:ascii="仿宋" w:hAnsi="仿宋" w:eastAsia="仿宋" w:cs="仿宋"/>
          <w:snapToGrid w:val="0"/>
          <w:color w:val="auto"/>
          <w:sz w:val="28"/>
          <w:szCs w:val="28"/>
          <w:highlight w:val="none"/>
          <w:lang w:val="en" w:eastAsia="zh-CN"/>
        </w:rPr>
      </w:pPr>
      <w:r>
        <w:rPr>
          <w:rFonts w:hint="eastAsia" w:ascii="仿宋" w:hAnsi="仿宋" w:eastAsia="仿宋" w:cs="仿宋"/>
          <w:color w:val="auto"/>
          <w:sz w:val="28"/>
          <w:szCs w:val="28"/>
          <w:highlight w:val="none"/>
          <w:lang w:val="en-US" w:eastAsia="zh-CN"/>
        </w:rPr>
        <w:t>7.本项目合同期满后，采购人将视中标人的履约的综合考评情况，决定是否与中标人继续签订服务合同，本条款的最终解释权在采购人。</w:t>
      </w:r>
    </w:p>
    <w:p w14:paraId="0B9EE163">
      <w:pPr>
        <w:keepNext w:val="0"/>
        <w:keepLines w:val="0"/>
        <w:pageBreakBefore w:val="0"/>
        <w:numPr>
          <w:ilvl w:val="0"/>
          <w:numId w:val="0"/>
        </w:numPr>
        <w:kinsoku/>
        <w:overflowPunct/>
        <w:topLinePunct w:val="0"/>
        <w:autoSpaceDE/>
        <w:autoSpaceDN/>
        <w:bidi w:val="0"/>
        <w:adjustRightInd w:val="0"/>
        <w:snapToGrid w:val="0"/>
        <w:spacing w:line="440" w:lineRule="exact"/>
        <w:ind w:firstLine="56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八、供应商资质要求</w:t>
      </w:r>
    </w:p>
    <w:p w14:paraId="7EA0D0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1.本项目拟由符合国家有关法律规定、同时满足本项目资质要求、在中国境内（指关境内）注册的供应商为投标人。</w:t>
      </w:r>
    </w:p>
    <w:p w14:paraId="6E69AA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2.符合《政府采购法》第二章第二十二条规定的条件，</w:t>
      </w:r>
      <w:r>
        <w:rPr>
          <w:rFonts w:hint="eastAsia" w:ascii="仿宋" w:hAnsi="仿宋" w:eastAsia="仿宋" w:cs="仿宋"/>
          <w:bCs/>
          <w:color w:val="auto"/>
          <w:sz w:val="28"/>
          <w:szCs w:val="28"/>
          <w:highlight w:val="none"/>
        </w:rPr>
        <w:t>并提供下列</w:t>
      </w:r>
      <w:r>
        <w:rPr>
          <w:rFonts w:hint="eastAsia" w:ascii="仿宋" w:hAnsi="仿宋" w:eastAsia="仿宋" w:cs="仿宋"/>
          <w:bCs/>
          <w:color w:val="auto"/>
          <w:sz w:val="28"/>
          <w:szCs w:val="28"/>
          <w:highlight w:val="none"/>
          <w:lang w:eastAsia="zh-CN"/>
        </w:rPr>
        <w:t>资格</w:t>
      </w:r>
      <w:r>
        <w:rPr>
          <w:rFonts w:hint="eastAsia" w:ascii="仿宋" w:hAnsi="仿宋" w:eastAsia="仿宋" w:cs="仿宋"/>
          <w:bCs/>
          <w:color w:val="auto"/>
          <w:sz w:val="28"/>
          <w:szCs w:val="28"/>
          <w:highlight w:val="none"/>
        </w:rPr>
        <w:t>证明材料：</w:t>
      </w:r>
    </w:p>
    <w:p w14:paraId="3786D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80" w:firstLineChars="1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（1）凡在中国境内注册，有能力提供本项目所述的货物或服务的投标人，须提供合格有效的营业执照副本复印件、税务登记证副本复印件，或提供三证合一的营业执照副本复印件。</w:t>
      </w:r>
    </w:p>
    <w:p w14:paraId="3CEC3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80" w:firstLineChars="1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（2）提供上年度财务状况报告复印件（如投标人为当年度新成立公司的，应提供于公司成立之日后的财务报表）；提供投标截止前六个月任意一个月依法缴纳税收和社会保障资金的相关材料。</w:t>
      </w:r>
    </w:p>
    <w:p w14:paraId="72F8A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80" w:firstLineChars="1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（3）提供无行贿犯罪记录承诺（说明）函（投标人自行对其有无行贿犯罪情形进行说明或承诺，格式自拟）。</w:t>
      </w:r>
    </w:p>
    <w:p w14:paraId="26F35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80" w:firstLineChars="1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（4）参加政府采购活动前三年内在经营活动中没有重大违法记录的书面声明。</w:t>
      </w:r>
    </w:p>
    <w:p w14:paraId="413F2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80" w:firstLineChars="1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投标人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14:paraId="5EE79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80" w:firstLineChars="1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（6）具备履行合同所必需的设备和专业技术能力的证明材料（由投标人根据项目需求提供说明材料）。</w:t>
      </w:r>
    </w:p>
    <w:p w14:paraId="6DB42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3.本项目不接受联合体投标。</w:t>
      </w:r>
    </w:p>
    <w:p w14:paraId="1FF1E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color w:val="auto"/>
          <w:sz w:val="28"/>
          <w:szCs w:val="28"/>
          <w:highlight w:val="none"/>
          <w:lang w:val="en" w:eastAsia="de-DE"/>
        </w:rPr>
      </w:pPr>
      <w:r>
        <w:rPr>
          <w:rFonts w:hint="eastAsia" w:ascii="仿宋" w:hAnsi="仿宋" w:eastAsia="仿宋" w:cs="仿宋"/>
          <w:b w:val="0"/>
          <w:bCs/>
          <w:color w:val="auto"/>
          <w:sz w:val="28"/>
          <w:szCs w:val="28"/>
          <w:highlight w:val="none"/>
          <w:lang w:val="en-US" w:eastAsia="zh-CN"/>
        </w:rPr>
        <w:t>4.因本项目涉及公共利益、社会关注度较高的采购项目，为避免将售后服务更完善、质量更优秀、性价比更高的优质企业排除在外，不专门面向中小企业预留采购份额。</w:t>
      </w:r>
    </w:p>
    <w:p w14:paraId="272EB292">
      <w:pPr>
        <w:keepNext w:val="0"/>
        <w:keepLines w:val="0"/>
        <w:pageBreakBefore w:val="0"/>
        <w:numPr>
          <w:ilvl w:val="0"/>
          <w:numId w:val="0"/>
        </w:numPr>
        <w:kinsoku/>
        <w:overflowPunct/>
        <w:topLinePunct w:val="0"/>
        <w:autoSpaceDE/>
        <w:autoSpaceDN/>
        <w:bidi w:val="0"/>
        <w:adjustRightInd w:val="0"/>
        <w:snapToGrid w:val="0"/>
        <w:spacing w:line="440" w:lineRule="exact"/>
        <w:ind w:firstLine="56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九、其他要求</w:t>
      </w:r>
    </w:p>
    <w:p w14:paraId="15AF4203">
      <w:pPr>
        <w:keepNext w:val="0"/>
        <w:keepLines w:val="0"/>
        <w:pageBreakBefore w:val="0"/>
        <w:kinsoku/>
        <w:overflowPunct/>
        <w:topLinePunct w:val="0"/>
        <w:autoSpaceDE/>
        <w:autoSpaceDN/>
        <w:bidi w:val="0"/>
        <w:adjustRightInd w:val="0"/>
        <w:snapToGrid w:val="0"/>
        <w:spacing w:line="440" w:lineRule="exact"/>
        <w:ind w:firstLine="560" w:firstLineChars="200"/>
        <w:jc w:val="left"/>
        <w:rPr>
          <w:rFonts w:hint="eastAsia" w:ascii="仿宋" w:hAnsi="仿宋" w:eastAsia="仿宋" w:cs="仿宋"/>
          <w:color w:val="auto"/>
          <w:sz w:val="28"/>
          <w:szCs w:val="28"/>
          <w:highlight w:val="none"/>
          <w:lang w:val="en" w:eastAsia="de-DE"/>
        </w:rPr>
      </w:pPr>
      <w:r>
        <w:rPr>
          <w:rFonts w:hint="eastAsia" w:ascii="仿宋" w:hAnsi="仿宋" w:eastAsia="仿宋" w:cs="仿宋"/>
          <w:color w:val="auto"/>
          <w:sz w:val="28"/>
          <w:szCs w:val="28"/>
          <w:highlight w:val="none"/>
          <w:lang w:val="en" w:eastAsia="de-DE"/>
        </w:rPr>
        <w:t>项目保密要求</w:t>
      </w:r>
      <w:r>
        <w:rPr>
          <w:rFonts w:hint="eastAsia" w:ascii="仿宋" w:hAnsi="仿宋" w:eastAsia="仿宋" w:cs="仿宋"/>
          <w:color w:val="auto"/>
          <w:sz w:val="28"/>
          <w:szCs w:val="28"/>
          <w:highlight w:val="none"/>
          <w:lang w:val="en" w:eastAsia="zh-CN"/>
        </w:rPr>
        <w:t>：</w:t>
      </w:r>
      <w:r>
        <w:rPr>
          <w:rFonts w:hint="eastAsia" w:ascii="仿宋" w:hAnsi="仿宋" w:eastAsia="仿宋" w:cs="仿宋"/>
          <w:b w:val="0"/>
          <w:bCs w:val="0"/>
          <w:color w:val="auto"/>
          <w:sz w:val="28"/>
          <w:szCs w:val="28"/>
          <w:highlight w:val="none"/>
          <w:lang w:val="en-US" w:eastAsia="zh-CN"/>
        </w:rPr>
        <w:t>中标人服务人员违反采购人的保密制度和安全管理制度，采购人有权要求中标人立即撤换有关服务人员，中标人应将对泄密人员的处理意见于三个工作日内报采购人，对于由此给采购人及纳税人造成利益损害的，中标人应承担相关法律责任，每出现一次，中标人应按照当期合同总价款的20%承担违约金并赔偿采购人因此受到的损失。</w:t>
      </w:r>
    </w:p>
    <w:p w14:paraId="77BC00E7">
      <w:pPr>
        <w:keepNext w:val="0"/>
        <w:keepLines w:val="0"/>
        <w:pageBreakBefore w:val="0"/>
        <w:kinsoku/>
        <w:overflowPunct/>
        <w:topLinePunct w:val="0"/>
        <w:autoSpaceDE/>
        <w:autoSpaceDN/>
        <w:bidi w:val="0"/>
        <w:adjustRightInd w:val="0"/>
        <w:snapToGrid w:val="0"/>
        <w:spacing w:line="440" w:lineRule="exact"/>
        <w:ind w:firstLine="562" w:firstLineChars="200"/>
        <w:jc w:val="left"/>
        <w:rPr>
          <w:rFonts w:hint="eastAsia" w:ascii="仿宋" w:hAnsi="仿宋" w:eastAsia="仿宋" w:cs="仿宋"/>
          <w:b/>
          <w:bCs/>
          <w:color w:val="auto"/>
          <w:sz w:val="28"/>
          <w:szCs w:val="28"/>
          <w:highlight w:val="none"/>
          <w:lang w:val="en"/>
        </w:rPr>
      </w:pPr>
      <w:r>
        <w:rPr>
          <w:rFonts w:hint="eastAsia" w:ascii="仿宋" w:hAnsi="仿宋" w:eastAsia="仿宋" w:cs="仿宋"/>
          <w:b/>
          <w:bCs/>
          <w:color w:val="auto"/>
          <w:sz w:val="28"/>
          <w:szCs w:val="28"/>
          <w:highlight w:val="none"/>
          <w:lang w:val="en"/>
        </w:rPr>
        <w:t>十、付款方式</w:t>
      </w:r>
    </w:p>
    <w:p w14:paraId="5013120D">
      <w:pPr>
        <w:keepNext w:val="0"/>
        <w:keepLines w:val="0"/>
        <w:pageBreakBefore w:val="0"/>
        <w:kinsoku/>
        <w:wordWrap/>
        <w:overflowPunct/>
        <w:topLinePunct w:val="0"/>
        <w:autoSpaceDE/>
        <w:autoSpaceDN/>
        <w:bidi w:val="0"/>
        <w:adjustRightInd/>
        <w:spacing w:line="440" w:lineRule="exact"/>
        <w:ind w:firstLine="560" w:firstLineChars="200"/>
        <w:jc w:val="both"/>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1.采购人不接受需要支付预付款的供应商报价，所有采购均为到期结算（验收合格后付款）。</w:t>
      </w:r>
    </w:p>
    <w:p w14:paraId="06304BAA">
      <w:pPr>
        <w:keepNext w:val="0"/>
        <w:keepLines w:val="0"/>
        <w:pageBreakBefore w:val="0"/>
        <w:kinsoku/>
        <w:wordWrap/>
        <w:overflowPunct/>
        <w:topLinePunct w:val="0"/>
        <w:autoSpaceDE/>
        <w:autoSpaceDN/>
        <w:bidi w:val="0"/>
        <w:adjustRightInd/>
        <w:spacing w:line="44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2.按月付款。验收合格，经采购人考核小组与中标人核对无误后，由中标人开具服务外包费用正式发票，采购人自收到正式发票的次月30日前以银行转账方式结算服务费用。</w:t>
      </w:r>
    </w:p>
    <w:p w14:paraId="20EA9A32">
      <w:pPr>
        <w:keepNext w:val="0"/>
        <w:keepLines w:val="0"/>
        <w:pageBreakBefore w:val="0"/>
        <w:kinsoku/>
        <w:wordWrap/>
        <w:overflowPunct/>
        <w:topLinePunct w:val="0"/>
        <w:autoSpaceDE/>
        <w:autoSpaceDN/>
        <w:bidi w:val="0"/>
        <w:adjustRightInd/>
        <w:spacing w:line="44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3.在合同签订前必须向采购人</w:t>
      </w:r>
      <w:bookmarkStart w:id="0" w:name="_GoBack"/>
      <w:bookmarkEnd w:id="0"/>
      <w:r>
        <w:rPr>
          <w:rFonts w:hint="eastAsia" w:ascii="仿宋" w:hAnsi="仿宋" w:eastAsia="仿宋" w:cs="仿宋"/>
          <w:b w:val="0"/>
          <w:bCs w:val="0"/>
          <w:color w:val="auto"/>
          <w:sz w:val="28"/>
          <w:szCs w:val="28"/>
          <w:highlight w:val="none"/>
          <w:lang w:val="en-US" w:eastAsia="zh-CN"/>
        </w:rPr>
        <w:t>提交项目履约保证金人民币壹拾万元整，该保证金应转入采购人指定</w:t>
      </w:r>
      <w:del w:id="0" w:author="Poppy 。" w:date="2025-05-08T18:19:57Z">
        <w:r>
          <w:rPr>
            <w:rFonts w:hint="default" w:ascii="仿宋" w:hAnsi="仿宋" w:eastAsia="仿宋" w:cs="仿宋"/>
            <w:b w:val="0"/>
            <w:bCs w:val="0"/>
            <w:color w:val="auto"/>
            <w:sz w:val="28"/>
            <w:szCs w:val="28"/>
            <w:highlight w:val="none"/>
            <w:lang w:val="en-US" w:eastAsia="zh-CN"/>
          </w:rPr>
          <w:delText>帐户</w:delText>
        </w:r>
      </w:del>
      <w:ins w:id="1" w:author="Poppy 。" w:date="2025-05-08T18:19:58Z">
        <w:r>
          <w:rPr>
            <w:rFonts w:hint="eastAsia" w:ascii="仿宋" w:hAnsi="仿宋" w:eastAsia="仿宋" w:cs="仿宋"/>
            <w:b w:val="0"/>
            <w:bCs w:val="0"/>
            <w:color w:val="auto"/>
            <w:sz w:val="28"/>
            <w:szCs w:val="28"/>
            <w:highlight w:val="none"/>
            <w:lang w:val="en-US" w:eastAsia="zh-CN"/>
          </w:rPr>
          <w:t>账户</w:t>
        </w:r>
      </w:ins>
      <w:r>
        <w:rPr>
          <w:rFonts w:hint="eastAsia" w:ascii="仿宋" w:hAnsi="仿宋" w:eastAsia="仿宋" w:cs="仿宋"/>
          <w:b w:val="0"/>
          <w:bCs w:val="0"/>
          <w:color w:val="auto"/>
          <w:sz w:val="28"/>
          <w:szCs w:val="28"/>
          <w:highlight w:val="none"/>
          <w:lang w:val="en-US" w:eastAsia="zh-CN"/>
        </w:rPr>
        <w:t>。履约保证金于合同期满后经采购人全面评估后完全履约后30天内退还（不计利息）。</w:t>
      </w:r>
    </w:p>
    <w:p w14:paraId="695866CA">
      <w:pPr>
        <w:pStyle w:val="26"/>
        <w:keepNext w:val="0"/>
        <w:keepLines w:val="0"/>
        <w:pageBreakBefore w:val="0"/>
        <w:kinsoku/>
        <w:overflowPunct/>
        <w:topLinePunct w:val="0"/>
        <w:autoSpaceDE/>
        <w:autoSpaceDN/>
        <w:bidi w:val="0"/>
        <w:spacing w:line="440" w:lineRule="exact"/>
        <w:ind w:firstLine="640"/>
        <w:rPr>
          <w:rFonts w:hint="eastAsia" w:ascii="仿宋" w:hAnsi="仿宋" w:eastAsia="仿宋" w:cs="仿宋"/>
          <w:b/>
          <w:bCs/>
          <w:snapToGrid w:val="0"/>
          <w:color w:val="auto"/>
          <w:kern w:val="44"/>
          <w:sz w:val="28"/>
          <w:szCs w:val="28"/>
          <w:highlight w:val="none"/>
        </w:rPr>
      </w:pPr>
      <w:r>
        <w:rPr>
          <w:rFonts w:hint="eastAsia" w:ascii="仿宋" w:hAnsi="仿宋" w:eastAsia="仿宋" w:cs="仿宋"/>
          <w:b/>
          <w:bCs/>
          <w:color w:val="auto"/>
          <w:sz w:val="28"/>
          <w:szCs w:val="28"/>
          <w:highlight w:val="none"/>
          <w:lang w:val="en" w:eastAsia="zh-CN"/>
        </w:rPr>
        <w:t>十一、评标办法及标准</w:t>
      </w:r>
    </w:p>
    <w:p w14:paraId="7C9DB690">
      <w:pPr>
        <w:pStyle w:val="26"/>
        <w:keepNext w:val="0"/>
        <w:keepLines w:val="0"/>
        <w:pageBreakBefore w:val="0"/>
        <w:kinsoku/>
        <w:overflowPunct/>
        <w:topLinePunct w:val="0"/>
        <w:autoSpaceDE/>
        <w:autoSpaceDN/>
        <w:bidi w:val="0"/>
        <w:spacing w:line="440" w:lineRule="exact"/>
        <w:ind w:firstLine="640"/>
        <w:rPr>
          <w:rFonts w:hint="eastAsia" w:ascii="仿宋" w:hAnsi="仿宋" w:eastAsia="仿宋" w:cs="仿宋"/>
          <w:snapToGrid w:val="0"/>
          <w:color w:val="auto"/>
          <w:sz w:val="28"/>
          <w:szCs w:val="28"/>
          <w:highlight w:val="none"/>
          <w:lang w:val="en-US" w:eastAsia="zh-CN"/>
        </w:rPr>
      </w:pPr>
      <w:r>
        <w:rPr>
          <w:rFonts w:hint="eastAsia" w:ascii="仿宋" w:hAnsi="仿宋" w:eastAsia="仿宋" w:cs="仿宋"/>
          <w:snapToGrid w:val="0"/>
          <w:color w:val="auto"/>
          <w:sz w:val="28"/>
          <w:szCs w:val="28"/>
          <w:highlight w:val="none"/>
          <w:lang w:val="en-US" w:eastAsia="zh-CN"/>
        </w:rPr>
        <w:t>（一）评标办法：综合评分法。</w:t>
      </w:r>
    </w:p>
    <w:p w14:paraId="1177E881">
      <w:pPr>
        <w:pStyle w:val="26"/>
        <w:keepNext w:val="0"/>
        <w:keepLines w:val="0"/>
        <w:pageBreakBefore w:val="0"/>
        <w:kinsoku/>
        <w:overflowPunct/>
        <w:topLinePunct w:val="0"/>
        <w:autoSpaceDE/>
        <w:autoSpaceDN/>
        <w:bidi w:val="0"/>
        <w:spacing w:line="440" w:lineRule="exact"/>
        <w:ind w:firstLine="640"/>
        <w:rPr>
          <w:rStyle w:val="19"/>
          <w:rFonts w:hint="eastAsia" w:ascii="仿宋" w:hAnsi="仿宋" w:eastAsia="仿宋" w:cs="仿宋"/>
          <w:color w:val="auto"/>
          <w:sz w:val="28"/>
          <w:szCs w:val="28"/>
          <w:highlight w:val="none"/>
          <w:shd w:val="clear" w:color="auto" w:fill="FFFFFF"/>
        </w:rPr>
      </w:pPr>
      <w:r>
        <w:rPr>
          <w:rFonts w:hint="eastAsia" w:ascii="仿宋" w:hAnsi="仿宋" w:eastAsia="仿宋" w:cs="仿宋"/>
          <w:snapToGrid w:val="0"/>
          <w:color w:val="auto"/>
          <w:sz w:val="28"/>
          <w:szCs w:val="28"/>
          <w:highlight w:val="none"/>
          <w:lang w:val="en-US" w:eastAsia="zh-CN"/>
        </w:rPr>
        <w:t>（二）评分标准</w:t>
      </w:r>
    </w:p>
    <w:p w14:paraId="6C5A09B0">
      <w:pPr>
        <w:keepNext w:val="0"/>
        <w:keepLines w:val="0"/>
        <w:pageBreakBefore w:val="0"/>
        <w:kinsoku/>
        <w:overflowPunct/>
        <w:topLinePunct w:val="0"/>
        <w:autoSpaceDE/>
        <w:autoSpaceDN/>
        <w:bidi w:val="0"/>
        <w:spacing w:line="440" w:lineRule="exact"/>
        <w:ind w:firstLine="422"/>
        <w:rPr>
          <w:rFonts w:hint="eastAsia" w:ascii="仿宋" w:hAnsi="仿宋" w:eastAsia="仿宋" w:cs="仿宋"/>
          <w:snapToGrid w:val="0"/>
          <w:color w:val="auto"/>
          <w:kern w:val="0"/>
          <w:sz w:val="28"/>
          <w:szCs w:val="28"/>
          <w:highlight w:val="none"/>
          <w:lang w:val="en-US" w:eastAsia="zh-CN" w:bidi="ar-SA"/>
        </w:rPr>
      </w:pPr>
      <w:r>
        <w:rPr>
          <w:rFonts w:hint="eastAsia" w:ascii="仿宋" w:hAnsi="仿宋" w:eastAsia="仿宋" w:cs="仿宋"/>
          <w:snapToGrid w:val="0"/>
          <w:color w:val="auto"/>
          <w:kern w:val="0"/>
          <w:sz w:val="28"/>
          <w:szCs w:val="28"/>
          <w:highlight w:val="none"/>
          <w:lang w:val="en-US" w:eastAsia="zh-CN" w:bidi="ar-SA"/>
        </w:rPr>
        <w:t>各项评审因素的设置如下：</w:t>
      </w:r>
    </w:p>
    <w:p w14:paraId="31C76E6E">
      <w:pPr>
        <w:keepNext w:val="0"/>
        <w:keepLines w:val="0"/>
        <w:pageBreakBefore w:val="0"/>
        <w:kinsoku/>
        <w:overflowPunct/>
        <w:topLinePunct w:val="0"/>
        <w:autoSpaceDE/>
        <w:autoSpaceDN/>
        <w:bidi w:val="0"/>
        <w:spacing w:line="440" w:lineRule="exact"/>
        <w:ind w:firstLine="422"/>
        <w:rPr>
          <w:rFonts w:hint="eastAsia" w:ascii="仿宋" w:hAnsi="仿宋" w:eastAsia="仿宋" w:cs="仿宋"/>
          <w:snapToGrid w:val="0"/>
          <w:color w:val="auto"/>
          <w:kern w:val="0"/>
          <w:sz w:val="28"/>
          <w:szCs w:val="28"/>
          <w:highlight w:val="none"/>
          <w:lang w:val="en-US" w:eastAsia="zh-CN" w:bidi="ar-SA"/>
        </w:rPr>
      </w:pPr>
      <w:r>
        <w:rPr>
          <w:rFonts w:hint="eastAsia" w:ascii="仿宋" w:hAnsi="仿宋" w:eastAsia="仿宋" w:cs="仿宋"/>
          <w:snapToGrid w:val="0"/>
          <w:color w:val="auto"/>
          <w:kern w:val="0"/>
          <w:sz w:val="28"/>
          <w:szCs w:val="28"/>
          <w:highlight w:val="none"/>
          <w:lang w:val="en-US" w:eastAsia="zh-CN" w:bidi="ar-SA"/>
        </w:rPr>
        <w:t>A：价格部份评分           满分15分</w:t>
      </w:r>
    </w:p>
    <w:p w14:paraId="4FE12091">
      <w:pPr>
        <w:keepNext w:val="0"/>
        <w:keepLines w:val="0"/>
        <w:pageBreakBefore w:val="0"/>
        <w:kinsoku/>
        <w:overflowPunct/>
        <w:topLinePunct w:val="0"/>
        <w:autoSpaceDE/>
        <w:autoSpaceDN/>
        <w:bidi w:val="0"/>
        <w:spacing w:line="440" w:lineRule="exact"/>
        <w:ind w:firstLine="422"/>
        <w:rPr>
          <w:rFonts w:hint="eastAsia" w:ascii="仿宋" w:hAnsi="仿宋" w:eastAsia="仿宋" w:cs="仿宋"/>
          <w:snapToGrid w:val="0"/>
          <w:color w:val="auto"/>
          <w:kern w:val="0"/>
          <w:sz w:val="28"/>
          <w:szCs w:val="28"/>
          <w:highlight w:val="none"/>
          <w:lang w:val="en-US" w:eastAsia="zh-CN" w:bidi="ar-SA"/>
        </w:rPr>
      </w:pPr>
      <w:r>
        <w:rPr>
          <w:rFonts w:hint="eastAsia" w:ascii="仿宋" w:hAnsi="仿宋" w:eastAsia="仿宋" w:cs="仿宋"/>
          <w:snapToGrid w:val="0"/>
          <w:color w:val="auto"/>
          <w:kern w:val="0"/>
          <w:sz w:val="28"/>
          <w:szCs w:val="28"/>
          <w:highlight w:val="none"/>
          <w:lang w:val="en-US" w:eastAsia="zh-CN" w:bidi="ar-SA"/>
        </w:rPr>
        <w:t>B：技术部份评分           满分55分</w:t>
      </w:r>
    </w:p>
    <w:p w14:paraId="759C1918">
      <w:pPr>
        <w:keepNext w:val="0"/>
        <w:keepLines w:val="0"/>
        <w:pageBreakBefore w:val="0"/>
        <w:kinsoku/>
        <w:overflowPunct/>
        <w:topLinePunct w:val="0"/>
        <w:autoSpaceDE/>
        <w:autoSpaceDN/>
        <w:bidi w:val="0"/>
        <w:spacing w:line="440" w:lineRule="exact"/>
        <w:ind w:firstLine="422"/>
        <w:rPr>
          <w:rFonts w:hint="eastAsia" w:ascii="仿宋" w:hAnsi="仿宋" w:eastAsia="仿宋" w:cs="仿宋"/>
          <w:snapToGrid w:val="0"/>
          <w:color w:val="auto"/>
          <w:kern w:val="0"/>
          <w:sz w:val="28"/>
          <w:szCs w:val="28"/>
          <w:highlight w:val="none"/>
          <w:lang w:val="en-US" w:eastAsia="zh-CN" w:bidi="ar-SA"/>
        </w:rPr>
      </w:pPr>
      <w:r>
        <w:rPr>
          <w:rFonts w:hint="eastAsia" w:ascii="仿宋" w:hAnsi="仿宋" w:eastAsia="仿宋" w:cs="仿宋"/>
          <w:snapToGrid w:val="0"/>
          <w:color w:val="auto"/>
          <w:kern w:val="0"/>
          <w:sz w:val="28"/>
          <w:szCs w:val="28"/>
          <w:highlight w:val="none"/>
          <w:lang w:val="en-US" w:eastAsia="zh-CN" w:bidi="ar-SA"/>
        </w:rPr>
        <w:t>C：商务部份评分           满分30分</w:t>
      </w:r>
    </w:p>
    <w:p w14:paraId="2CC7975E">
      <w:pPr>
        <w:keepNext w:val="0"/>
        <w:keepLines w:val="0"/>
        <w:pageBreakBefore w:val="0"/>
        <w:kinsoku/>
        <w:overflowPunct/>
        <w:topLinePunct w:val="0"/>
        <w:autoSpaceDE/>
        <w:autoSpaceDN/>
        <w:bidi w:val="0"/>
        <w:spacing w:line="360" w:lineRule="auto"/>
        <w:ind w:firstLine="0" w:firstLineChars="0"/>
        <w:jc w:val="both"/>
        <w:rPr>
          <w:rFonts w:hint="eastAsia" w:ascii="仿宋" w:hAnsi="仿宋" w:eastAsia="仿宋" w:cs="仿宋"/>
          <w:color w:val="auto"/>
          <w:highlight w:val="none"/>
        </w:rPr>
      </w:pPr>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etaPlusLF">
    <w:altName w:val="Segoe Print"/>
    <w:panose1 w:val="00000000000000000000"/>
    <w:charset w:val="00"/>
    <w:family w:val="auto"/>
    <w:pitch w:val="default"/>
    <w:sig w:usb0="00000000" w:usb1="00000000" w:usb2="00000000" w:usb3="00000000" w:csb0="00000097"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444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31EF5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31EF5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C59FE"/>
    <w:multiLevelType w:val="multilevel"/>
    <w:tmpl w:val="5D1C59FE"/>
    <w:lvl w:ilvl="0" w:tentative="0">
      <w:start w:val="1"/>
      <w:numFmt w:val="decimal"/>
      <w:lvlText w:val="%1."/>
      <w:lvlJc w:val="left"/>
      <w:pPr>
        <w:tabs>
          <w:tab w:val="left" w:pos="425"/>
        </w:tabs>
        <w:ind w:left="425" w:hanging="425"/>
      </w:pPr>
      <w:rPr>
        <w:rFonts w:hint="default" w:ascii="宋体" w:hAnsi="宋体" w:eastAsia="宋体" w:cs="宋体"/>
      </w:rPr>
    </w:lvl>
    <w:lvl w:ilvl="1" w:tentative="0">
      <w:start w:val="1"/>
      <w:numFmt w:val="decimal"/>
      <w:lvlText w:val="%1.%2."/>
      <w:lvlJc w:val="left"/>
      <w:pPr>
        <w:tabs>
          <w:tab w:val="left" w:pos="3261"/>
        </w:tabs>
        <w:ind w:left="3261" w:hanging="567"/>
      </w:pPr>
      <w:rPr>
        <w:rFonts w:hint="default" w:ascii="宋体" w:hAnsi="宋体" w:eastAsia="宋体" w:cs="宋体"/>
      </w:rPr>
    </w:lvl>
    <w:lvl w:ilvl="2" w:tentative="0">
      <w:start w:val="1"/>
      <w:numFmt w:val="decimal"/>
      <w:suff w:val="space"/>
      <w:lvlText w:val="%1.%2.%3."/>
      <w:lvlJc w:val="center"/>
      <w:pPr>
        <w:ind w:left="0" w:firstLine="0"/>
      </w:pPr>
      <w:rPr>
        <w:rFonts w:hint="default" w:ascii="宋体" w:hAnsi="宋体" w:eastAsia="宋体" w:cs="宋体"/>
      </w:rPr>
    </w:lvl>
    <w:lvl w:ilvl="3" w:tentative="0">
      <w:start w:val="1"/>
      <w:numFmt w:val="decimal"/>
      <w:suff w:val="space"/>
      <w:lvlText w:val="%1.%2.%3.%4."/>
      <w:lvlJc w:val="left"/>
      <w:pPr>
        <w:ind w:left="850" w:hanging="850"/>
      </w:pPr>
      <w:rPr>
        <w:rFonts w:hint="default" w:ascii="宋体" w:hAnsi="宋体" w:eastAsia="宋体" w:cs="宋体"/>
      </w:rPr>
    </w:lvl>
    <w:lvl w:ilvl="4" w:tentative="0">
      <w:start w:val="1"/>
      <w:numFmt w:val="decimal"/>
      <w:pStyle w:val="6"/>
      <w:suff w:val="space"/>
      <w:lvlText w:val="%1.%2.%3.%4.%5."/>
      <w:lvlJc w:val="left"/>
      <w:pPr>
        <w:ind w:left="0" w:firstLine="0"/>
      </w:pPr>
      <w:rPr>
        <w:rFonts w:hint="default" w:ascii="宋体" w:hAnsi="宋体" w:eastAsia="宋体" w:cs="宋体"/>
      </w:rPr>
    </w:lvl>
    <w:lvl w:ilvl="5" w:tentative="0">
      <w:start w:val="1"/>
      <w:numFmt w:val="decimal"/>
      <w:lvlText w:val="%1.%2.%3.%4.%5.%6."/>
      <w:lvlJc w:val="left"/>
      <w:pPr>
        <w:tabs>
          <w:tab w:val="left" w:pos="1134"/>
        </w:tabs>
        <w:ind w:left="1134" w:hanging="1134"/>
      </w:pPr>
      <w:rPr>
        <w:rFonts w:hint="default" w:ascii="宋体" w:hAnsi="宋体" w:eastAsia="宋体" w:cs="宋体"/>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ppy 。">
    <w15:presenceInfo w15:providerId="WPS Office" w15:userId="819523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MzZmNTk1NDg4MDcyYWNhYTUyMzFkNjZjNDU3ZjYifQ=="/>
  </w:docVars>
  <w:rsids>
    <w:rsidRoot w:val="007C3547"/>
    <w:rsid w:val="000218D5"/>
    <w:rsid w:val="00210D78"/>
    <w:rsid w:val="00250258"/>
    <w:rsid w:val="00294540"/>
    <w:rsid w:val="002C35B1"/>
    <w:rsid w:val="004B20C0"/>
    <w:rsid w:val="007B7314"/>
    <w:rsid w:val="007C3547"/>
    <w:rsid w:val="009B393D"/>
    <w:rsid w:val="00AE7629"/>
    <w:rsid w:val="00B73B09"/>
    <w:rsid w:val="00BC61C4"/>
    <w:rsid w:val="00C21E65"/>
    <w:rsid w:val="00E33169"/>
    <w:rsid w:val="00E90254"/>
    <w:rsid w:val="00F5032D"/>
    <w:rsid w:val="00F86E20"/>
    <w:rsid w:val="00F94277"/>
    <w:rsid w:val="012E0061"/>
    <w:rsid w:val="01B50D90"/>
    <w:rsid w:val="02621D4C"/>
    <w:rsid w:val="03AA7883"/>
    <w:rsid w:val="04686664"/>
    <w:rsid w:val="05391676"/>
    <w:rsid w:val="06B25400"/>
    <w:rsid w:val="07006F23"/>
    <w:rsid w:val="07D12EAA"/>
    <w:rsid w:val="08417B68"/>
    <w:rsid w:val="091F6216"/>
    <w:rsid w:val="09F539A6"/>
    <w:rsid w:val="0A0631A8"/>
    <w:rsid w:val="0B00554D"/>
    <w:rsid w:val="0B48244B"/>
    <w:rsid w:val="0BF81C10"/>
    <w:rsid w:val="0C4213F8"/>
    <w:rsid w:val="0C685BA6"/>
    <w:rsid w:val="0F717234"/>
    <w:rsid w:val="0F7A6FB9"/>
    <w:rsid w:val="0F7F230A"/>
    <w:rsid w:val="0F95619B"/>
    <w:rsid w:val="0FD47603"/>
    <w:rsid w:val="1014324A"/>
    <w:rsid w:val="11444A01"/>
    <w:rsid w:val="121611DD"/>
    <w:rsid w:val="129B5FE9"/>
    <w:rsid w:val="1327480F"/>
    <w:rsid w:val="13D70B92"/>
    <w:rsid w:val="13DB7BB8"/>
    <w:rsid w:val="144C6861"/>
    <w:rsid w:val="14963A13"/>
    <w:rsid w:val="16AD3D6E"/>
    <w:rsid w:val="180843D9"/>
    <w:rsid w:val="18AC391B"/>
    <w:rsid w:val="193176A6"/>
    <w:rsid w:val="1AE85E2E"/>
    <w:rsid w:val="1BA853F9"/>
    <w:rsid w:val="1BBA7EB3"/>
    <w:rsid w:val="1C2011D7"/>
    <w:rsid w:val="1C4E099B"/>
    <w:rsid w:val="1C9058F9"/>
    <w:rsid w:val="1D7500F5"/>
    <w:rsid w:val="1DA62122"/>
    <w:rsid w:val="1DE23EA8"/>
    <w:rsid w:val="1DFF2A29"/>
    <w:rsid w:val="1EC11861"/>
    <w:rsid w:val="1F036085"/>
    <w:rsid w:val="1F3758C2"/>
    <w:rsid w:val="1F8B1E0A"/>
    <w:rsid w:val="20A46E47"/>
    <w:rsid w:val="21634ED2"/>
    <w:rsid w:val="233451D3"/>
    <w:rsid w:val="24CE58FB"/>
    <w:rsid w:val="252457D5"/>
    <w:rsid w:val="25CF751D"/>
    <w:rsid w:val="26DE2A42"/>
    <w:rsid w:val="26F05B26"/>
    <w:rsid w:val="2714048A"/>
    <w:rsid w:val="2779782C"/>
    <w:rsid w:val="284C48AB"/>
    <w:rsid w:val="285039BB"/>
    <w:rsid w:val="287439B8"/>
    <w:rsid w:val="2889739E"/>
    <w:rsid w:val="28C476E8"/>
    <w:rsid w:val="2B2306BB"/>
    <w:rsid w:val="2B2C5EED"/>
    <w:rsid w:val="2BFF040B"/>
    <w:rsid w:val="2C010425"/>
    <w:rsid w:val="2C0F7B1E"/>
    <w:rsid w:val="2C4877BE"/>
    <w:rsid w:val="2C821B5F"/>
    <w:rsid w:val="2CE43857"/>
    <w:rsid w:val="2D4339A9"/>
    <w:rsid w:val="2D9C7479"/>
    <w:rsid w:val="2E020CB1"/>
    <w:rsid w:val="2FC8761F"/>
    <w:rsid w:val="30FC441A"/>
    <w:rsid w:val="31D252A4"/>
    <w:rsid w:val="32217FF4"/>
    <w:rsid w:val="33FB5AAC"/>
    <w:rsid w:val="34386D33"/>
    <w:rsid w:val="346C3AE4"/>
    <w:rsid w:val="359C038A"/>
    <w:rsid w:val="36462E1C"/>
    <w:rsid w:val="366542CC"/>
    <w:rsid w:val="36A02CEF"/>
    <w:rsid w:val="36C606B0"/>
    <w:rsid w:val="37C919B2"/>
    <w:rsid w:val="383B5633"/>
    <w:rsid w:val="38880714"/>
    <w:rsid w:val="38AA2124"/>
    <w:rsid w:val="3940188D"/>
    <w:rsid w:val="396A3EF5"/>
    <w:rsid w:val="3AA16843"/>
    <w:rsid w:val="3B515F88"/>
    <w:rsid w:val="3CA55C22"/>
    <w:rsid w:val="3D12218E"/>
    <w:rsid w:val="3D4B2BF8"/>
    <w:rsid w:val="3D97101B"/>
    <w:rsid w:val="3DC35179"/>
    <w:rsid w:val="3DDF47A4"/>
    <w:rsid w:val="3E26663E"/>
    <w:rsid w:val="3E485A72"/>
    <w:rsid w:val="3F1A134C"/>
    <w:rsid w:val="404225EC"/>
    <w:rsid w:val="40643B96"/>
    <w:rsid w:val="40882F6C"/>
    <w:rsid w:val="409C2A7F"/>
    <w:rsid w:val="40EA2E20"/>
    <w:rsid w:val="41410DB3"/>
    <w:rsid w:val="41907F10"/>
    <w:rsid w:val="4317255F"/>
    <w:rsid w:val="44C8534A"/>
    <w:rsid w:val="45044305"/>
    <w:rsid w:val="46A50AEB"/>
    <w:rsid w:val="46ED55AE"/>
    <w:rsid w:val="47375C9B"/>
    <w:rsid w:val="47BE22BD"/>
    <w:rsid w:val="47CF53F2"/>
    <w:rsid w:val="48463164"/>
    <w:rsid w:val="488C5A70"/>
    <w:rsid w:val="48AF6437"/>
    <w:rsid w:val="48B468FC"/>
    <w:rsid w:val="48BF6586"/>
    <w:rsid w:val="48E46E87"/>
    <w:rsid w:val="4A40403A"/>
    <w:rsid w:val="4C577574"/>
    <w:rsid w:val="4CB655E8"/>
    <w:rsid w:val="4CF06CAF"/>
    <w:rsid w:val="4DAD1F94"/>
    <w:rsid w:val="4DBC55B0"/>
    <w:rsid w:val="4F0652A8"/>
    <w:rsid w:val="4F0D444B"/>
    <w:rsid w:val="4F9B33D1"/>
    <w:rsid w:val="518700E5"/>
    <w:rsid w:val="52903097"/>
    <w:rsid w:val="52CD28F3"/>
    <w:rsid w:val="53760E0E"/>
    <w:rsid w:val="54BF72D1"/>
    <w:rsid w:val="55D27ECA"/>
    <w:rsid w:val="55EF657B"/>
    <w:rsid w:val="55F11F59"/>
    <w:rsid w:val="563F2A11"/>
    <w:rsid w:val="56861064"/>
    <w:rsid w:val="56B4712B"/>
    <w:rsid w:val="57336621"/>
    <w:rsid w:val="57493558"/>
    <w:rsid w:val="574A1967"/>
    <w:rsid w:val="57815E3B"/>
    <w:rsid w:val="57C7000E"/>
    <w:rsid w:val="588756C5"/>
    <w:rsid w:val="593E2004"/>
    <w:rsid w:val="59403D16"/>
    <w:rsid w:val="59E67CE5"/>
    <w:rsid w:val="5A900FF3"/>
    <w:rsid w:val="5AA870C5"/>
    <w:rsid w:val="5B2E1FCB"/>
    <w:rsid w:val="5B522619"/>
    <w:rsid w:val="5B5469F8"/>
    <w:rsid w:val="5B5762AC"/>
    <w:rsid w:val="5B67183B"/>
    <w:rsid w:val="5C231588"/>
    <w:rsid w:val="5CF50AD2"/>
    <w:rsid w:val="5D7F3C2C"/>
    <w:rsid w:val="5DE314A5"/>
    <w:rsid w:val="5EFB2F11"/>
    <w:rsid w:val="5FBA33E4"/>
    <w:rsid w:val="60997EAC"/>
    <w:rsid w:val="609E0E89"/>
    <w:rsid w:val="60CA1DF7"/>
    <w:rsid w:val="61F52C7D"/>
    <w:rsid w:val="623B0E32"/>
    <w:rsid w:val="62605469"/>
    <w:rsid w:val="630279C7"/>
    <w:rsid w:val="63912B14"/>
    <w:rsid w:val="63B465DE"/>
    <w:rsid w:val="63E30435"/>
    <w:rsid w:val="64265A5F"/>
    <w:rsid w:val="642A7B4E"/>
    <w:rsid w:val="646E31B3"/>
    <w:rsid w:val="65310BC1"/>
    <w:rsid w:val="65B0180F"/>
    <w:rsid w:val="672755B4"/>
    <w:rsid w:val="677216B2"/>
    <w:rsid w:val="682813BE"/>
    <w:rsid w:val="68631C9E"/>
    <w:rsid w:val="68C774B2"/>
    <w:rsid w:val="68F970DD"/>
    <w:rsid w:val="69E203AF"/>
    <w:rsid w:val="6ACD505D"/>
    <w:rsid w:val="6B7569B5"/>
    <w:rsid w:val="6C1E1315"/>
    <w:rsid w:val="6C5549E5"/>
    <w:rsid w:val="6CF24C11"/>
    <w:rsid w:val="6DC71D1C"/>
    <w:rsid w:val="6DCC1A05"/>
    <w:rsid w:val="6EEB3706"/>
    <w:rsid w:val="6F1435A7"/>
    <w:rsid w:val="6FC45207"/>
    <w:rsid w:val="6FF95DF6"/>
    <w:rsid w:val="70035206"/>
    <w:rsid w:val="70047B14"/>
    <w:rsid w:val="71872A09"/>
    <w:rsid w:val="7487009A"/>
    <w:rsid w:val="74C319EE"/>
    <w:rsid w:val="75036F63"/>
    <w:rsid w:val="750D6838"/>
    <w:rsid w:val="75926A5F"/>
    <w:rsid w:val="76C40D86"/>
    <w:rsid w:val="771E76AA"/>
    <w:rsid w:val="77996E44"/>
    <w:rsid w:val="78F2F73C"/>
    <w:rsid w:val="7B7873D3"/>
    <w:rsid w:val="7C517B07"/>
    <w:rsid w:val="7C647E8E"/>
    <w:rsid w:val="7C723D8E"/>
    <w:rsid w:val="7CED0C4A"/>
    <w:rsid w:val="7D7D0BDB"/>
    <w:rsid w:val="7DE860B7"/>
    <w:rsid w:val="7DF779E1"/>
    <w:rsid w:val="7DF83072"/>
    <w:rsid w:val="7E4173A5"/>
    <w:rsid w:val="7E4A06C4"/>
    <w:rsid w:val="7EFD4AE7"/>
    <w:rsid w:val="7F3520D9"/>
    <w:rsid w:val="7F97EBEA"/>
    <w:rsid w:val="7FAF7BB9"/>
    <w:rsid w:val="8BDEE1E5"/>
    <w:rsid w:val="979F33B1"/>
    <w:rsid w:val="9DF7CFBF"/>
    <w:rsid w:val="B6972A85"/>
    <w:rsid w:val="B9ED3079"/>
    <w:rsid w:val="F0FB2589"/>
    <w:rsid w:val="FBD994D1"/>
    <w:rsid w:val="FD45B67A"/>
    <w:rsid w:val="FE3780DF"/>
    <w:rsid w:val="FFFFB3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snapToGrid w:val="0"/>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5"/>
    <w:basedOn w:val="1"/>
    <w:next w:val="1"/>
    <w:qFormat/>
    <w:uiPriority w:val="9"/>
    <w:pPr>
      <w:keepNext/>
      <w:keepLines/>
      <w:numPr>
        <w:ilvl w:val="4"/>
        <w:numId w:val="1"/>
      </w:numPr>
      <w:tabs>
        <w:tab w:val="left" w:pos="425"/>
        <w:tab w:val="left" w:pos="991"/>
        <w:tab w:val="left" w:pos="1008"/>
      </w:tabs>
      <w:spacing w:before="280" w:after="290" w:line="376"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after="200" w:line="276" w:lineRule="auto"/>
    </w:pPr>
    <w:rPr>
      <w:rFonts w:hint="eastAsia" w:ascii="微软雅黑" w:hAnsi="微软雅黑" w:eastAsia="微软雅黑" w:cs="Times New Roman"/>
      <w:color w:val="000000"/>
      <w:sz w:val="24"/>
      <w:szCs w:val="22"/>
      <w:lang w:val="en-US" w:eastAsia="zh-CN" w:bidi="ar-SA"/>
    </w:rPr>
  </w:style>
  <w:style w:type="paragraph" w:styleId="7">
    <w:name w:val="Normal Indent"/>
    <w:basedOn w:val="1"/>
    <w:qFormat/>
    <w:uiPriority w:val="0"/>
    <w:pPr>
      <w:ind w:firstLine="420"/>
    </w:pPr>
    <w:rPr>
      <w:rFonts w:ascii="Times New Roman" w:hAnsi="Times New Roman" w:cs="Times New Roman"/>
      <w:snapToGrid/>
      <w:kern w:val="2"/>
      <w:sz w:val="21"/>
      <w:szCs w:val="20"/>
    </w:rPr>
  </w:style>
  <w:style w:type="paragraph" w:styleId="8">
    <w:name w:val="Body Text"/>
    <w:basedOn w:val="1"/>
    <w:qFormat/>
    <w:uiPriority w:val="0"/>
    <w:pPr>
      <w:spacing w:line="380" w:lineRule="exact"/>
    </w:pPr>
    <w:rPr>
      <w:sz w:val="24"/>
    </w:rPr>
  </w:style>
  <w:style w:type="paragraph" w:styleId="9">
    <w:name w:val="Body Text Indent"/>
    <w:basedOn w:val="1"/>
    <w:qFormat/>
    <w:uiPriority w:val="0"/>
    <w:pPr>
      <w:spacing w:after="120"/>
      <w:ind w:left="420" w:leftChars="200"/>
    </w:pPr>
    <w:rPr>
      <w:kern w:val="0"/>
      <w:sz w:val="20"/>
    </w:rPr>
  </w:style>
  <w:style w:type="paragraph" w:styleId="10">
    <w:name w:val="Block Text"/>
    <w:basedOn w:val="1"/>
    <w:qFormat/>
    <w:uiPriority w:val="99"/>
    <w:pPr>
      <w:spacing w:line="400" w:lineRule="atLeast"/>
      <w:ind w:left="280" w:right="134" w:rightChars="134" w:firstLine="497"/>
    </w:pPr>
    <w:rPr>
      <w:rFonts w:ascii="宋体" w:hAnsi="宋体" w:eastAsia="楷体_GB2312"/>
      <w:sz w:val="24"/>
      <w:szCs w:val="20"/>
    </w:rPr>
  </w:style>
  <w:style w:type="paragraph" w:styleId="11">
    <w:name w:val="Plain Text"/>
    <w:basedOn w:val="1"/>
    <w:link w:val="21"/>
    <w:qFormat/>
    <w:uiPriority w:val="0"/>
    <w:rPr>
      <w:rFonts w:ascii="宋体" w:hAnsi="Courier New" w:cs="宋体"/>
      <w:snapToGrid/>
      <w:kern w:val="2"/>
      <w:sz w:val="21"/>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spacing w:before="100" w:beforeAutospacing="1" w:after="100" w:afterAutospacing="1"/>
      <w:jc w:val="left"/>
    </w:pPr>
    <w:rPr>
      <w:kern w:val="0"/>
      <w:sz w:val="24"/>
    </w:rPr>
  </w:style>
  <w:style w:type="paragraph" w:styleId="15">
    <w:name w:val="Body Text First Indent 2"/>
    <w:basedOn w:val="9"/>
    <w:qFormat/>
    <w:uiPriority w:val="0"/>
    <w:pPr>
      <w:ind w:firstLine="420" w:firstLineChars="200"/>
    </w:pPr>
    <w:rPr>
      <w:kern w:val="0"/>
      <w:sz w:val="20"/>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paragraph" w:customStyle="1" w:styleId="2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纯文本 Char"/>
    <w:basedOn w:val="18"/>
    <w:link w:val="11"/>
    <w:qFormat/>
    <w:uiPriority w:val="0"/>
    <w:rPr>
      <w:rFonts w:ascii="宋体" w:hAnsi="Courier New" w:cs="宋体"/>
      <w:kern w:val="2"/>
      <w:sz w:val="21"/>
      <w:szCs w:val="21"/>
    </w:rPr>
  </w:style>
  <w:style w:type="paragraph" w:customStyle="1" w:styleId="22">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3">
    <w:name w:val="正常"/>
    <w:basedOn w:val="24"/>
    <w:qFormat/>
    <w:uiPriority w:val="0"/>
    <w:rPr>
      <w:sz w:val="24"/>
    </w:rPr>
  </w:style>
  <w:style w:type="paragraph" w:customStyle="1" w:styleId="24">
    <w:name w:val="小正常"/>
    <w:basedOn w:val="1"/>
    <w:qFormat/>
    <w:uiPriority w:val="0"/>
    <w:rPr>
      <w:rFonts w:cs="Times New Roman"/>
      <w:sz w:val="20"/>
      <w:szCs w:val="20"/>
    </w:rPr>
  </w:style>
  <w:style w:type="character" w:customStyle="1" w:styleId="25">
    <w:name w:val="列出段落 Char"/>
    <w:link w:val="26"/>
    <w:qFormat/>
    <w:uiPriority w:val="0"/>
    <w:rPr>
      <w:rFonts w:ascii="MetaPlusLF" w:hAnsi="MetaPlusLF"/>
      <w:lang w:val="de-DE" w:eastAsia="de-DE"/>
    </w:rPr>
  </w:style>
  <w:style w:type="paragraph" w:styleId="26">
    <w:name w:val="List Paragraph"/>
    <w:basedOn w:val="1"/>
    <w:link w:val="25"/>
    <w:qFormat/>
    <w:uiPriority w:val="0"/>
    <w:pPr>
      <w:widowControl/>
      <w:ind w:firstLine="420" w:firstLineChars="200"/>
      <w:jc w:val="left"/>
    </w:pPr>
    <w:rPr>
      <w:rFonts w:ascii="MetaPlusLF" w:hAnsi="MetaPlusLF" w:cs="Times New Roman"/>
      <w:snapToGrid/>
      <w:sz w:val="20"/>
      <w:szCs w:val="20"/>
      <w:lang w:val="de-DE" w:eastAsia="de-DE"/>
    </w:rPr>
  </w:style>
  <w:style w:type="paragraph" w:customStyle="1" w:styleId="27">
    <w:name w:val="表格文字"/>
    <w:basedOn w:val="1"/>
    <w:next w:val="8"/>
    <w:qFormat/>
    <w:uiPriority w:val="0"/>
    <w:pPr>
      <w:adjustRightInd w:val="0"/>
      <w:spacing w:line="420" w:lineRule="atLeast"/>
      <w:textAlignment w:val="baseline"/>
    </w:pPr>
    <w:rPr>
      <w:szCs w:val="20"/>
    </w:rPr>
  </w:style>
  <w:style w:type="paragraph" w:customStyle="1" w:styleId="28">
    <w:name w:val="p16"/>
    <w:qFormat/>
    <w:uiPriority w:val="99"/>
    <w:pPr>
      <w:jc w:val="both"/>
    </w:pPr>
    <w:rPr>
      <w:rFonts w:ascii="宋体" w:hAnsi="宋体" w:eastAsia="宋体" w:cs="宋体"/>
      <w:color w:val="000000"/>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10661</Words>
  <Characters>10985</Characters>
  <Lines>9</Lines>
  <Paragraphs>2</Paragraphs>
  <TotalTime>3</TotalTime>
  <ScaleCrop>false</ScaleCrop>
  <LinksUpToDate>false</LinksUpToDate>
  <CharactersWithSpaces>11018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2024-04-10T08:20:00Z</dcterms:created>
  <dc:creator>guest</dc:creator>
  <cp:lastModifiedBy>Poppy 。</cp:lastModifiedBy>
  <cp:lastPrinted>2024-07-16T00:48:00Z</cp:lastPrinted>
  <dcterms:modified xsi:type="dcterms:W3CDTF">2025-05-08T10:20:10Z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A7E33C7A25CF4985A83B7FF424310CE7_12</vt:lpwstr>
  </property>
  <property fmtid="{D5CDD505-2E9C-101B-9397-08002B2CF9AE}" pid="4" name="KSOTemplateDocerSaveRecord">
    <vt:lpwstr>eyJoZGlkIjoiZDhkMzRlNGI4OWMyMDBhNmRlMDJmMDQ1NWY4MDg0NzkiLCJ1c2VySWQiOiIzMjkwNjc5MDkifQ==</vt:lpwstr>
  </property>
</Properties>
</file>