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utoSpaceDE w:val="0"/>
        <w:autoSpaceDN w:val="0"/>
        <w:spacing w:line="360" w:lineRule="auto"/>
        <w:jc w:val="both"/>
        <w:rPr>
          <w:rFonts w:hint="eastAsia" w:ascii="宋体" w:hAnsi="宋体" w:eastAsia="宋体" w:cs="宋体"/>
          <w:b/>
          <w:sz w:val="32"/>
          <w:szCs w:val="32"/>
        </w:rPr>
      </w:pPr>
    </w:p>
    <w:p>
      <w:pPr>
        <w:pStyle w:val="15"/>
        <w:spacing w:line="360" w:lineRule="auto"/>
        <w:rPr>
          <w:rFonts w:hint="eastAsia" w:ascii="宋体" w:hAnsi="宋体" w:eastAsia="宋体" w:cs="宋体"/>
          <w:sz w:val="32"/>
          <w:szCs w:val="32"/>
        </w:rPr>
      </w:pPr>
    </w:p>
    <w:p>
      <w:pPr>
        <w:spacing w:line="360" w:lineRule="auto"/>
        <w:rPr>
          <w:rFonts w:hint="eastAsia" w:ascii="宋体" w:hAnsi="宋体" w:eastAsia="宋体" w:cs="宋体"/>
        </w:rPr>
      </w:pPr>
    </w:p>
    <w:p>
      <w:pPr>
        <w:topLinePunct/>
        <w:autoSpaceDE w:val="0"/>
        <w:autoSpaceDN w:val="0"/>
        <w:spacing w:line="360" w:lineRule="auto"/>
        <w:jc w:val="center"/>
        <w:outlineLvl w:val="9"/>
        <w:rPr>
          <w:rFonts w:hint="eastAsia" w:ascii="宋体" w:hAnsi="宋体" w:eastAsia="宋体" w:cs="宋体"/>
          <w:bCs/>
          <w:sz w:val="84"/>
          <w:szCs w:val="84"/>
        </w:rPr>
      </w:pPr>
      <w:r>
        <w:rPr>
          <w:rFonts w:hint="eastAsia" w:ascii="宋体" w:hAnsi="宋体" w:eastAsia="宋体" w:cs="宋体"/>
          <w:bCs/>
          <w:sz w:val="84"/>
          <w:szCs w:val="84"/>
        </w:rPr>
        <w:t>招 标 文 件</w:t>
      </w:r>
    </w:p>
    <w:p>
      <w:pPr>
        <w:topLinePunct/>
        <w:autoSpaceDE w:val="0"/>
        <w:autoSpaceDN w:val="0"/>
        <w:spacing w:line="360" w:lineRule="auto"/>
        <w:jc w:val="center"/>
        <w:rPr>
          <w:rFonts w:hint="eastAsia" w:ascii="宋体" w:hAnsi="宋体" w:eastAsia="宋体" w:cs="宋体"/>
          <w:bCs/>
          <w:sz w:val="84"/>
          <w:szCs w:val="84"/>
        </w:rPr>
      </w:pPr>
    </w:p>
    <w:p>
      <w:pPr>
        <w:topLinePunct/>
        <w:autoSpaceDE w:val="0"/>
        <w:autoSpaceDN w:val="0"/>
        <w:snapToGrid w:val="0"/>
        <w:spacing w:line="360" w:lineRule="auto"/>
        <w:jc w:val="center"/>
        <w:rPr>
          <w:rFonts w:hint="eastAsia" w:ascii="宋体" w:hAnsi="宋体" w:eastAsia="宋体" w:cs="宋体"/>
          <w:bCs/>
          <w:sz w:val="84"/>
          <w:szCs w:val="84"/>
        </w:rPr>
      </w:pPr>
      <w:r>
        <w:rPr>
          <w:rFonts w:hint="eastAsia" w:ascii="宋体" w:hAnsi="宋体" w:eastAsia="宋体" w:cs="宋体"/>
          <w:bCs/>
          <w:sz w:val="84"/>
          <w:szCs w:val="84"/>
        </w:rPr>
        <w:t>（商务部分）</w:t>
      </w:r>
    </w:p>
    <w:p>
      <w:pPr>
        <w:spacing w:line="360" w:lineRule="auto"/>
        <w:rPr>
          <w:rFonts w:hint="eastAsia" w:ascii="宋体" w:hAnsi="宋体" w:eastAsia="宋体" w:cs="宋体"/>
          <w:sz w:val="32"/>
          <w:szCs w:val="32"/>
        </w:rPr>
      </w:pPr>
    </w:p>
    <w:p>
      <w:pPr>
        <w:pStyle w:val="15"/>
        <w:spacing w:line="360" w:lineRule="auto"/>
        <w:rPr>
          <w:rFonts w:hint="eastAsia" w:ascii="宋体" w:hAnsi="宋体" w:eastAsia="宋体" w:cs="宋体"/>
          <w:sz w:val="32"/>
          <w:szCs w:val="32"/>
          <w:highlight w:val="none"/>
        </w:rPr>
      </w:pPr>
    </w:p>
    <w:p>
      <w:pPr>
        <w:pStyle w:val="15"/>
        <w:spacing w:line="360" w:lineRule="auto"/>
        <w:rPr>
          <w:rFonts w:hint="eastAsia" w:ascii="宋体" w:hAnsi="宋体" w:eastAsia="宋体" w:cs="宋体"/>
          <w:sz w:val="32"/>
          <w:szCs w:val="32"/>
          <w:highlight w:val="none"/>
        </w:rPr>
      </w:pPr>
    </w:p>
    <w:p>
      <w:pPr>
        <w:spacing w:line="360" w:lineRule="auto"/>
        <w:jc w:val="cente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项目名称：</w:t>
      </w:r>
      <w:r>
        <w:rPr>
          <w:rFonts w:hint="eastAsia" w:ascii="宋体" w:hAnsi="宋体" w:eastAsia="宋体" w:cs="宋体"/>
          <w:sz w:val="32"/>
          <w:szCs w:val="32"/>
          <w:highlight w:val="none"/>
          <w:u w:val="single"/>
          <w:lang w:eastAsia="zh-CN"/>
        </w:rPr>
        <w:t>国家税务总局仙游县税务局物业管理项目（重新招标）</w:t>
      </w:r>
    </w:p>
    <w:p>
      <w:pPr>
        <w:spacing w:line="360" w:lineRule="auto"/>
        <w:jc w:val="center"/>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t>项目编号：</w:t>
      </w:r>
      <w:r>
        <w:rPr>
          <w:rFonts w:hint="eastAsia" w:ascii="宋体" w:hAnsi="宋体" w:eastAsia="宋体" w:cs="宋体"/>
          <w:sz w:val="32"/>
          <w:szCs w:val="32"/>
          <w:highlight w:val="none"/>
          <w:u w:val="single"/>
          <w:lang w:val="en-US" w:eastAsia="zh-CN"/>
        </w:rPr>
        <w:t>FJ2024-DLGK-C0078-B00</w:t>
      </w:r>
    </w:p>
    <w:p>
      <w:pPr>
        <w:spacing w:line="360" w:lineRule="auto"/>
        <w:jc w:val="cente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采 购 人：</w:t>
      </w:r>
      <w:r>
        <w:rPr>
          <w:rFonts w:hint="eastAsia" w:ascii="宋体" w:hAnsi="宋体" w:eastAsia="宋体" w:cs="宋体"/>
          <w:sz w:val="32"/>
          <w:szCs w:val="32"/>
          <w:highlight w:val="none"/>
          <w:u w:val="single"/>
          <w:lang w:eastAsia="zh-CN"/>
        </w:rPr>
        <w:t>国家税务总局仙游县税务局</w:t>
      </w:r>
    </w:p>
    <w:p>
      <w:pPr>
        <w:spacing w:line="360" w:lineRule="auto"/>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采购代理机构：</w:t>
      </w:r>
      <w:r>
        <w:rPr>
          <w:rFonts w:hint="eastAsia" w:ascii="宋体" w:hAnsi="宋体" w:eastAsia="宋体" w:cs="宋体"/>
          <w:sz w:val="32"/>
          <w:szCs w:val="32"/>
          <w:highlight w:val="none"/>
          <w:u w:val="single"/>
        </w:rPr>
        <w:t>福建省中通通信物流有限公司</w:t>
      </w:r>
    </w:p>
    <w:p>
      <w:pPr>
        <w:topLinePunct/>
        <w:autoSpaceDE w:val="0"/>
        <w:autoSpaceDN w:val="0"/>
        <w:spacing w:line="360" w:lineRule="auto"/>
        <w:rPr>
          <w:rFonts w:hint="eastAsia" w:ascii="宋体" w:hAnsi="宋体" w:eastAsia="宋体" w:cs="宋体"/>
          <w:b/>
          <w:bCs/>
          <w:sz w:val="32"/>
          <w:szCs w:val="32"/>
          <w:highlight w:val="none"/>
        </w:rPr>
      </w:pPr>
    </w:p>
    <w:p>
      <w:pPr>
        <w:topLinePunct/>
        <w:autoSpaceDE w:val="0"/>
        <w:autoSpaceDN w:val="0"/>
        <w:spacing w:line="360" w:lineRule="auto"/>
        <w:rPr>
          <w:rFonts w:hint="eastAsia" w:ascii="宋体" w:hAnsi="宋体" w:eastAsia="宋体" w:cs="宋体"/>
          <w:b/>
          <w:sz w:val="32"/>
          <w:szCs w:val="32"/>
          <w:highlight w:val="none"/>
        </w:rPr>
      </w:pPr>
    </w:p>
    <w:p>
      <w:pPr>
        <w:topLinePunct/>
        <w:autoSpaceDE w:val="0"/>
        <w:autoSpaceDN w:val="0"/>
        <w:spacing w:line="360" w:lineRule="auto"/>
        <w:jc w:val="cente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国家税务总局仙游县税务局</w:t>
      </w:r>
    </w:p>
    <w:p>
      <w:pPr>
        <w:topLinePunct/>
        <w:autoSpaceDE w:val="0"/>
        <w:autoSpaceDN w:val="0"/>
        <w:spacing w:line="360" w:lineRule="auto"/>
        <w:rPr>
          <w:rFonts w:hint="eastAsia" w:ascii="宋体" w:hAnsi="宋体" w:eastAsia="宋体" w:cs="宋体"/>
          <w:b/>
          <w:sz w:val="32"/>
          <w:szCs w:val="32"/>
          <w:highlight w:val="none"/>
        </w:rPr>
      </w:pPr>
    </w:p>
    <w:p>
      <w:pPr>
        <w:topLinePunct/>
        <w:autoSpaceDE w:val="0"/>
        <w:autoSpaceDN w:val="0"/>
        <w:spacing w:line="360" w:lineRule="auto"/>
        <w:jc w:val="center"/>
        <w:rPr>
          <w:rFonts w:hint="eastAsia" w:ascii="宋体" w:hAnsi="宋体" w:eastAsia="宋体" w:cs="宋体"/>
          <w:sz w:val="32"/>
          <w:szCs w:val="32"/>
          <w:highlight w:val="yellow"/>
        </w:rPr>
      </w:pPr>
      <w:r>
        <w:rPr>
          <w:rFonts w:hint="eastAsia" w:ascii="宋体" w:hAnsi="宋体" w:eastAsia="宋体" w:cs="宋体"/>
          <w:sz w:val="32"/>
          <w:szCs w:val="32"/>
          <w:highlight w:val="none"/>
          <w:u w:val="single"/>
          <w:lang w:val="en-US" w:eastAsia="zh-CN"/>
        </w:rPr>
        <w:t>2024</w:t>
      </w:r>
      <w:r>
        <w:rPr>
          <w:rFonts w:hint="eastAsia" w:ascii="宋体" w:hAnsi="宋体" w:eastAsia="宋体" w:cs="宋体"/>
          <w:sz w:val="32"/>
          <w:szCs w:val="32"/>
          <w:highlight w:val="none"/>
        </w:rPr>
        <w:t>年</w:t>
      </w:r>
      <w:r>
        <w:rPr>
          <w:rFonts w:hint="eastAsia" w:ascii="宋体" w:hAnsi="宋体" w:eastAsia="宋体" w:cs="宋体"/>
          <w:sz w:val="32"/>
          <w:szCs w:val="32"/>
          <w:highlight w:val="none"/>
          <w:u w:val="single"/>
          <w:lang w:val="en-US" w:eastAsia="zh-CN"/>
        </w:rPr>
        <w:t>09</w:t>
      </w:r>
      <w:r>
        <w:rPr>
          <w:rFonts w:hint="eastAsia" w:ascii="宋体" w:hAnsi="宋体" w:eastAsia="宋体" w:cs="宋体"/>
          <w:sz w:val="32"/>
          <w:szCs w:val="32"/>
          <w:highlight w:val="none"/>
        </w:rPr>
        <w:t>月</w:t>
      </w:r>
      <w:r>
        <w:rPr>
          <w:rFonts w:hint="eastAsia" w:ascii="宋体" w:hAnsi="宋体" w:eastAsia="宋体" w:cs="宋体"/>
          <w:sz w:val="32"/>
          <w:szCs w:val="32"/>
          <w:highlight w:val="none"/>
          <w:u w:val="single"/>
          <w:lang w:val="en-US" w:eastAsia="zh-CN"/>
        </w:rPr>
        <w:t>03</w:t>
      </w:r>
      <w:r>
        <w:rPr>
          <w:rFonts w:hint="eastAsia" w:ascii="宋体" w:hAnsi="宋体" w:eastAsia="宋体" w:cs="宋体"/>
          <w:sz w:val="32"/>
          <w:szCs w:val="32"/>
          <w:highlight w:val="none"/>
        </w:rPr>
        <w:t>日</w:t>
      </w:r>
      <w:r>
        <w:rPr>
          <w:rFonts w:hint="eastAsia" w:ascii="宋体" w:hAnsi="宋体" w:eastAsia="宋体" w:cs="宋体"/>
          <w:sz w:val="32"/>
          <w:szCs w:val="32"/>
          <w:highlight w:val="yellow"/>
        </w:rPr>
        <w:br w:type="page"/>
      </w:r>
    </w:p>
    <w:p>
      <w:pPr>
        <w:spacing w:line="360" w:lineRule="auto"/>
        <w:jc w:val="center"/>
        <w:rPr>
          <w:rFonts w:hint="eastAsia" w:ascii="宋体" w:hAnsi="宋体" w:eastAsia="宋体" w:cs="宋体"/>
          <w:sz w:val="24"/>
          <w:szCs w:val="24"/>
        </w:rPr>
      </w:pPr>
      <w:r>
        <w:rPr>
          <w:rFonts w:hint="eastAsia" w:ascii="宋体" w:hAnsi="宋体" w:eastAsia="宋体" w:cs="宋体"/>
          <w:b/>
          <w:bCs/>
          <w:sz w:val="28"/>
          <w:szCs w:val="28"/>
          <w:lang w:val="zh-CN"/>
        </w:rPr>
        <w:t>目  录</w:t>
      </w:r>
    </w:p>
    <w:p>
      <w:pPr>
        <w:pStyle w:val="22"/>
        <w:tabs>
          <w:tab w:val="right" w:leader="dot" w:pos="840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_Toc16396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第一章  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_Toc16396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40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_Toc10700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第二章</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_Toc10700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40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_Toc17395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第三章  评标方法及标准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_Toc17395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40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_Toc15819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第四章  政府采购合同文本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_Toc15819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40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_Toc4640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第五章</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_Toc4640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40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_Toc28520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第六章  项目采购需求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_Toc28520 \h </w:instrText>
      </w:r>
      <w:r>
        <w:rPr>
          <w:rFonts w:hint="eastAsia" w:ascii="宋体" w:hAnsi="宋体" w:eastAsia="宋体" w:cs="宋体"/>
          <w:sz w:val="24"/>
          <w:szCs w:val="24"/>
        </w:rPr>
        <w:fldChar w:fldCharType="separate"/>
      </w:r>
      <w:r>
        <w:rPr>
          <w:rFonts w:hint="eastAsia" w:ascii="宋体" w:hAnsi="宋体" w:eastAsia="宋体" w:cs="宋体"/>
          <w:sz w:val="24"/>
          <w:szCs w:val="24"/>
        </w:rPr>
        <w:t>78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spacing w:line="360" w:lineRule="auto"/>
        <w:rPr>
          <w:rFonts w:hint="eastAsia" w:ascii="宋体" w:hAnsi="宋体" w:eastAsia="宋体" w:cs="宋体"/>
          <w:sz w:val="24"/>
          <w:szCs w:val="24"/>
        </w:rPr>
      </w:pPr>
      <w:r>
        <w:rPr>
          <w:rFonts w:hint="eastAsia" w:ascii="宋体" w:hAnsi="宋体" w:eastAsia="宋体" w:cs="宋体"/>
          <w:sz w:val="24"/>
          <w:szCs w:val="24"/>
        </w:rPr>
        <w:fldChar w:fldCharType="end"/>
      </w: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rPr>
      </w:pPr>
    </w:p>
    <w:p>
      <w:pPr>
        <w:spacing w:line="360" w:lineRule="auto"/>
        <w:rPr>
          <w:rFonts w:hint="eastAsia" w:ascii="宋体" w:hAnsi="宋体" w:eastAsia="宋体" w:cs="宋体"/>
        </w:rPr>
        <w:sectPr>
          <w:footerReference r:id="rId6" w:type="first"/>
          <w:footerReference r:id="rId4" w:type="default"/>
          <w:headerReference r:id="rId3" w:type="even"/>
          <w:footerReference r:id="rId5" w:type="even"/>
          <w:pgSz w:w="11906" w:h="16838"/>
          <w:pgMar w:top="1440" w:right="1752" w:bottom="1440" w:left="1752" w:header="851" w:footer="992" w:gutter="0"/>
          <w:cols w:space="720" w:num="1"/>
          <w:titlePg/>
          <w:docGrid w:type="lines" w:linePitch="312" w:charSpace="0"/>
        </w:sectPr>
      </w:pPr>
    </w:p>
    <w:p>
      <w:pPr>
        <w:spacing w:line="360" w:lineRule="auto"/>
        <w:jc w:val="center"/>
        <w:outlineLvl w:val="0"/>
        <w:rPr>
          <w:rFonts w:hint="eastAsia" w:ascii="宋体" w:hAnsi="宋体" w:eastAsia="宋体" w:cs="宋体"/>
          <w:b/>
          <w:bCs/>
          <w:sz w:val="28"/>
          <w:szCs w:val="28"/>
        </w:rPr>
      </w:pPr>
      <w:bookmarkStart w:id="0" w:name="_Toc16396"/>
      <w:r>
        <w:rPr>
          <w:rFonts w:hint="eastAsia" w:ascii="宋体" w:hAnsi="宋体" w:eastAsia="宋体" w:cs="宋体"/>
          <w:b/>
          <w:bCs/>
          <w:sz w:val="28"/>
          <w:szCs w:val="28"/>
        </w:rPr>
        <w:t>第一章  投标邀请</w:t>
      </w:r>
      <w:bookmarkEnd w:id="0"/>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szCs w:val="21"/>
        </w:rPr>
      </w:pPr>
      <w:r>
        <w:rPr>
          <w:rFonts w:hint="eastAsia" w:ascii="宋体" w:hAnsi="宋体" w:eastAsia="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u w:val="single"/>
          <w:lang w:eastAsia="zh-CN"/>
        </w:rPr>
        <w:t>国家税务总局仙游县税务局物业管理项目（重新招标）</w:t>
      </w:r>
      <w:r>
        <w:rPr>
          <w:rFonts w:hint="eastAsia" w:ascii="宋体" w:hAnsi="宋体" w:eastAsia="宋体" w:cs="宋体"/>
          <w:szCs w:val="21"/>
          <w:highlight w:val="none"/>
        </w:rPr>
        <w:t>的潜在投标人应在</w:t>
      </w:r>
      <w:r>
        <w:rPr>
          <w:rFonts w:hint="eastAsia" w:ascii="宋体" w:hAnsi="宋体" w:eastAsia="宋体" w:cs="宋体"/>
          <w:szCs w:val="21"/>
          <w:highlight w:val="none"/>
          <w:u w:val="single"/>
        </w:rPr>
        <w:t>采购代理机构电子招投标平台（https://zb.chinaccsscm.cn/）</w:t>
      </w:r>
      <w:r>
        <w:rPr>
          <w:rFonts w:hint="eastAsia" w:ascii="宋体" w:hAnsi="宋体" w:eastAsia="宋体" w:cs="宋体"/>
          <w:szCs w:val="21"/>
          <w:highlight w:val="none"/>
        </w:rPr>
        <w:t>获取招标文件，并于</w:t>
      </w:r>
      <w:r>
        <w:rPr>
          <w:rFonts w:hint="eastAsia" w:ascii="宋体" w:hAnsi="宋体" w:eastAsia="宋体" w:cs="宋体"/>
          <w:szCs w:val="21"/>
          <w:highlight w:val="none"/>
          <w:u w:val="single"/>
        </w:rPr>
        <w:t>2024年09月2</w:t>
      </w:r>
      <w:r>
        <w:rPr>
          <w:rFonts w:hint="eastAsia" w:ascii="宋体" w:hAnsi="宋体" w:eastAsia="宋体" w:cs="宋体"/>
          <w:szCs w:val="21"/>
          <w:highlight w:val="none"/>
          <w:u w:val="single"/>
          <w:lang w:val="en-US" w:eastAsia="zh-CN"/>
        </w:rPr>
        <w:t>4</w:t>
      </w:r>
      <w:r>
        <w:rPr>
          <w:rFonts w:hint="eastAsia" w:ascii="宋体" w:hAnsi="宋体" w:eastAsia="宋体" w:cs="宋体"/>
          <w:szCs w:val="21"/>
          <w:highlight w:val="none"/>
          <w:u w:val="single"/>
        </w:rPr>
        <w:t>日09点00分</w:t>
      </w:r>
      <w:r>
        <w:rPr>
          <w:rFonts w:hint="eastAsia" w:ascii="宋体" w:hAnsi="宋体" w:eastAsia="宋体" w:cs="宋体"/>
          <w:bCs/>
          <w:szCs w:val="21"/>
          <w:highlight w:val="none"/>
          <w:u w:val="none"/>
        </w:rPr>
        <w:t>（</w:t>
      </w:r>
      <w:r>
        <w:rPr>
          <w:rFonts w:hint="eastAsia" w:ascii="宋体" w:hAnsi="宋体" w:eastAsia="宋体" w:cs="宋体"/>
          <w:bCs/>
          <w:szCs w:val="21"/>
          <w:highlight w:val="none"/>
        </w:rPr>
        <w:t>北京时间）前递交投标文件</w:t>
      </w:r>
      <w:r>
        <w:rPr>
          <w:rFonts w:hint="eastAsia" w:ascii="宋体" w:hAnsi="宋体" w:eastAsia="宋体" w:cs="宋体"/>
          <w:szCs w:val="21"/>
          <w:highlight w:val="none"/>
        </w:rPr>
        <w:t>。</w:t>
      </w:r>
    </w:p>
    <w:p>
      <w:pPr>
        <w:spacing w:beforeLines="50" w:afterLines="50" w:line="360" w:lineRule="auto"/>
        <w:outlineLvl w:val="1"/>
        <w:rPr>
          <w:rFonts w:hint="eastAsia" w:ascii="宋体" w:hAnsi="宋体" w:eastAsia="宋体" w:cs="宋体"/>
          <w:b/>
          <w:bCs/>
          <w:szCs w:val="21"/>
        </w:rPr>
      </w:pPr>
      <w:bookmarkStart w:id="1" w:name="_Toc17552"/>
      <w:r>
        <w:rPr>
          <w:rFonts w:hint="eastAsia" w:ascii="宋体" w:hAnsi="宋体" w:eastAsia="宋体" w:cs="宋体"/>
          <w:b/>
          <w:bCs/>
          <w:szCs w:val="21"/>
        </w:rPr>
        <w:t>一、项目基本情况</w:t>
      </w:r>
      <w:bookmarkEnd w:id="1"/>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项目编号：</w:t>
      </w:r>
      <w:r>
        <w:rPr>
          <w:rFonts w:hint="eastAsia" w:ascii="宋体" w:hAnsi="宋体" w:eastAsia="宋体" w:cs="宋体"/>
          <w:szCs w:val="21"/>
          <w:highlight w:val="none"/>
          <w:lang w:val="en-US" w:eastAsia="zh-CN"/>
        </w:rPr>
        <w:t>FJ2024-DLGK-C0078-B00</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项目名称：</w:t>
      </w:r>
      <w:r>
        <w:rPr>
          <w:rFonts w:hint="eastAsia" w:ascii="宋体" w:hAnsi="宋体" w:eastAsia="宋体" w:cs="宋体"/>
          <w:szCs w:val="21"/>
          <w:highlight w:val="none"/>
          <w:lang w:eastAsia="zh-CN"/>
        </w:rPr>
        <w:t>国家税务总局仙游县税务局物业管理项目（重新招标）</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预算金额：</w:t>
      </w:r>
      <w:r>
        <w:rPr>
          <w:rFonts w:hint="eastAsia" w:ascii="宋体" w:hAnsi="宋体" w:eastAsia="宋体" w:cs="宋体"/>
          <w:szCs w:val="21"/>
          <w:highlight w:val="none"/>
          <w:lang w:eastAsia="zh-CN"/>
        </w:rPr>
        <w:t>250</w:t>
      </w:r>
      <w:r>
        <w:rPr>
          <w:rFonts w:hint="eastAsia" w:ascii="宋体" w:hAnsi="宋体" w:eastAsia="宋体" w:cs="宋体"/>
          <w:szCs w:val="21"/>
          <w:highlight w:val="none"/>
        </w:rPr>
        <w:t>万元（人民币）</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最高限价：</w:t>
      </w:r>
      <w:r>
        <w:rPr>
          <w:rFonts w:hint="eastAsia" w:ascii="宋体" w:hAnsi="宋体" w:eastAsia="宋体" w:cs="宋体"/>
          <w:szCs w:val="21"/>
          <w:highlight w:val="none"/>
          <w:lang w:eastAsia="zh-CN"/>
        </w:rPr>
        <w:t>250</w:t>
      </w:r>
      <w:r>
        <w:rPr>
          <w:rFonts w:hint="eastAsia" w:ascii="宋体" w:hAnsi="宋体" w:eastAsia="宋体" w:cs="宋体"/>
          <w:szCs w:val="21"/>
          <w:highlight w:val="none"/>
        </w:rPr>
        <w:t>万元（人民币）</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采购需求：</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723"/>
        <w:gridCol w:w="3446"/>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500" w:type="pct"/>
            <w:tcBorders>
              <w:top w:val="single" w:color="auto" w:sz="4" w:space="0"/>
              <w:left w:val="single" w:color="auto" w:sz="4" w:space="0"/>
              <w:bottom w:val="single" w:color="auto" w:sz="4" w:space="0"/>
              <w:right w:val="single" w:color="auto" w:sz="4" w:space="0"/>
            </w:tcBorders>
            <w:noWrap w:val="0"/>
            <w:vAlign w:val="center"/>
          </w:tcPr>
          <w:p>
            <w:pPr>
              <w:pStyle w:val="18"/>
              <w:snapToGrid w:val="0"/>
              <w:spacing w:line="36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合同包</w:t>
            </w:r>
          </w:p>
        </w:tc>
        <w:tc>
          <w:tcPr>
            <w:tcW w:w="1000" w:type="pct"/>
            <w:tcBorders>
              <w:top w:val="single" w:color="auto" w:sz="4" w:space="0"/>
              <w:left w:val="single" w:color="auto" w:sz="4" w:space="0"/>
              <w:bottom w:val="single" w:color="auto" w:sz="4" w:space="0"/>
              <w:right w:val="single" w:color="auto" w:sz="4" w:space="0"/>
            </w:tcBorders>
            <w:noWrap w:val="0"/>
            <w:vAlign w:val="center"/>
          </w:tcPr>
          <w:p>
            <w:pPr>
              <w:pStyle w:val="18"/>
              <w:snapToGrid w:val="0"/>
              <w:spacing w:line="36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项目名称</w:t>
            </w:r>
          </w:p>
        </w:tc>
        <w:tc>
          <w:tcPr>
            <w:tcW w:w="2000" w:type="pct"/>
            <w:tcBorders>
              <w:top w:val="single" w:color="auto" w:sz="4" w:space="0"/>
              <w:left w:val="single" w:color="auto" w:sz="4" w:space="0"/>
              <w:bottom w:val="single" w:color="auto" w:sz="4" w:space="0"/>
              <w:right w:val="single" w:color="auto" w:sz="4" w:space="0"/>
            </w:tcBorders>
            <w:noWrap w:val="0"/>
            <w:vAlign w:val="center"/>
          </w:tcPr>
          <w:p>
            <w:pPr>
              <w:pStyle w:val="18"/>
              <w:snapToGrid w:val="0"/>
              <w:spacing w:line="36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采购内容及要求</w:t>
            </w:r>
          </w:p>
        </w:tc>
        <w:tc>
          <w:tcPr>
            <w:tcW w:w="750" w:type="pct"/>
            <w:tcBorders>
              <w:top w:val="single" w:color="auto" w:sz="4" w:space="0"/>
              <w:left w:val="single" w:color="auto" w:sz="4" w:space="0"/>
              <w:bottom w:val="single" w:color="auto" w:sz="4" w:space="0"/>
              <w:right w:val="single" w:color="auto" w:sz="4" w:space="0"/>
            </w:tcBorders>
            <w:noWrap w:val="0"/>
            <w:vAlign w:val="center"/>
          </w:tcPr>
          <w:p>
            <w:pPr>
              <w:pStyle w:val="18"/>
              <w:snapToGrid w:val="0"/>
              <w:spacing w:line="36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最高限价</w:t>
            </w:r>
          </w:p>
        </w:tc>
        <w:tc>
          <w:tcPr>
            <w:tcW w:w="750" w:type="pct"/>
            <w:tcBorders>
              <w:top w:val="single" w:color="auto" w:sz="4" w:space="0"/>
              <w:left w:val="single" w:color="auto" w:sz="4" w:space="0"/>
              <w:bottom w:val="single" w:color="auto" w:sz="4" w:space="0"/>
              <w:right w:val="single" w:color="auto" w:sz="4" w:space="0"/>
            </w:tcBorders>
            <w:noWrap w:val="0"/>
            <w:vAlign w:val="center"/>
          </w:tcPr>
          <w:p>
            <w:pPr>
              <w:pStyle w:val="18"/>
              <w:snapToGrid w:val="0"/>
              <w:spacing w:line="36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5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890"/>
              </w:tabs>
              <w:spacing w:line="360" w:lineRule="auto"/>
              <w:ind w:right="0" w:rightChars="0"/>
              <w:jc w:val="center"/>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w:t>
            </w:r>
          </w:p>
        </w:tc>
        <w:tc>
          <w:tcPr>
            <w:tcW w:w="10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890"/>
              </w:tabs>
              <w:spacing w:line="360" w:lineRule="auto"/>
              <w:ind w:right="0" w:rightChars="0"/>
              <w:jc w:val="center"/>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国家税务总局仙游县税务局物业管理采购项目</w:t>
            </w:r>
          </w:p>
        </w:tc>
        <w:tc>
          <w:tcPr>
            <w:tcW w:w="20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890"/>
              </w:tabs>
              <w:spacing w:line="360" w:lineRule="auto"/>
              <w:ind w:right="0" w:rightChars="0"/>
              <w:jc w:val="left"/>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国家税务总局仙游县税务局共6处办公场所，包括综合办公楼、附属楼、各类会议室、活动场所、电教室、广场、道路、景观、绿化等物业管理服务。</w:t>
            </w:r>
          </w:p>
        </w:tc>
        <w:tc>
          <w:tcPr>
            <w:tcW w:w="7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890"/>
              </w:tabs>
              <w:spacing w:line="360" w:lineRule="auto"/>
              <w:ind w:right="0" w:rightChars="0"/>
              <w:jc w:val="center"/>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250万元</w:t>
            </w:r>
          </w:p>
        </w:tc>
        <w:tc>
          <w:tcPr>
            <w:tcW w:w="7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4890"/>
              </w:tabs>
              <w:spacing w:line="360" w:lineRule="auto"/>
              <w:ind w:right="0" w:rightChars="0"/>
              <w:jc w:val="center"/>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24个月</w:t>
            </w:r>
          </w:p>
        </w:tc>
      </w:tr>
    </w:tbl>
    <w:p>
      <w:pPr>
        <w:pStyle w:val="37"/>
        <w:rPr>
          <w:rFonts w:hint="eastAsia" w:ascii="宋体" w:hAnsi="宋体" w:eastAsia="宋体" w:cs="宋体"/>
        </w:rPr>
      </w:pPr>
    </w:p>
    <w:tbl>
      <w:tblPr>
        <w:tblStyle w:val="2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2"/>
        <w:gridCol w:w="1292"/>
        <w:gridCol w:w="2154"/>
        <w:gridCol w:w="1292"/>
        <w:gridCol w:w="1292"/>
        <w:gridCol w:w="17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00" w:type="pct"/>
            <w:noWrap w:val="0"/>
            <w:vAlign w:val="center"/>
          </w:tcPr>
          <w:p>
            <w:pPr>
              <w:pStyle w:val="18"/>
              <w:snapToGrid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品目号</w:t>
            </w:r>
          </w:p>
        </w:tc>
        <w:tc>
          <w:tcPr>
            <w:tcW w:w="750" w:type="pct"/>
            <w:noWrap w:val="0"/>
            <w:vAlign w:val="center"/>
          </w:tcPr>
          <w:p>
            <w:pPr>
              <w:pStyle w:val="18"/>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250" w:type="pct"/>
            <w:noWrap w:val="0"/>
            <w:vAlign w:val="center"/>
          </w:tcPr>
          <w:p>
            <w:pPr>
              <w:pStyle w:val="18"/>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基本情况</w:t>
            </w:r>
          </w:p>
        </w:tc>
        <w:tc>
          <w:tcPr>
            <w:tcW w:w="750" w:type="pct"/>
            <w:noWrap w:val="0"/>
            <w:vAlign w:val="center"/>
          </w:tcPr>
          <w:p>
            <w:pPr>
              <w:pStyle w:val="18"/>
              <w:snapToGrid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最高限价</w:t>
            </w:r>
          </w:p>
        </w:tc>
        <w:tc>
          <w:tcPr>
            <w:tcW w:w="750" w:type="pct"/>
            <w:noWrap w:val="0"/>
            <w:vAlign w:val="center"/>
          </w:tcPr>
          <w:p>
            <w:pPr>
              <w:pStyle w:val="18"/>
              <w:snapToGrid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服务期</w:t>
            </w:r>
          </w:p>
        </w:tc>
        <w:tc>
          <w:tcPr>
            <w:tcW w:w="1000" w:type="pct"/>
            <w:noWrap w:val="0"/>
            <w:vAlign w:val="center"/>
          </w:tcPr>
          <w:p>
            <w:pPr>
              <w:pStyle w:val="18"/>
              <w:snapToGrid w:val="0"/>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rPr>
              <w:t>计划服务期（具体以合同约定为准）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00" w:type="pct"/>
            <w:noWrap w:val="0"/>
            <w:vAlign w:val="center"/>
          </w:tcPr>
          <w:p>
            <w:pPr>
              <w:pStyle w:val="18"/>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1</w:t>
            </w:r>
          </w:p>
        </w:tc>
        <w:tc>
          <w:tcPr>
            <w:tcW w:w="750" w:type="pct"/>
            <w:noWrap w:val="0"/>
            <w:vAlign w:val="center"/>
          </w:tcPr>
          <w:p>
            <w:pPr>
              <w:keepNext w:val="0"/>
              <w:keepLines w:val="0"/>
              <w:pageBreakBefore w:val="0"/>
              <w:tabs>
                <w:tab w:val="center" w:pos="4890"/>
              </w:tabs>
              <w:spacing w:line="360" w:lineRule="auto"/>
              <w:ind w:right="0" w:rightChars="0"/>
              <w:jc w:val="center"/>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国家税务总局仙游县税务局县局机关物业管理服务采购</w:t>
            </w:r>
          </w:p>
        </w:tc>
        <w:tc>
          <w:tcPr>
            <w:tcW w:w="1250" w:type="pct"/>
            <w:noWrap w:val="0"/>
            <w:vAlign w:val="center"/>
          </w:tcPr>
          <w:p>
            <w:pPr>
              <w:keepNext w:val="0"/>
              <w:keepLines w:val="0"/>
              <w:pageBreakBefore w:val="0"/>
              <w:tabs>
                <w:tab w:val="center" w:pos="4890"/>
              </w:tabs>
              <w:spacing w:line="360" w:lineRule="auto"/>
              <w:ind w:right="0" w:rightChars="0"/>
              <w:jc w:val="left"/>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1.仙游县税务局位于仙游县鲤南镇城南东路268号。</w:t>
            </w:r>
          </w:p>
          <w:p>
            <w:pPr>
              <w:keepNext w:val="0"/>
              <w:keepLines w:val="0"/>
              <w:pageBreakBefore w:val="0"/>
              <w:tabs>
                <w:tab w:val="center" w:pos="4890"/>
              </w:tabs>
              <w:spacing w:line="360" w:lineRule="auto"/>
              <w:ind w:right="0" w:rightChars="0"/>
              <w:jc w:val="left"/>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2.仙游县税务局机关办公楼共11层楼，附属楼共4层楼，总建筑面积约7900㎡。</w:t>
            </w:r>
          </w:p>
        </w:tc>
        <w:tc>
          <w:tcPr>
            <w:tcW w:w="750" w:type="pct"/>
            <w:noWrap w:val="0"/>
            <w:vAlign w:val="center"/>
          </w:tcPr>
          <w:p>
            <w:pPr>
              <w:keepNext w:val="0"/>
              <w:keepLines w:val="0"/>
              <w:pageBreakBefore w:val="0"/>
              <w:tabs>
                <w:tab w:val="center" w:pos="4890"/>
              </w:tabs>
              <w:spacing w:line="360" w:lineRule="auto"/>
              <w:ind w:right="0" w:rightChars="0"/>
              <w:jc w:val="center"/>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95万元</w:t>
            </w:r>
          </w:p>
        </w:tc>
        <w:tc>
          <w:tcPr>
            <w:tcW w:w="750" w:type="pct"/>
            <w:noWrap w:val="0"/>
            <w:vAlign w:val="center"/>
          </w:tcPr>
          <w:p>
            <w:pPr>
              <w:keepNext w:val="0"/>
              <w:keepLines w:val="0"/>
              <w:pageBreakBefore w:val="0"/>
              <w:tabs>
                <w:tab w:val="center" w:pos="4890"/>
              </w:tabs>
              <w:spacing w:line="360" w:lineRule="auto"/>
              <w:ind w:right="0" w:rightChars="0"/>
              <w:jc w:val="center"/>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24个月</w:t>
            </w:r>
          </w:p>
        </w:tc>
        <w:tc>
          <w:tcPr>
            <w:tcW w:w="1000" w:type="pct"/>
            <w:noWrap w:val="0"/>
            <w:vAlign w:val="center"/>
          </w:tcPr>
          <w:p>
            <w:pPr>
              <w:keepNext w:val="0"/>
              <w:keepLines w:val="0"/>
              <w:pageBreakBefore w:val="0"/>
              <w:tabs>
                <w:tab w:val="center" w:pos="4890"/>
              </w:tabs>
              <w:spacing w:line="360" w:lineRule="auto"/>
              <w:ind w:right="0" w:rightChars="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2024年10月1日至2026年9月30日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00" w:type="pct"/>
            <w:noWrap w:val="0"/>
            <w:vAlign w:val="center"/>
          </w:tcPr>
          <w:p>
            <w:pPr>
              <w:pStyle w:val="18"/>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750" w:type="pct"/>
            <w:noWrap w:val="0"/>
            <w:vAlign w:val="center"/>
          </w:tcPr>
          <w:p>
            <w:pPr>
              <w:keepNext w:val="0"/>
              <w:keepLines w:val="0"/>
              <w:pageBreakBefore w:val="0"/>
              <w:tabs>
                <w:tab w:val="center" w:pos="4890"/>
              </w:tabs>
              <w:spacing w:line="360" w:lineRule="auto"/>
              <w:ind w:right="0" w:rightChars="0"/>
              <w:jc w:val="center"/>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国家税务总局仙游县税务局鲤南办公区物业管理服务采购</w:t>
            </w:r>
          </w:p>
        </w:tc>
        <w:tc>
          <w:tcPr>
            <w:tcW w:w="1250" w:type="pct"/>
            <w:noWrap w:val="0"/>
            <w:vAlign w:val="center"/>
          </w:tcPr>
          <w:p>
            <w:pPr>
              <w:keepNext w:val="0"/>
              <w:keepLines w:val="0"/>
              <w:pageBreakBefore w:val="0"/>
              <w:tabs>
                <w:tab w:val="center" w:pos="4890"/>
              </w:tabs>
              <w:spacing w:line="360" w:lineRule="auto"/>
              <w:ind w:right="0" w:rightChars="0"/>
              <w:jc w:val="left"/>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1.仙游县税务局鲤南办公区位于仙游县鲤南镇八二五南街535号。</w:t>
            </w:r>
          </w:p>
          <w:p>
            <w:pPr>
              <w:keepNext w:val="0"/>
              <w:keepLines w:val="0"/>
              <w:pageBreakBefore w:val="0"/>
              <w:tabs>
                <w:tab w:val="center" w:pos="4890"/>
              </w:tabs>
              <w:spacing w:line="360" w:lineRule="auto"/>
              <w:ind w:right="0" w:rightChars="0"/>
              <w:jc w:val="left"/>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2.仙游县税务局鲤南办公区办公楼共11层楼，总建筑面积约5500㎡</w:t>
            </w:r>
          </w:p>
        </w:tc>
        <w:tc>
          <w:tcPr>
            <w:tcW w:w="750" w:type="pct"/>
            <w:noWrap w:val="0"/>
            <w:vAlign w:val="center"/>
          </w:tcPr>
          <w:p>
            <w:pPr>
              <w:keepNext w:val="0"/>
              <w:keepLines w:val="0"/>
              <w:pageBreakBefore w:val="0"/>
              <w:tabs>
                <w:tab w:val="center" w:pos="4890"/>
              </w:tabs>
              <w:spacing w:line="360" w:lineRule="auto"/>
              <w:ind w:right="0" w:rightChars="0"/>
              <w:jc w:val="center"/>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70万元</w:t>
            </w:r>
          </w:p>
        </w:tc>
        <w:tc>
          <w:tcPr>
            <w:tcW w:w="750" w:type="pct"/>
            <w:noWrap w:val="0"/>
            <w:vAlign w:val="center"/>
          </w:tcPr>
          <w:p>
            <w:pPr>
              <w:keepNext w:val="0"/>
              <w:keepLines w:val="0"/>
              <w:pageBreakBefore w:val="0"/>
              <w:tabs>
                <w:tab w:val="center" w:pos="4890"/>
              </w:tabs>
              <w:spacing w:line="360" w:lineRule="auto"/>
              <w:ind w:right="0" w:rightChars="0"/>
              <w:jc w:val="center"/>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24个月</w:t>
            </w:r>
          </w:p>
        </w:tc>
        <w:tc>
          <w:tcPr>
            <w:tcW w:w="1000" w:type="pct"/>
            <w:noWrap w:val="0"/>
            <w:vAlign w:val="center"/>
          </w:tcPr>
          <w:p>
            <w:pPr>
              <w:keepNext w:val="0"/>
              <w:keepLines w:val="0"/>
              <w:pageBreakBefore w:val="0"/>
              <w:tabs>
                <w:tab w:val="center" w:pos="4890"/>
              </w:tabs>
              <w:spacing w:line="360" w:lineRule="auto"/>
              <w:ind w:right="0" w:rightChars="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2024年10月1日至2026年9月30日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00" w:type="pct"/>
            <w:noWrap w:val="0"/>
            <w:vAlign w:val="center"/>
          </w:tcPr>
          <w:p>
            <w:pPr>
              <w:pStyle w:val="18"/>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750" w:type="pct"/>
            <w:noWrap w:val="0"/>
            <w:vAlign w:val="center"/>
          </w:tcPr>
          <w:p>
            <w:pPr>
              <w:keepNext w:val="0"/>
              <w:keepLines w:val="0"/>
              <w:pageBreakBefore w:val="0"/>
              <w:tabs>
                <w:tab w:val="center" w:pos="4890"/>
              </w:tabs>
              <w:spacing w:line="360" w:lineRule="auto"/>
              <w:ind w:right="0" w:rightChars="0"/>
              <w:jc w:val="center"/>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国家税务总局仙游县税务局鲤城税务分局物业管理服务采购</w:t>
            </w:r>
          </w:p>
        </w:tc>
        <w:tc>
          <w:tcPr>
            <w:tcW w:w="1250" w:type="pct"/>
            <w:noWrap w:val="0"/>
            <w:vAlign w:val="center"/>
          </w:tcPr>
          <w:p>
            <w:pPr>
              <w:keepNext w:val="0"/>
              <w:keepLines w:val="0"/>
              <w:pageBreakBefore w:val="0"/>
              <w:tabs>
                <w:tab w:val="center" w:pos="4890"/>
              </w:tabs>
              <w:spacing w:line="360" w:lineRule="auto"/>
              <w:ind w:right="0" w:rightChars="0"/>
              <w:jc w:val="left"/>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1.仙游县税务局鲤城税务分局位于仙游县园滨西路39号。</w:t>
            </w:r>
          </w:p>
          <w:p>
            <w:pPr>
              <w:keepNext w:val="0"/>
              <w:keepLines w:val="0"/>
              <w:pageBreakBefore w:val="0"/>
              <w:tabs>
                <w:tab w:val="center" w:pos="4890"/>
              </w:tabs>
              <w:spacing w:line="360" w:lineRule="auto"/>
              <w:ind w:right="0" w:rightChars="0"/>
              <w:jc w:val="left"/>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2.仙游县税务局鲤城税务分局办公楼共2层楼，总建筑面积约800㎡</w:t>
            </w:r>
          </w:p>
        </w:tc>
        <w:tc>
          <w:tcPr>
            <w:tcW w:w="750" w:type="pct"/>
            <w:noWrap w:val="0"/>
            <w:vAlign w:val="center"/>
          </w:tcPr>
          <w:p>
            <w:pPr>
              <w:keepNext w:val="0"/>
              <w:keepLines w:val="0"/>
              <w:pageBreakBefore w:val="0"/>
              <w:tabs>
                <w:tab w:val="center" w:pos="4890"/>
              </w:tabs>
              <w:spacing w:line="360" w:lineRule="auto"/>
              <w:ind w:right="0" w:rightChars="0"/>
              <w:jc w:val="center"/>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40万元</w:t>
            </w:r>
          </w:p>
        </w:tc>
        <w:tc>
          <w:tcPr>
            <w:tcW w:w="750" w:type="pct"/>
            <w:noWrap w:val="0"/>
            <w:vAlign w:val="center"/>
          </w:tcPr>
          <w:p>
            <w:pPr>
              <w:keepNext w:val="0"/>
              <w:keepLines w:val="0"/>
              <w:pageBreakBefore w:val="0"/>
              <w:tabs>
                <w:tab w:val="center" w:pos="4890"/>
              </w:tabs>
              <w:spacing w:line="360" w:lineRule="auto"/>
              <w:ind w:right="0" w:rightChars="0"/>
              <w:jc w:val="center"/>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24个月</w:t>
            </w:r>
          </w:p>
        </w:tc>
        <w:tc>
          <w:tcPr>
            <w:tcW w:w="1000" w:type="pct"/>
            <w:noWrap w:val="0"/>
            <w:vAlign w:val="center"/>
          </w:tcPr>
          <w:p>
            <w:pPr>
              <w:keepNext w:val="0"/>
              <w:keepLines w:val="0"/>
              <w:pageBreakBefore w:val="0"/>
              <w:tabs>
                <w:tab w:val="center" w:pos="4890"/>
              </w:tabs>
              <w:spacing w:line="360" w:lineRule="auto"/>
              <w:ind w:right="0" w:rightChars="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2024年10月1日至2026年9月30日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00" w:type="pct"/>
            <w:noWrap w:val="0"/>
            <w:vAlign w:val="center"/>
          </w:tcPr>
          <w:p>
            <w:pPr>
              <w:pStyle w:val="18"/>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750" w:type="pct"/>
            <w:noWrap w:val="0"/>
            <w:vAlign w:val="center"/>
          </w:tcPr>
          <w:p>
            <w:pPr>
              <w:keepNext w:val="0"/>
              <w:keepLines w:val="0"/>
              <w:pageBreakBefore w:val="0"/>
              <w:tabs>
                <w:tab w:val="center" w:pos="4890"/>
              </w:tabs>
              <w:spacing w:line="360" w:lineRule="auto"/>
              <w:ind w:right="0" w:rightChars="0"/>
              <w:jc w:val="center"/>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国家税务总局仙游县税务局榜头税务分局物业管理服务采购</w:t>
            </w:r>
          </w:p>
        </w:tc>
        <w:tc>
          <w:tcPr>
            <w:tcW w:w="1250" w:type="pct"/>
            <w:noWrap w:val="0"/>
            <w:vAlign w:val="center"/>
          </w:tcPr>
          <w:p>
            <w:pPr>
              <w:keepNext w:val="0"/>
              <w:keepLines w:val="0"/>
              <w:pageBreakBefore w:val="0"/>
              <w:tabs>
                <w:tab w:val="center" w:pos="4890"/>
              </w:tabs>
              <w:spacing w:line="360" w:lineRule="auto"/>
              <w:ind w:right="0" w:rightChars="0"/>
              <w:jc w:val="left"/>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1.仙游县税务局榜头税务分局位于仙游县榜头镇上乾村永昌西路117号。</w:t>
            </w:r>
          </w:p>
          <w:p>
            <w:pPr>
              <w:keepNext w:val="0"/>
              <w:keepLines w:val="0"/>
              <w:pageBreakBefore w:val="0"/>
              <w:tabs>
                <w:tab w:val="center" w:pos="4890"/>
              </w:tabs>
              <w:spacing w:line="360" w:lineRule="auto"/>
              <w:ind w:right="0" w:rightChars="0"/>
              <w:jc w:val="left"/>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2.仙游县税务局榜头分局办公楼共5层楼，总建筑面积约1800㎡</w:t>
            </w:r>
          </w:p>
        </w:tc>
        <w:tc>
          <w:tcPr>
            <w:tcW w:w="750" w:type="pct"/>
            <w:noWrap w:val="0"/>
            <w:vAlign w:val="center"/>
          </w:tcPr>
          <w:p>
            <w:pPr>
              <w:keepNext w:val="0"/>
              <w:keepLines w:val="0"/>
              <w:pageBreakBefore w:val="0"/>
              <w:tabs>
                <w:tab w:val="center" w:pos="4890"/>
              </w:tabs>
              <w:spacing w:line="360" w:lineRule="auto"/>
              <w:ind w:right="0" w:rightChars="0"/>
              <w:jc w:val="center"/>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15万元</w:t>
            </w:r>
          </w:p>
        </w:tc>
        <w:tc>
          <w:tcPr>
            <w:tcW w:w="750" w:type="pct"/>
            <w:noWrap w:val="0"/>
            <w:vAlign w:val="center"/>
          </w:tcPr>
          <w:p>
            <w:pPr>
              <w:keepNext w:val="0"/>
              <w:keepLines w:val="0"/>
              <w:pageBreakBefore w:val="0"/>
              <w:tabs>
                <w:tab w:val="center" w:pos="4890"/>
              </w:tabs>
              <w:spacing w:line="360" w:lineRule="auto"/>
              <w:ind w:right="0" w:rightChars="0"/>
              <w:jc w:val="center"/>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24个月</w:t>
            </w:r>
          </w:p>
        </w:tc>
        <w:tc>
          <w:tcPr>
            <w:tcW w:w="1000" w:type="pct"/>
            <w:noWrap w:val="0"/>
            <w:vAlign w:val="center"/>
          </w:tcPr>
          <w:p>
            <w:pPr>
              <w:keepNext w:val="0"/>
              <w:keepLines w:val="0"/>
              <w:pageBreakBefore w:val="0"/>
              <w:tabs>
                <w:tab w:val="center" w:pos="4890"/>
              </w:tabs>
              <w:spacing w:line="360" w:lineRule="auto"/>
              <w:ind w:right="0" w:rightChars="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2024年10月1日至2026年9月30日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00" w:type="pct"/>
            <w:noWrap w:val="0"/>
            <w:vAlign w:val="center"/>
          </w:tcPr>
          <w:p>
            <w:pPr>
              <w:pStyle w:val="18"/>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750" w:type="pct"/>
            <w:noWrap w:val="0"/>
            <w:vAlign w:val="center"/>
          </w:tcPr>
          <w:p>
            <w:pPr>
              <w:keepNext w:val="0"/>
              <w:keepLines w:val="0"/>
              <w:pageBreakBefore w:val="0"/>
              <w:tabs>
                <w:tab w:val="center" w:pos="4890"/>
              </w:tabs>
              <w:spacing w:line="360" w:lineRule="auto"/>
              <w:ind w:right="0" w:rightChars="0"/>
              <w:jc w:val="center"/>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国家税务总局仙游县税务局郊尾税务分局物业管理服务采购</w:t>
            </w:r>
          </w:p>
        </w:tc>
        <w:tc>
          <w:tcPr>
            <w:tcW w:w="1250" w:type="pct"/>
            <w:noWrap w:val="0"/>
            <w:vAlign w:val="center"/>
          </w:tcPr>
          <w:p>
            <w:pPr>
              <w:keepNext w:val="0"/>
              <w:keepLines w:val="0"/>
              <w:pageBreakBefore w:val="0"/>
              <w:tabs>
                <w:tab w:val="center" w:pos="4890"/>
              </w:tabs>
              <w:spacing w:line="360" w:lineRule="auto"/>
              <w:ind w:right="0" w:rightChars="0"/>
              <w:jc w:val="left"/>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1.仙游县税务局郊尾税务分局位于仙游县郊尾镇朝阳街33号。</w:t>
            </w:r>
          </w:p>
          <w:p>
            <w:pPr>
              <w:keepNext w:val="0"/>
              <w:keepLines w:val="0"/>
              <w:pageBreakBefore w:val="0"/>
              <w:tabs>
                <w:tab w:val="center" w:pos="4890"/>
              </w:tabs>
              <w:spacing w:line="360" w:lineRule="auto"/>
              <w:ind w:right="0" w:rightChars="0"/>
              <w:jc w:val="left"/>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2.仙游县税务局郊尾分局办公楼共5层楼，总建筑面积约2600㎡</w:t>
            </w:r>
          </w:p>
        </w:tc>
        <w:tc>
          <w:tcPr>
            <w:tcW w:w="750" w:type="pct"/>
            <w:noWrap w:val="0"/>
            <w:vAlign w:val="center"/>
          </w:tcPr>
          <w:p>
            <w:pPr>
              <w:keepNext w:val="0"/>
              <w:keepLines w:val="0"/>
              <w:pageBreakBefore w:val="0"/>
              <w:tabs>
                <w:tab w:val="center" w:pos="4890"/>
              </w:tabs>
              <w:spacing w:line="360" w:lineRule="auto"/>
              <w:ind w:right="0" w:rightChars="0"/>
              <w:jc w:val="center"/>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15万元</w:t>
            </w:r>
          </w:p>
        </w:tc>
        <w:tc>
          <w:tcPr>
            <w:tcW w:w="750" w:type="pct"/>
            <w:noWrap w:val="0"/>
            <w:vAlign w:val="center"/>
          </w:tcPr>
          <w:p>
            <w:pPr>
              <w:keepNext w:val="0"/>
              <w:keepLines w:val="0"/>
              <w:pageBreakBefore w:val="0"/>
              <w:tabs>
                <w:tab w:val="center" w:pos="4890"/>
              </w:tabs>
              <w:spacing w:line="360" w:lineRule="auto"/>
              <w:ind w:right="0" w:rightChars="0"/>
              <w:jc w:val="center"/>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24个月</w:t>
            </w:r>
          </w:p>
        </w:tc>
        <w:tc>
          <w:tcPr>
            <w:tcW w:w="1000" w:type="pct"/>
            <w:noWrap w:val="0"/>
            <w:vAlign w:val="center"/>
          </w:tcPr>
          <w:p>
            <w:pPr>
              <w:keepNext w:val="0"/>
              <w:keepLines w:val="0"/>
              <w:pageBreakBefore w:val="0"/>
              <w:tabs>
                <w:tab w:val="center" w:pos="4890"/>
              </w:tabs>
              <w:spacing w:line="360" w:lineRule="auto"/>
              <w:ind w:right="0" w:rightChars="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2024年10月1日至2026年9月30日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00" w:type="pct"/>
            <w:noWrap w:val="0"/>
            <w:vAlign w:val="center"/>
          </w:tcPr>
          <w:p>
            <w:pPr>
              <w:pStyle w:val="18"/>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750" w:type="pct"/>
            <w:noWrap w:val="0"/>
            <w:vAlign w:val="center"/>
          </w:tcPr>
          <w:p>
            <w:pPr>
              <w:keepNext w:val="0"/>
              <w:keepLines w:val="0"/>
              <w:pageBreakBefore w:val="0"/>
              <w:tabs>
                <w:tab w:val="center" w:pos="4890"/>
              </w:tabs>
              <w:spacing w:line="360" w:lineRule="auto"/>
              <w:ind w:right="0" w:rightChars="0"/>
              <w:jc w:val="center"/>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国家税务总局仙游县税务局枫亭税务分局物业管理服务采购</w:t>
            </w:r>
          </w:p>
        </w:tc>
        <w:tc>
          <w:tcPr>
            <w:tcW w:w="1250" w:type="pct"/>
            <w:noWrap w:val="0"/>
            <w:vAlign w:val="center"/>
          </w:tcPr>
          <w:p>
            <w:pPr>
              <w:keepNext w:val="0"/>
              <w:keepLines w:val="0"/>
              <w:pageBreakBefore w:val="0"/>
              <w:tabs>
                <w:tab w:val="center" w:pos="4890"/>
              </w:tabs>
              <w:spacing w:line="360" w:lineRule="auto"/>
              <w:ind w:right="0" w:rightChars="0"/>
              <w:jc w:val="left"/>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1.仙游县税务局枫亭分局位于仙游县枫亭镇枫亭西路508号。</w:t>
            </w:r>
          </w:p>
          <w:p>
            <w:pPr>
              <w:keepNext w:val="0"/>
              <w:keepLines w:val="0"/>
              <w:pageBreakBefore w:val="0"/>
              <w:tabs>
                <w:tab w:val="center" w:pos="4890"/>
              </w:tabs>
              <w:spacing w:line="360" w:lineRule="auto"/>
              <w:ind w:right="0" w:rightChars="0"/>
              <w:jc w:val="left"/>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2.仙游县税务局枫亭分局办公楼共5层楼，总建筑面积约2200㎡</w:t>
            </w:r>
          </w:p>
        </w:tc>
        <w:tc>
          <w:tcPr>
            <w:tcW w:w="750" w:type="pct"/>
            <w:noWrap w:val="0"/>
            <w:vAlign w:val="center"/>
          </w:tcPr>
          <w:p>
            <w:pPr>
              <w:keepNext w:val="0"/>
              <w:keepLines w:val="0"/>
              <w:pageBreakBefore w:val="0"/>
              <w:tabs>
                <w:tab w:val="center" w:pos="4890"/>
              </w:tabs>
              <w:spacing w:line="360" w:lineRule="auto"/>
              <w:ind w:right="0" w:rightChars="0"/>
              <w:jc w:val="center"/>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15万元</w:t>
            </w:r>
          </w:p>
        </w:tc>
        <w:tc>
          <w:tcPr>
            <w:tcW w:w="750" w:type="pct"/>
            <w:noWrap w:val="0"/>
            <w:vAlign w:val="center"/>
          </w:tcPr>
          <w:p>
            <w:pPr>
              <w:keepNext w:val="0"/>
              <w:keepLines w:val="0"/>
              <w:pageBreakBefore w:val="0"/>
              <w:tabs>
                <w:tab w:val="center" w:pos="4890"/>
              </w:tabs>
              <w:spacing w:line="360" w:lineRule="auto"/>
              <w:ind w:right="0" w:rightChars="0"/>
              <w:jc w:val="center"/>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24个月</w:t>
            </w:r>
          </w:p>
        </w:tc>
        <w:tc>
          <w:tcPr>
            <w:tcW w:w="1000" w:type="pct"/>
            <w:noWrap w:val="0"/>
            <w:vAlign w:val="center"/>
          </w:tcPr>
          <w:p>
            <w:pPr>
              <w:keepNext w:val="0"/>
              <w:keepLines w:val="0"/>
              <w:pageBreakBefore w:val="0"/>
              <w:tabs>
                <w:tab w:val="center" w:pos="4890"/>
              </w:tabs>
              <w:spacing w:line="360" w:lineRule="auto"/>
              <w:ind w:right="0" w:rightChars="0"/>
              <w:jc w:val="lef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2024年10月1日至2026年9月30日</w:t>
            </w:r>
          </w:p>
        </w:tc>
      </w:tr>
    </w:tbl>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eastAsia="zh-CN"/>
        </w:rPr>
        <w:t>（1）</w:t>
      </w:r>
      <w:r>
        <w:rPr>
          <w:rFonts w:hint="eastAsia" w:ascii="宋体" w:hAnsi="宋体" w:eastAsia="宋体" w:cs="宋体"/>
          <w:szCs w:val="21"/>
        </w:rPr>
        <w:t>投标人可按合同包报价，对采购项目基本情况表中的所有品目内容进行分项报价。评审与授标以合同包为单位。</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eastAsia="zh-CN"/>
        </w:rPr>
        <w:t>（2）</w:t>
      </w:r>
      <w:r>
        <w:rPr>
          <w:rFonts w:hint="eastAsia" w:ascii="宋体" w:hAnsi="宋体" w:eastAsia="宋体" w:cs="宋体"/>
          <w:szCs w:val="21"/>
        </w:rPr>
        <w:t>投标人报价应包含项目所涉及的有关项目费用进行报价，包括税金或其它应缴的费用。还要考虑到合同中可能出现的索赔和变更。</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eastAsia="zh-CN"/>
        </w:rPr>
        <w:t>（3）</w:t>
      </w:r>
      <w:r>
        <w:rPr>
          <w:rFonts w:hint="eastAsia" w:ascii="宋体" w:hAnsi="宋体" w:eastAsia="宋体" w:cs="宋体"/>
          <w:szCs w:val="21"/>
        </w:rPr>
        <w:t>本项目不允许中标人以任何名义和理由进行转包、分包，如有发现，采购人有权单方终止合同，视为中标人违约；中标人违约对采购人造成的损失的，需另行支付相应的赔偿。</w:t>
      </w:r>
    </w:p>
    <w:p>
      <w:pPr>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lang w:val="en-US" w:eastAsia="zh-CN"/>
        </w:rPr>
        <w:t>6.</w:t>
      </w:r>
      <w:r>
        <w:rPr>
          <w:rFonts w:hint="eastAsia" w:ascii="宋体" w:hAnsi="宋体" w:eastAsia="宋体" w:cs="宋体"/>
          <w:szCs w:val="21"/>
        </w:rPr>
        <w:t>合同履行期限：服务期为合同生效之日起2年（一年一签）。</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本项目</w:t>
      </w:r>
      <w:r>
        <w:rPr>
          <w:rFonts w:hint="eastAsia" w:ascii="宋体" w:hAnsi="宋体" w:eastAsia="宋体" w:cs="宋体"/>
          <w:szCs w:val="21"/>
          <w:lang w:val="en-US" w:eastAsia="zh-CN"/>
        </w:rPr>
        <w:t>不</w:t>
      </w:r>
      <w:r>
        <w:rPr>
          <w:rFonts w:hint="eastAsia" w:ascii="宋体" w:hAnsi="宋体" w:eastAsia="宋体" w:cs="宋体"/>
          <w:szCs w:val="21"/>
        </w:rPr>
        <w:t>接受联合体投标。</w:t>
      </w:r>
    </w:p>
    <w:p>
      <w:pPr>
        <w:spacing w:beforeLines="50" w:afterLines="50" w:line="360" w:lineRule="auto"/>
        <w:outlineLvl w:val="1"/>
        <w:rPr>
          <w:rFonts w:hint="eastAsia" w:ascii="宋体" w:hAnsi="宋体" w:eastAsia="宋体" w:cs="宋体"/>
          <w:b/>
          <w:bCs/>
          <w:szCs w:val="21"/>
          <w:lang w:eastAsia="zh-CN"/>
        </w:rPr>
      </w:pPr>
      <w:bookmarkStart w:id="2" w:name="_Toc6827"/>
      <w:r>
        <w:rPr>
          <w:rFonts w:hint="eastAsia" w:ascii="宋体" w:hAnsi="宋体" w:eastAsia="宋体" w:cs="宋体"/>
          <w:b/>
          <w:bCs/>
          <w:szCs w:val="21"/>
        </w:rPr>
        <w:t>二、</w:t>
      </w:r>
      <w:r>
        <w:rPr>
          <w:rFonts w:hint="eastAsia" w:ascii="宋体" w:hAnsi="宋体" w:eastAsia="宋体" w:cs="宋体"/>
          <w:b/>
          <w:bCs/>
          <w:szCs w:val="21"/>
          <w:lang w:val="en-US"/>
        </w:rPr>
        <w:t>申请人</w:t>
      </w:r>
      <w:r>
        <w:rPr>
          <w:rFonts w:hint="eastAsia" w:ascii="宋体" w:hAnsi="宋体" w:eastAsia="宋体" w:cs="宋体"/>
          <w:b/>
          <w:bCs/>
          <w:szCs w:val="21"/>
        </w:rPr>
        <w:t>的资格要求</w:t>
      </w:r>
      <w:bookmarkEnd w:id="2"/>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1.满足《中华人民共和国政府采购法》第二十二条规定</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2.落实政府采购政策需满足的资格要求：</w:t>
      </w:r>
    </w:p>
    <w:p>
      <w:pPr>
        <w:keepNext w:val="0"/>
        <w:keepLines w:val="0"/>
        <w:pageBreakBefore w:val="0"/>
        <w:kinsoku/>
        <w:wordWrap/>
        <w:overflowPunct/>
        <w:topLinePunct w:val="0"/>
        <w:autoSpaceDE/>
        <w:autoSpaceDN/>
        <w:bidi w:val="0"/>
        <w:adjustRightInd/>
        <w:snapToGrid/>
        <w:spacing w:after="0" w:line="360" w:lineRule="auto"/>
        <w:ind w:firstLine="42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2.1投标人要满足《中华人民共和国政府采购法》第二十二条规定，</w:t>
      </w:r>
      <w:r>
        <w:rPr>
          <w:rFonts w:hint="eastAsia" w:ascii="宋体" w:hAnsi="宋体" w:eastAsia="宋体" w:cs="宋体"/>
          <w:color w:val="auto"/>
          <w:sz w:val="21"/>
          <w:szCs w:val="21"/>
          <w:highlight w:val="none"/>
          <w:lang w:eastAsia="zh-CN"/>
        </w:rPr>
        <w:t>并提供下列材料：</w:t>
      </w:r>
    </w:p>
    <w:p>
      <w:pPr>
        <w:keepNext w:val="0"/>
        <w:keepLines w:val="0"/>
        <w:pageBreakBefore w:val="0"/>
        <w:kinsoku/>
        <w:wordWrap/>
        <w:overflowPunct/>
        <w:topLinePunct w:val="0"/>
        <w:autoSpaceDE/>
        <w:autoSpaceDN/>
        <w:bidi w:val="0"/>
        <w:adjustRightInd/>
        <w:snapToGrid/>
        <w:spacing w:after="0" w:line="360" w:lineRule="auto"/>
        <w:ind w:firstLine="42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（1）凡在中国境内注册，有能力提供本项目所述货物与服务的投标人（须提供合格有效的营业执照副本复印件）；</w:t>
      </w:r>
    </w:p>
    <w:p>
      <w:pPr>
        <w:keepNext w:val="0"/>
        <w:keepLines w:val="0"/>
        <w:pageBreakBefore w:val="0"/>
        <w:kinsoku/>
        <w:wordWrap/>
        <w:overflowPunct/>
        <w:topLinePunct w:val="0"/>
        <w:autoSpaceDE/>
        <w:autoSpaceDN/>
        <w:bidi w:val="0"/>
        <w:adjustRightInd/>
        <w:snapToGrid/>
        <w:spacing w:after="0" w:line="360" w:lineRule="auto"/>
        <w:ind w:firstLine="42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的财务状况报告【提供由会计师事务所出具的上一年度的审计报告（包括资产负债表、利润表、现金流量表、所有者权益变动表（若有）及其附注（若有）、会计师事务所营业执照和注册会计师资格证书）或银行出具的资信证明文件（资信证明注明“复印无效”的，须提供原件）等】；</w:t>
      </w:r>
    </w:p>
    <w:p>
      <w:pPr>
        <w:keepNext w:val="0"/>
        <w:keepLines w:val="0"/>
        <w:pageBreakBefore w:val="0"/>
        <w:kinsoku/>
        <w:wordWrap/>
        <w:overflowPunct/>
        <w:topLinePunct w:val="0"/>
        <w:autoSpaceDE/>
        <w:autoSpaceDN/>
        <w:bidi w:val="0"/>
        <w:adjustRightInd/>
        <w:snapToGrid/>
        <w:spacing w:after="0" w:line="360" w:lineRule="auto"/>
        <w:ind w:firstLine="420" w:firstLineChars="0"/>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投标人提供的财务状况报告(成立年限按照投标截止时间推算)应符合下列规定：a.成立年限满1年及以上的投标人，提供经审计的上一年度的年度财务报告。b.成立年限满半年但不足1年的投标人，提供该半年度中任一季度的季度财务报告或该半年度的半年度财务报告。c.无法按照以上a、b项规定提供财务报告复印件的投标人(包括但不限于:成立年限满1年及以上的投标人、成立年限满半年但不足1年的投标人、成立年限不足半年的投标人)，应选择提供资信证明复印件（</w:t>
      </w:r>
      <w:r>
        <w:rPr>
          <w:rFonts w:hint="eastAsia" w:ascii="宋体" w:hAnsi="宋体" w:eastAsia="宋体" w:cs="宋体"/>
          <w:color w:val="auto"/>
          <w:sz w:val="21"/>
          <w:szCs w:val="21"/>
          <w:highlight w:val="none"/>
          <w:lang w:val="en-US" w:eastAsia="zh-CN"/>
        </w:rPr>
        <w:t>资信证明注明“复印无效”的，须提供原件</w:t>
      </w:r>
      <w:r>
        <w:rPr>
          <w:rFonts w:hint="eastAsia" w:ascii="宋体" w:hAnsi="宋体" w:cs="宋体"/>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after="0" w:line="360" w:lineRule="auto"/>
        <w:ind w:firstLine="42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标人依法缴纳税收和社会保障资金：提供投标截止前六个月任意一个月依法缴纳税收和社会保障资金的相关材料，若为依法免税或不需要缴纳社会保障资金的投标人，应提供相应文件证明其依法免税或不需要缴纳社会保障资金；</w:t>
      </w:r>
    </w:p>
    <w:p>
      <w:pPr>
        <w:keepNext w:val="0"/>
        <w:keepLines w:val="0"/>
        <w:pageBreakBefore w:val="0"/>
        <w:kinsoku/>
        <w:wordWrap/>
        <w:overflowPunct/>
        <w:topLinePunct w:val="0"/>
        <w:autoSpaceDE/>
        <w:autoSpaceDN/>
        <w:bidi w:val="0"/>
        <w:adjustRightInd/>
        <w:snapToGrid/>
        <w:spacing w:after="0" w:line="360" w:lineRule="auto"/>
        <w:ind w:firstLine="42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（4）具备履行合同所必需的设备和专业技术能力的声明函；</w:t>
      </w:r>
    </w:p>
    <w:p>
      <w:pPr>
        <w:keepNext w:val="0"/>
        <w:keepLines w:val="0"/>
        <w:pageBreakBefore w:val="0"/>
        <w:kinsoku/>
        <w:wordWrap/>
        <w:overflowPunct/>
        <w:topLinePunct w:val="0"/>
        <w:autoSpaceDE/>
        <w:autoSpaceDN/>
        <w:bidi w:val="0"/>
        <w:adjustRightInd/>
        <w:snapToGrid/>
        <w:spacing w:after="0" w:line="360" w:lineRule="auto"/>
        <w:ind w:firstLine="42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（5）如由授权代表前来投标，须提供授权委托书原件，否则无需提供；</w:t>
      </w:r>
    </w:p>
    <w:p>
      <w:pPr>
        <w:keepNext w:val="0"/>
        <w:keepLines w:val="0"/>
        <w:pageBreakBefore w:val="0"/>
        <w:kinsoku/>
        <w:wordWrap/>
        <w:overflowPunct/>
        <w:topLinePunct w:val="0"/>
        <w:autoSpaceDE/>
        <w:autoSpaceDN/>
        <w:bidi w:val="0"/>
        <w:adjustRightInd/>
        <w:snapToGrid/>
        <w:spacing w:after="0" w:line="360" w:lineRule="auto"/>
        <w:ind w:firstLine="420" w:firstLineChars="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（6）参加政府采购活动前3年内在经营活动中没有重大违法记录（或者在参加政府采购活动前3年内因违法经营被禁止在一定期限内参加政府采购活动，期限已届满）的书面声明</w:t>
      </w:r>
      <w:r>
        <w:rPr>
          <w:rFonts w:hint="eastAsia" w:ascii="宋体" w:hAnsi="宋体" w:cs="宋体"/>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after="0" w:line="360" w:lineRule="auto"/>
        <w:ind w:firstLine="420" w:firstLine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被列入失信被执行人、重大税收违法案件当事人名单、政府采购严重违法失信行为记录名单及其他不符合《中华人民共和国政府采购法》第二十二条规定条件的供应商，不得参加本次投标。投标人针对“信用记录查询结果”可自主提供证明材料，未提供该证明材料的不视为无效投标。资格审查小组将通过“①信用中国”网站（www.creditchina.gov.cn）和②中国政府采购网（www.ccgp.gov.cn）查询并打印投标人信用记录，查询结果存在投标人应被拒绝参与政府采购活动相关信息的，其资格审查不合格。因上述网站原因导致资格审查小组无法查询投标人信用记录的（资格审查小组应将通过上述网站查询供应商信用记录时的原始页面打印后随采购文件一并存档），视为查询结果未存在投标人应被拒绝参与政府采购活动的相关信息。</w:t>
      </w:r>
    </w:p>
    <w:p>
      <w:pPr>
        <w:spacing w:line="360" w:lineRule="auto"/>
        <w:ind w:firstLine="42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本项目专门面向中小企业采购，①根据《政府采购促进中小企业发展管理办法》（财库〔2020〕46号）和《关于进一步加大政府采购支持中小企业力度的通知》（财库〔2022〕19号）文件规定，投标人须提供《中小企业声明函》。②监狱企业视同小型、微型企业，投标人为监狱企业的，可不提供《中小企业声明函》，但须提供由省级以上监狱管理局、戒毒管理局（含新疆生产建设兵团）出具的属于监狱企业的证明文件。③残疾人福利性单位视同小型、微型企业，供应商为残疾人福利性单位的，可不提供《中小企业声明函》，但须提供《残疾人福利性单位声明函》。</w:t>
      </w:r>
    </w:p>
    <w:p>
      <w:pPr>
        <w:spacing w:line="360" w:lineRule="auto"/>
        <w:ind w:firstLine="420" w:firstLineChars="0"/>
        <w:rPr>
          <w:rFonts w:hint="eastAsia" w:ascii="宋体" w:hAnsi="宋体" w:eastAsia="宋体" w:cs="宋体"/>
          <w:szCs w:val="21"/>
        </w:rPr>
      </w:pPr>
      <w:r>
        <w:rPr>
          <w:rFonts w:hint="eastAsia" w:ascii="宋体" w:hAnsi="宋体" w:eastAsia="宋体" w:cs="宋体"/>
          <w:color w:val="auto"/>
          <w:sz w:val="21"/>
          <w:szCs w:val="21"/>
          <w:highlight w:val="none"/>
          <w:lang w:val="en-US" w:eastAsia="zh-CN"/>
        </w:rPr>
        <w:t>3.本项目的特定资格要求：无。</w:t>
      </w:r>
    </w:p>
    <w:p>
      <w:pPr>
        <w:spacing w:beforeLines="50" w:afterLines="50" w:line="360" w:lineRule="auto"/>
        <w:outlineLvl w:val="1"/>
        <w:rPr>
          <w:rFonts w:hint="eastAsia" w:ascii="宋体" w:hAnsi="宋体" w:eastAsia="宋体" w:cs="宋体"/>
          <w:b/>
          <w:bCs/>
          <w:szCs w:val="21"/>
          <w:highlight w:val="none"/>
        </w:rPr>
      </w:pPr>
      <w:bookmarkStart w:id="3" w:name="_Toc14803"/>
      <w:r>
        <w:rPr>
          <w:rFonts w:hint="eastAsia" w:ascii="宋体" w:hAnsi="宋体" w:eastAsia="宋体" w:cs="宋体"/>
          <w:b/>
          <w:bCs/>
          <w:szCs w:val="21"/>
          <w:highlight w:val="none"/>
        </w:rPr>
        <w:t>三、获取招标文件</w:t>
      </w:r>
      <w:bookmarkEnd w:id="3"/>
    </w:p>
    <w:p>
      <w:pPr>
        <w:spacing w:line="360" w:lineRule="auto"/>
        <w:ind w:firstLine="54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时间：</w:t>
      </w:r>
      <w:r>
        <w:rPr>
          <w:rFonts w:hint="eastAsia" w:ascii="宋体" w:hAnsi="宋体" w:eastAsia="宋体" w:cs="宋体"/>
          <w:szCs w:val="21"/>
          <w:highlight w:val="none"/>
          <w:u w:val="single"/>
        </w:rPr>
        <w:t>2024年09月0</w:t>
      </w:r>
      <w:r>
        <w:rPr>
          <w:rFonts w:hint="eastAsia" w:ascii="宋体" w:hAnsi="宋体" w:eastAsia="宋体" w:cs="宋体"/>
          <w:szCs w:val="21"/>
          <w:highlight w:val="none"/>
          <w:u w:val="single"/>
          <w:lang w:val="en-US" w:eastAsia="zh-CN"/>
        </w:rPr>
        <w:t>4</w:t>
      </w:r>
      <w:r>
        <w:rPr>
          <w:rFonts w:hint="eastAsia" w:ascii="宋体" w:hAnsi="宋体" w:eastAsia="宋体" w:cs="宋体"/>
          <w:szCs w:val="21"/>
          <w:highlight w:val="none"/>
          <w:u w:val="single"/>
        </w:rPr>
        <w:t>日至2024年09月</w:t>
      </w:r>
      <w:r>
        <w:rPr>
          <w:rFonts w:hint="eastAsia" w:ascii="宋体" w:hAnsi="宋体" w:eastAsia="宋体" w:cs="宋体"/>
          <w:szCs w:val="21"/>
          <w:highlight w:val="none"/>
          <w:u w:val="single"/>
          <w:lang w:val="en-US" w:eastAsia="zh-CN"/>
        </w:rPr>
        <w:t>10</w:t>
      </w:r>
      <w:r>
        <w:rPr>
          <w:rFonts w:hint="eastAsia" w:ascii="宋体" w:hAnsi="宋体" w:eastAsia="宋体" w:cs="宋体"/>
          <w:szCs w:val="21"/>
          <w:highlight w:val="none"/>
          <w:u w:val="single"/>
        </w:rPr>
        <w:t>日，每天上午</w:t>
      </w:r>
      <w:r>
        <w:rPr>
          <w:rFonts w:hint="eastAsia" w:ascii="宋体" w:hAnsi="宋体" w:eastAsia="宋体" w:cs="宋体"/>
          <w:szCs w:val="21"/>
          <w:highlight w:val="none"/>
          <w:u w:val="single"/>
          <w:lang w:val="en-US" w:eastAsia="zh-CN"/>
        </w:rPr>
        <w:t>0</w:t>
      </w:r>
      <w:r>
        <w:rPr>
          <w:rFonts w:hint="eastAsia" w:ascii="宋体" w:hAnsi="宋体" w:eastAsia="宋体" w:cs="宋体"/>
          <w:szCs w:val="21"/>
          <w:highlight w:val="none"/>
          <w:u w:val="single"/>
        </w:rPr>
        <w:t>8:30至12:00</w:t>
      </w:r>
      <w:r>
        <w:rPr>
          <w:rFonts w:hint="eastAsia" w:ascii="宋体" w:hAnsi="宋体" w:eastAsia="宋体" w:cs="宋体"/>
          <w:szCs w:val="21"/>
          <w:highlight w:val="none"/>
          <w:u w:val="single"/>
          <w:lang w:eastAsia="zh-CN"/>
        </w:rPr>
        <w:t>，</w:t>
      </w:r>
      <w:r>
        <w:rPr>
          <w:rFonts w:hint="eastAsia" w:ascii="宋体" w:hAnsi="宋体" w:eastAsia="宋体" w:cs="宋体"/>
          <w:szCs w:val="21"/>
          <w:highlight w:val="none"/>
          <w:u w:val="single"/>
        </w:rPr>
        <w:t>下午12:00至17:30（北京时间，法定节假日除外）</w:t>
      </w:r>
      <w:r>
        <w:rPr>
          <w:rFonts w:hint="eastAsia" w:ascii="宋体" w:hAnsi="宋体" w:eastAsia="宋体" w:cs="宋体"/>
          <w:szCs w:val="21"/>
          <w:highlight w:val="none"/>
        </w:rPr>
        <w:t>。</w:t>
      </w:r>
    </w:p>
    <w:p>
      <w:pPr>
        <w:spacing w:line="360" w:lineRule="auto"/>
        <w:ind w:firstLine="540"/>
        <w:rPr>
          <w:rFonts w:hint="eastAsia" w:ascii="宋体" w:hAnsi="宋体" w:eastAsia="宋体" w:cs="宋体"/>
          <w:szCs w:val="21"/>
          <w:highlight w:val="none"/>
          <w:u w:val="singl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方式：使用采购代理机构电子招投标平台进行缴费及购买文件。关注采购代理机构电子招投标平台（https://zb.chinaccsscm.cn/）并根据提示完成注册、招标文件费用支付或关注“链捷招”的微信公众号，在“链捷招-投标”中根据提示完成招标文件费用支付（注册审核联系商务专员，电话：18060753032）。</w:t>
      </w:r>
    </w:p>
    <w:p>
      <w:pPr>
        <w:spacing w:line="360" w:lineRule="auto"/>
        <w:ind w:firstLine="540"/>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售价：￥0元。</w:t>
      </w:r>
    </w:p>
    <w:p>
      <w:pPr>
        <w:spacing w:beforeLines="50" w:afterLines="50" w:line="360" w:lineRule="auto"/>
        <w:outlineLvl w:val="1"/>
        <w:rPr>
          <w:rFonts w:hint="eastAsia" w:ascii="宋体" w:hAnsi="宋体" w:eastAsia="宋体" w:cs="宋体"/>
          <w:b/>
          <w:bCs/>
          <w:szCs w:val="21"/>
          <w:highlight w:val="none"/>
        </w:rPr>
      </w:pPr>
      <w:bookmarkStart w:id="4" w:name="_Toc21157"/>
      <w:r>
        <w:rPr>
          <w:rFonts w:hint="eastAsia" w:ascii="宋体" w:hAnsi="宋体" w:eastAsia="宋体" w:cs="宋体"/>
          <w:b/>
          <w:bCs/>
          <w:szCs w:val="21"/>
          <w:highlight w:val="none"/>
        </w:rPr>
        <w:t>四、提交投标文件截止时间、开标时间和地点</w:t>
      </w:r>
      <w:bookmarkEnd w:id="4"/>
    </w:p>
    <w:p>
      <w:pPr>
        <w:spacing w:line="360" w:lineRule="auto"/>
        <w:ind w:firstLine="420" w:firstLineChars="200"/>
        <w:rPr>
          <w:rFonts w:hint="eastAsia" w:ascii="宋体" w:hAnsi="宋体" w:eastAsia="宋体" w:cs="宋体"/>
          <w:bCs/>
          <w:szCs w:val="21"/>
          <w:highlight w:val="none"/>
          <w:u w:val="single"/>
        </w:rPr>
      </w:pPr>
      <w:r>
        <w:rPr>
          <w:rFonts w:hint="eastAsia" w:ascii="宋体" w:hAnsi="宋体" w:eastAsia="宋体" w:cs="宋体"/>
          <w:bCs/>
          <w:szCs w:val="21"/>
          <w:highlight w:val="none"/>
          <w:u w:val="single"/>
          <w:lang w:val="en-US" w:eastAsia="zh-CN"/>
        </w:rPr>
        <w:t>1.时间：</w:t>
      </w:r>
      <w:r>
        <w:rPr>
          <w:rFonts w:hint="eastAsia" w:ascii="宋体" w:hAnsi="宋体" w:eastAsia="宋体" w:cs="宋体"/>
          <w:bCs/>
          <w:szCs w:val="21"/>
          <w:highlight w:val="none"/>
          <w:u w:val="single"/>
        </w:rPr>
        <w:t>2024年09月2</w:t>
      </w:r>
      <w:r>
        <w:rPr>
          <w:rFonts w:hint="eastAsia" w:ascii="宋体" w:hAnsi="宋体" w:eastAsia="宋体" w:cs="宋体"/>
          <w:bCs/>
          <w:szCs w:val="21"/>
          <w:highlight w:val="none"/>
          <w:u w:val="single"/>
          <w:lang w:val="en-US" w:eastAsia="zh-CN"/>
        </w:rPr>
        <w:t>4</w:t>
      </w:r>
      <w:r>
        <w:rPr>
          <w:rFonts w:hint="eastAsia" w:ascii="宋体" w:hAnsi="宋体" w:eastAsia="宋体" w:cs="宋体"/>
          <w:bCs/>
          <w:szCs w:val="21"/>
          <w:highlight w:val="none"/>
          <w:u w:val="single"/>
        </w:rPr>
        <w:t>日09点00分</w:t>
      </w:r>
      <w:r>
        <w:rPr>
          <w:rFonts w:hint="eastAsia" w:ascii="宋体" w:hAnsi="宋体" w:eastAsia="宋体" w:cs="宋体"/>
          <w:bCs/>
          <w:szCs w:val="21"/>
          <w:highlight w:val="none"/>
        </w:rPr>
        <w:t>（北京时间）</w:t>
      </w:r>
    </w:p>
    <w:p>
      <w:pPr>
        <w:spacing w:line="360" w:lineRule="auto"/>
        <w:ind w:firstLine="420" w:firstLineChars="200"/>
        <w:rPr>
          <w:rFonts w:hint="eastAsia" w:ascii="宋体" w:hAnsi="宋体" w:eastAsia="宋体" w:cs="宋体"/>
          <w:bCs/>
          <w:szCs w:val="21"/>
          <w:highlight w:val="none"/>
          <w:u w:val="single"/>
          <w:lang w:eastAsia="zh-CN"/>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地点：福建省福州市仓山区信平路10号福建省中通通信物流有限公司6楼</w:t>
      </w:r>
      <w:r>
        <w:rPr>
          <w:rFonts w:hint="eastAsia" w:ascii="宋体" w:hAnsi="宋体" w:eastAsia="宋体" w:cs="宋体"/>
          <w:szCs w:val="21"/>
          <w:highlight w:val="none"/>
          <w:lang w:val="en-US" w:eastAsia="zh-CN"/>
        </w:rPr>
        <w:t>开标大厅</w:t>
      </w:r>
      <w:r>
        <w:rPr>
          <w:rFonts w:hint="eastAsia" w:ascii="宋体" w:hAnsi="宋体" w:eastAsia="宋体" w:cs="宋体"/>
          <w:szCs w:val="21"/>
          <w:highlight w:val="none"/>
          <w:lang w:eastAsia="zh-CN"/>
        </w:rPr>
        <w:t>。</w:t>
      </w:r>
    </w:p>
    <w:p>
      <w:pPr>
        <w:spacing w:beforeLines="50" w:afterLines="50" w:line="360" w:lineRule="auto"/>
        <w:outlineLvl w:val="1"/>
        <w:rPr>
          <w:rFonts w:hint="eastAsia" w:ascii="宋体" w:hAnsi="宋体" w:eastAsia="宋体" w:cs="宋体"/>
          <w:b/>
          <w:bCs/>
          <w:szCs w:val="21"/>
          <w:highlight w:val="none"/>
        </w:rPr>
      </w:pPr>
      <w:bookmarkStart w:id="5" w:name="_Toc21820"/>
      <w:r>
        <w:rPr>
          <w:rFonts w:hint="eastAsia" w:ascii="宋体" w:hAnsi="宋体" w:eastAsia="宋体" w:cs="宋体"/>
          <w:b/>
          <w:bCs/>
          <w:szCs w:val="21"/>
          <w:highlight w:val="none"/>
        </w:rPr>
        <w:t>五、公告期限</w:t>
      </w:r>
      <w:bookmarkEnd w:id="5"/>
    </w:p>
    <w:p>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自本公告发布之日起5个工作日。</w:t>
      </w:r>
    </w:p>
    <w:p>
      <w:pPr>
        <w:spacing w:beforeLines="50" w:afterLines="50" w:line="360" w:lineRule="auto"/>
        <w:outlineLvl w:val="1"/>
        <w:rPr>
          <w:rFonts w:hint="eastAsia" w:ascii="宋体" w:hAnsi="宋体" w:eastAsia="宋体" w:cs="宋体"/>
          <w:b/>
          <w:bCs/>
          <w:szCs w:val="21"/>
        </w:rPr>
      </w:pPr>
      <w:bookmarkStart w:id="6" w:name="_Toc5757"/>
      <w:r>
        <w:rPr>
          <w:rFonts w:hint="eastAsia" w:ascii="宋体" w:hAnsi="宋体" w:eastAsia="宋体" w:cs="宋体"/>
          <w:b/>
          <w:bCs/>
          <w:szCs w:val="21"/>
        </w:rPr>
        <w:t>六、其他补充事宜</w:t>
      </w:r>
      <w:bookmarkEnd w:id="6"/>
    </w:p>
    <w:p>
      <w:pPr>
        <w:spacing w:line="360" w:lineRule="auto"/>
        <w:ind w:left="495"/>
        <w:rPr>
          <w:rFonts w:hint="eastAsia" w:ascii="宋体" w:hAnsi="宋体" w:eastAsia="宋体" w:cs="宋体"/>
          <w:szCs w:val="21"/>
        </w:rPr>
      </w:pPr>
      <w:r>
        <w:rPr>
          <w:rFonts w:hint="eastAsia" w:ascii="宋体" w:hAnsi="宋体" w:eastAsia="宋体" w:cs="宋体"/>
          <w:szCs w:val="21"/>
        </w:rPr>
        <w:t>无。</w:t>
      </w:r>
    </w:p>
    <w:p>
      <w:pPr>
        <w:spacing w:beforeLines="50" w:afterLines="50" w:line="360" w:lineRule="auto"/>
        <w:outlineLvl w:val="1"/>
        <w:rPr>
          <w:rFonts w:hint="eastAsia" w:ascii="宋体" w:hAnsi="宋体" w:eastAsia="宋体" w:cs="宋体"/>
          <w:b/>
          <w:bCs/>
          <w:szCs w:val="21"/>
        </w:rPr>
      </w:pPr>
      <w:bookmarkStart w:id="7" w:name="_Toc10012"/>
      <w:r>
        <w:rPr>
          <w:rFonts w:hint="eastAsia" w:ascii="宋体" w:hAnsi="宋体" w:eastAsia="宋体" w:cs="宋体"/>
          <w:b/>
          <w:bCs/>
          <w:szCs w:val="21"/>
        </w:rPr>
        <w:t>七、对本次招标提出询问，请按以下方式联系。</w:t>
      </w:r>
      <w:bookmarkEnd w:id="7"/>
    </w:p>
    <w:p>
      <w:pPr>
        <w:widowControl/>
        <w:spacing w:line="360" w:lineRule="auto"/>
        <w:ind w:firstLine="420" w:firstLineChars="200"/>
        <w:jc w:val="left"/>
        <w:outlineLvl w:val="9"/>
        <w:rPr>
          <w:rFonts w:hint="eastAsia" w:ascii="宋体" w:hAnsi="宋体" w:eastAsia="宋体" w:cs="宋体"/>
          <w:szCs w:val="21"/>
        </w:rPr>
      </w:pPr>
      <w:r>
        <w:rPr>
          <w:rFonts w:hint="eastAsia" w:ascii="宋体" w:hAnsi="宋体" w:eastAsia="宋体" w:cs="宋体"/>
          <w:szCs w:val="21"/>
        </w:rPr>
        <w:t>1.采购人信息</w:t>
      </w:r>
    </w:p>
    <w:p>
      <w:pPr>
        <w:widowControl/>
        <w:spacing w:line="360" w:lineRule="auto"/>
        <w:ind w:firstLine="420" w:firstLineChars="200"/>
        <w:jc w:val="left"/>
        <w:rPr>
          <w:rFonts w:hint="eastAsia" w:ascii="宋体" w:hAnsi="宋体" w:eastAsia="宋体" w:cs="宋体"/>
          <w:szCs w:val="21"/>
          <w:lang w:eastAsia="zh-CN"/>
        </w:rPr>
      </w:pPr>
      <w:r>
        <w:rPr>
          <w:rFonts w:hint="eastAsia" w:ascii="宋体" w:hAnsi="宋体" w:eastAsia="宋体" w:cs="宋体"/>
          <w:szCs w:val="21"/>
        </w:rPr>
        <w:t>名    称：</w:t>
      </w:r>
      <w:r>
        <w:rPr>
          <w:rFonts w:hint="eastAsia" w:ascii="宋体" w:hAnsi="宋体" w:eastAsia="宋体" w:cs="宋体"/>
          <w:szCs w:val="21"/>
          <w:u w:val="single"/>
          <w:lang w:eastAsia="zh-CN"/>
        </w:rPr>
        <w:t>国家税务总局仙游县税务局</w:t>
      </w:r>
    </w:p>
    <w:p>
      <w:pPr>
        <w:widowControl/>
        <w:spacing w:line="360" w:lineRule="auto"/>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rPr>
        <w:t>地    址：</w:t>
      </w:r>
      <w:r>
        <w:rPr>
          <w:rFonts w:hint="eastAsia" w:ascii="宋体" w:hAnsi="宋体" w:eastAsia="宋体" w:cs="宋体"/>
          <w:szCs w:val="21"/>
          <w:highlight w:val="none"/>
          <w:u w:val="single"/>
          <w:lang w:val="en-US" w:eastAsia="zh-CN"/>
        </w:rPr>
        <w:t>福建省莆田市仙游县城南东路268号</w:t>
      </w:r>
    </w:p>
    <w:p>
      <w:pPr>
        <w:widowControl/>
        <w:spacing w:line="360" w:lineRule="auto"/>
        <w:ind w:firstLine="420" w:firstLineChars="200"/>
        <w:jc w:val="left"/>
        <w:rPr>
          <w:rFonts w:hint="eastAsia" w:ascii="宋体" w:hAnsi="宋体" w:eastAsia="宋体" w:cs="宋体"/>
          <w:szCs w:val="21"/>
          <w:highlight w:val="none"/>
          <w:u w:val="single"/>
          <w:lang w:val="en-US" w:eastAsia="zh-CN"/>
        </w:rPr>
      </w:pPr>
      <w:r>
        <w:rPr>
          <w:rFonts w:hint="eastAsia" w:ascii="宋体" w:hAnsi="宋体" w:eastAsia="宋体" w:cs="宋体"/>
          <w:szCs w:val="21"/>
          <w:highlight w:val="none"/>
        </w:rPr>
        <w:t>联系方式：</w:t>
      </w:r>
      <w:r>
        <w:rPr>
          <w:rFonts w:hint="eastAsia" w:ascii="宋体" w:hAnsi="宋体" w:eastAsia="宋体" w:cs="宋体"/>
          <w:szCs w:val="21"/>
          <w:highlight w:val="none"/>
          <w:u w:val="single"/>
          <w:lang w:val="en-US" w:eastAsia="zh-CN"/>
        </w:rPr>
        <w:t>陈女士、0594-8581959</w:t>
      </w:r>
    </w:p>
    <w:p>
      <w:pPr>
        <w:widowControl/>
        <w:spacing w:line="360" w:lineRule="auto"/>
        <w:ind w:firstLine="420" w:firstLineChars="200"/>
        <w:jc w:val="left"/>
        <w:outlineLvl w:val="9"/>
        <w:rPr>
          <w:rFonts w:hint="eastAsia" w:ascii="宋体" w:hAnsi="宋体" w:eastAsia="宋体" w:cs="宋体"/>
          <w:szCs w:val="21"/>
          <w:highlight w:val="none"/>
        </w:rPr>
      </w:pPr>
      <w:r>
        <w:rPr>
          <w:rFonts w:hint="eastAsia" w:ascii="宋体" w:hAnsi="宋体" w:eastAsia="宋体" w:cs="宋体"/>
          <w:szCs w:val="21"/>
          <w:highlight w:val="none"/>
        </w:rPr>
        <w:t>2.采购代理机构信息</w:t>
      </w:r>
    </w:p>
    <w:p>
      <w:pPr>
        <w:widowControl/>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名    称：</w:t>
      </w:r>
      <w:r>
        <w:rPr>
          <w:rFonts w:hint="eastAsia" w:ascii="宋体" w:hAnsi="宋体" w:eastAsia="宋体" w:cs="宋体"/>
          <w:szCs w:val="21"/>
          <w:highlight w:val="none"/>
          <w:u w:val="single"/>
        </w:rPr>
        <w:t>福建省中通通信物流有限公司</w:t>
      </w:r>
    </w:p>
    <w:p>
      <w:pPr>
        <w:widowControl/>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地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址：</w:t>
      </w:r>
      <w:r>
        <w:rPr>
          <w:rFonts w:hint="eastAsia" w:ascii="宋体" w:hAnsi="宋体" w:eastAsia="宋体" w:cs="宋体"/>
          <w:szCs w:val="21"/>
          <w:highlight w:val="none"/>
          <w:u w:val="single"/>
        </w:rPr>
        <w:t>福州市仓山区信平路10号</w:t>
      </w:r>
    </w:p>
    <w:p>
      <w:pPr>
        <w:widowControl/>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文件发售/接收</w:t>
      </w:r>
      <w:r>
        <w:rPr>
          <w:rFonts w:hint="eastAsia" w:ascii="宋体" w:hAnsi="宋体" w:eastAsia="宋体" w:cs="宋体"/>
          <w:szCs w:val="21"/>
          <w:highlight w:val="none"/>
          <w:lang w:val="en-US" w:eastAsia="zh-CN"/>
        </w:rPr>
        <w:t>联系人</w:t>
      </w:r>
      <w:r>
        <w:rPr>
          <w:rFonts w:hint="eastAsia" w:ascii="宋体" w:hAnsi="宋体" w:eastAsia="宋体" w:cs="宋体"/>
          <w:szCs w:val="21"/>
          <w:highlight w:val="none"/>
        </w:rPr>
        <w:t>：</w:t>
      </w:r>
      <w:r>
        <w:rPr>
          <w:rFonts w:hint="eastAsia" w:ascii="宋体" w:hAnsi="宋体" w:eastAsia="宋体" w:cs="宋体"/>
          <w:sz w:val="21"/>
          <w:szCs w:val="21"/>
          <w:highlight w:val="none"/>
          <w:u w:val="single"/>
        </w:rPr>
        <w:t>郑金梅</w:t>
      </w:r>
      <w:r>
        <w:rPr>
          <w:rFonts w:hint="eastAsia" w:ascii="宋体" w:hAnsi="宋体" w:eastAsia="宋体" w:cs="宋体"/>
          <w:sz w:val="21"/>
          <w:szCs w:val="21"/>
          <w:highlight w:val="none"/>
          <w:u w:val="single"/>
          <w:lang w:eastAsia="zh-CN"/>
        </w:rPr>
        <w:t>、18059039588</w:t>
      </w:r>
    </w:p>
    <w:p>
      <w:pPr>
        <w:widowControl/>
        <w:spacing w:line="360" w:lineRule="auto"/>
        <w:ind w:firstLine="420" w:firstLineChars="200"/>
        <w:jc w:val="left"/>
        <w:outlineLvl w:val="9"/>
        <w:rPr>
          <w:rFonts w:hint="eastAsia" w:ascii="宋体" w:hAnsi="宋体" w:eastAsia="宋体" w:cs="宋体"/>
          <w:szCs w:val="21"/>
          <w:highlight w:val="none"/>
          <w:u w:val="single"/>
        </w:rPr>
      </w:pPr>
      <w:r>
        <w:rPr>
          <w:rFonts w:hint="eastAsia" w:ascii="宋体" w:hAnsi="宋体" w:eastAsia="宋体" w:cs="宋体"/>
          <w:szCs w:val="21"/>
          <w:highlight w:val="none"/>
        </w:rPr>
        <w:t>3.项目联系方式</w:t>
      </w:r>
    </w:p>
    <w:p>
      <w:pPr>
        <w:widowControl/>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项目联系人：</w:t>
      </w:r>
      <w:r>
        <w:rPr>
          <w:rFonts w:hint="eastAsia" w:ascii="宋体" w:hAnsi="宋体" w:eastAsia="宋体" w:cs="宋体"/>
          <w:szCs w:val="21"/>
          <w:highlight w:val="none"/>
          <w:u w:val="single"/>
        </w:rPr>
        <w:t>叶炜翌、江济宇、陈锦兴</w:t>
      </w:r>
    </w:p>
    <w:p>
      <w:pPr>
        <w:widowControl/>
        <w:spacing w:line="360" w:lineRule="auto"/>
        <w:ind w:firstLine="420" w:firstLineChars="200"/>
        <w:jc w:val="left"/>
        <w:rPr>
          <w:rFonts w:hint="eastAsia" w:ascii="宋体" w:hAnsi="宋体" w:eastAsia="宋体" w:cs="宋体"/>
          <w:szCs w:val="21"/>
          <w:u w:val="single"/>
        </w:rPr>
      </w:pPr>
      <w:r>
        <w:rPr>
          <w:rFonts w:hint="eastAsia" w:ascii="宋体" w:hAnsi="宋体" w:eastAsia="宋体" w:cs="宋体"/>
          <w:szCs w:val="21"/>
        </w:rPr>
        <w:t>电</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话：</w:t>
      </w:r>
      <w:r>
        <w:rPr>
          <w:rFonts w:hint="eastAsia" w:ascii="宋体" w:hAnsi="宋体" w:eastAsia="宋体" w:cs="宋体"/>
          <w:szCs w:val="21"/>
          <w:u w:val="single"/>
        </w:rPr>
        <w:t>13805005551、13305007799、18960769669</w:t>
      </w:r>
    </w:p>
    <w:p>
      <w:pPr>
        <w:widowControl/>
        <w:spacing w:line="360" w:lineRule="auto"/>
        <w:ind w:firstLine="420" w:firstLineChars="200"/>
        <w:jc w:val="left"/>
        <w:rPr>
          <w:rFonts w:hint="eastAsia" w:ascii="宋体" w:hAnsi="宋体" w:eastAsia="宋体" w:cs="宋体"/>
          <w:highlight w:val="none"/>
        </w:rPr>
      </w:pPr>
      <w:r>
        <w:rPr>
          <w:rFonts w:hint="eastAsia" w:ascii="宋体" w:hAnsi="宋体" w:eastAsia="宋体" w:cs="宋体"/>
          <w:szCs w:val="21"/>
          <w:highlight w:val="none"/>
          <w:u w:val="none"/>
        </w:rPr>
        <w:t xml:space="preserve">邮  </w:t>
      </w: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u w:val="none"/>
        </w:rPr>
        <w:t>箱：</w:t>
      </w:r>
      <w:r>
        <w:rPr>
          <w:rFonts w:hint="eastAsia" w:ascii="宋体" w:hAnsi="宋体" w:eastAsia="宋体" w:cs="宋体"/>
          <w:szCs w:val="21"/>
          <w:highlight w:val="none"/>
          <w:u w:val="single"/>
        </w:rPr>
        <w:t>yeweiyi.gyl@chinaccs.cn</w:t>
      </w:r>
    </w:p>
    <w:p>
      <w:pPr>
        <w:pageBreakBefore w:val="0"/>
        <w:kinsoku/>
        <w:overflowPunct/>
        <w:bidi w:val="0"/>
        <w:spacing w:line="360" w:lineRule="auto"/>
        <w:ind w:right="489"/>
        <w:jc w:val="right"/>
        <w:rPr>
          <w:rFonts w:hint="eastAsia" w:ascii="宋体" w:hAnsi="宋体" w:eastAsia="宋体" w:cs="宋体"/>
          <w:color w:val="000000"/>
          <w:szCs w:val="21"/>
          <w:highlight w:val="none"/>
          <w:lang w:eastAsia="zh-CN"/>
        </w:rPr>
      </w:pPr>
    </w:p>
    <w:p>
      <w:pPr>
        <w:pageBreakBefore w:val="0"/>
        <w:kinsoku/>
        <w:overflowPunct/>
        <w:bidi w:val="0"/>
        <w:spacing w:line="360" w:lineRule="auto"/>
        <w:ind w:right="489"/>
        <w:jc w:val="righ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采购代理机构：【福建省中通通信物流有限公司】</w:t>
      </w:r>
    </w:p>
    <w:p>
      <w:pPr>
        <w:pageBreakBefore w:val="0"/>
        <w:kinsoku/>
        <w:overflowPunct/>
        <w:bidi w:val="0"/>
        <w:spacing w:line="360" w:lineRule="auto"/>
        <w:ind w:right="489"/>
        <w:jc w:val="right"/>
        <w:rPr>
          <w:rFonts w:hint="eastAsia" w:ascii="宋体" w:hAnsi="宋体" w:eastAsia="宋体" w:cs="宋体"/>
          <w:highlight w:val="none"/>
        </w:rPr>
      </w:pPr>
      <w:r>
        <w:rPr>
          <w:rFonts w:hint="eastAsia" w:ascii="宋体" w:hAnsi="宋体" w:eastAsia="宋体" w:cs="宋体"/>
          <w:color w:val="000000"/>
          <w:szCs w:val="21"/>
          <w:highlight w:val="none"/>
          <w:lang w:eastAsia="zh-CN"/>
        </w:rPr>
        <w:t>【2024年</w:t>
      </w:r>
      <w:r>
        <w:rPr>
          <w:rFonts w:hint="eastAsia" w:ascii="宋体" w:hAnsi="宋体" w:eastAsia="宋体" w:cs="宋体"/>
          <w:color w:val="000000"/>
          <w:szCs w:val="21"/>
          <w:highlight w:val="none"/>
          <w:lang w:val="en-US" w:eastAsia="zh-CN"/>
        </w:rPr>
        <w:t>09</w:t>
      </w:r>
      <w:r>
        <w:rPr>
          <w:rFonts w:hint="eastAsia" w:ascii="宋体" w:hAnsi="宋体" w:eastAsia="宋体" w:cs="宋体"/>
          <w:color w:val="000000"/>
          <w:szCs w:val="21"/>
          <w:highlight w:val="none"/>
          <w:lang w:eastAsia="zh-CN"/>
        </w:rPr>
        <w:t>月</w:t>
      </w:r>
      <w:r>
        <w:rPr>
          <w:rFonts w:hint="eastAsia" w:ascii="宋体" w:hAnsi="宋体" w:eastAsia="宋体" w:cs="宋体"/>
          <w:color w:val="000000"/>
          <w:szCs w:val="21"/>
          <w:highlight w:val="none"/>
          <w:lang w:val="en-US" w:eastAsia="zh-CN"/>
        </w:rPr>
        <w:t>03</w:t>
      </w:r>
      <w:r>
        <w:rPr>
          <w:rFonts w:hint="eastAsia" w:ascii="宋体" w:hAnsi="宋体" w:eastAsia="宋体" w:cs="宋体"/>
          <w:color w:val="000000"/>
          <w:szCs w:val="21"/>
          <w:highlight w:val="none"/>
          <w:lang w:eastAsia="zh-CN"/>
        </w:rPr>
        <w:t>日】</w:t>
      </w:r>
    </w:p>
    <w:p>
      <w:pPr>
        <w:widowControl/>
        <w:spacing w:line="360" w:lineRule="auto"/>
        <w:ind w:firstLine="420" w:firstLineChars="200"/>
        <w:jc w:val="left"/>
        <w:rPr>
          <w:rFonts w:hint="eastAsia" w:ascii="宋体" w:hAnsi="宋体" w:eastAsia="宋体" w:cs="宋体"/>
          <w:szCs w:val="21"/>
          <w:u w:val="single"/>
        </w:rPr>
      </w:pPr>
    </w:p>
    <w:p>
      <w:pPr>
        <w:spacing w:line="360" w:lineRule="auto"/>
        <w:rPr>
          <w:rFonts w:hint="eastAsia" w:ascii="宋体" w:hAnsi="宋体" w:eastAsia="宋体" w:cs="宋体"/>
        </w:rPr>
      </w:pPr>
      <w:r>
        <w:rPr>
          <w:rFonts w:hint="eastAsia" w:ascii="宋体" w:hAnsi="宋体" w:eastAsia="宋体" w:cs="宋体"/>
        </w:rPr>
        <w:br w:type="page"/>
      </w:r>
    </w:p>
    <w:p>
      <w:pPr>
        <w:spacing w:line="360" w:lineRule="auto"/>
        <w:jc w:val="center"/>
        <w:outlineLvl w:val="0"/>
        <w:rPr>
          <w:rFonts w:hint="eastAsia" w:ascii="宋体" w:hAnsi="宋体" w:eastAsia="宋体" w:cs="宋体"/>
          <w:b/>
          <w:bCs/>
          <w:sz w:val="28"/>
          <w:szCs w:val="28"/>
        </w:rPr>
      </w:pPr>
      <w:bookmarkStart w:id="8" w:name="_Toc10700"/>
      <w:r>
        <w:rPr>
          <w:rFonts w:hint="eastAsia" w:ascii="宋体" w:hAnsi="宋体" w:eastAsia="宋体" w:cs="宋体"/>
          <w:b/>
          <w:bCs/>
          <w:sz w:val="28"/>
          <w:szCs w:val="28"/>
        </w:rPr>
        <w:t>第二章</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投标人须知</w:t>
      </w:r>
      <w:bookmarkEnd w:id="8"/>
    </w:p>
    <w:p>
      <w:pPr>
        <w:spacing w:line="360" w:lineRule="auto"/>
        <w:jc w:val="center"/>
        <w:outlineLvl w:val="1"/>
        <w:rPr>
          <w:rFonts w:hint="eastAsia" w:ascii="宋体" w:hAnsi="宋体" w:eastAsia="宋体" w:cs="宋体"/>
          <w:sz w:val="24"/>
          <w:szCs w:val="24"/>
        </w:rPr>
      </w:pPr>
      <w:bookmarkStart w:id="9" w:name="_Toc12035"/>
      <w:r>
        <w:rPr>
          <w:rFonts w:hint="eastAsia" w:ascii="宋体" w:hAnsi="宋体" w:eastAsia="宋体" w:cs="宋体"/>
          <w:sz w:val="24"/>
          <w:szCs w:val="24"/>
        </w:rPr>
        <w:t>投标人须知前附表</w:t>
      </w:r>
      <w:bookmarkEnd w:id="9"/>
    </w:p>
    <w:tbl>
      <w:tblPr>
        <w:tblStyle w:val="29"/>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984"/>
        <w:gridCol w:w="851"/>
        <w:gridCol w:w="5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序 号</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类  别</w:t>
            </w:r>
          </w:p>
        </w:tc>
        <w:tc>
          <w:tcPr>
            <w:tcW w:w="60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984"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sz w:val="21"/>
                <w:szCs w:val="21"/>
              </w:rPr>
              <w:t>项目名称、编号、预算及最高限价</w:t>
            </w:r>
          </w:p>
        </w:tc>
        <w:tc>
          <w:tcPr>
            <w:tcW w:w="60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b/>
                <w:sz w:val="21"/>
                <w:szCs w:val="21"/>
                <w:lang w:eastAsia="zh-CN"/>
              </w:rPr>
            </w:pPr>
            <w:r>
              <w:rPr>
                <w:rFonts w:hint="eastAsia" w:ascii="宋体" w:hAnsi="宋体" w:eastAsia="宋体" w:cs="宋体"/>
                <w:sz w:val="21"/>
                <w:szCs w:val="21"/>
              </w:rPr>
              <w:t>项目名称：</w:t>
            </w:r>
            <w:r>
              <w:rPr>
                <w:rFonts w:hint="eastAsia" w:ascii="宋体" w:hAnsi="宋体" w:eastAsia="宋体" w:cs="宋体"/>
                <w:sz w:val="21"/>
                <w:szCs w:val="21"/>
                <w:u w:val="single"/>
                <w:lang w:eastAsia="zh-CN"/>
              </w:rPr>
              <w:t>国家税务总局仙游县税务局物业管理项目（重新招标）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Merge w:val="continue"/>
            <w:tcBorders>
              <w:left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p>
        </w:tc>
        <w:tc>
          <w:tcPr>
            <w:tcW w:w="1984" w:type="dxa"/>
            <w:vMerge w:val="continue"/>
            <w:tcBorders>
              <w:left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p>
        </w:tc>
        <w:tc>
          <w:tcPr>
            <w:tcW w:w="60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项目编号：</w:t>
            </w:r>
            <w:r>
              <w:rPr>
                <w:rFonts w:hint="eastAsia" w:ascii="宋体" w:hAnsi="宋体" w:eastAsia="宋体" w:cs="宋体"/>
                <w:sz w:val="21"/>
                <w:szCs w:val="21"/>
                <w:u w:val="single"/>
                <w:lang w:eastAsia="zh-CN"/>
              </w:rPr>
              <w:t>FJ2024-DLGK-C0078-B00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Merge w:val="continue"/>
            <w:tcBorders>
              <w:left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p>
        </w:tc>
        <w:tc>
          <w:tcPr>
            <w:tcW w:w="1984" w:type="dxa"/>
            <w:vMerge w:val="continue"/>
            <w:tcBorders>
              <w:left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p>
        </w:tc>
        <w:tc>
          <w:tcPr>
            <w:tcW w:w="60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项目预算：</w:t>
            </w:r>
            <w:r>
              <w:rPr>
                <w:rFonts w:hint="eastAsia" w:ascii="宋体" w:hAnsi="宋体" w:eastAsia="宋体" w:cs="宋体"/>
                <w:sz w:val="21"/>
                <w:szCs w:val="21"/>
                <w:u w:val="single"/>
                <w:lang w:eastAsia="zh-CN"/>
              </w:rPr>
              <w:t>250</w:t>
            </w:r>
            <w:r>
              <w:rPr>
                <w:rFonts w:hint="eastAsia" w:ascii="宋体" w:hAnsi="宋体" w:eastAsia="宋体" w:cs="宋体"/>
                <w:sz w:val="21"/>
                <w:szCs w:val="21"/>
                <w:u w:val="singl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p>
        </w:tc>
        <w:tc>
          <w:tcPr>
            <w:tcW w:w="1984"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p>
        </w:tc>
        <w:tc>
          <w:tcPr>
            <w:tcW w:w="60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最高限价：</w:t>
            </w:r>
            <w:r>
              <w:rPr>
                <w:rFonts w:hint="eastAsia" w:ascii="宋体" w:hAnsi="宋体" w:eastAsia="宋体" w:cs="宋体"/>
                <w:sz w:val="21"/>
                <w:szCs w:val="21"/>
                <w:u w:val="single"/>
                <w:lang w:eastAsia="zh-CN"/>
              </w:rPr>
              <w:t>250</w:t>
            </w:r>
            <w:r>
              <w:rPr>
                <w:rFonts w:hint="eastAsia" w:ascii="宋体" w:hAnsi="宋体" w:eastAsia="宋体" w:cs="宋体"/>
                <w:sz w:val="21"/>
                <w:szCs w:val="21"/>
                <w:u w:val="singl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采购需求</w:t>
            </w:r>
          </w:p>
        </w:tc>
        <w:tc>
          <w:tcPr>
            <w:tcW w:w="60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详见《招标文件（技术部分）》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项目属性和类别</w:t>
            </w:r>
          </w:p>
        </w:tc>
        <w:tc>
          <w:tcPr>
            <w:tcW w:w="60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项目属性：</w:t>
            </w:r>
            <w:r>
              <w:rPr>
                <w:rFonts w:hint="eastAsia" w:ascii="宋体" w:hAnsi="宋体" w:eastAsia="宋体" w:cs="宋体"/>
                <w:sz w:val="21"/>
                <w:szCs w:val="21"/>
              </w:rPr>
              <w:sym w:font="Wingdings 2" w:char="F0A3"/>
            </w:r>
            <w:r>
              <w:rPr>
                <w:rFonts w:hint="eastAsia" w:ascii="宋体" w:hAnsi="宋体" w:eastAsia="宋体" w:cs="宋体"/>
                <w:sz w:val="21"/>
                <w:szCs w:val="21"/>
              </w:rPr>
              <w:t>货物           ☑服务</w:t>
            </w:r>
          </w:p>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b/>
                <w:bCs/>
                <w:sz w:val="21"/>
                <w:szCs w:val="21"/>
              </w:rPr>
              <w:t>项目类别：</w:t>
            </w:r>
            <w:r>
              <w:rPr>
                <w:rFonts w:hint="eastAsia" w:ascii="宋体" w:hAnsi="宋体" w:eastAsia="宋体" w:cs="宋体"/>
                <w:sz w:val="21"/>
                <w:szCs w:val="21"/>
              </w:rPr>
              <w:sym w:font="Wingdings 2" w:char="F0A3"/>
            </w:r>
            <w:r>
              <w:rPr>
                <w:rFonts w:hint="eastAsia" w:ascii="宋体" w:hAnsi="宋体" w:eastAsia="宋体" w:cs="宋体"/>
                <w:sz w:val="21"/>
                <w:szCs w:val="21"/>
              </w:rPr>
              <w:t>信息化项目     ☑非信息化项目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采购人</w:t>
            </w:r>
          </w:p>
        </w:tc>
        <w:tc>
          <w:tcPr>
            <w:tcW w:w="60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名称：</w:t>
            </w:r>
            <w:r>
              <w:rPr>
                <w:rFonts w:hint="eastAsia" w:ascii="宋体" w:hAnsi="宋体" w:eastAsia="宋体" w:cs="宋体"/>
                <w:sz w:val="21"/>
                <w:szCs w:val="21"/>
                <w:u w:val="single"/>
                <w:lang w:eastAsia="zh-CN"/>
              </w:rPr>
              <w:t>国家税务总局仙游县税务局</w:t>
            </w:r>
          </w:p>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rPr>
              <w:t>地址</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lang w:val="en-US" w:eastAsia="zh-CN"/>
              </w:rPr>
              <w:t>福建省莆田市仙游县城南东路268号</w:t>
            </w:r>
          </w:p>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联系方式：</w:t>
            </w:r>
            <w:r>
              <w:rPr>
                <w:rFonts w:hint="eastAsia" w:ascii="宋体" w:hAnsi="宋体" w:eastAsia="宋体" w:cs="宋体"/>
                <w:sz w:val="21"/>
                <w:szCs w:val="21"/>
                <w:highlight w:val="none"/>
                <w:u w:val="single"/>
                <w:lang w:val="en-US" w:eastAsia="zh-CN"/>
              </w:rPr>
              <w:t>陈女士、0594-8581959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采购代理机构</w:t>
            </w:r>
          </w:p>
        </w:tc>
        <w:tc>
          <w:tcPr>
            <w:tcW w:w="60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名称：</w:t>
            </w:r>
            <w:r>
              <w:rPr>
                <w:rFonts w:hint="eastAsia" w:ascii="宋体" w:hAnsi="宋体" w:eastAsia="宋体" w:cs="宋体"/>
                <w:sz w:val="21"/>
                <w:szCs w:val="21"/>
                <w:u w:val="single"/>
              </w:rPr>
              <w:t>福建省中通通信物流有限公司</w:t>
            </w:r>
          </w:p>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bCs/>
                <w:sz w:val="21"/>
                <w:szCs w:val="21"/>
                <w:highlight w:val="none"/>
              </w:rPr>
            </w:pPr>
            <w:r>
              <w:rPr>
                <w:rFonts w:hint="eastAsia" w:ascii="宋体" w:hAnsi="宋体" w:eastAsia="宋体" w:cs="宋体"/>
                <w:sz w:val="21"/>
                <w:szCs w:val="21"/>
              </w:rPr>
              <w:t>地址：</w:t>
            </w:r>
            <w:r>
              <w:rPr>
                <w:rFonts w:hint="eastAsia" w:ascii="宋体" w:hAnsi="宋体" w:eastAsia="宋体" w:cs="宋体"/>
                <w:sz w:val="21"/>
                <w:szCs w:val="21"/>
                <w:u w:val="single"/>
              </w:rPr>
              <w:t>福州市仓</w:t>
            </w:r>
            <w:r>
              <w:rPr>
                <w:rFonts w:hint="eastAsia" w:ascii="宋体" w:hAnsi="宋体" w:eastAsia="宋体" w:cs="宋体"/>
                <w:sz w:val="21"/>
                <w:szCs w:val="21"/>
                <w:highlight w:val="none"/>
                <w:u w:val="single"/>
              </w:rPr>
              <w:t>山区信平路10号</w:t>
            </w:r>
          </w:p>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文件发售/接收</w:t>
            </w:r>
            <w:r>
              <w:rPr>
                <w:rFonts w:hint="eastAsia" w:ascii="宋体" w:hAnsi="宋体" w:eastAsia="宋体" w:cs="宋体"/>
                <w:sz w:val="21"/>
                <w:szCs w:val="21"/>
                <w:highlight w:val="none"/>
                <w:u w:val="none"/>
                <w:lang w:val="en-US" w:eastAsia="zh-CN"/>
              </w:rPr>
              <w:t>联系人</w:t>
            </w:r>
            <w:r>
              <w:rPr>
                <w:rFonts w:hint="eastAsia" w:ascii="宋体" w:hAnsi="宋体" w:eastAsia="宋体" w:cs="宋体"/>
                <w:sz w:val="21"/>
                <w:szCs w:val="21"/>
                <w:highlight w:val="none"/>
                <w:u w:val="none"/>
              </w:rPr>
              <w:t>：</w:t>
            </w:r>
            <w:r>
              <w:rPr>
                <w:rFonts w:hint="eastAsia" w:ascii="宋体" w:hAnsi="宋体" w:eastAsia="宋体" w:cs="宋体"/>
                <w:sz w:val="21"/>
                <w:szCs w:val="21"/>
                <w:highlight w:val="none"/>
                <w:u w:val="single"/>
              </w:rPr>
              <w:t>郑金梅</w:t>
            </w:r>
            <w:r>
              <w:rPr>
                <w:rFonts w:hint="eastAsia" w:ascii="宋体" w:hAnsi="宋体" w:eastAsia="宋体" w:cs="宋体"/>
                <w:sz w:val="21"/>
                <w:szCs w:val="21"/>
                <w:highlight w:val="none"/>
                <w:u w:val="single"/>
                <w:lang w:eastAsia="zh-CN"/>
              </w:rPr>
              <w:t>、18059039588</w:t>
            </w:r>
          </w:p>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rPr>
              <w:t>联系人：</w:t>
            </w:r>
            <w:r>
              <w:rPr>
                <w:rFonts w:hint="eastAsia" w:ascii="宋体" w:hAnsi="宋体" w:eastAsia="宋体" w:cs="宋体"/>
                <w:sz w:val="21"/>
                <w:szCs w:val="21"/>
                <w:highlight w:val="none"/>
                <w:u w:val="single"/>
              </w:rPr>
              <w:t>叶炜翌、江济宇、陈锦兴</w:t>
            </w:r>
          </w:p>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u w:val="single"/>
              </w:rPr>
            </w:pPr>
            <w:r>
              <w:rPr>
                <w:rFonts w:hint="eastAsia" w:ascii="宋体" w:hAnsi="宋体" w:eastAsia="宋体" w:cs="宋体"/>
                <w:sz w:val="21"/>
                <w:szCs w:val="21"/>
              </w:rPr>
              <w:t>联系</w:t>
            </w:r>
            <w:r>
              <w:rPr>
                <w:rFonts w:hint="eastAsia" w:ascii="宋体" w:hAnsi="宋体" w:eastAsia="宋体" w:cs="宋体"/>
                <w:bCs/>
                <w:sz w:val="21"/>
                <w:szCs w:val="21"/>
              </w:rPr>
              <w:t>电话：</w:t>
            </w:r>
            <w:r>
              <w:rPr>
                <w:rFonts w:hint="eastAsia" w:ascii="宋体" w:hAnsi="宋体" w:eastAsia="宋体" w:cs="宋体"/>
                <w:sz w:val="21"/>
                <w:szCs w:val="21"/>
                <w:u w:val="single"/>
              </w:rPr>
              <w:t>13805005551、13305007799、18960769669</w:t>
            </w:r>
          </w:p>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邮箱：</w:t>
            </w:r>
            <w:r>
              <w:rPr>
                <w:rFonts w:hint="eastAsia" w:ascii="宋体" w:hAnsi="宋体" w:eastAsia="宋体" w:cs="宋体"/>
                <w:sz w:val="21"/>
                <w:szCs w:val="21"/>
                <w:u w:val="single"/>
              </w:rPr>
              <w:t>yeweiyi.gyl@chinaccs.cn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投标人资格要求</w:t>
            </w:r>
          </w:p>
        </w:tc>
        <w:tc>
          <w:tcPr>
            <w:tcW w:w="60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1.满足《中华人民共和国政府采购法》第二十二条规定；</w:t>
            </w:r>
          </w:p>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2.落实政府采购政策需满足的资格要求：</w:t>
            </w:r>
          </w:p>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2.1投标人要满足《中华人民共和国政府采购法》第二十二条规定，并提供下列材料：</w:t>
            </w:r>
          </w:p>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（1）凡在中国境内注册，有能力提供本项目所述货物与服务的投标人（须提供合格有效的营业执照副本复印件）；</w:t>
            </w:r>
          </w:p>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的财务状况报告【提供由会计师事务所出具的上一年度的审计报告（包括资产负债表、利润表、现金流量表、所有者权益变动表（若有）及其附注（若有）、会计师事务所营业执照和注册会计师资格证书）或银行出具的资信证明文件（资信证明注明“复印无效”的，须提供原件）等】；</w:t>
            </w:r>
          </w:p>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投标人提供的财务状况报告(成立年限按照投标截止时间推算)应符合下列规定：a.成立年限满1年及以上的投标人，提供经审计的上一年度的年度财务报告。b.成立年限满半年但不足1年的投标人，提供该半年度中任一季度的季度财务报告或该半年度的半年度财务报告。c.无法按照以上a、b项规定提供财务报告复印件的投标人(包括但不限于:成立年限满1年及以上的投标人、成立年限满半年但不足1年的投标人、成立年限不足半年的投标人)，应选择提供资信证明复印件（资信证明注明“复印无效”的，须提供原件）。</w:t>
            </w:r>
          </w:p>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标人依法缴纳税收和社会保障资金：提供投标截止前六个月任意一个月依法缴纳税收和社会保障资金的相关材料，若为依法免税或不需要缴纳社会保障资金的投标人，应提供相应文件证明其依法免税或不需要缴纳社会保障资金；</w:t>
            </w:r>
          </w:p>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（4）具备履行合同所必需的设备和专业技术能力的声明函；</w:t>
            </w:r>
          </w:p>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（5）如由授权代表前来投标，须提供授权委托书原件，否则无需提供；</w:t>
            </w:r>
          </w:p>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（6）参加政府采购活动前3年内在经营活动中没有重大违法记录（或者在参加政府采购活动前3年内因违法经营被禁止在一定期限内参加政府采购活动，期限已届满）的书面声明；</w:t>
            </w:r>
          </w:p>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被列入失信被执行人、重大税收违法案件当事人名单、政府采购严重违法失信行为记录名单及其他不符合《中华人民共和国政府采购法》第二十二条规定条件的供应商，不得参加本次投标。投标人针对“信用记录查询结果”可自主提供证明材料，未提供该证明材料的不视为无效投标。资格审查小组将通过“①信用中国”网站（www.creditchina.gov.cn）和②中国政府采购网（www.ccgp.gov.cn）查询并打印投标人信用记录，查询结果存在投标人应被拒绝参与政府采购活动相关信息的，其资格审查不合格。因上述网站原因导致资格审查小组无法查询投标人信用记录的（资格审查小组应将通过上述网站查询供应商信用记录时的原始页面打印后随采购文件一并存档），视为查询结果未存在投标人应被拒绝参与政府采购活动的相关信息。</w:t>
            </w:r>
          </w:p>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本项目专门面向中小企业采购，①根据《政府采购促进中小企业发展管理办法》（财库〔2020〕46号）和《关于进一步加大政府采购支持中小企业力度的通知》（财库〔2022〕19号）文件规定，投标人须提供《中小企业声明函》。②监狱企业视同小型、微型企业，投标人为监狱企业的，可不提供《中小企业声明函》，但须提供由省级以上监狱管理局、戒毒管理局（含新疆生产建设兵团）出具的属于监狱企业的证明文件。③残疾人福利性单位视同小型、微型企业，供应商为残疾人福利性单位的，可不提供《中小企业声明函》，但须提供《残疾人福利性单位声明函》。</w:t>
            </w:r>
          </w:p>
          <w:p>
            <w:pPr>
              <w:spacing w:line="360" w:lineRule="auto"/>
              <w:jc w:val="left"/>
              <w:rPr>
                <w:rFonts w:hint="default" w:ascii="宋体" w:hAnsi="宋体" w:eastAsia="宋体" w:cs="宋体"/>
                <w:sz w:val="21"/>
                <w:szCs w:val="21"/>
                <w:lang w:val="en-US"/>
              </w:rPr>
            </w:pPr>
            <w:r>
              <w:rPr>
                <w:rFonts w:hint="eastAsia" w:ascii="宋体" w:hAnsi="宋体" w:eastAsia="宋体" w:cs="宋体"/>
                <w:color w:val="auto"/>
                <w:sz w:val="21"/>
                <w:szCs w:val="21"/>
                <w:highlight w:val="none"/>
                <w:lang w:val="en-US" w:eastAsia="zh-CN"/>
              </w:rPr>
              <w:t>3.本项目的特定资格要求：无。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是否接受联合体投标</w:t>
            </w:r>
          </w:p>
        </w:tc>
        <w:tc>
          <w:tcPr>
            <w:tcW w:w="60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☑不接受</w:t>
            </w:r>
          </w:p>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autoSpaceDE w:val="0"/>
              <w:autoSpaceDN w:val="0"/>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采购标的对应的中小企业划分标准所属行业</w:t>
            </w:r>
          </w:p>
        </w:tc>
        <w:tc>
          <w:tcPr>
            <w:tcW w:w="60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本项目为专门面向中小企业采购项目，采购标的对应的中小企业划分标准所属行业为：</w:t>
            </w:r>
            <w:r>
              <w:rPr>
                <w:rFonts w:hint="eastAsia" w:ascii="宋体" w:hAnsi="宋体" w:eastAsia="宋体" w:cs="宋体"/>
                <w:b/>
                <w:bCs/>
                <w:sz w:val="21"/>
                <w:szCs w:val="21"/>
              </w:rPr>
              <w:t>物业管理</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autoSpaceDE w:val="0"/>
              <w:autoSpaceDN w:val="0"/>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非主体、非关键性工作分包</w:t>
            </w:r>
          </w:p>
        </w:tc>
        <w:tc>
          <w:tcPr>
            <w:tcW w:w="60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是否允许中标人将本项目的非主体、非关键性工作进行分包：</w:t>
            </w:r>
          </w:p>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1984" w:type="dxa"/>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核心产品</w:t>
            </w:r>
          </w:p>
        </w:tc>
        <w:tc>
          <w:tcPr>
            <w:tcW w:w="6058" w:type="dxa"/>
            <w:gridSpan w:val="2"/>
            <w:vAlign w:val="center"/>
          </w:tcPr>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u w:val="single"/>
              </w:rPr>
            </w:pPr>
            <w:r>
              <w:rPr>
                <w:rFonts w:hint="eastAsia" w:ascii="宋体" w:hAnsi="宋体" w:eastAsia="宋体" w:cs="宋体"/>
                <w:sz w:val="21"/>
                <w:szCs w:val="21"/>
              </w:rPr>
              <w:t>☑</w:t>
            </w:r>
            <w:r>
              <w:rPr>
                <w:rFonts w:hint="eastAsia" w:ascii="宋体" w:hAnsi="宋体" w:eastAsia="宋体" w:cs="宋体"/>
                <w:sz w:val="21"/>
                <w:szCs w:val="21"/>
                <w:lang w:val="en-US" w:eastAsia="zh-CN"/>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1984" w:type="dxa"/>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采购进口产品</w:t>
            </w:r>
          </w:p>
        </w:tc>
        <w:tc>
          <w:tcPr>
            <w:tcW w:w="6058" w:type="dxa"/>
            <w:gridSpan w:val="2"/>
            <w:vAlign w:val="center"/>
          </w:tcPr>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☑本采购项目拒绝进口产品参加投标</w:t>
            </w:r>
          </w:p>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□本采购项目已经财政部审核同意购买进口产品</w:t>
            </w:r>
          </w:p>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□其他____________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1984" w:type="dxa"/>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sz w:val="21"/>
                <w:szCs w:val="21"/>
              </w:rPr>
              <w:t>信息发布媒体</w:t>
            </w:r>
          </w:p>
        </w:tc>
        <w:tc>
          <w:tcPr>
            <w:tcW w:w="6058" w:type="dxa"/>
            <w:gridSpan w:val="2"/>
            <w:vAlign w:val="center"/>
          </w:tcPr>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中国政府采购网（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"http://www.ccgp.gov.cn" </w:instrText>
            </w:r>
            <w:r>
              <w:rPr>
                <w:rFonts w:hint="eastAsia" w:ascii="宋体" w:hAnsi="宋体" w:eastAsia="宋体" w:cs="宋体"/>
                <w:sz w:val="21"/>
                <w:szCs w:val="21"/>
              </w:rPr>
              <w:fldChar w:fldCharType="separate"/>
            </w:r>
            <w:r>
              <w:rPr>
                <w:rFonts w:hint="eastAsia" w:ascii="宋体" w:hAnsi="宋体" w:eastAsia="宋体" w:cs="宋体"/>
                <w:sz w:val="21"/>
                <w:szCs w:val="21"/>
              </w:rPr>
              <w:t>www.ccgp.gov.cn</w:t>
            </w:r>
            <w:r>
              <w:rPr>
                <w:rFonts w:hint="eastAsia" w:ascii="宋体" w:hAnsi="宋体" w:eastAsia="宋体" w:cs="宋体"/>
                <w:sz w:val="21"/>
                <w:szCs w:val="21"/>
              </w:rPr>
              <w:fldChar w:fldCharType="end"/>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13</w:t>
            </w:r>
          </w:p>
        </w:tc>
        <w:tc>
          <w:tcPr>
            <w:tcW w:w="1984" w:type="dxa"/>
            <w:vAlign w:val="center"/>
          </w:tcPr>
          <w:p>
            <w:pPr>
              <w:keepNext w:val="0"/>
              <w:keepLines w:val="0"/>
              <w:pageBreakBefore w:val="0"/>
              <w:kinsoku/>
              <w:wordWrap w:val="0"/>
              <w:overflowPunct/>
              <w:topLinePunct/>
              <w:autoSpaceDE w:val="0"/>
              <w:autoSpaceDN w:val="0"/>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获取招标文件</w:t>
            </w:r>
          </w:p>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时间、地点和</w:t>
            </w:r>
          </w:p>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方式等</w:t>
            </w:r>
          </w:p>
        </w:tc>
        <w:tc>
          <w:tcPr>
            <w:tcW w:w="6058" w:type="dxa"/>
            <w:gridSpan w:val="2"/>
            <w:vAlign w:val="center"/>
          </w:tcPr>
          <w:p>
            <w:pPr>
              <w:keepNext w:val="0"/>
              <w:keepLines w:val="0"/>
              <w:pageBreakBefore w:val="0"/>
              <w:kinsoku/>
              <w:wordWrap w:val="0"/>
              <w:overflowPunct/>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bCs/>
                <w:sz w:val="21"/>
                <w:szCs w:val="21"/>
              </w:rPr>
              <w:t>时间：</w:t>
            </w:r>
            <w:r>
              <w:rPr>
                <w:rFonts w:hint="eastAsia" w:ascii="宋体" w:hAnsi="宋体" w:eastAsia="宋体" w:cs="宋体"/>
                <w:sz w:val="21"/>
                <w:szCs w:val="21"/>
              </w:rPr>
              <w:t>详见第</w:t>
            </w:r>
            <w:r>
              <w:rPr>
                <w:rFonts w:hint="eastAsia" w:ascii="宋体" w:hAnsi="宋体" w:eastAsia="宋体" w:cs="宋体"/>
                <w:sz w:val="21"/>
                <w:szCs w:val="21"/>
                <w:lang w:val="en-US" w:eastAsia="zh-CN"/>
              </w:rPr>
              <w:t>一</w:t>
            </w:r>
            <w:r>
              <w:rPr>
                <w:rFonts w:hint="eastAsia" w:ascii="宋体" w:hAnsi="宋体" w:eastAsia="宋体" w:cs="宋体"/>
                <w:sz w:val="21"/>
                <w:szCs w:val="21"/>
              </w:rPr>
              <w:t>章“</w:t>
            </w:r>
            <w:r>
              <w:rPr>
                <w:rFonts w:hint="eastAsia" w:ascii="宋体" w:hAnsi="宋体" w:eastAsia="宋体" w:cs="宋体"/>
                <w:sz w:val="21"/>
                <w:szCs w:val="21"/>
                <w:lang w:val="en-US" w:eastAsia="zh-CN"/>
              </w:rPr>
              <w:t>投标邀请</w:t>
            </w:r>
            <w:r>
              <w:rPr>
                <w:rFonts w:hint="eastAsia" w:ascii="宋体" w:hAnsi="宋体" w:eastAsia="宋体" w:cs="宋体"/>
                <w:sz w:val="21"/>
                <w:szCs w:val="21"/>
              </w:rPr>
              <w:t>”</w:t>
            </w:r>
          </w:p>
          <w:p>
            <w:pPr>
              <w:keepNext w:val="0"/>
              <w:keepLines w:val="0"/>
              <w:pageBreakBefore w:val="0"/>
              <w:kinsoku/>
              <w:wordWrap w:val="0"/>
              <w:overflowPunct/>
              <w:bidi w:val="0"/>
              <w:adjustRightInd w:val="0"/>
              <w:snapToGrid w:val="0"/>
              <w:spacing w:line="360" w:lineRule="auto"/>
              <w:textAlignment w:val="auto"/>
              <w:rPr>
                <w:rFonts w:hint="eastAsia" w:ascii="宋体" w:hAnsi="宋体" w:eastAsia="宋体" w:cs="宋体"/>
                <w:bCs/>
                <w:sz w:val="21"/>
                <w:szCs w:val="21"/>
              </w:rPr>
            </w:pPr>
            <w:r>
              <w:rPr>
                <w:rFonts w:hint="eastAsia" w:ascii="宋体" w:hAnsi="宋体" w:eastAsia="宋体" w:cs="宋体"/>
                <w:b/>
                <w:sz w:val="21"/>
                <w:szCs w:val="21"/>
              </w:rPr>
              <w:t>地点：</w:t>
            </w:r>
            <w:r>
              <w:rPr>
                <w:rFonts w:hint="eastAsia" w:ascii="宋体" w:hAnsi="宋体" w:eastAsia="宋体" w:cs="宋体"/>
                <w:sz w:val="21"/>
                <w:szCs w:val="21"/>
              </w:rPr>
              <w:t>详见第</w:t>
            </w:r>
            <w:r>
              <w:rPr>
                <w:rFonts w:hint="eastAsia" w:ascii="宋体" w:hAnsi="宋体" w:eastAsia="宋体" w:cs="宋体"/>
                <w:sz w:val="21"/>
                <w:szCs w:val="21"/>
                <w:lang w:val="en-US" w:eastAsia="zh-CN"/>
              </w:rPr>
              <w:t>一</w:t>
            </w:r>
            <w:r>
              <w:rPr>
                <w:rFonts w:hint="eastAsia" w:ascii="宋体" w:hAnsi="宋体" w:eastAsia="宋体" w:cs="宋体"/>
                <w:sz w:val="21"/>
                <w:szCs w:val="21"/>
              </w:rPr>
              <w:t>章“</w:t>
            </w:r>
            <w:r>
              <w:rPr>
                <w:rFonts w:hint="eastAsia" w:ascii="宋体" w:hAnsi="宋体" w:eastAsia="宋体" w:cs="宋体"/>
                <w:sz w:val="21"/>
                <w:szCs w:val="21"/>
                <w:lang w:val="en-US" w:eastAsia="zh-CN"/>
              </w:rPr>
              <w:t>投标邀请</w:t>
            </w:r>
            <w:r>
              <w:rPr>
                <w:rFonts w:hint="eastAsia" w:ascii="宋体" w:hAnsi="宋体" w:eastAsia="宋体" w:cs="宋体"/>
                <w:sz w:val="21"/>
                <w:szCs w:val="21"/>
              </w:rPr>
              <w:t>”</w:t>
            </w:r>
          </w:p>
          <w:p>
            <w:pPr>
              <w:keepNext w:val="0"/>
              <w:keepLines w:val="0"/>
              <w:pageBreakBefore w:val="0"/>
              <w:kinsoku/>
              <w:wordWrap w:val="0"/>
              <w:overflowPunct/>
              <w:topLinePunct/>
              <w:autoSpaceDE w:val="0"/>
              <w:autoSpaceDN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方式：</w:t>
            </w:r>
            <w:r>
              <w:rPr>
                <w:rFonts w:hint="eastAsia" w:ascii="宋体" w:hAnsi="宋体" w:eastAsia="宋体" w:cs="宋体"/>
                <w:sz w:val="21"/>
                <w:szCs w:val="21"/>
              </w:rPr>
              <w:t>详见第</w:t>
            </w:r>
            <w:r>
              <w:rPr>
                <w:rFonts w:hint="eastAsia" w:ascii="宋体" w:hAnsi="宋体" w:eastAsia="宋体" w:cs="宋体"/>
                <w:sz w:val="21"/>
                <w:szCs w:val="21"/>
                <w:lang w:val="en-US" w:eastAsia="zh-CN"/>
              </w:rPr>
              <w:t>一</w:t>
            </w:r>
            <w:r>
              <w:rPr>
                <w:rFonts w:hint="eastAsia" w:ascii="宋体" w:hAnsi="宋体" w:eastAsia="宋体" w:cs="宋体"/>
                <w:sz w:val="21"/>
                <w:szCs w:val="21"/>
              </w:rPr>
              <w:t>章“</w:t>
            </w:r>
            <w:r>
              <w:rPr>
                <w:rFonts w:hint="eastAsia" w:ascii="宋体" w:hAnsi="宋体" w:eastAsia="宋体" w:cs="宋体"/>
                <w:sz w:val="21"/>
                <w:szCs w:val="21"/>
                <w:lang w:val="en-US" w:eastAsia="zh-CN"/>
              </w:rPr>
              <w:t>投标邀请</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14</w:t>
            </w:r>
          </w:p>
        </w:tc>
        <w:tc>
          <w:tcPr>
            <w:tcW w:w="1984" w:type="dxa"/>
            <w:vAlign w:val="center"/>
          </w:tcPr>
          <w:p>
            <w:pPr>
              <w:keepNext w:val="0"/>
              <w:keepLines w:val="0"/>
              <w:pageBreakBefore w:val="0"/>
              <w:kinsoku/>
              <w:wordWrap w:val="0"/>
              <w:overflowPunct/>
              <w:topLinePunct/>
              <w:autoSpaceDE w:val="0"/>
              <w:autoSpaceDN w:val="0"/>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现场考察/踏勘</w:t>
            </w:r>
          </w:p>
        </w:tc>
        <w:tc>
          <w:tcPr>
            <w:tcW w:w="6058" w:type="dxa"/>
            <w:gridSpan w:val="2"/>
            <w:vAlign w:val="center"/>
          </w:tcPr>
          <w:p>
            <w:pPr>
              <w:keepNext w:val="0"/>
              <w:keepLines w:val="0"/>
              <w:pageBreakBefore w:val="0"/>
              <w:tabs>
                <w:tab w:val="left" w:pos="0"/>
                <w:tab w:val="left" w:pos="420"/>
              </w:tabs>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☑不组织现场考察/踏勘</w:t>
            </w:r>
          </w:p>
          <w:p>
            <w:pPr>
              <w:keepNext w:val="0"/>
              <w:keepLines w:val="0"/>
              <w:pageBreakBefore w:val="0"/>
              <w:tabs>
                <w:tab w:val="left" w:pos="0"/>
                <w:tab w:val="left" w:pos="420"/>
              </w:tabs>
              <w:kinsoku/>
              <w:wordWrap w:val="0"/>
              <w:overflowPunct/>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sym w:font="Wingdings 2" w:char="F0A3"/>
            </w:r>
            <w:r>
              <w:rPr>
                <w:rFonts w:hint="eastAsia" w:ascii="宋体" w:hAnsi="宋体" w:eastAsia="宋体" w:cs="宋体"/>
                <w:bCs/>
                <w:sz w:val="21"/>
                <w:szCs w:val="21"/>
              </w:rPr>
              <w:t>组织现场考察</w:t>
            </w:r>
            <w:r>
              <w:rPr>
                <w:rFonts w:hint="eastAsia" w:ascii="宋体" w:hAnsi="宋体" w:eastAsia="宋体" w:cs="宋体"/>
                <w:sz w:val="21"/>
                <w:szCs w:val="21"/>
              </w:rPr>
              <w:t>/踏勘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w:t>
            </w:r>
          </w:p>
        </w:tc>
        <w:tc>
          <w:tcPr>
            <w:tcW w:w="1984" w:type="dxa"/>
            <w:vAlign w:val="center"/>
          </w:tcPr>
          <w:p>
            <w:pPr>
              <w:keepNext w:val="0"/>
              <w:keepLines w:val="0"/>
              <w:pageBreakBefore w:val="0"/>
              <w:kinsoku/>
              <w:wordWrap w:val="0"/>
              <w:overflowPunct/>
              <w:topLinePunct/>
              <w:autoSpaceDE w:val="0"/>
              <w:autoSpaceDN w:val="0"/>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样品</w:t>
            </w:r>
          </w:p>
        </w:tc>
        <w:tc>
          <w:tcPr>
            <w:tcW w:w="6058" w:type="dxa"/>
            <w:gridSpan w:val="2"/>
            <w:vAlign w:val="center"/>
          </w:tcPr>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☑不要求提供</w:t>
            </w:r>
          </w:p>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sym w:font="Wingdings 2" w:char="F0A3"/>
            </w:r>
            <w:r>
              <w:rPr>
                <w:rFonts w:hint="eastAsia" w:ascii="宋体" w:hAnsi="宋体" w:eastAsia="宋体" w:cs="宋体"/>
                <w:bCs/>
                <w:sz w:val="21"/>
                <w:szCs w:val="21"/>
              </w:rPr>
              <w:t>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Merge w:val="restart"/>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16</w:t>
            </w:r>
          </w:p>
        </w:tc>
        <w:tc>
          <w:tcPr>
            <w:tcW w:w="1984" w:type="dxa"/>
            <w:vMerge w:val="restart"/>
            <w:vAlign w:val="center"/>
          </w:tcPr>
          <w:p>
            <w:pPr>
              <w:keepNext w:val="0"/>
              <w:keepLines w:val="0"/>
              <w:pageBreakBefore w:val="0"/>
              <w:kinsoku/>
              <w:wordWrap w:val="0"/>
              <w:overflowPunct/>
              <w:topLinePunct/>
              <w:autoSpaceDE w:val="0"/>
              <w:autoSpaceDN w:val="0"/>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投标文件组成</w:t>
            </w:r>
          </w:p>
        </w:tc>
        <w:tc>
          <w:tcPr>
            <w:tcW w:w="851" w:type="dxa"/>
            <w:vMerge w:val="restart"/>
            <w:vAlign w:val="center"/>
          </w:tcPr>
          <w:p>
            <w:pPr>
              <w:keepNext w:val="0"/>
              <w:keepLines w:val="0"/>
              <w:pageBreakBefore w:val="0"/>
              <w:kinsoku/>
              <w:wordWrap w:val="0"/>
              <w:overflowPunct/>
              <w:topLinePunct/>
              <w:autoSpaceDE w:val="0"/>
              <w:autoSpaceDN w:val="0"/>
              <w:bidi w:val="0"/>
              <w:adjustRightInd w:val="0"/>
              <w:snapToGrid w:val="0"/>
              <w:spacing w:line="360" w:lineRule="auto"/>
              <w:jc w:val="center"/>
              <w:textAlignment w:val="auto"/>
              <w:rPr>
                <w:rFonts w:hint="eastAsia" w:ascii="宋体" w:hAnsi="宋体" w:eastAsia="宋体" w:cs="宋体"/>
                <w:bCs/>
                <w:sz w:val="21"/>
                <w:szCs w:val="21"/>
              </w:rPr>
            </w:pPr>
            <w:r>
              <w:rPr>
                <w:rFonts w:hint="eastAsia" w:ascii="宋体" w:hAnsi="宋体" w:eastAsia="宋体" w:cs="宋体"/>
                <w:sz w:val="21"/>
                <w:szCs w:val="21"/>
              </w:rPr>
              <w:t>商务部</w:t>
            </w:r>
            <w:r>
              <w:rPr>
                <w:rFonts w:hint="eastAsia" w:ascii="宋体" w:hAnsi="宋体" w:eastAsia="宋体" w:cs="宋体"/>
                <w:bCs/>
                <w:sz w:val="21"/>
                <w:szCs w:val="21"/>
              </w:rPr>
              <w:t>分</w:t>
            </w:r>
          </w:p>
        </w:tc>
        <w:tc>
          <w:tcPr>
            <w:tcW w:w="5207" w:type="dxa"/>
            <w:vAlign w:val="center"/>
          </w:tcPr>
          <w:p>
            <w:pPr>
              <w:keepNext w:val="0"/>
              <w:keepLines w:val="0"/>
              <w:pageBreakBefore w:val="0"/>
              <w:widowControl/>
              <w:tabs>
                <w:tab w:val="left" w:pos="0"/>
                <w:tab w:val="left" w:pos="420"/>
              </w:tabs>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b/>
                <w:sz w:val="21"/>
                <w:szCs w:val="21"/>
              </w:rPr>
              <w:t>一、资格证明文件：</w:t>
            </w:r>
          </w:p>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1.★投标人要满足《中华人民共和国政府采购法》第二十二条规定，并提供下列材料：</w:t>
            </w:r>
          </w:p>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（1）凡在中国境内注册，有能力提供本项目所述货物与服务的投标人（须提供合格有效的营业执照副本复印件）；</w:t>
            </w:r>
          </w:p>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投标人的财务状况报告【提供由会计师事务所出具的上一年度的审计报告（包括资产负债表、利润表、现金流量表、所有者权益变动表（若有）及其附注（若有）、会计师事务所营业执照和注册会计师资格证书）或银行出具的资信证明文件（资信证明注明“复印无效”的，须提供原件）等】；</w:t>
            </w:r>
          </w:p>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注：投标人提供的财务状况报告复印件(成立年限按照投标截止时间推算)应符合下列规定: a.成立年限满1年及以上的投标人，提供经审计的上一年度的年度财务报告。b.成立年限满半年但不足1年的投标人，提供该半年度中任一季度的季度财务报告或该半年度的半年度财务报告。c.无法按照以上a、b项规定提供财务报告复印件的投标人(包括但不限于:成立年限满1年及以上的投标人、成立年限满半年但不足1年的投标人、成立年限不足半年的投标人)，应选择提供资信证明复印件（资信证明注明“复印无效”的，须提供原件）。</w:t>
            </w:r>
          </w:p>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投标人依法缴纳税收和社会保障资金：提供投标截止前六个月任意一个月依法缴纳税收和社会保障资金的相关材料，若为依法免税或不需要缴纳社会保障资金的投标人，应提供相应文件证明其依法免税或不需要缴纳社会保障资金；</w:t>
            </w:r>
          </w:p>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（4）具备履行合同所必需的设备和专业技术能力的声明函；</w:t>
            </w:r>
          </w:p>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（5）如由授权代表前来投标，须提供授权委托书原件，否则无需提供；</w:t>
            </w:r>
          </w:p>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（6）参加政府采购活动前3年内在经营活动中没有重大违法记录（或者在参加政府采购活动前3年内因违法经营被禁止在一定期限内参加政府采购活动，期限已届满）的书面声明。</w:t>
            </w:r>
          </w:p>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被列入失信被执行人、重大税收违法案件当事人名单、政府采购严重违法失信行为记录名单及其他不符合《中华人民共和国政府采购法》第二十二条规定条件的供应商，不得参加本次投标。投标人针对“信用记录查询结果”可自主提供证明材料，未提供该证明材料的不视为无效投标。资格审查小组将通过“①信用中国”网站（www.creditchina.gov.cn）和②中国政府采购网（www.ccgp.gov.cn）查询并打印投标人信用记录，查询结果存在投标人应被拒绝参与政府采购活动相关信息的，其资格审查不合格。因上述网站原因导致资格审查小组无法查询投标人信用记录的（资格审查小组应将通过上述网站查询供应商信用记录时的原始页面打印后随采购文件一并存档），视为查询结果未存在投标人应被拒绝参与政府采购活动的相关信息。</w:t>
            </w:r>
          </w:p>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本项目专门面向中小企业采购，①根据《政府采购促进中小企业发展管理办法》（财库〔2020〕46号）和《关于进一步加大政府采购支持中小企业力度的通知》（财库〔2022〕19号）文件规定，投标人须提供《中小企业声明函》。②监狱企业视同小型、微型企业，投标人为监狱企业的，可不提供《中小企业声明函》，但须提供由省级以上监狱管理局、戒毒管理局（含新疆生产建设兵团）出具的属于监狱企业的证明文件。③残疾人福利性单位视同小型、微型企业，供应商为残疾人福利性单位的，可不提供《中小企业声明函》，但须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Merge w:val="continue"/>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b/>
                <w:sz w:val="21"/>
                <w:szCs w:val="21"/>
              </w:rPr>
            </w:pPr>
          </w:p>
        </w:tc>
        <w:tc>
          <w:tcPr>
            <w:tcW w:w="1984" w:type="dxa"/>
            <w:vMerge w:val="continue"/>
            <w:vAlign w:val="center"/>
          </w:tcPr>
          <w:p>
            <w:pPr>
              <w:keepNext w:val="0"/>
              <w:keepLines w:val="0"/>
              <w:pageBreakBefore w:val="0"/>
              <w:kinsoku/>
              <w:wordWrap w:val="0"/>
              <w:overflowPunct/>
              <w:topLinePunct/>
              <w:autoSpaceDE w:val="0"/>
              <w:autoSpaceDN w:val="0"/>
              <w:bidi w:val="0"/>
              <w:adjustRightInd w:val="0"/>
              <w:snapToGrid w:val="0"/>
              <w:spacing w:line="360" w:lineRule="auto"/>
              <w:jc w:val="center"/>
              <w:textAlignment w:val="auto"/>
              <w:rPr>
                <w:rFonts w:hint="eastAsia" w:ascii="宋体" w:hAnsi="宋体" w:eastAsia="宋体" w:cs="宋体"/>
                <w:b/>
                <w:sz w:val="21"/>
                <w:szCs w:val="21"/>
              </w:rPr>
            </w:pPr>
          </w:p>
        </w:tc>
        <w:tc>
          <w:tcPr>
            <w:tcW w:w="851" w:type="dxa"/>
            <w:vMerge w:val="continue"/>
            <w:vAlign w:val="center"/>
          </w:tcPr>
          <w:p>
            <w:pPr>
              <w:keepNext w:val="0"/>
              <w:keepLines w:val="0"/>
              <w:pageBreakBefore w:val="0"/>
              <w:kinsoku/>
              <w:wordWrap w:val="0"/>
              <w:overflowPunct/>
              <w:topLinePunct/>
              <w:autoSpaceDE w:val="0"/>
              <w:autoSpaceDN w:val="0"/>
              <w:bidi w:val="0"/>
              <w:adjustRightInd w:val="0"/>
              <w:snapToGrid w:val="0"/>
              <w:spacing w:line="360" w:lineRule="auto"/>
              <w:textAlignment w:val="auto"/>
              <w:rPr>
                <w:rFonts w:hint="eastAsia" w:ascii="宋体" w:hAnsi="宋体" w:eastAsia="宋体" w:cs="宋体"/>
                <w:b/>
                <w:bCs/>
                <w:sz w:val="21"/>
                <w:szCs w:val="21"/>
              </w:rPr>
            </w:pPr>
          </w:p>
        </w:tc>
        <w:tc>
          <w:tcPr>
            <w:tcW w:w="5207" w:type="dxa"/>
            <w:vAlign w:val="center"/>
          </w:tcPr>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二、</w:t>
            </w:r>
            <w:r>
              <w:rPr>
                <w:rFonts w:hint="eastAsia" w:ascii="宋体" w:hAnsi="宋体" w:eastAsia="宋体" w:cs="宋体"/>
                <w:b/>
                <w:sz w:val="21"/>
                <w:szCs w:val="21"/>
              </w:rPr>
              <w:t>开标一览表</w:t>
            </w:r>
            <w:r>
              <w:rPr>
                <w:rFonts w:hint="eastAsia" w:ascii="宋体" w:hAnsi="宋体" w:eastAsia="宋体" w:cs="宋体"/>
                <w:b/>
                <w:bCs/>
                <w:sz w:val="21"/>
                <w:szCs w:val="21"/>
              </w:rPr>
              <w:t>：</w:t>
            </w:r>
          </w:p>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1.★投标报价表；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Merge w:val="continue"/>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b/>
                <w:sz w:val="21"/>
                <w:szCs w:val="21"/>
              </w:rPr>
            </w:pPr>
          </w:p>
        </w:tc>
        <w:tc>
          <w:tcPr>
            <w:tcW w:w="1984" w:type="dxa"/>
            <w:vMerge w:val="continue"/>
            <w:vAlign w:val="center"/>
          </w:tcPr>
          <w:p>
            <w:pPr>
              <w:keepNext w:val="0"/>
              <w:keepLines w:val="0"/>
              <w:pageBreakBefore w:val="0"/>
              <w:kinsoku/>
              <w:wordWrap w:val="0"/>
              <w:overflowPunct/>
              <w:topLinePunct/>
              <w:autoSpaceDE w:val="0"/>
              <w:autoSpaceDN w:val="0"/>
              <w:bidi w:val="0"/>
              <w:adjustRightInd w:val="0"/>
              <w:snapToGrid w:val="0"/>
              <w:spacing w:line="360" w:lineRule="auto"/>
              <w:jc w:val="center"/>
              <w:textAlignment w:val="auto"/>
              <w:rPr>
                <w:rFonts w:hint="eastAsia" w:ascii="宋体" w:hAnsi="宋体" w:eastAsia="宋体" w:cs="宋体"/>
                <w:b/>
                <w:sz w:val="21"/>
                <w:szCs w:val="21"/>
              </w:rPr>
            </w:pPr>
          </w:p>
        </w:tc>
        <w:tc>
          <w:tcPr>
            <w:tcW w:w="851" w:type="dxa"/>
            <w:vMerge w:val="continue"/>
            <w:vAlign w:val="center"/>
          </w:tcPr>
          <w:p>
            <w:pPr>
              <w:keepNext w:val="0"/>
              <w:keepLines w:val="0"/>
              <w:pageBreakBefore w:val="0"/>
              <w:kinsoku/>
              <w:wordWrap w:val="0"/>
              <w:overflowPunct/>
              <w:topLinePunct/>
              <w:autoSpaceDE w:val="0"/>
              <w:autoSpaceDN w:val="0"/>
              <w:bidi w:val="0"/>
              <w:adjustRightInd w:val="0"/>
              <w:snapToGrid w:val="0"/>
              <w:spacing w:line="360" w:lineRule="auto"/>
              <w:textAlignment w:val="auto"/>
              <w:rPr>
                <w:rFonts w:hint="eastAsia" w:ascii="宋体" w:hAnsi="宋体" w:eastAsia="宋体" w:cs="宋体"/>
                <w:b/>
                <w:bCs/>
                <w:sz w:val="21"/>
                <w:szCs w:val="21"/>
              </w:rPr>
            </w:pPr>
          </w:p>
        </w:tc>
        <w:tc>
          <w:tcPr>
            <w:tcW w:w="5207" w:type="dxa"/>
            <w:vAlign w:val="center"/>
          </w:tcPr>
          <w:p>
            <w:pPr>
              <w:keepNext w:val="0"/>
              <w:keepLines w:val="0"/>
              <w:pageBreakBefore w:val="0"/>
              <w:widowControl/>
              <w:shd w:val="clear" w:color="auto" w:fill="FFFFFF"/>
              <w:tabs>
                <w:tab w:val="left" w:pos="475"/>
                <w:tab w:val="left" w:pos="617"/>
              </w:tabs>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b/>
                <w:bCs/>
                <w:sz w:val="21"/>
                <w:szCs w:val="21"/>
              </w:rPr>
              <w:t>三、其他文件及资料：</w:t>
            </w:r>
          </w:p>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1.★授权委托书（参考投标文件格式1）；</w:t>
            </w:r>
          </w:p>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2.★投标函（参考投标文件格式2）；</w:t>
            </w:r>
          </w:p>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3.商务条款偏离表；</w:t>
            </w:r>
          </w:p>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4.中小企业声明函（中小企业投标的，应按照《政府采购促进中小企业发展管理办法》（财库﹝2020﹞46 号印发）《关于印发中小企业划型标准规定的通知》 （工信部联企业〔2011〕300号）如实填写并提交此函）；</w:t>
            </w:r>
          </w:p>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5.监狱企业证明文件[监狱企业投标的，应提交省级以上监狱管理局、戒毒管理局（含新疆生产建设兵团）出具的证明文件]；</w:t>
            </w:r>
          </w:p>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6.残疾人福利性单位声明函（残疾人福利性单位投标的，应提交此函）；</w:t>
            </w:r>
          </w:p>
          <w:p>
            <w:pPr>
              <w:keepNext w:val="0"/>
              <w:keepLines w:val="0"/>
              <w:pageBreakBefore w:val="0"/>
              <w:widowControl/>
              <w:tabs>
                <w:tab w:val="left" w:pos="0"/>
                <w:tab w:val="left" w:pos="220"/>
              </w:tabs>
              <w:kinsoku/>
              <w:wordWrap w:val="0"/>
              <w:overflowPunct/>
              <w:bidi w:val="0"/>
              <w:adjustRightInd w:val="0"/>
              <w:snapToGrid w:val="0"/>
              <w:spacing w:line="360" w:lineRule="auto"/>
              <w:jc w:val="left"/>
              <w:textAlignment w:val="auto"/>
              <w:rPr>
                <w:rFonts w:hint="eastAsia" w:ascii="宋体" w:hAnsi="宋体" w:eastAsia="宋体" w:cs="宋体"/>
                <w:bCs/>
                <w:sz w:val="21"/>
                <w:szCs w:val="21"/>
              </w:rPr>
            </w:pPr>
            <w:r>
              <w:rPr>
                <w:rFonts w:hint="eastAsia" w:ascii="宋体" w:hAnsi="宋体" w:eastAsia="宋体" w:cs="宋体"/>
                <w:sz w:val="21"/>
                <w:szCs w:val="21"/>
              </w:rPr>
              <w:t>7.投标人认为需要提供的其它说明和资料。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Merge w:val="continue"/>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p>
        </w:tc>
        <w:tc>
          <w:tcPr>
            <w:tcW w:w="1984" w:type="dxa"/>
            <w:vMerge w:val="continue"/>
            <w:vAlign w:val="center"/>
          </w:tcPr>
          <w:p>
            <w:pPr>
              <w:keepNext w:val="0"/>
              <w:keepLines w:val="0"/>
              <w:pageBreakBefore w:val="0"/>
              <w:kinsoku/>
              <w:wordWrap w:val="0"/>
              <w:overflowPunct/>
              <w:topLinePunct/>
              <w:autoSpaceDE w:val="0"/>
              <w:autoSpaceDN w:val="0"/>
              <w:bidi w:val="0"/>
              <w:adjustRightInd w:val="0"/>
              <w:snapToGrid w:val="0"/>
              <w:spacing w:line="360" w:lineRule="auto"/>
              <w:jc w:val="center"/>
              <w:textAlignment w:val="auto"/>
              <w:rPr>
                <w:rFonts w:hint="eastAsia" w:ascii="宋体" w:hAnsi="宋体" w:eastAsia="宋体" w:cs="宋体"/>
                <w:sz w:val="21"/>
                <w:szCs w:val="21"/>
              </w:rPr>
            </w:pPr>
          </w:p>
        </w:tc>
        <w:tc>
          <w:tcPr>
            <w:tcW w:w="851" w:type="dxa"/>
            <w:vAlign w:val="center"/>
          </w:tcPr>
          <w:p>
            <w:pPr>
              <w:keepNext w:val="0"/>
              <w:keepLines w:val="0"/>
              <w:pageBreakBefore w:val="0"/>
              <w:kinsoku/>
              <w:wordWrap w:val="0"/>
              <w:overflowPunct/>
              <w:topLinePunct/>
              <w:autoSpaceDE w:val="0"/>
              <w:autoSpaceDN w:val="0"/>
              <w:bidi w:val="0"/>
              <w:adjustRightInd w:val="0"/>
              <w:snapToGrid w:val="0"/>
              <w:spacing w:line="360" w:lineRule="auto"/>
              <w:jc w:val="center"/>
              <w:textAlignment w:val="auto"/>
              <w:rPr>
                <w:rFonts w:hint="eastAsia" w:ascii="宋体" w:hAnsi="宋体" w:eastAsia="宋体" w:cs="宋体"/>
                <w:bCs/>
                <w:sz w:val="21"/>
                <w:szCs w:val="21"/>
              </w:rPr>
            </w:pPr>
            <w:r>
              <w:rPr>
                <w:rFonts w:hint="eastAsia" w:ascii="宋体" w:hAnsi="宋体" w:eastAsia="宋体" w:cs="宋体"/>
                <w:sz w:val="21"/>
                <w:szCs w:val="21"/>
              </w:rPr>
              <w:t>技术部分</w:t>
            </w:r>
          </w:p>
        </w:tc>
        <w:tc>
          <w:tcPr>
            <w:tcW w:w="5207" w:type="dxa"/>
            <w:vAlign w:val="center"/>
          </w:tcPr>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1.技术条款偏离表；</w:t>
            </w:r>
          </w:p>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bCs/>
                <w:sz w:val="21"/>
                <w:szCs w:val="21"/>
              </w:rPr>
            </w:pPr>
            <w:r>
              <w:rPr>
                <w:rFonts w:hint="eastAsia" w:ascii="宋体" w:hAnsi="宋体" w:eastAsia="宋体" w:cs="宋体"/>
                <w:sz w:val="21"/>
                <w:szCs w:val="21"/>
              </w:rPr>
              <w:t>2.服务方案；</w:t>
            </w:r>
          </w:p>
          <w:p>
            <w:pPr>
              <w:keepNext w:val="0"/>
              <w:keepLines w:val="0"/>
              <w:pageBreakBefore w:val="0"/>
              <w:widowControl/>
              <w:tabs>
                <w:tab w:val="left" w:pos="0"/>
                <w:tab w:val="left" w:pos="220"/>
              </w:tabs>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Merge w:val="continue"/>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b/>
                <w:sz w:val="21"/>
                <w:szCs w:val="21"/>
              </w:rPr>
            </w:pPr>
          </w:p>
        </w:tc>
        <w:tc>
          <w:tcPr>
            <w:tcW w:w="1984" w:type="dxa"/>
            <w:vMerge w:val="continue"/>
            <w:vAlign w:val="center"/>
          </w:tcPr>
          <w:p>
            <w:pPr>
              <w:keepNext w:val="0"/>
              <w:keepLines w:val="0"/>
              <w:pageBreakBefore w:val="0"/>
              <w:kinsoku/>
              <w:wordWrap w:val="0"/>
              <w:overflowPunct/>
              <w:topLinePunct/>
              <w:autoSpaceDE w:val="0"/>
              <w:autoSpaceDN w:val="0"/>
              <w:bidi w:val="0"/>
              <w:adjustRightInd w:val="0"/>
              <w:snapToGrid w:val="0"/>
              <w:spacing w:line="360" w:lineRule="auto"/>
              <w:jc w:val="center"/>
              <w:textAlignment w:val="auto"/>
              <w:rPr>
                <w:rFonts w:hint="eastAsia" w:ascii="宋体" w:hAnsi="宋体" w:eastAsia="宋体" w:cs="宋体"/>
                <w:b/>
                <w:sz w:val="21"/>
                <w:szCs w:val="21"/>
              </w:rPr>
            </w:pPr>
          </w:p>
        </w:tc>
        <w:tc>
          <w:tcPr>
            <w:tcW w:w="6058" w:type="dxa"/>
            <w:gridSpan w:val="2"/>
            <w:vAlign w:val="center"/>
          </w:tcPr>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b/>
                <w:sz w:val="21"/>
                <w:szCs w:val="21"/>
              </w:rPr>
              <w:t>1.以上带★的文件及资料未提供或提供的无效，则投标无效。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17</w:t>
            </w:r>
          </w:p>
        </w:tc>
        <w:tc>
          <w:tcPr>
            <w:tcW w:w="1984" w:type="dxa"/>
            <w:vAlign w:val="center"/>
          </w:tcPr>
          <w:p>
            <w:pPr>
              <w:keepNext w:val="0"/>
              <w:keepLines w:val="0"/>
              <w:pageBreakBefore w:val="0"/>
              <w:kinsoku/>
              <w:wordWrap w:val="0"/>
              <w:overflowPunct/>
              <w:topLinePunct/>
              <w:autoSpaceDE w:val="0"/>
              <w:autoSpaceDN w:val="0"/>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投标有效期</w:t>
            </w:r>
          </w:p>
        </w:tc>
        <w:tc>
          <w:tcPr>
            <w:tcW w:w="6058" w:type="dxa"/>
            <w:gridSpan w:val="2"/>
            <w:vAlign w:val="center"/>
          </w:tcPr>
          <w:p>
            <w:pPr>
              <w:keepNext w:val="0"/>
              <w:keepLines w:val="0"/>
              <w:pageBreakBefore w:val="0"/>
              <w:kinsoku/>
              <w:wordWrap w:val="0"/>
              <w:overflowPunct/>
              <w:topLinePunct/>
              <w:autoSpaceDE w:val="0"/>
              <w:autoSpaceDN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从提交投标文件的截止之日起计算</w:t>
            </w:r>
            <w:r>
              <w:rPr>
                <w:rFonts w:hint="eastAsia" w:ascii="宋体" w:hAnsi="宋体" w:eastAsia="宋体" w:cs="宋体"/>
                <w:sz w:val="21"/>
                <w:szCs w:val="21"/>
                <w:u w:val="single"/>
                <w:lang w:val="en-US" w:eastAsia="zh-CN"/>
              </w:rPr>
              <w:t>90</w:t>
            </w:r>
            <w:r>
              <w:rPr>
                <w:rFonts w:hint="eastAsia" w:ascii="宋体" w:hAnsi="宋体" w:eastAsia="宋体" w:cs="宋体"/>
                <w:sz w:val="21"/>
                <w:szCs w:val="21"/>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18</w:t>
            </w:r>
          </w:p>
        </w:tc>
        <w:tc>
          <w:tcPr>
            <w:tcW w:w="1984" w:type="dxa"/>
            <w:vAlign w:val="center"/>
          </w:tcPr>
          <w:p>
            <w:pPr>
              <w:keepNext w:val="0"/>
              <w:keepLines w:val="0"/>
              <w:pageBreakBefore w:val="0"/>
              <w:kinsoku/>
              <w:wordWrap w:val="0"/>
              <w:overflowPunct/>
              <w:topLinePunct/>
              <w:autoSpaceDE w:val="0"/>
              <w:autoSpaceDN w:val="0"/>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提交投标文件方式、截止时间、开标时间、地点</w:t>
            </w:r>
          </w:p>
        </w:tc>
        <w:tc>
          <w:tcPr>
            <w:tcW w:w="6058" w:type="dxa"/>
            <w:gridSpan w:val="2"/>
            <w:vAlign w:val="center"/>
          </w:tcPr>
          <w:p>
            <w:pPr>
              <w:keepNext w:val="0"/>
              <w:keepLines w:val="0"/>
              <w:pageBreakBefore w:val="0"/>
              <w:kinsoku/>
              <w:wordWrap w:val="0"/>
              <w:overflowPunct/>
              <w:topLinePunct/>
              <w:autoSpaceDE w:val="0"/>
              <w:autoSpaceDN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提交方式：</w:t>
            </w:r>
            <w:r>
              <w:rPr>
                <w:rFonts w:hint="eastAsia" w:ascii="宋体" w:hAnsi="宋体" w:eastAsia="宋体" w:cs="宋体"/>
                <w:sz w:val="21"/>
                <w:szCs w:val="21"/>
                <w:u w:val="single"/>
              </w:rPr>
              <w:t>纸质文件提交</w:t>
            </w:r>
          </w:p>
          <w:p>
            <w:pPr>
              <w:keepNext w:val="0"/>
              <w:keepLines w:val="0"/>
              <w:pageBreakBefore w:val="0"/>
              <w:kinsoku/>
              <w:wordWrap w:val="0"/>
              <w:overflowPunct/>
              <w:topLinePunct/>
              <w:autoSpaceDE w:val="0"/>
              <w:autoSpaceDN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投标截止时间和开标时间：</w:t>
            </w:r>
            <w:r>
              <w:rPr>
                <w:rFonts w:hint="eastAsia" w:ascii="宋体" w:hAnsi="宋体" w:eastAsia="宋体" w:cs="宋体"/>
                <w:sz w:val="21"/>
                <w:szCs w:val="21"/>
                <w:u w:val="single"/>
              </w:rPr>
              <w:t>详见第一章“投标邀请”</w:t>
            </w:r>
          </w:p>
          <w:p>
            <w:pPr>
              <w:keepNext w:val="0"/>
              <w:keepLines w:val="0"/>
              <w:pageBreakBefore w:val="0"/>
              <w:kinsoku/>
              <w:wordWrap w:val="0"/>
              <w:overflowPunct/>
              <w:topLinePunct/>
              <w:autoSpaceDE w:val="0"/>
              <w:autoSpaceDN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sz w:val="21"/>
                <w:szCs w:val="21"/>
              </w:rPr>
              <w:t>开标方式：</w:t>
            </w:r>
            <w:r>
              <w:rPr>
                <w:rFonts w:hint="eastAsia" w:ascii="宋体" w:hAnsi="宋体" w:eastAsia="宋体" w:cs="宋体"/>
                <w:sz w:val="21"/>
                <w:szCs w:val="21"/>
                <w:u w:val="single"/>
              </w:rPr>
              <w:t>线下开标</w:t>
            </w:r>
          </w:p>
          <w:p>
            <w:pPr>
              <w:keepNext w:val="0"/>
              <w:keepLines w:val="0"/>
              <w:pageBreakBefore w:val="0"/>
              <w:kinsoku/>
              <w:wordWrap w:val="0"/>
              <w:overflowPunct/>
              <w:topLinePunct/>
              <w:autoSpaceDE w:val="0"/>
              <w:autoSpaceDN w:val="0"/>
              <w:bidi w:val="0"/>
              <w:adjustRightInd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提交投标文件地点：</w:t>
            </w:r>
            <w:r>
              <w:rPr>
                <w:rFonts w:hint="eastAsia" w:ascii="宋体" w:hAnsi="宋体" w:eastAsia="宋体" w:cs="宋体"/>
                <w:sz w:val="21"/>
                <w:szCs w:val="21"/>
                <w:u w:val="single"/>
              </w:rPr>
              <w:t>详见第一章“投标邀请”</w:t>
            </w:r>
          </w:p>
          <w:p>
            <w:pPr>
              <w:keepNext w:val="0"/>
              <w:keepLines w:val="0"/>
              <w:pageBreakBefore w:val="0"/>
              <w:kinsoku/>
              <w:wordWrap w:val="0"/>
              <w:overflowPunct/>
              <w:topLinePunct/>
              <w:autoSpaceDE w:val="0"/>
              <w:autoSpaceDN w:val="0"/>
              <w:bidi w:val="0"/>
              <w:adjustRightInd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开标地点：</w:t>
            </w:r>
            <w:r>
              <w:rPr>
                <w:rFonts w:hint="eastAsia" w:ascii="宋体" w:hAnsi="宋体" w:eastAsia="宋体" w:cs="宋体"/>
                <w:sz w:val="21"/>
                <w:szCs w:val="21"/>
                <w:u w:val="single"/>
              </w:rPr>
              <w:t>详见第一章“投标邀请”</w:t>
            </w:r>
          </w:p>
          <w:p>
            <w:pPr>
              <w:keepNext w:val="0"/>
              <w:keepLines w:val="0"/>
              <w:pageBreakBefore w:val="0"/>
              <w:kinsoku/>
              <w:wordWrap w:val="0"/>
              <w:overflowPunct/>
              <w:topLinePunct/>
              <w:autoSpaceDE w:val="0"/>
              <w:autoSpaceDN w:val="0"/>
              <w:bidi w:val="0"/>
              <w:adjustRightInd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b/>
                <w:sz w:val="21"/>
                <w:szCs w:val="21"/>
              </w:rPr>
              <w:t>联系电话：</w:t>
            </w:r>
            <w:r>
              <w:rPr>
                <w:rFonts w:hint="eastAsia" w:ascii="宋体" w:hAnsi="宋体" w:eastAsia="宋体" w:cs="宋体"/>
                <w:sz w:val="21"/>
                <w:szCs w:val="21"/>
                <w:u w:val="single"/>
              </w:rPr>
              <w:t>详见第一章“投标邀请”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19</w:t>
            </w:r>
          </w:p>
        </w:tc>
        <w:tc>
          <w:tcPr>
            <w:tcW w:w="1984" w:type="dxa"/>
            <w:vAlign w:val="center"/>
          </w:tcPr>
          <w:p>
            <w:pPr>
              <w:keepNext w:val="0"/>
              <w:keepLines w:val="0"/>
              <w:pageBreakBefore w:val="0"/>
              <w:tabs>
                <w:tab w:val="left" w:pos="1875"/>
              </w:tabs>
              <w:kinsoku/>
              <w:wordWrap w:val="0"/>
              <w:overflowPunct/>
              <w:bidi w:val="0"/>
              <w:adjustRightInd w:val="0"/>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sz w:val="21"/>
                <w:szCs w:val="21"/>
              </w:rPr>
              <w:t>投标保证金</w:t>
            </w:r>
          </w:p>
        </w:tc>
        <w:tc>
          <w:tcPr>
            <w:tcW w:w="6058" w:type="dxa"/>
            <w:gridSpan w:val="2"/>
            <w:vAlign w:val="center"/>
          </w:tcPr>
          <w:p>
            <w:pPr>
              <w:keepNext w:val="0"/>
              <w:keepLines w:val="0"/>
              <w:pageBreakBefore w:val="0"/>
              <w:kinsoku/>
              <w:wordWrap w:val="0"/>
              <w:overflowPunct/>
              <w:topLinePunct/>
              <w:autoSpaceDE w:val="0"/>
              <w:autoSpaceDN w:val="0"/>
              <w:bidi w:val="0"/>
              <w:adjustRightInd w:val="0"/>
              <w:snapToGrid w:val="0"/>
              <w:spacing w:line="360" w:lineRule="auto"/>
              <w:textAlignment w:val="auto"/>
              <w:rPr>
                <w:rFonts w:hint="eastAsia" w:ascii="宋体" w:hAnsi="宋体" w:eastAsia="宋体" w:cs="宋体"/>
                <w:snapToGrid w:val="0"/>
                <w:sz w:val="21"/>
                <w:szCs w:val="21"/>
                <w:lang w:val="zh-CN"/>
              </w:rPr>
            </w:pPr>
            <w:r>
              <w:rPr>
                <w:rFonts w:hint="eastAsia" w:ascii="宋体" w:hAnsi="宋体" w:eastAsia="宋体" w:cs="宋体"/>
                <w:sz w:val="21"/>
                <w:szCs w:val="21"/>
              </w:rPr>
              <w:t>☑不要求提供</w:t>
            </w:r>
          </w:p>
          <w:p>
            <w:pPr>
              <w:keepNext w:val="0"/>
              <w:keepLines w:val="0"/>
              <w:pageBreakBefore w:val="0"/>
              <w:kinsoku/>
              <w:wordWrap w:val="0"/>
              <w:overflowPunct/>
              <w:topLinePunct/>
              <w:autoSpaceDE w:val="0"/>
              <w:autoSpaceDN w:val="0"/>
              <w:bidi w:val="0"/>
              <w:adjustRightInd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sz w:val="21"/>
                <w:szCs w:val="21"/>
              </w:rPr>
              <w:sym w:font="Wingdings 2" w:char="F0A3"/>
            </w:r>
            <w:r>
              <w:rPr>
                <w:rFonts w:hint="eastAsia" w:ascii="宋体" w:hAnsi="宋体" w:eastAsia="宋体" w:cs="宋体"/>
                <w:sz w:val="21"/>
                <w:szCs w:val="21"/>
              </w:rPr>
              <w:t>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Merge w:val="restart"/>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20</w:t>
            </w:r>
          </w:p>
        </w:tc>
        <w:tc>
          <w:tcPr>
            <w:tcW w:w="1984" w:type="dxa"/>
            <w:vMerge w:val="restart"/>
            <w:vAlign w:val="center"/>
          </w:tcPr>
          <w:p>
            <w:pPr>
              <w:keepNext w:val="0"/>
              <w:keepLines w:val="0"/>
              <w:pageBreakBefore w:val="0"/>
              <w:tabs>
                <w:tab w:val="left" w:pos="1875"/>
              </w:tabs>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不予退还投标保证金的情形</w:t>
            </w:r>
          </w:p>
        </w:tc>
        <w:tc>
          <w:tcPr>
            <w:tcW w:w="6058" w:type="dxa"/>
            <w:gridSpan w:val="2"/>
            <w:vAlign w:val="center"/>
          </w:tcPr>
          <w:p>
            <w:pPr>
              <w:keepNext w:val="0"/>
              <w:keepLines w:val="0"/>
              <w:pageBreakBefore w:val="0"/>
              <w:kinsoku/>
              <w:wordWrap w:val="0"/>
              <w:overflowPunct/>
              <w:topLinePunct/>
              <w:autoSpaceDE w:val="0"/>
              <w:autoSpaceDN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有下列情形之一的，投标保证金将不予退还：</w:t>
            </w:r>
          </w:p>
          <w:p>
            <w:pPr>
              <w:keepNext w:val="0"/>
              <w:keepLines w:val="0"/>
              <w:pageBreakBefore w:val="0"/>
              <w:kinsoku/>
              <w:wordWrap w:val="0"/>
              <w:overflowPunct/>
              <w:topLinePunct/>
              <w:autoSpaceDE w:val="0"/>
              <w:autoSpaceDN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（1）投标人串通投标或有视为串通投标情形之一的；</w:t>
            </w:r>
          </w:p>
          <w:p>
            <w:pPr>
              <w:keepNext w:val="0"/>
              <w:keepLines w:val="0"/>
              <w:pageBreakBefore w:val="0"/>
              <w:kinsoku/>
              <w:wordWrap w:val="0"/>
              <w:overflowPunct/>
              <w:topLinePunct/>
              <w:autoSpaceDE w:val="0"/>
              <w:autoSpaceDN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（2）投标人提供虚假材料；</w:t>
            </w:r>
          </w:p>
          <w:p>
            <w:pPr>
              <w:keepNext w:val="0"/>
              <w:keepLines w:val="0"/>
              <w:pageBreakBefore w:val="0"/>
              <w:kinsoku/>
              <w:wordWrap w:val="0"/>
              <w:overflowPunct/>
              <w:topLinePunct/>
              <w:autoSpaceDE w:val="0"/>
              <w:autoSpaceDN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（3）投标人采取不正当手段诋毁、排挤其他投标人；</w:t>
            </w:r>
          </w:p>
          <w:p>
            <w:pPr>
              <w:keepNext w:val="0"/>
              <w:keepLines w:val="0"/>
              <w:pageBreakBefore w:val="0"/>
              <w:kinsoku/>
              <w:wordWrap w:val="0"/>
              <w:overflowPunct/>
              <w:topLinePunct/>
              <w:autoSpaceDE w:val="0"/>
              <w:autoSpaceDN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（4）投标截止时间后，投标人在投标有效期内撤销投标文件；</w:t>
            </w:r>
          </w:p>
          <w:p>
            <w:pPr>
              <w:keepNext w:val="0"/>
              <w:keepLines w:val="0"/>
              <w:pageBreakBefore w:val="0"/>
              <w:kinsoku/>
              <w:wordWrap w:val="0"/>
              <w:overflowPunct/>
              <w:topLinePunct/>
              <w:autoSpaceDE w:val="0"/>
              <w:autoSpaceDN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（5）中标人有下列情形之一的：</w:t>
            </w:r>
          </w:p>
          <w:p>
            <w:pPr>
              <w:keepNext w:val="0"/>
              <w:keepLines w:val="0"/>
              <w:pageBreakBefore w:val="0"/>
              <w:kinsoku/>
              <w:wordWrap w:val="0"/>
              <w:overflowPunct/>
              <w:topLinePunct/>
              <w:autoSpaceDE w:val="0"/>
              <w:autoSpaceDN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a.除不可抗力外，因中标人自身原因未在中标通知书要求的期限内与采购人签订政府采购合同；</w:t>
            </w:r>
          </w:p>
          <w:p>
            <w:pPr>
              <w:keepNext w:val="0"/>
              <w:keepLines w:val="0"/>
              <w:pageBreakBefore w:val="0"/>
              <w:kinsoku/>
              <w:wordWrap w:val="0"/>
              <w:overflowPunct/>
              <w:topLinePunct/>
              <w:autoSpaceDE w:val="0"/>
              <w:autoSpaceDN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b.未按照招标文件、投标文件的约定签订政府采购合同或提交履约保证金。</w:t>
            </w:r>
          </w:p>
          <w:p>
            <w:pPr>
              <w:keepNext w:val="0"/>
              <w:keepLines w:val="0"/>
              <w:pageBreakBefore w:val="0"/>
              <w:kinsoku/>
              <w:wordWrap w:val="0"/>
              <w:overflowPunct/>
              <w:topLinePunct/>
              <w:autoSpaceDE w:val="0"/>
              <w:autoSpaceDN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注：若上述投标保证金不予退还情形给采购人（采购代理机构）造成损失，则投标人还要承担相应的赔偿责任。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Merge w:val="continue"/>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p>
        </w:tc>
        <w:tc>
          <w:tcPr>
            <w:tcW w:w="1984" w:type="dxa"/>
            <w:vMerge w:val="continue"/>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p>
        </w:tc>
        <w:tc>
          <w:tcPr>
            <w:tcW w:w="6058" w:type="dxa"/>
            <w:gridSpan w:val="2"/>
            <w:vAlign w:val="center"/>
          </w:tcPr>
          <w:p>
            <w:pPr>
              <w:keepNext w:val="0"/>
              <w:keepLines w:val="0"/>
              <w:pageBreakBefore w:val="0"/>
              <w:kinsoku/>
              <w:wordWrap w:val="0"/>
              <w:overflowPunct/>
              <w:topLinePunct/>
              <w:autoSpaceDE w:val="0"/>
              <w:autoSpaceDN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其他不予退还投标保证金的情形：</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无</w:t>
            </w:r>
            <w:r>
              <w:rPr>
                <w:rFonts w:hint="eastAsia" w:ascii="宋体" w:hAnsi="宋体" w:eastAsia="宋体" w:cs="宋体"/>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21</w:t>
            </w:r>
          </w:p>
        </w:tc>
        <w:tc>
          <w:tcPr>
            <w:tcW w:w="1984" w:type="dxa"/>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sz w:val="21"/>
                <w:szCs w:val="21"/>
              </w:rPr>
              <w:t>信用记录审查</w:t>
            </w:r>
          </w:p>
        </w:tc>
        <w:tc>
          <w:tcPr>
            <w:tcW w:w="6058" w:type="dxa"/>
            <w:gridSpan w:val="2"/>
            <w:vAlign w:val="center"/>
          </w:tcPr>
          <w:p>
            <w:pPr>
              <w:keepNext w:val="0"/>
              <w:keepLines w:val="0"/>
              <w:pageBreakBefore w:val="0"/>
              <w:kinsoku/>
              <w:wordWrap w:val="0"/>
              <w:overflowPunct/>
              <w:topLinePunct/>
              <w:autoSpaceDE w:val="0"/>
              <w:autoSpaceDN w:val="0"/>
              <w:bidi w:val="0"/>
              <w:spacing w:line="360" w:lineRule="auto"/>
              <w:textAlignment w:val="auto"/>
              <w:rPr>
                <w:rFonts w:hint="eastAsia" w:ascii="宋体" w:hAnsi="宋体" w:eastAsia="宋体" w:cs="宋体"/>
                <w:snapToGrid w:val="0"/>
                <w:sz w:val="21"/>
                <w:szCs w:val="21"/>
              </w:rPr>
            </w:pPr>
            <w:r>
              <w:rPr>
                <w:rFonts w:hint="eastAsia" w:ascii="宋体" w:hAnsi="宋体" w:eastAsia="宋体" w:cs="宋体"/>
                <w:sz w:val="21"/>
                <w:szCs w:val="21"/>
              </w:rPr>
              <w:t>根据《财政部关于在政府采购活动中查询及使用信用记录有关问题的通知》（财库〔2016〕125号）规定，开标结束后，采购人、采购代理机构将通过“信用中国”网站（www.creditchina.gov.cn）、中国政府采购网（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"http://www.ccgp.gov.cn" </w:instrText>
            </w:r>
            <w:r>
              <w:rPr>
                <w:rFonts w:hint="eastAsia" w:ascii="宋体" w:hAnsi="宋体" w:eastAsia="宋体" w:cs="宋体"/>
                <w:sz w:val="21"/>
                <w:szCs w:val="21"/>
              </w:rPr>
              <w:fldChar w:fldCharType="separate"/>
            </w:r>
            <w:r>
              <w:rPr>
                <w:rFonts w:hint="eastAsia" w:ascii="宋体" w:hAnsi="宋体" w:eastAsia="宋体" w:cs="宋体"/>
                <w:sz w:val="21"/>
                <w:szCs w:val="21"/>
              </w:rPr>
              <w:t>www.ccgp.gov.cn</w:t>
            </w:r>
            <w:r>
              <w:rPr>
                <w:rFonts w:hint="eastAsia" w:ascii="宋体" w:hAnsi="宋体" w:eastAsia="宋体" w:cs="宋体"/>
                <w:sz w:val="21"/>
                <w:szCs w:val="21"/>
              </w:rPr>
              <w:fldChar w:fldCharType="end"/>
            </w:r>
            <w:r>
              <w:rPr>
                <w:rFonts w:hint="eastAsia" w:ascii="宋体" w:hAnsi="宋体" w:eastAsia="宋体" w:cs="宋体"/>
                <w:sz w:val="21"/>
                <w:szCs w:val="21"/>
              </w:rPr>
              <w:t>），对投标人截止到投标截止时间的信用记录进行审查，对列入失信被执行人、重大税收违法案件当事人名单、政府采购严重违法失信行为记录名单及其他不符合《中华人民共和国政府采购法》第二十二条规定条件的投标人，其投标将被拒绝。</w:t>
            </w:r>
          </w:p>
          <w:p>
            <w:pPr>
              <w:keepNext w:val="0"/>
              <w:keepLines w:val="0"/>
              <w:pageBreakBefore w:val="0"/>
              <w:kinsoku/>
              <w:wordWrap w:val="0"/>
              <w:overflowPunct/>
              <w:topLinePunct/>
              <w:autoSpaceDE w:val="0"/>
              <w:autoSpaceDN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本次查询的信用记录仅限于本项目使用，查询结果将留存在采购档案中。</w:t>
            </w:r>
          </w:p>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在上述指定网站不能查询信用信息的投标人，应提供相关证明材料（原件加盖公章）。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22</w:t>
            </w:r>
          </w:p>
        </w:tc>
        <w:tc>
          <w:tcPr>
            <w:tcW w:w="1984" w:type="dxa"/>
            <w:vAlign w:val="center"/>
          </w:tcPr>
          <w:p>
            <w:pPr>
              <w:keepNext w:val="0"/>
              <w:keepLines w:val="0"/>
              <w:pageBreakBefore w:val="0"/>
              <w:kinsoku/>
              <w:wordWrap w:val="0"/>
              <w:overflowPunct/>
              <w:topLinePunct/>
              <w:autoSpaceDE w:val="0"/>
              <w:autoSpaceDN w:val="0"/>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支持中小型</w:t>
            </w:r>
          </w:p>
          <w:p>
            <w:pPr>
              <w:keepNext w:val="0"/>
              <w:keepLines w:val="0"/>
              <w:pageBreakBefore w:val="0"/>
              <w:kinsoku/>
              <w:wordWrap w:val="0"/>
              <w:overflowPunct/>
              <w:topLinePunct/>
              <w:autoSpaceDE w:val="0"/>
              <w:autoSpaceDN w:val="0"/>
              <w:bidi w:val="0"/>
              <w:adjustRightInd w:val="0"/>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sz w:val="21"/>
                <w:szCs w:val="21"/>
              </w:rPr>
              <w:t>企业发展</w:t>
            </w:r>
          </w:p>
        </w:tc>
        <w:tc>
          <w:tcPr>
            <w:tcW w:w="6058" w:type="dxa"/>
            <w:gridSpan w:val="2"/>
            <w:vAlign w:val="center"/>
          </w:tcPr>
          <w:p>
            <w:pPr>
              <w:keepNext w:val="0"/>
              <w:keepLines w:val="0"/>
              <w:pageBreakBefore w:val="0"/>
              <w:kinsoku/>
              <w:wordWrap w:val="0"/>
              <w:overflowPunct/>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根据《政府采购促进中小型企业发展管理办法》（财库〔2020〕46号），鼓励中小企业参加本项目采购活动。</w:t>
            </w:r>
          </w:p>
          <w:p>
            <w:pPr>
              <w:keepNext w:val="0"/>
              <w:keepLines w:val="0"/>
              <w:pageBreakBefore w:val="0"/>
              <w:kinsoku/>
              <w:wordWrap w:val="0"/>
              <w:overflowPunct/>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在货物采购项目中，满足所有标的均由中小企业制造，即所有标的均由中小企业生产且使用该中小企业商号或者注册商标的，可享受中小企业扶持政策。</w:t>
            </w:r>
          </w:p>
          <w:p>
            <w:pPr>
              <w:keepNext w:val="0"/>
              <w:keepLines w:val="0"/>
              <w:pageBreakBefore w:val="0"/>
              <w:kinsoku/>
              <w:wordWrap w:val="0"/>
              <w:overflowPunct/>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在服务采购项目中，满足服务由中小企业承接，即提供服务的人员为中小企业依照《中华人民共和国劳动合同法》订立劳动合同的从业人员的，可享受中小企业扶持政策。</w:t>
            </w:r>
          </w:p>
          <w:p>
            <w:pPr>
              <w:keepNext w:val="0"/>
              <w:keepLines w:val="0"/>
              <w:pageBreakBefore w:val="0"/>
              <w:kinsoku/>
              <w:wordWrap w:val="0"/>
              <w:overflowPunct/>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本项目：</w:t>
            </w:r>
          </w:p>
          <w:p>
            <w:pPr>
              <w:keepNext w:val="0"/>
              <w:keepLines w:val="0"/>
              <w:pageBreakBefore w:val="0"/>
              <w:kinsoku/>
              <w:wordWrap w:val="0"/>
              <w:overflowPunct/>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☑专门面向中小企业采购项目。</w:t>
            </w:r>
          </w:p>
          <w:p>
            <w:pPr>
              <w:keepNext w:val="0"/>
              <w:keepLines w:val="0"/>
              <w:pageBreakBefore w:val="0"/>
              <w:kinsoku/>
              <w:wordWrap w:val="0"/>
              <w:overflowPunct/>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□预留份额面向中小企业采购项目（说明：</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keepNext w:val="0"/>
              <w:keepLines w:val="0"/>
              <w:pageBreakBefore w:val="0"/>
              <w:kinsoku/>
              <w:wordWrap w:val="0"/>
              <w:overflowPunct/>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□非专门面向中小企业采购项目。对小型和微型企业的投标价格给予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23</w:t>
            </w:r>
          </w:p>
        </w:tc>
        <w:tc>
          <w:tcPr>
            <w:tcW w:w="1984" w:type="dxa"/>
            <w:vAlign w:val="center"/>
          </w:tcPr>
          <w:p>
            <w:pPr>
              <w:keepNext w:val="0"/>
              <w:keepLines w:val="0"/>
              <w:pageBreakBefore w:val="0"/>
              <w:kinsoku/>
              <w:wordWrap w:val="0"/>
              <w:overflowPunct/>
              <w:topLinePunct/>
              <w:autoSpaceDE w:val="0"/>
              <w:autoSpaceDN w:val="0"/>
              <w:bidi w:val="0"/>
              <w:adjustRightInd w:val="0"/>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sz w:val="21"/>
                <w:szCs w:val="21"/>
              </w:rPr>
              <w:t>支持监狱企业发展</w:t>
            </w:r>
          </w:p>
        </w:tc>
        <w:tc>
          <w:tcPr>
            <w:tcW w:w="6058" w:type="dxa"/>
            <w:gridSpan w:val="2"/>
            <w:vAlign w:val="center"/>
          </w:tcPr>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b/>
                <w:sz w:val="21"/>
                <w:szCs w:val="21"/>
              </w:rPr>
            </w:pPr>
            <w:r>
              <w:rPr>
                <w:rFonts w:hint="eastAsia" w:ascii="宋体" w:hAnsi="宋体" w:eastAsia="宋体" w:cs="宋体"/>
                <w:sz w:val="21"/>
                <w:szCs w:val="21"/>
              </w:rPr>
              <w:t>根据《关于政府采购支持监狱企业发展有关问题的通知》（财库〔2014〕68号），监狱企业视同小型、微型企业，按照</w:t>
            </w:r>
            <w:r>
              <w:rPr>
                <w:rFonts w:hint="eastAsia" w:ascii="宋体" w:hAnsi="宋体" w:eastAsia="宋体" w:cs="宋体"/>
                <w:b/>
                <w:bCs/>
                <w:sz w:val="21"/>
                <w:szCs w:val="21"/>
              </w:rPr>
              <w:t>投标人须知前附表第22项</w:t>
            </w:r>
            <w:r>
              <w:rPr>
                <w:rFonts w:hint="eastAsia" w:ascii="宋体" w:hAnsi="宋体" w:eastAsia="宋体" w:cs="宋体"/>
                <w:sz w:val="21"/>
                <w:szCs w:val="21"/>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24</w:t>
            </w:r>
          </w:p>
        </w:tc>
        <w:tc>
          <w:tcPr>
            <w:tcW w:w="1984" w:type="dxa"/>
            <w:vAlign w:val="center"/>
          </w:tcPr>
          <w:p>
            <w:pPr>
              <w:keepNext w:val="0"/>
              <w:keepLines w:val="0"/>
              <w:pageBreakBefore w:val="0"/>
              <w:kinsoku/>
              <w:wordWrap w:val="0"/>
              <w:overflowPunct/>
              <w:topLinePunct/>
              <w:autoSpaceDE w:val="0"/>
              <w:autoSpaceDN w:val="0"/>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促进残疾人</w:t>
            </w:r>
          </w:p>
          <w:p>
            <w:pPr>
              <w:keepNext w:val="0"/>
              <w:keepLines w:val="0"/>
              <w:pageBreakBefore w:val="0"/>
              <w:kinsoku/>
              <w:wordWrap w:val="0"/>
              <w:overflowPunct/>
              <w:topLinePunct/>
              <w:autoSpaceDE w:val="0"/>
              <w:autoSpaceDN w:val="0"/>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就业</w:t>
            </w:r>
          </w:p>
        </w:tc>
        <w:tc>
          <w:tcPr>
            <w:tcW w:w="6058" w:type="dxa"/>
            <w:gridSpan w:val="2"/>
            <w:vAlign w:val="center"/>
          </w:tcPr>
          <w:p>
            <w:pPr>
              <w:keepNext w:val="0"/>
              <w:keepLines w:val="0"/>
              <w:pageBreakBefore w:val="0"/>
              <w:kinsoku/>
              <w:wordWrap w:val="0"/>
              <w:overflowPunct/>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根据《关于促进残疾人就业政府采购政策的通知》（财库〔2017〕141号），残疾人福利性单位视同小型、微型企业，按照</w:t>
            </w:r>
            <w:r>
              <w:rPr>
                <w:rFonts w:hint="eastAsia" w:ascii="宋体" w:hAnsi="宋体" w:eastAsia="宋体" w:cs="宋体"/>
                <w:b/>
                <w:bCs/>
                <w:sz w:val="21"/>
                <w:szCs w:val="21"/>
              </w:rPr>
              <w:t>投标人须知前附表第22项</w:t>
            </w:r>
            <w:r>
              <w:rPr>
                <w:rFonts w:hint="eastAsia" w:ascii="宋体" w:hAnsi="宋体" w:eastAsia="宋体" w:cs="宋体"/>
                <w:sz w:val="21"/>
                <w:szCs w:val="21"/>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Merge w:val="restart"/>
            <w:vAlign w:val="center"/>
          </w:tcPr>
          <w:p>
            <w:pPr>
              <w:keepNext w:val="0"/>
              <w:keepLines w:val="0"/>
              <w:pageBreakBefore w:val="0"/>
              <w:kinsoku/>
              <w:wordWrap w:val="0"/>
              <w:overflowPunct/>
              <w:topLinePunct/>
              <w:autoSpaceDE w:val="0"/>
              <w:autoSpaceDN w:val="0"/>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25</w:t>
            </w:r>
          </w:p>
        </w:tc>
        <w:tc>
          <w:tcPr>
            <w:tcW w:w="1984" w:type="dxa"/>
            <w:vMerge w:val="restart"/>
            <w:vAlign w:val="center"/>
          </w:tcPr>
          <w:p>
            <w:pPr>
              <w:keepNext w:val="0"/>
              <w:keepLines w:val="0"/>
              <w:pageBreakBefore w:val="0"/>
              <w:kinsoku/>
              <w:wordWrap w:val="0"/>
              <w:overflowPunct/>
              <w:topLinePunct/>
              <w:autoSpaceDE w:val="0"/>
              <w:autoSpaceDN w:val="0"/>
              <w:bidi w:val="0"/>
              <w:adjustRightInd w:val="0"/>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sz w:val="21"/>
                <w:szCs w:val="21"/>
              </w:rPr>
              <w:t>其他法律法规强制性规定或扶持政策</w:t>
            </w:r>
          </w:p>
        </w:tc>
        <w:tc>
          <w:tcPr>
            <w:tcW w:w="6058" w:type="dxa"/>
            <w:gridSpan w:val="2"/>
            <w:vAlign w:val="center"/>
          </w:tcPr>
          <w:p>
            <w:pPr>
              <w:keepNext w:val="0"/>
              <w:keepLines w:val="0"/>
              <w:pageBreakBefore w:val="0"/>
              <w:kinsoku/>
              <w:wordWrap w:val="0"/>
              <w:overflowPunct/>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本项目中强制采购节能产品的货物名称：</w:t>
            </w:r>
            <w:r>
              <w:rPr>
                <w:rFonts w:hint="eastAsia" w:ascii="宋体" w:hAnsi="宋体" w:eastAsia="宋体" w:cs="宋体"/>
                <w:sz w:val="21"/>
                <w:szCs w:val="21"/>
                <w:u w:val="single"/>
              </w:rPr>
              <w:t xml:space="preserve"> 本项目不适用 </w:t>
            </w:r>
            <w:r>
              <w:rPr>
                <w:rFonts w:hint="eastAsia" w:ascii="宋体" w:hAnsi="宋体" w:eastAsia="宋体" w:cs="宋体"/>
                <w:sz w:val="21"/>
                <w:szCs w:val="21"/>
              </w:rPr>
              <w:t>。</w:t>
            </w:r>
          </w:p>
          <w:p>
            <w:pPr>
              <w:keepNext w:val="0"/>
              <w:keepLines w:val="0"/>
              <w:pageBreakBefore w:val="0"/>
              <w:kinsoku/>
              <w:wordWrap w:val="0"/>
              <w:overflowPunct/>
              <w:topLinePunct/>
              <w:autoSpaceDE w:val="0"/>
              <w:autoSpaceDN w:val="0"/>
              <w:bidi w:val="0"/>
              <w:adjustRightInd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sz w:val="21"/>
                <w:szCs w:val="21"/>
              </w:rPr>
              <w:t>注：投标人所投上述产品必须具有节能产品认证证书，并提供依据国家确定的认证机构出具的、处于有效期之内的节能产品认证证书复印件，否则投标无效。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Merge w:val="continue"/>
            <w:vAlign w:val="center"/>
          </w:tcPr>
          <w:p>
            <w:pPr>
              <w:keepNext w:val="0"/>
              <w:keepLines w:val="0"/>
              <w:pageBreakBefore w:val="0"/>
              <w:kinsoku/>
              <w:wordWrap w:val="0"/>
              <w:overflowPunct/>
              <w:topLinePunct/>
              <w:autoSpaceDE w:val="0"/>
              <w:autoSpaceDN w:val="0"/>
              <w:bidi w:val="0"/>
              <w:adjustRightInd w:val="0"/>
              <w:snapToGrid w:val="0"/>
              <w:spacing w:before="62" w:after="62" w:line="360" w:lineRule="auto"/>
              <w:jc w:val="center"/>
              <w:textAlignment w:val="auto"/>
              <w:rPr>
                <w:rFonts w:hint="eastAsia" w:ascii="宋体" w:hAnsi="宋体" w:eastAsia="宋体" w:cs="宋体"/>
                <w:sz w:val="21"/>
                <w:szCs w:val="21"/>
              </w:rPr>
            </w:pPr>
          </w:p>
        </w:tc>
        <w:tc>
          <w:tcPr>
            <w:tcW w:w="1984" w:type="dxa"/>
            <w:vMerge w:val="continue"/>
            <w:vAlign w:val="center"/>
          </w:tcPr>
          <w:p>
            <w:pPr>
              <w:keepNext w:val="0"/>
              <w:keepLines w:val="0"/>
              <w:pageBreakBefore w:val="0"/>
              <w:kinsoku/>
              <w:wordWrap w:val="0"/>
              <w:overflowPunct/>
              <w:topLinePunct/>
              <w:autoSpaceDE w:val="0"/>
              <w:autoSpaceDN w:val="0"/>
              <w:bidi w:val="0"/>
              <w:adjustRightInd w:val="0"/>
              <w:snapToGrid w:val="0"/>
              <w:spacing w:line="360" w:lineRule="auto"/>
              <w:jc w:val="center"/>
              <w:textAlignment w:val="auto"/>
              <w:rPr>
                <w:rFonts w:hint="eastAsia" w:ascii="宋体" w:hAnsi="宋体" w:eastAsia="宋体" w:cs="宋体"/>
                <w:sz w:val="21"/>
                <w:szCs w:val="21"/>
              </w:rPr>
            </w:pPr>
          </w:p>
        </w:tc>
        <w:tc>
          <w:tcPr>
            <w:tcW w:w="6058" w:type="dxa"/>
            <w:gridSpan w:val="2"/>
            <w:vAlign w:val="center"/>
          </w:tcPr>
          <w:p>
            <w:pPr>
              <w:keepNext w:val="0"/>
              <w:keepLines w:val="0"/>
              <w:pageBreakBefore w:val="0"/>
              <w:kinsoku/>
              <w:wordWrap w:val="0"/>
              <w:overflowPunct/>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本项目中采购信息安全产品的货物名称：</w:t>
            </w:r>
            <w:r>
              <w:rPr>
                <w:rFonts w:hint="eastAsia" w:ascii="宋体" w:hAnsi="宋体" w:eastAsia="宋体" w:cs="宋体"/>
                <w:sz w:val="21"/>
                <w:szCs w:val="21"/>
                <w:u w:val="single"/>
              </w:rPr>
              <w:t xml:space="preserve"> 本项目不适用 </w:t>
            </w:r>
            <w:r>
              <w:rPr>
                <w:rFonts w:hint="eastAsia" w:ascii="宋体" w:hAnsi="宋体" w:eastAsia="宋体" w:cs="宋体"/>
                <w:sz w:val="21"/>
                <w:szCs w:val="21"/>
              </w:rPr>
              <w:t>。</w:t>
            </w:r>
          </w:p>
          <w:p>
            <w:pPr>
              <w:keepNext w:val="0"/>
              <w:keepLines w:val="0"/>
              <w:pageBreakBefore w:val="0"/>
              <w:kinsoku/>
              <w:wordWrap w:val="0"/>
              <w:overflowPunct/>
              <w:topLinePunct/>
              <w:autoSpaceDE w:val="0"/>
              <w:autoSpaceDN w:val="0"/>
              <w:bidi w:val="0"/>
              <w:adjustRightInd w:val="0"/>
              <w:snapToGrid w:val="0"/>
              <w:spacing w:line="360" w:lineRule="auto"/>
              <w:textAlignment w:val="auto"/>
              <w:rPr>
                <w:rFonts w:hint="eastAsia" w:ascii="宋体" w:hAnsi="宋体" w:eastAsia="宋体" w:cs="宋体"/>
                <w:b/>
                <w:sz w:val="21"/>
                <w:szCs w:val="21"/>
              </w:rPr>
            </w:pPr>
            <w:r>
              <w:rPr>
                <w:rFonts w:hint="eastAsia" w:ascii="宋体" w:hAnsi="宋体" w:eastAsia="宋体" w:cs="宋体"/>
                <w:sz w:val="21"/>
                <w:szCs w:val="21"/>
              </w:rPr>
              <w:t>注：投标人所投上述产品需为国家认证的信息安全产品，并提供由中国网络安全审查技术与认证中心（原中国信息安全认证中心）按国家标准认证颁发的有效认证证书复印件，否则投标无效。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Merge w:val="continue"/>
            <w:vAlign w:val="center"/>
          </w:tcPr>
          <w:p>
            <w:pPr>
              <w:keepNext w:val="0"/>
              <w:keepLines w:val="0"/>
              <w:pageBreakBefore w:val="0"/>
              <w:kinsoku/>
              <w:wordWrap w:val="0"/>
              <w:overflowPunct/>
              <w:topLinePunct/>
              <w:autoSpaceDE w:val="0"/>
              <w:autoSpaceDN w:val="0"/>
              <w:bidi w:val="0"/>
              <w:adjustRightInd w:val="0"/>
              <w:snapToGrid w:val="0"/>
              <w:spacing w:line="360" w:lineRule="auto"/>
              <w:jc w:val="center"/>
              <w:textAlignment w:val="auto"/>
              <w:rPr>
                <w:rFonts w:hint="eastAsia" w:ascii="宋体" w:hAnsi="宋体" w:eastAsia="宋体" w:cs="宋体"/>
                <w:sz w:val="21"/>
                <w:szCs w:val="21"/>
              </w:rPr>
            </w:pPr>
          </w:p>
        </w:tc>
        <w:tc>
          <w:tcPr>
            <w:tcW w:w="1984" w:type="dxa"/>
            <w:vMerge w:val="continue"/>
            <w:vAlign w:val="center"/>
          </w:tcPr>
          <w:p>
            <w:pPr>
              <w:keepNext w:val="0"/>
              <w:keepLines w:val="0"/>
              <w:pageBreakBefore w:val="0"/>
              <w:kinsoku/>
              <w:wordWrap w:val="0"/>
              <w:overflowPunct/>
              <w:topLinePunct/>
              <w:autoSpaceDE w:val="0"/>
              <w:autoSpaceDN w:val="0"/>
              <w:bidi w:val="0"/>
              <w:adjustRightInd w:val="0"/>
              <w:snapToGrid w:val="0"/>
              <w:spacing w:line="360" w:lineRule="auto"/>
              <w:jc w:val="center"/>
              <w:textAlignment w:val="auto"/>
              <w:rPr>
                <w:rFonts w:hint="eastAsia" w:ascii="宋体" w:hAnsi="宋体" w:eastAsia="宋体" w:cs="宋体"/>
                <w:sz w:val="21"/>
                <w:szCs w:val="21"/>
              </w:rPr>
            </w:pPr>
          </w:p>
        </w:tc>
        <w:tc>
          <w:tcPr>
            <w:tcW w:w="6058" w:type="dxa"/>
            <w:gridSpan w:val="2"/>
            <w:vAlign w:val="center"/>
          </w:tcPr>
          <w:p>
            <w:pPr>
              <w:keepNext w:val="0"/>
              <w:keepLines w:val="0"/>
              <w:pageBreakBefore w:val="0"/>
              <w:kinsoku/>
              <w:wordWrap w:val="0"/>
              <w:overflowPunct/>
              <w:topLinePunct/>
              <w:autoSpaceDE w:val="0"/>
              <w:autoSpaceDN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其他法律法规强制性规定或扶持政策：本项目为专门面向中小企业采购项目，采购标的对应的中小企业划分标准所属行业为：</w:t>
            </w:r>
            <w:r>
              <w:rPr>
                <w:rFonts w:hint="eastAsia" w:ascii="宋体" w:hAnsi="宋体" w:eastAsia="宋体" w:cs="宋体"/>
                <w:b/>
                <w:bCs/>
                <w:sz w:val="21"/>
                <w:szCs w:val="21"/>
                <w:lang w:val="en-US" w:eastAsia="zh-CN"/>
              </w:rPr>
              <w:t>物业管理</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26</w:t>
            </w:r>
          </w:p>
        </w:tc>
        <w:tc>
          <w:tcPr>
            <w:tcW w:w="1984" w:type="dxa"/>
            <w:vAlign w:val="center"/>
          </w:tcPr>
          <w:p>
            <w:pPr>
              <w:keepNext w:val="0"/>
              <w:keepLines w:val="0"/>
              <w:pageBreakBefore w:val="0"/>
              <w:tabs>
                <w:tab w:val="left" w:pos="1875"/>
              </w:tabs>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评标方法</w:t>
            </w:r>
          </w:p>
          <w:p>
            <w:pPr>
              <w:keepNext w:val="0"/>
              <w:keepLines w:val="0"/>
              <w:pageBreakBefore w:val="0"/>
              <w:tabs>
                <w:tab w:val="left" w:pos="1875"/>
              </w:tabs>
              <w:kinsoku/>
              <w:wordWrap w:val="0"/>
              <w:overflowPunct/>
              <w:bidi w:val="0"/>
              <w:adjustRightInd w:val="0"/>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sz w:val="21"/>
                <w:szCs w:val="21"/>
              </w:rPr>
              <w:t>及分值</w:t>
            </w:r>
          </w:p>
        </w:tc>
        <w:tc>
          <w:tcPr>
            <w:tcW w:w="6058" w:type="dxa"/>
            <w:gridSpan w:val="2"/>
            <w:vAlign w:val="center"/>
          </w:tcPr>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rPr>
            </w:pPr>
            <w:r>
              <w:rPr>
                <w:rFonts w:hint="eastAsia" w:ascii="宋体" w:hAnsi="宋体" w:eastAsia="宋体" w:cs="宋体"/>
                <w:sz w:val="21"/>
                <w:szCs w:val="21"/>
              </w:rPr>
              <w:t>采用综合评分法，其中价格分值为</w:t>
            </w:r>
            <w:r>
              <w:rPr>
                <w:rFonts w:hint="eastAsia" w:ascii="宋体" w:hAnsi="宋体" w:eastAsia="宋体" w:cs="宋体"/>
                <w:sz w:val="21"/>
                <w:szCs w:val="21"/>
                <w:u w:val="single"/>
                <w:lang w:eastAsia="zh-CN"/>
              </w:rPr>
              <w:t>3</w:t>
            </w:r>
            <w:r>
              <w:rPr>
                <w:rFonts w:hint="eastAsia" w:ascii="宋体" w:hAnsi="宋体" w:eastAsia="宋体" w:cs="宋体"/>
                <w:sz w:val="21"/>
                <w:szCs w:val="21"/>
                <w:u w:val="single"/>
                <w:lang w:val="en-US" w:eastAsia="zh-CN"/>
              </w:rPr>
              <w:t>5</w:t>
            </w:r>
            <w:r>
              <w:rPr>
                <w:rFonts w:hint="eastAsia" w:ascii="宋体" w:hAnsi="宋体" w:eastAsia="宋体" w:cs="宋体"/>
                <w:sz w:val="21"/>
                <w:szCs w:val="21"/>
              </w:rPr>
              <w:t>分，其他因素分值为</w:t>
            </w:r>
            <w:r>
              <w:rPr>
                <w:rFonts w:hint="eastAsia" w:ascii="宋体" w:hAnsi="宋体" w:eastAsia="宋体" w:cs="宋体"/>
                <w:sz w:val="21"/>
                <w:szCs w:val="21"/>
                <w:u w:val="single"/>
                <w:lang w:val="en-US" w:eastAsia="zh-CN"/>
              </w:rPr>
              <w:t>65</w:t>
            </w:r>
            <w:r>
              <w:rPr>
                <w:rFonts w:hint="eastAsia" w:ascii="宋体" w:hAnsi="宋体" w:eastAsia="宋体" w:cs="宋体"/>
                <w:sz w:val="21"/>
                <w:szCs w:val="21"/>
              </w:rPr>
              <w:t>分，详见招标文件商务部分第三章。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27</w:t>
            </w:r>
          </w:p>
        </w:tc>
        <w:tc>
          <w:tcPr>
            <w:tcW w:w="1984" w:type="dxa"/>
            <w:vAlign w:val="center"/>
          </w:tcPr>
          <w:p>
            <w:pPr>
              <w:keepNext w:val="0"/>
              <w:keepLines w:val="0"/>
              <w:pageBreakBefore w:val="0"/>
              <w:kinsoku/>
              <w:wordWrap w:val="0"/>
              <w:overflowPunct/>
              <w:topLinePunct/>
              <w:autoSpaceDE w:val="0"/>
              <w:autoSpaceDN w:val="0"/>
              <w:bidi w:val="0"/>
              <w:adjustRightInd w:val="0"/>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sz w:val="21"/>
                <w:szCs w:val="21"/>
              </w:rPr>
              <w:t>履约保证金</w:t>
            </w:r>
          </w:p>
        </w:tc>
        <w:tc>
          <w:tcPr>
            <w:tcW w:w="6058" w:type="dxa"/>
            <w:gridSpan w:val="2"/>
            <w:vAlign w:val="center"/>
          </w:tcPr>
          <w:p>
            <w:pPr>
              <w:keepNext w:val="0"/>
              <w:keepLines w:val="0"/>
              <w:pageBreakBefore w:val="0"/>
              <w:kinsoku/>
              <w:wordWrap w:val="0"/>
              <w:overflowPunct/>
              <w:bidi w:val="0"/>
              <w:adjustRightInd w:val="0"/>
              <w:snapToGrid w:val="0"/>
              <w:spacing w:line="360" w:lineRule="auto"/>
              <w:jc w:val="left"/>
              <w:textAlignment w:val="auto"/>
              <w:rPr>
                <w:rFonts w:hint="eastAsia" w:ascii="宋体" w:hAnsi="宋体" w:eastAsia="宋体" w:cs="宋体"/>
                <w:b/>
                <w:sz w:val="21"/>
                <w:szCs w:val="21"/>
              </w:rPr>
            </w:pPr>
            <w:r>
              <w:rPr>
                <w:rFonts w:hint="eastAsia" w:ascii="宋体" w:hAnsi="宋体" w:eastAsia="宋体" w:cs="宋体"/>
                <w:sz w:val="21"/>
                <w:szCs w:val="21"/>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28</w:t>
            </w:r>
          </w:p>
        </w:tc>
        <w:tc>
          <w:tcPr>
            <w:tcW w:w="1984" w:type="dxa"/>
            <w:vAlign w:val="center"/>
          </w:tcPr>
          <w:p>
            <w:pPr>
              <w:keepNext w:val="0"/>
              <w:keepLines w:val="0"/>
              <w:pageBreakBefore w:val="0"/>
              <w:kinsoku/>
              <w:wordWrap w:val="0"/>
              <w:overflowPunct/>
              <w:topLinePunct/>
              <w:autoSpaceDE w:val="0"/>
              <w:autoSpaceDN w:val="0"/>
              <w:bidi w:val="0"/>
              <w:adjustRightInd w:val="0"/>
              <w:snapToGrid w:val="0"/>
              <w:spacing w:line="360" w:lineRule="auto"/>
              <w:jc w:val="center"/>
              <w:textAlignment w:val="auto"/>
              <w:rPr>
                <w:rFonts w:hint="eastAsia" w:ascii="宋体" w:hAnsi="宋体" w:eastAsia="宋体" w:cs="宋体"/>
                <w:b/>
                <w:sz w:val="21"/>
                <w:szCs w:val="21"/>
              </w:rPr>
            </w:pPr>
            <w:r>
              <w:rPr>
                <w:rFonts w:hint="eastAsia" w:ascii="宋体" w:hAnsi="宋体" w:eastAsia="宋体" w:cs="宋体"/>
                <w:sz w:val="21"/>
                <w:szCs w:val="21"/>
              </w:rPr>
              <w:t>接收质疑的方式、部门、电话和通讯地址</w:t>
            </w:r>
          </w:p>
        </w:tc>
        <w:tc>
          <w:tcPr>
            <w:tcW w:w="6058" w:type="dxa"/>
            <w:gridSpan w:val="2"/>
            <w:vAlign w:val="center"/>
          </w:tcPr>
          <w:p>
            <w:pPr>
              <w:keepNext w:val="0"/>
              <w:keepLines w:val="0"/>
              <w:pageBreakBefore w:val="0"/>
              <w:kinsoku/>
              <w:wordWrap w:val="0"/>
              <w:overflowPunct/>
              <w:bidi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质疑联系方式：</w:t>
            </w:r>
          </w:p>
          <w:p>
            <w:pPr>
              <w:keepNext w:val="0"/>
              <w:keepLines w:val="0"/>
              <w:pageBreakBefore w:val="0"/>
              <w:kinsoku/>
              <w:wordWrap w:val="0"/>
              <w:overflowPunct/>
              <w:bidi w:val="0"/>
              <w:spacing w:line="360" w:lineRule="auto"/>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（1）接收质疑函的方式：</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纸质原件递交</w:t>
            </w:r>
            <w:r>
              <w:rPr>
                <w:rFonts w:hint="eastAsia" w:ascii="宋体" w:hAnsi="宋体" w:eastAsia="宋体" w:cs="宋体"/>
                <w:sz w:val="21"/>
                <w:szCs w:val="21"/>
                <w:highlight w:val="none"/>
                <w:u w:val="single"/>
              </w:rPr>
              <w:t xml:space="preserve"> </w:t>
            </w:r>
          </w:p>
          <w:p>
            <w:pPr>
              <w:keepNext w:val="0"/>
              <w:keepLines w:val="0"/>
              <w:pageBreakBefore w:val="0"/>
              <w:kinsoku/>
              <w:wordWrap w:val="0"/>
              <w:overflowPunct/>
              <w:bidi w:val="0"/>
              <w:spacing w:line="360" w:lineRule="auto"/>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（2）联系部门：</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招标分公司</w:t>
            </w:r>
            <w:r>
              <w:rPr>
                <w:rFonts w:hint="eastAsia" w:ascii="宋体" w:hAnsi="宋体" w:eastAsia="宋体" w:cs="宋体"/>
                <w:sz w:val="21"/>
                <w:szCs w:val="21"/>
                <w:highlight w:val="none"/>
                <w:u w:val="single"/>
              </w:rPr>
              <w:t xml:space="preserve"> </w:t>
            </w:r>
          </w:p>
          <w:p>
            <w:pPr>
              <w:keepNext w:val="0"/>
              <w:keepLines w:val="0"/>
              <w:pageBreakBefore w:val="0"/>
              <w:kinsoku/>
              <w:wordWrap w:val="0"/>
              <w:overflowPunct/>
              <w:bidi w:val="0"/>
              <w:spacing w:line="360" w:lineRule="auto"/>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（3）联系电话：</w:t>
            </w:r>
            <w:r>
              <w:rPr>
                <w:rFonts w:hint="eastAsia" w:ascii="宋体" w:hAnsi="宋体" w:eastAsia="宋体" w:cs="宋体"/>
                <w:sz w:val="21"/>
                <w:szCs w:val="21"/>
                <w:highlight w:val="none"/>
                <w:u w:val="single"/>
              </w:rPr>
              <w:t xml:space="preserve"> 叶炜翌、</w:t>
            </w:r>
            <w:r>
              <w:rPr>
                <w:rFonts w:hint="eastAsia" w:ascii="宋体" w:hAnsi="宋体" w:eastAsia="宋体" w:cs="宋体"/>
                <w:sz w:val="21"/>
                <w:szCs w:val="21"/>
                <w:highlight w:val="none"/>
                <w:u w:val="single"/>
                <w:lang w:val="en-US" w:eastAsia="zh-CN"/>
              </w:rPr>
              <w:t>13805005551</w:t>
            </w:r>
            <w:r>
              <w:rPr>
                <w:rFonts w:hint="eastAsia" w:ascii="宋体" w:hAnsi="宋体" w:eastAsia="宋体" w:cs="宋体"/>
                <w:sz w:val="21"/>
                <w:szCs w:val="21"/>
                <w:highlight w:val="none"/>
                <w:u w:val="single"/>
              </w:rPr>
              <w:t xml:space="preserve"> </w:t>
            </w:r>
          </w:p>
          <w:p>
            <w:pPr>
              <w:keepNext w:val="0"/>
              <w:keepLines w:val="0"/>
              <w:pageBreakBefore w:val="0"/>
              <w:kinsoku/>
              <w:wordWrap w:val="0"/>
              <w:overflowPunct/>
              <w:bidi w:val="0"/>
              <w:spacing w:line="360" w:lineRule="auto"/>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（4）通讯地址：</w:t>
            </w:r>
            <w:r>
              <w:rPr>
                <w:rFonts w:hint="eastAsia" w:ascii="宋体" w:hAnsi="宋体" w:eastAsia="宋体" w:cs="宋体"/>
                <w:sz w:val="21"/>
                <w:szCs w:val="21"/>
                <w:highlight w:val="none"/>
                <w:u w:val="single"/>
              </w:rPr>
              <w:t xml:space="preserve"> 福州市仓山区信平路10号 </w:t>
            </w:r>
          </w:p>
          <w:p>
            <w:pPr>
              <w:keepNext w:val="0"/>
              <w:keepLines w:val="0"/>
              <w:pageBreakBefore w:val="0"/>
              <w:kinsoku/>
              <w:wordWrap w:val="0"/>
              <w:overflowPunct/>
              <w:bidi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（5）电子邮箱：</w:t>
            </w:r>
            <w:r>
              <w:rPr>
                <w:rFonts w:hint="eastAsia" w:ascii="宋体" w:hAnsi="宋体" w:eastAsia="宋体" w:cs="宋体"/>
                <w:sz w:val="21"/>
                <w:szCs w:val="21"/>
                <w:highlight w:val="none"/>
                <w:u w:val="single"/>
              </w:rPr>
              <w:t xml:space="preserve"> yeweiyi.gyl@chinaccs.cn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29</w:t>
            </w:r>
          </w:p>
        </w:tc>
        <w:tc>
          <w:tcPr>
            <w:tcW w:w="1984" w:type="dxa"/>
            <w:vAlign w:val="center"/>
          </w:tcPr>
          <w:p>
            <w:pPr>
              <w:keepNext w:val="0"/>
              <w:keepLines w:val="0"/>
              <w:pageBreakBefore w:val="0"/>
              <w:kinsoku/>
              <w:wordWrap w:val="0"/>
              <w:overflowPunct/>
              <w:topLinePunct/>
              <w:autoSpaceDE w:val="0"/>
              <w:autoSpaceDN w:val="0"/>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需提交的投标文件份数</w:t>
            </w:r>
          </w:p>
        </w:tc>
        <w:tc>
          <w:tcPr>
            <w:tcW w:w="6058" w:type="dxa"/>
            <w:gridSpan w:val="2"/>
            <w:vAlign w:val="center"/>
          </w:tcPr>
          <w:p>
            <w:pPr>
              <w:keepNext w:val="0"/>
              <w:keepLines w:val="0"/>
              <w:pageBreakBefore w:val="0"/>
              <w:kinsoku/>
              <w:wordWrap w:val="0"/>
              <w:overflowPunct/>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需提交的投标文件份数：</w:t>
            </w:r>
          </w:p>
          <w:p>
            <w:pPr>
              <w:keepNext w:val="0"/>
              <w:keepLines w:val="0"/>
              <w:pageBreakBefore w:val="0"/>
              <w:kinsoku/>
              <w:wordWrap w:val="0"/>
              <w:overflowPunct/>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（1）正本</w:t>
            </w:r>
            <w:r>
              <w:rPr>
                <w:rFonts w:hint="eastAsia" w:ascii="宋体" w:hAnsi="宋体" w:eastAsia="宋体" w:cs="宋体"/>
                <w:sz w:val="21"/>
                <w:szCs w:val="21"/>
                <w:u w:val="single"/>
              </w:rPr>
              <w:t>1</w:t>
            </w:r>
            <w:r>
              <w:rPr>
                <w:rFonts w:hint="eastAsia" w:ascii="宋体" w:hAnsi="宋体" w:eastAsia="宋体" w:cs="宋体"/>
                <w:sz w:val="21"/>
                <w:szCs w:val="21"/>
              </w:rPr>
              <w:t>份、副本</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4</w:t>
            </w:r>
            <w:r>
              <w:rPr>
                <w:rFonts w:hint="eastAsia" w:ascii="宋体" w:hAnsi="宋体" w:eastAsia="宋体" w:cs="宋体"/>
                <w:sz w:val="21"/>
                <w:szCs w:val="21"/>
                <w:u w:val="single"/>
              </w:rPr>
              <w:t xml:space="preserve"> </w:t>
            </w:r>
            <w:r>
              <w:rPr>
                <w:rFonts w:hint="eastAsia" w:ascii="宋体" w:hAnsi="宋体" w:eastAsia="宋体" w:cs="宋体"/>
                <w:sz w:val="21"/>
                <w:szCs w:val="21"/>
              </w:rPr>
              <w:t>份。</w:t>
            </w:r>
          </w:p>
          <w:p>
            <w:pPr>
              <w:keepNext w:val="0"/>
              <w:keepLines w:val="0"/>
              <w:pageBreakBefore w:val="0"/>
              <w:kinsoku/>
              <w:wordWrap w:val="0"/>
              <w:overflowPunct/>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（2）电子文件</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1</w:t>
            </w:r>
            <w:r>
              <w:rPr>
                <w:rFonts w:hint="eastAsia" w:ascii="宋体" w:hAnsi="宋体" w:eastAsia="宋体" w:cs="宋体"/>
                <w:sz w:val="21"/>
                <w:szCs w:val="21"/>
                <w:u w:val="single"/>
              </w:rPr>
              <w:t xml:space="preserve"> </w:t>
            </w:r>
            <w:r>
              <w:rPr>
                <w:rFonts w:hint="eastAsia" w:ascii="宋体" w:hAnsi="宋体" w:eastAsia="宋体" w:cs="宋体"/>
                <w:sz w:val="21"/>
                <w:szCs w:val="21"/>
              </w:rPr>
              <w:t>份（☑扫描件 □Word）。</w:t>
            </w:r>
          </w:p>
          <w:p>
            <w:pPr>
              <w:keepNext w:val="0"/>
              <w:keepLines w:val="0"/>
              <w:pageBreakBefore w:val="0"/>
              <w:kinsoku/>
              <w:wordWrap w:val="0"/>
              <w:overflowPunct/>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采用光盘或U盘刻录提交。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30</w:t>
            </w:r>
          </w:p>
        </w:tc>
        <w:tc>
          <w:tcPr>
            <w:tcW w:w="1984" w:type="dxa"/>
            <w:vAlign w:val="center"/>
          </w:tcPr>
          <w:p>
            <w:pPr>
              <w:keepNext w:val="0"/>
              <w:keepLines w:val="0"/>
              <w:pageBreakBefore w:val="0"/>
              <w:kinsoku/>
              <w:wordWrap w:val="0"/>
              <w:overflowPunct/>
              <w:topLinePunct/>
              <w:autoSpaceDE w:val="0"/>
              <w:autoSpaceDN w:val="0"/>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代理费用</w:t>
            </w:r>
          </w:p>
        </w:tc>
        <w:tc>
          <w:tcPr>
            <w:tcW w:w="6058" w:type="dxa"/>
            <w:gridSpan w:val="2"/>
            <w:vAlign w:val="center"/>
          </w:tcPr>
          <w:p>
            <w:pPr>
              <w:keepNext w:val="0"/>
              <w:keepLines w:val="0"/>
              <w:pageBreakBefore w:val="0"/>
              <w:kinsoku/>
              <w:wordWrap w:val="0"/>
              <w:overflowPunct/>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代理费用：</w:t>
            </w:r>
          </w:p>
          <w:p>
            <w:pPr>
              <w:keepNext w:val="0"/>
              <w:keepLines w:val="0"/>
              <w:pageBreakBefore w:val="0"/>
              <w:kinsoku/>
              <w:wordWrap w:val="0"/>
              <w:overflowPunct/>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（1）本项目代理费用由</w:t>
            </w:r>
            <w:r>
              <w:rPr>
                <w:rFonts w:hint="eastAsia" w:ascii="宋体" w:hAnsi="宋体" w:eastAsia="宋体" w:cs="宋体"/>
                <w:sz w:val="21"/>
                <w:szCs w:val="21"/>
                <w:u w:val="single"/>
              </w:rPr>
              <w:t>中标人</w:t>
            </w:r>
            <w:r>
              <w:rPr>
                <w:rFonts w:hint="eastAsia" w:ascii="宋体" w:hAnsi="宋体" w:eastAsia="宋体" w:cs="宋体"/>
                <w:sz w:val="21"/>
                <w:szCs w:val="21"/>
              </w:rPr>
              <w:t>支付。</w:t>
            </w:r>
          </w:p>
          <w:p>
            <w:pPr>
              <w:keepNext w:val="0"/>
              <w:keepLines w:val="0"/>
              <w:pageBreakBefore w:val="0"/>
              <w:kinsoku/>
              <w:wordWrap w:val="0"/>
              <w:overflowPunct/>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（2）代理费用收取方式及标准：</w:t>
            </w:r>
          </w:p>
          <w:p>
            <w:pPr>
              <w:keepNext w:val="0"/>
              <w:keepLines w:val="0"/>
              <w:pageBreakBefore w:val="0"/>
              <w:kinsoku/>
              <w:wordWrap w:val="0"/>
              <w:overflowPunct/>
              <w:bidi w:val="0"/>
              <w:spacing w:line="360" w:lineRule="auto"/>
              <w:textAlignment w:val="auto"/>
              <w:rPr>
                <w:rFonts w:hint="eastAsia" w:ascii="宋体" w:hAnsi="宋体" w:eastAsia="宋体" w:cs="宋体"/>
                <w:sz w:val="21"/>
                <w:szCs w:val="21"/>
              </w:rPr>
            </w:pPr>
            <w:r>
              <w:rPr>
                <w:rFonts w:hint="eastAsia" w:ascii="宋体" w:hAnsi="宋体" w:eastAsia="宋体" w:cs="宋体"/>
                <w:szCs w:val="21"/>
              </w:rPr>
              <w:t>招标代理服务费采用差额定率累进法根据中标金额按照下表中的费率进行计算：</w:t>
            </w:r>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3"/>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209" w:type="pct"/>
                  <w:noWrap w:val="0"/>
                  <w:vAlign w:val="top"/>
                </w:tcPr>
                <w:p>
                  <w:pPr>
                    <w:pStyle w:val="4"/>
                    <w:widowControl/>
                    <w:wordWrap w:val="0"/>
                    <w:spacing w:before="0" w:beforeAutospacing="0" w:after="0" w:afterAutospacing="0"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费率</w:t>
                  </w:r>
                </w:p>
                <w:p>
                  <w:pPr>
                    <w:pStyle w:val="4"/>
                    <w:widowControl/>
                    <w:wordWrap w:val="0"/>
                    <w:spacing w:before="0" w:beforeAutospacing="0" w:after="0" w:afterAutospacing="0"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中标金额</w:t>
                  </w:r>
                </w:p>
              </w:tc>
              <w:tc>
                <w:tcPr>
                  <w:tcW w:w="1790" w:type="pct"/>
                  <w:noWrap w:val="0"/>
                  <w:vAlign w:val="center"/>
                </w:tcPr>
                <w:p>
                  <w:pPr>
                    <w:pStyle w:val="4"/>
                    <w:widowControl/>
                    <w:wordWrap w:val="0"/>
                    <w:spacing w:before="0" w:beforeAutospacing="0" w:after="0" w:afterAutospacing="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209" w:type="pct"/>
                  <w:noWrap w:val="0"/>
                  <w:vAlign w:val="top"/>
                </w:tcPr>
                <w:p>
                  <w:pPr>
                    <w:pStyle w:val="4"/>
                    <w:widowControl/>
                    <w:wordWrap w:val="0"/>
                    <w:spacing w:before="0" w:beforeAutospacing="0" w:after="0" w:afterAutospacing="0"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100万元以下</w:t>
                  </w:r>
                </w:p>
              </w:tc>
              <w:tc>
                <w:tcPr>
                  <w:tcW w:w="1790" w:type="pct"/>
                  <w:noWrap w:val="0"/>
                  <w:vAlign w:val="top"/>
                </w:tcPr>
                <w:p>
                  <w:pPr>
                    <w:pStyle w:val="4"/>
                    <w:widowControl/>
                    <w:wordWrap w:val="0"/>
                    <w:spacing w:before="0" w:beforeAutospacing="0" w:after="0" w:afterAutospacing="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3209" w:type="pct"/>
                  <w:noWrap w:val="0"/>
                  <w:vAlign w:val="top"/>
                </w:tcPr>
                <w:p>
                  <w:pPr>
                    <w:pStyle w:val="4"/>
                    <w:widowControl/>
                    <w:wordWrap w:val="0"/>
                    <w:spacing w:before="0" w:beforeAutospacing="0" w:after="0" w:afterAutospacing="0"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100～500万元</w:t>
                  </w:r>
                </w:p>
              </w:tc>
              <w:tc>
                <w:tcPr>
                  <w:tcW w:w="1790" w:type="pct"/>
                  <w:noWrap w:val="0"/>
                  <w:vAlign w:val="top"/>
                </w:tcPr>
                <w:p>
                  <w:pPr>
                    <w:pStyle w:val="4"/>
                    <w:widowControl/>
                    <w:wordWrap w:val="0"/>
                    <w:spacing w:before="0" w:beforeAutospacing="0" w:after="0" w:afterAutospacing="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3209" w:type="pct"/>
                  <w:noWrap w:val="0"/>
                  <w:vAlign w:val="top"/>
                </w:tcPr>
                <w:p>
                  <w:pPr>
                    <w:pStyle w:val="4"/>
                    <w:widowControl/>
                    <w:wordWrap w:val="0"/>
                    <w:spacing w:before="0" w:beforeAutospacing="0" w:after="0" w:afterAutospacing="0"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500～1000万元</w:t>
                  </w:r>
                </w:p>
              </w:tc>
              <w:tc>
                <w:tcPr>
                  <w:tcW w:w="1790" w:type="pct"/>
                  <w:noWrap w:val="0"/>
                  <w:vAlign w:val="top"/>
                </w:tcPr>
                <w:p>
                  <w:pPr>
                    <w:pStyle w:val="4"/>
                    <w:widowControl/>
                    <w:wordWrap w:val="0"/>
                    <w:spacing w:before="0" w:beforeAutospacing="0" w:after="0" w:afterAutospacing="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209" w:type="pct"/>
                  <w:noWrap w:val="0"/>
                  <w:vAlign w:val="top"/>
                </w:tcPr>
                <w:p>
                  <w:pPr>
                    <w:pStyle w:val="4"/>
                    <w:widowControl/>
                    <w:wordWrap w:val="0"/>
                    <w:spacing w:before="0" w:beforeAutospacing="0" w:after="0" w:afterAutospacing="0"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1000～5000万元</w:t>
                  </w:r>
                </w:p>
              </w:tc>
              <w:tc>
                <w:tcPr>
                  <w:tcW w:w="1790" w:type="pct"/>
                  <w:noWrap w:val="0"/>
                  <w:vAlign w:val="top"/>
                </w:tcPr>
                <w:p>
                  <w:pPr>
                    <w:pStyle w:val="4"/>
                    <w:widowControl/>
                    <w:wordWrap w:val="0"/>
                    <w:spacing w:before="0" w:beforeAutospacing="0" w:after="0" w:afterAutospacing="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3209" w:type="pct"/>
                  <w:noWrap w:val="0"/>
                  <w:vAlign w:val="top"/>
                </w:tcPr>
                <w:p>
                  <w:pPr>
                    <w:pStyle w:val="4"/>
                    <w:widowControl/>
                    <w:wordWrap w:val="0"/>
                    <w:spacing w:before="0" w:beforeAutospacing="0" w:after="0" w:afterAutospacing="0"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5000万元～1亿元</w:t>
                  </w:r>
                </w:p>
              </w:tc>
              <w:tc>
                <w:tcPr>
                  <w:tcW w:w="1790" w:type="pct"/>
                  <w:noWrap w:val="0"/>
                  <w:vAlign w:val="top"/>
                </w:tcPr>
                <w:p>
                  <w:pPr>
                    <w:pStyle w:val="4"/>
                    <w:widowControl/>
                    <w:wordWrap w:val="0"/>
                    <w:spacing w:before="0" w:beforeAutospacing="0" w:after="0" w:afterAutospacing="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209" w:type="pct"/>
                  <w:noWrap w:val="0"/>
                  <w:vAlign w:val="top"/>
                </w:tcPr>
                <w:p>
                  <w:pPr>
                    <w:pStyle w:val="4"/>
                    <w:widowControl/>
                    <w:wordWrap w:val="0"/>
                    <w:spacing w:before="0" w:beforeAutospacing="0" w:after="0" w:afterAutospacing="0"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1～5亿元</w:t>
                  </w:r>
                </w:p>
              </w:tc>
              <w:tc>
                <w:tcPr>
                  <w:tcW w:w="1790" w:type="pct"/>
                  <w:noWrap w:val="0"/>
                  <w:vAlign w:val="top"/>
                </w:tcPr>
                <w:p>
                  <w:pPr>
                    <w:pStyle w:val="4"/>
                    <w:widowControl/>
                    <w:wordWrap w:val="0"/>
                    <w:spacing w:before="0" w:beforeAutospacing="0" w:after="0" w:afterAutospacing="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209" w:type="pct"/>
                  <w:noWrap w:val="0"/>
                  <w:vAlign w:val="top"/>
                </w:tcPr>
                <w:p>
                  <w:pPr>
                    <w:pStyle w:val="4"/>
                    <w:widowControl/>
                    <w:wordWrap w:val="0"/>
                    <w:spacing w:before="0" w:beforeAutospacing="0" w:after="0" w:afterAutospacing="0"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5～10亿元</w:t>
                  </w:r>
                </w:p>
              </w:tc>
              <w:tc>
                <w:tcPr>
                  <w:tcW w:w="1790" w:type="pct"/>
                  <w:noWrap w:val="0"/>
                  <w:vAlign w:val="top"/>
                </w:tcPr>
                <w:p>
                  <w:pPr>
                    <w:pStyle w:val="4"/>
                    <w:widowControl/>
                    <w:wordWrap w:val="0"/>
                    <w:spacing w:before="0" w:beforeAutospacing="0" w:after="0" w:afterAutospacing="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0.035%</w:t>
                  </w:r>
                </w:p>
              </w:tc>
            </w:tr>
          </w:tbl>
          <w:p>
            <w:pPr>
              <w:pStyle w:val="4"/>
              <w:widowControl/>
              <w:wordWrap w:val="0"/>
              <w:spacing w:before="0" w:beforeAutospacing="0" w:after="0" w:afterAutospacing="0"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招标代理服务费计算方式如下：</w:t>
            </w:r>
          </w:p>
          <w:p>
            <w:pPr>
              <w:pStyle w:val="4"/>
              <w:widowControl/>
              <w:wordWrap w:val="0"/>
              <w:spacing w:before="0" w:beforeAutospacing="0" w:after="0" w:afterAutospacing="0"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中标金额为500万元人民币，则招标代理服务费计算方式如下：</w:t>
            </w:r>
          </w:p>
          <w:p>
            <w:pPr>
              <w:pStyle w:val="4"/>
              <w:widowControl/>
              <w:wordWrap w:val="0"/>
              <w:spacing w:before="0" w:beforeAutospacing="0" w:after="0" w:afterAutospacing="0"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100万元×1.5%=1.5万元</w:t>
            </w:r>
          </w:p>
          <w:p>
            <w:pPr>
              <w:pStyle w:val="4"/>
              <w:widowControl/>
              <w:wordWrap w:val="0"/>
              <w:spacing w:before="0" w:beforeAutospacing="0" w:after="0" w:afterAutospacing="0"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（500-100）万元×0.8%=3.2万元</w:t>
            </w:r>
          </w:p>
          <w:p>
            <w:pPr>
              <w:keepNext w:val="0"/>
              <w:keepLines w:val="0"/>
              <w:pageBreakBefore w:val="0"/>
              <w:kinsoku/>
              <w:wordWrap w:val="0"/>
              <w:overflowPunct/>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color w:val="auto"/>
                <w:kern w:val="2"/>
                <w:sz w:val="21"/>
                <w:szCs w:val="21"/>
                <w:highlight w:val="none"/>
                <w:lang w:val="en-US" w:eastAsia="zh-CN" w:bidi="ar-SA"/>
              </w:rPr>
              <w:t>合计收费=（1.5+3.2）=4.7万元</w:t>
            </w:r>
          </w:p>
          <w:p>
            <w:pPr>
              <w:keepNext w:val="0"/>
              <w:keepLines w:val="0"/>
              <w:pageBreakBefore w:val="0"/>
              <w:kinsoku/>
              <w:wordWrap w:val="0"/>
              <w:overflowPunct/>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（3）缴纳方式：【银行转账、汇款等形式】</w:t>
            </w:r>
          </w:p>
          <w:p>
            <w:pPr>
              <w:keepNext w:val="0"/>
              <w:keepLines w:val="0"/>
              <w:pageBreakBefore w:val="0"/>
              <w:kinsoku/>
              <w:wordWrap w:val="0"/>
              <w:overflowPunct/>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（4）缴纳期限及周期：【中标人在收到招标代理服务费付款通知书后5日内向招标代理机构支付招标代理服务费。】</w:t>
            </w:r>
          </w:p>
          <w:p>
            <w:pPr>
              <w:keepNext w:val="0"/>
              <w:keepLines w:val="0"/>
              <w:pageBreakBefore w:val="0"/>
              <w:kinsoku/>
              <w:wordWrap w:val="0"/>
              <w:overflowPunct/>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（5）中标金额计取依据：含税中标金额。</w:t>
            </w:r>
          </w:p>
          <w:p>
            <w:pPr>
              <w:keepNext w:val="0"/>
              <w:keepLines w:val="0"/>
              <w:pageBreakBefore w:val="0"/>
              <w:kinsoku/>
              <w:wordWrap w:val="0"/>
              <w:overflowPunct/>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中标人应在领取</w:t>
            </w:r>
            <w:r>
              <w:rPr>
                <w:rFonts w:hint="eastAsia" w:ascii="宋体" w:hAnsi="宋体" w:eastAsia="宋体" w:cs="宋体"/>
                <w:sz w:val="21"/>
                <w:szCs w:val="21"/>
                <w:lang w:val="en-US" w:eastAsia="zh-CN"/>
              </w:rPr>
              <w:t>中标</w:t>
            </w:r>
            <w:r>
              <w:rPr>
                <w:rFonts w:hint="eastAsia" w:ascii="宋体" w:hAnsi="宋体" w:eastAsia="宋体" w:cs="宋体"/>
                <w:sz w:val="21"/>
                <w:szCs w:val="21"/>
              </w:rPr>
              <w:t>通知书的同时按规定的标准一次性向招标代理机构缴清招标代理服务费。若本条款与招标文件中其他关于服务费支付条款有矛盾的，以本条款为准。</w:t>
            </w:r>
          </w:p>
          <w:p>
            <w:pPr>
              <w:keepNext w:val="0"/>
              <w:keepLines w:val="0"/>
              <w:pageBreakBefore w:val="0"/>
              <w:kinsoku/>
              <w:wordWrap w:val="0"/>
              <w:overflowPunct/>
              <w:bidi w:val="0"/>
              <w:spacing w:line="360" w:lineRule="auto"/>
              <w:textAlignment w:val="auto"/>
              <w:rPr>
                <w:rFonts w:hint="eastAsia" w:ascii="宋体" w:hAnsi="宋体" w:eastAsia="宋体" w:cs="宋体"/>
                <w:sz w:val="21"/>
                <w:szCs w:val="21"/>
              </w:rPr>
            </w:pPr>
            <w:r>
              <w:rPr>
                <w:rFonts w:hint="eastAsia" w:ascii="宋体" w:hAnsi="宋体" w:eastAsia="宋体" w:cs="宋体"/>
                <w:szCs w:val="21"/>
                <w:lang w:val="en-US" w:eastAsia="zh-CN"/>
              </w:rPr>
              <w:t>3.</w:t>
            </w:r>
            <w:r>
              <w:rPr>
                <w:rFonts w:hint="eastAsia" w:ascii="宋体" w:hAnsi="宋体" w:eastAsia="宋体" w:cs="宋体"/>
                <w:szCs w:val="21"/>
              </w:rPr>
              <w:t>本项目招标代理服务费上限金额为人民币陆万元整（￥60000.00），若超过服务费上限金额则按人民币陆万元整（￥60000.00）收取。</w:t>
            </w:r>
          </w:p>
          <w:p>
            <w:pPr>
              <w:keepNext w:val="0"/>
              <w:keepLines w:val="0"/>
              <w:pageBreakBefore w:val="0"/>
              <w:kinsoku/>
              <w:wordWrap w:val="0"/>
              <w:overflowPunct/>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代理服务费缴交银行帐号：</w:t>
            </w:r>
          </w:p>
          <w:p>
            <w:pPr>
              <w:keepNext w:val="0"/>
              <w:keepLines w:val="0"/>
              <w:pageBreakBefore w:val="0"/>
              <w:kinsoku/>
              <w:wordWrap w:val="0"/>
              <w:overflowPunct/>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开户名：福建省中通通信物流有限公司； </w:t>
            </w:r>
          </w:p>
          <w:p>
            <w:pPr>
              <w:keepNext w:val="0"/>
              <w:keepLines w:val="0"/>
              <w:pageBreakBefore w:val="0"/>
              <w:kinsoku/>
              <w:wordWrap w:val="0"/>
              <w:overflowPunct/>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开户行：中国工商银行股份有限公司福州仓山支行；</w:t>
            </w:r>
          </w:p>
          <w:p>
            <w:pPr>
              <w:keepNext w:val="0"/>
              <w:keepLines w:val="0"/>
              <w:pageBreakBefore w:val="0"/>
              <w:kinsoku/>
              <w:wordWrap w:val="0"/>
              <w:overflowPunct/>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账  号：1402024119601155127。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Merge w:val="restart"/>
            <w:vAlign w:val="center"/>
          </w:tcPr>
          <w:p>
            <w:pPr>
              <w:keepNext w:val="0"/>
              <w:keepLines w:val="0"/>
              <w:pageBreakBefore w:val="0"/>
              <w:kinsoku/>
              <w:wordWrap w:val="0"/>
              <w:overflowPunct/>
              <w:topLinePunct/>
              <w:autoSpaceDE w:val="0"/>
              <w:autoSpaceDN w:val="0"/>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31</w:t>
            </w:r>
          </w:p>
        </w:tc>
        <w:tc>
          <w:tcPr>
            <w:tcW w:w="1984" w:type="dxa"/>
            <w:vMerge w:val="restart"/>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其他补充事项</w:t>
            </w:r>
          </w:p>
        </w:tc>
        <w:tc>
          <w:tcPr>
            <w:tcW w:w="6058" w:type="dxa"/>
            <w:gridSpan w:val="2"/>
            <w:vAlign w:val="center"/>
          </w:tcPr>
          <w:p>
            <w:pPr>
              <w:keepNext w:val="0"/>
              <w:keepLines w:val="0"/>
              <w:pageBreakBefore w:val="0"/>
              <w:widowControl w:val="0"/>
              <w:kinsoku/>
              <w:wordWrap w:val="0"/>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投标人必须对其投标文件中提供各种资料、说明、承诺的真实性负责。采购人有权签订合同之前对投标人投标文件中的各种资料、说明、承诺的真实性进行核查，投标人应无条件配合采购人的核查工作，不得托词拒绝核查或隐瞒真实情况。若在评标过程中，发现投标人有为谋取中标而提供虚假资料和承诺欺骗采购人和评委的行为，将按相关规定进行处理。若在中标后或执行合同过程中发现有为谋取中标而提供虚假资料和承诺欺骗采购人和评委的行为，采购人将取消其中标资格，给采购人造成损失的，还必须进行赔偿并负相关责任。</w:t>
            </w:r>
          </w:p>
          <w:p>
            <w:pPr>
              <w:keepNext w:val="0"/>
              <w:keepLines w:val="0"/>
              <w:pageBreakBefore w:val="0"/>
              <w:widowControl w:val="0"/>
              <w:kinsoku/>
              <w:wordWrap w:val="0"/>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投标人中标后，如果不按规定与采购人签订合同或者签订合同后不履行其投标承诺或者其它由于中标人自身原因造成无法履行合同的，均视为中标人违约，采购人将取消其中标资格，如果已经签订合同的则合同自动解除，且中标人还要承担相应的法律责任，给采购人造成损失的，还必须进行赔偿。</w:t>
            </w:r>
          </w:p>
          <w:p>
            <w:pPr>
              <w:keepNext w:val="0"/>
              <w:keepLines w:val="0"/>
              <w:pageBreakBefore w:val="0"/>
              <w:widowControl w:val="0"/>
              <w:kinsoku/>
              <w:wordWrap w:val="0"/>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3.投标人须按</w:t>
            </w:r>
            <w:r>
              <w:rPr>
                <w:rFonts w:hint="eastAsia" w:ascii="宋体" w:hAnsi="宋体" w:eastAsia="宋体" w:cs="宋体"/>
                <w:sz w:val="21"/>
                <w:szCs w:val="21"/>
                <w:lang w:val="en-US" w:eastAsia="zh-CN"/>
              </w:rPr>
              <w:t>采购包</w:t>
            </w:r>
            <w:r>
              <w:rPr>
                <w:rFonts w:hint="eastAsia" w:ascii="宋体" w:hAnsi="宋体" w:eastAsia="宋体" w:cs="宋体"/>
                <w:sz w:val="21"/>
                <w:szCs w:val="21"/>
              </w:rPr>
              <w:t>投标，评标与授标以</w:t>
            </w:r>
            <w:r>
              <w:rPr>
                <w:rFonts w:hint="eastAsia" w:ascii="宋体" w:hAnsi="宋体" w:eastAsia="宋体" w:cs="宋体"/>
                <w:sz w:val="21"/>
                <w:szCs w:val="21"/>
                <w:lang w:val="en-US" w:eastAsia="zh-CN"/>
              </w:rPr>
              <w:t>采购包</w:t>
            </w:r>
            <w:r>
              <w:rPr>
                <w:rFonts w:hint="eastAsia" w:ascii="宋体" w:hAnsi="宋体" w:eastAsia="宋体" w:cs="宋体"/>
                <w:sz w:val="21"/>
                <w:szCs w:val="21"/>
              </w:rPr>
              <w:t>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jc w:val="center"/>
        </w:trPr>
        <w:tc>
          <w:tcPr>
            <w:tcW w:w="935" w:type="dxa"/>
            <w:vMerge w:val="continue"/>
            <w:vAlign w:val="center"/>
          </w:tcPr>
          <w:p>
            <w:pPr>
              <w:keepNext w:val="0"/>
              <w:keepLines w:val="0"/>
              <w:pageBreakBefore w:val="0"/>
              <w:kinsoku/>
              <w:wordWrap w:val="0"/>
              <w:overflowPunct/>
              <w:topLinePunct/>
              <w:autoSpaceDE w:val="0"/>
              <w:autoSpaceDN w:val="0"/>
              <w:bidi w:val="0"/>
              <w:adjustRightInd w:val="0"/>
              <w:snapToGrid w:val="0"/>
              <w:spacing w:line="360" w:lineRule="auto"/>
              <w:jc w:val="center"/>
              <w:textAlignment w:val="auto"/>
              <w:rPr>
                <w:rFonts w:hint="eastAsia" w:ascii="宋体" w:hAnsi="宋体" w:eastAsia="宋体" w:cs="宋体"/>
                <w:sz w:val="21"/>
                <w:szCs w:val="21"/>
              </w:rPr>
            </w:pPr>
          </w:p>
        </w:tc>
        <w:tc>
          <w:tcPr>
            <w:tcW w:w="1984" w:type="dxa"/>
            <w:vMerge w:val="continue"/>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p>
        </w:tc>
        <w:tc>
          <w:tcPr>
            <w:tcW w:w="6058" w:type="dxa"/>
            <w:gridSpan w:val="2"/>
            <w:vAlign w:val="center"/>
          </w:tcPr>
          <w:p>
            <w:pPr>
              <w:keepNext w:val="0"/>
              <w:keepLines w:val="0"/>
              <w:pageBreakBefore w:val="0"/>
              <w:widowControl w:val="0"/>
              <w:kinsoku/>
              <w:wordWrap w:val="0"/>
              <w:overflowPunct/>
              <w:topLinePunct w:val="0"/>
              <w:bidi w:val="0"/>
              <w:adjustRightInd w:val="0"/>
              <w:snapToGrid w:val="0"/>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4.封套上应载明的信息：</w:t>
            </w:r>
          </w:p>
          <w:p>
            <w:pPr>
              <w:pStyle w:val="18"/>
              <w:keepNext w:val="0"/>
              <w:keepLines w:val="0"/>
              <w:pageBreakBefore w:val="0"/>
              <w:widowControl w:val="0"/>
              <w:kinsoku/>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____________________</w:t>
            </w:r>
            <w:r>
              <w:rPr>
                <w:rFonts w:hint="eastAsia" w:ascii="宋体" w:hAnsi="宋体" w:eastAsia="宋体" w:cs="宋体"/>
                <w:sz w:val="21"/>
                <w:szCs w:val="21"/>
                <w:lang w:eastAsia="zh-CN"/>
              </w:rPr>
              <w:t>（</w:t>
            </w:r>
            <w:r>
              <w:rPr>
                <w:rFonts w:hint="eastAsia" w:ascii="宋体" w:hAnsi="宋体" w:eastAsia="宋体" w:cs="宋体"/>
                <w:sz w:val="21"/>
                <w:szCs w:val="21"/>
              </w:rPr>
              <w:t>项目名称</w:t>
            </w:r>
            <w:r>
              <w:rPr>
                <w:rFonts w:hint="eastAsia" w:ascii="宋体" w:hAnsi="宋体" w:eastAsia="宋体" w:cs="宋体"/>
                <w:sz w:val="21"/>
                <w:szCs w:val="21"/>
                <w:lang w:eastAsia="zh-CN"/>
              </w:rPr>
              <w:t>）</w:t>
            </w:r>
            <w:r>
              <w:rPr>
                <w:rFonts w:hint="eastAsia" w:ascii="宋体" w:hAnsi="宋体" w:eastAsia="宋体" w:cs="宋体"/>
                <w:sz w:val="21"/>
                <w:szCs w:val="21"/>
              </w:rPr>
              <w:t>投标文件</w:t>
            </w:r>
          </w:p>
          <w:p>
            <w:pPr>
              <w:pStyle w:val="18"/>
              <w:keepNext w:val="0"/>
              <w:keepLines w:val="0"/>
              <w:pageBreakBefore w:val="0"/>
              <w:widowControl w:val="0"/>
              <w:kinsoku/>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项目编号：____________________</w:t>
            </w:r>
          </w:p>
          <w:p>
            <w:pPr>
              <w:pStyle w:val="18"/>
              <w:keepNext w:val="0"/>
              <w:keepLines w:val="0"/>
              <w:pageBreakBefore w:val="0"/>
              <w:widowControl w:val="0"/>
              <w:kinsoku/>
              <w:overflowPunct/>
              <w:topLinePunct w:val="0"/>
              <w:bidi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采购包号：</w:t>
            </w:r>
            <w:r>
              <w:rPr>
                <w:rFonts w:hint="eastAsia" w:ascii="宋体" w:hAnsi="宋体" w:eastAsia="宋体" w:cs="宋体"/>
                <w:sz w:val="21"/>
                <w:szCs w:val="21"/>
              </w:rPr>
              <w:t>____________________</w:t>
            </w:r>
          </w:p>
          <w:p>
            <w:pPr>
              <w:pStyle w:val="18"/>
              <w:keepNext w:val="0"/>
              <w:keepLines w:val="0"/>
              <w:pageBreakBefore w:val="0"/>
              <w:widowControl w:val="0"/>
              <w:kinsoku/>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在202</w:t>
            </w:r>
            <w:r>
              <w:rPr>
                <w:rFonts w:hint="eastAsia" w:ascii="宋体" w:hAnsi="宋体" w:eastAsia="宋体" w:cs="宋体"/>
                <w:sz w:val="21"/>
                <w:szCs w:val="21"/>
                <w:lang w:val="en-US" w:eastAsia="zh-CN"/>
              </w:rPr>
              <w:t>4</w:t>
            </w:r>
            <w:r>
              <w:rPr>
                <w:rFonts w:hint="eastAsia" w:ascii="宋体" w:hAnsi="宋体" w:eastAsia="宋体" w:cs="宋体"/>
                <w:sz w:val="21"/>
                <w:szCs w:val="21"/>
              </w:rPr>
              <w:t>年  月  日  时  分之前不得启封</w:t>
            </w:r>
          </w:p>
          <w:p>
            <w:pPr>
              <w:pStyle w:val="18"/>
              <w:keepNext w:val="0"/>
              <w:keepLines w:val="0"/>
              <w:pageBreakBefore w:val="0"/>
              <w:widowControl w:val="0"/>
              <w:kinsoku/>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投标人名称：____________________</w:t>
            </w:r>
          </w:p>
          <w:p>
            <w:pPr>
              <w:pStyle w:val="18"/>
              <w:keepNext w:val="0"/>
              <w:keepLines w:val="0"/>
              <w:pageBreakBefore w:val="0"/>
              <w:widowControl w:val="0"/>
              <w:kinsoku/>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其他____________________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Merge w:val="continue"/>
            <w:vAlign w:val="center"/>
          </w:tcPr>
          <w:p>
            <w:pPr>
              <w:keepNext w:val="0"/>
              <w:keepLines w:val="0"/>
              <w:pageBreakBefore w:val="0"/>
              <w:kinsoku/>
              <w:wordWrap w:val="0"/>
              <w:overflowPunct/>
              <w:topLinePunct/>
              <w:autoSpaceDE w:val="0"/>
              <w:autoSpaceDN w:val="0"/>
              <w:bidi w:val="0"/>
              <w:adjustRightInd w:val="0"/>
              <w:snapToGrid w:val="0"/>
              <w:spacing w:line="360" w:lineRule="auto"/>
              <w:jc w:val="center"/>
              <w:textAlignment w:val="auto"/>
              <w:rPr>
                <w:rFonts w:hint="eastAsia" w:ascii="宋体" w:hAnsi="宋体" w:eastAsia="宋体" w:cs="宋体"/>
                <w:sz w:val="21"/>
                <w:szCs w:val="21"/>
              </w:rPr>
            </w:pPr>
          </w:p>
        </w:tc>
        <w:tc>
          <w:tcPr>
            <w:tcW w:w="1984" w:type="dxa"/>
            <w:vMerge w:val="continue"/>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p>
        </w:tc>
        <w:tc>
          <w:tcPr>
            <w:tcW w:w="6058" w:type="dxa"/>
            <w:gridSpan w:val="2"/>
            <w:vAlign w:val="center"/>
          </w:tcPr>
          <w:p>
            <w:pPr>
              <w:keepNext w:val="0"/>
              <w:keepLines w:val="0"/>
              <w:pageBreakBefore w:val="0"/>
              <w:widowControl w:val="0"/>
              <w:kinsoku/>
              <w:wordWrap w:val="0"/>
              <w:overflowPunct/>
              <w:topLinePunct w:val="0"/>
              <w:bidi w:val="0"/>
              <w:adjustRightInd w:val="0"/>
              <w:snapToGrid w:val="0"/>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5.提供服务的时间、地点、方式、项目服务期限：</w:t>
            </w:r>
          </w:p>
          <w:p>
            <w:pPr>
              <w:keepNext w:val="0"/>
              <w:keepLines w:val="0"/>
              <w:pageBreakBefore w:val="0"/>
              <w:widowControl w:val="0"/>
              <w:kinsoku/>
              <w:wordWrap w:val="0"/>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（1）服务的时间：服务期为合同生效之日起2年（一年一签）。</w:t>
            </w:r>
          </w:p>
          <w:p>
            <w:pPr>
              <w:keepNext w:val="0"/>
              <w:keepLines w:val="0"/>
              <w:pageBreakBefore w:val="0"/>
              <w:widowControl w:val="0"/>
              <w:kinsoku/>
              <w:wordWrap w:val="0"/>
              <w:overflowPunct/>
              <w:topLinePunct w:val="0"/>
              <w:bidi w:val="0"/>
              <w:adjustRightInd w:val="0"/>
              <w:snapToGrid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（2）服务的地点：详见第六章“项目采购需求”</w:t>
            </w:r>
          </w:p>
          <w:p>
            <w:pPr>
              <w:keepNext w:val="0"/>
              <w:keepLines w:val="0"/>
              <w:pageBreakBefore w:val="0"/>
              <w:widowControl w:val="0"/>
              <w:kinsoku/>
              <w:wordWrap w:val="0"/>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（3）服务的方式：详见第六章“项目采购需求”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vMerge w:val="continue"/>
            <w:vAlign w:val="center"/>
          </w:tcPr>
          <w:p>
            <w:pPr>
              <w:keepNext w:val="0"/>
              <w:keepLines w:val="0"/>
              <w:pageBreakBefore w:val="0"/>
              <w:kinsoku/>
              <w:wordWrap w:val="0"/>
              <w:overflowPunct/>
              <w:topLinePunct/>
              <w:autoSpaceDE w:val="0"/>
              <w:autoSpaceDN w:val="0"/>
              <w:bidi w:val="0"/>
              <w:adjustRightInd w:val="0"/>
              <w:snapToGrid w:val="0"/>
              <w:spacing w:line="360" w:lineRule="auto"/>
              <w:jc w:val="center"/>
              <w:textAlignment w:val="auto"/>
              <w:rPr>
                <w:rFonts w:hint="eastAsia" w:ascii="宋体" w:hAnsi="宋体" w:eastAsia="宋体" w:cs="宋体"/>
                <w:sz w:val="21"/>
                <w:szCs w:val="21"/>
              </w:rPr>
            </w:pPr>
          </w:p>
        </w:tc>
        <w:tc>
          <w:tcPr>
            <w:tcW w:w="1984" w:type="dxa"/>
            <w:vMerge w:val="continue"/>
            <w:vAlign w:val="center"/>
          </w:tcPr>
          <w:p>
            <w:pPr>
              <w:keepNext w:val="0"/>
              <w:keepLines w:val="0"/>
              <w:pageBreakBefore w:val="0"/>
              <w:kinsoku/>
              <w:wordWrap w:val="0"/>
              <w:overflowPunct/>
              <w:bidi w:val="0"/>
              <w:adjustRightInd w:val="0"/>
              <w:snapToGrid w:val="0"/>
              <w:spacing w:line="360" w:lineRule="auto"/>
              <w:jc w:val="center"/>
              <w:textAlignment w:val="auto"/>
              <w:rPr>
                <w:rFonts w:hint="eastAsia" w:ascii="宋体" w:hAnsi="宋体" w:eastAsia="宋体" w:cs="宋体"/>
                <w:sz w:val="21"/>
                <w:szCs w:val="21"/>
              </w:rPr>
            </w:pPr>
          </w:p>
        </w:tc>
        <w:tc>
          <w:tcPr>
            <w:tcW w:w="6058" w:type="dxa"/>
            <w:gridSpan w:val="2"/>
            <w:vAlign w:val="center"/>
          </w:tcPr>
          <w:p>
            <w:pPr>
              <w:keepNext w:val="0"/>
              <w:keepLines w:val="0"/>
              <w:pageBreakBefore w:val="0"/>
              <w:widowControl w:val="0"/>
              <w:kinsoku/>
              <w:wordWrap w:val="0"/>
              <w:overflowPunct/>
              <w:topLinePunct w:val="0"/>
              <w:bidi w:val="0"/>
              <w:adjustRightInd w:val="0"/>
              <w:snapToGrid w:val="0"/>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6.采购资金的支付方式及时间：</w:t>
            </w:r>
          </w:p>
          <w:p>
            <w:pPr>
              <w:keepNext w:val="0"/>
              <w:keepLines w:val="0"/>
              <w:pageBreakBefore w:val="0"/>
              <w:widowControl w:val="0"/>
              <w:kinsoku/>
              <w:wordWrap w:val="0"/>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1.按月支付的费用支付</w:t>
            </w:r>
          </w:p>
          <w:p>
            <w:pPr>
              <w:keepNext w:val="0"/>
              <w:keepLines w:val="0"/>
              <w:pageBreakBefore w:val="0"/>
              <w:widowControl w:val="0"/>
              <w:kinsoku/>
              <w:wordWrap w:val="0"/>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（1）中标人的物业等服务管理工作正式开始后每个月结算一次费用。</w:t>
            </w:r>
          </w:p>
          <w:p>
            <w:pPr>
              <w:keepNext w:val="0"/>
              <w:keepLines w:val="0"/>
              <w:pageBreakBefore w:val="0"/>
              <w:widowControl w:val="0"/>
              <w:kinsoku/>
              <w:wordWrap w:val="0"/>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（2）中标人完成一个月的物业等服务管理工作后，采购人按“物业服务项目月度检查考评表”考评结果并经采购人验收合格，凭相关手续及正式税务发票30日内支付中标人上个月的结算费用。</w:t>
            </w:r>
          </w:p>
          <w:p>
            <w:pPr>
              <w:keepNext w:val="0"/>
              <w:keepLines w:val="0"/>
              <w:pageBreakBefore w:val="0"/>
              <w:widowControl w:val="0"/>
              <w:kinsoku/>
              <w:wordWrap w:val="0"/>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2.按次或实际发生后应支付的费用</w:t>
            </w:r>
          </w:p>
          <w:p>
            <w:pPr>
              <w:keepNext w:val="0"/>
              <w:keepLines w:val="0"/>
              <w:pageBreakBefore w:val="0"/>
              <w:widowControl w:val="0"/>
              <w:kinsoku/>
              <w:wordWrap w:val="0"/>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中标人按约定完成工作任务后，经采购人验收合格，凭相关手续及正式税务发票向采购人结算费用。</w:t>
            </w:r>
          </w:p>
          <w:p>
            <w:pPr>
              <w:keepNext w:val="0"/>
              <w:keepLines w:val="0"/>
              <w:pageBreakBefore w:val="0"/>
              <w:widowControl w:val="0"/>
              <w:kinsoku/>
              <w:wordWrap w:val="0"/>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3.中标人应落实国家相关规定，保障员工合法权益，按规定发放工资并缴纳企业依法应负担的社会保险（包含社会养老保险金、社会失业保险金、职工医疗保险、工伤保险、生育保险、住房公积金）等费用。采购人在支付每月物业费用时，中标人需提供工资册及社会保险等费用缴交凭证（退休返聘人员除外）供采购人审核。未按规定发放工资及缴交社会保险等相关费用,或无法提供工资册及社会保险等费用缴交凭证的，采购人将不予支付费用。以上情况若3个月内还未整改到位导致采购人无法正常支付服务费用的，采购人有权终止合同并追究中标人的责任，给采购人造成损失的，中标人还应承担赔偿责任。</w:t>
            </w:r>
          </w:p>
        </w:tc>
      </w:tr>
    </w:tbl>
    <w:p>
      <w:pPr>
        <w:spacing w:line="360" w:lineRule="auto"/>
        <w:rPr>
          <w:rFonts w:hint="eastAsia" w:ascii="宋体" w:hAnsi="宋体" w:eastAsia="宋体" w:cs="宋体"/>
        </w:rPr>
      </w:pPr>
    </w:p>
    <w:p>
      <w:pPr>
        <w:spacing w:line="360" w:lineRule="auto"/>
        <w:rPr>
          <w:rFonts w:hint="eastAsia" w:ascii="宋体" w:hAnsi="宋体" w:eastAsia="宋体" w:cs="宋体"/>
        </w:rPr>
        <w:sectPr>
          <w:footerReference r:id="rId8" w:type="first"/>
          <w:footerReference r:id="rId7" w:type="default"/>
          <w:pgSz w:w="11906" w:h="16838"/>
          <w:pgMar w:top="1440" w:right="1752" w:bottom="1440" w:left="1752" w:header="851" w:footer="992" w:gutter="0"/>
          <w:pgNumType w:fmt="decimal" w:start="1"/>
          <w:cols w:space="720" w:num="1"/>
          <w:titlePg/>
          <w:docGrid w:type="lines" w:linePitch="312" w:charSpace="0"/>
        </w:sectPr>
      </w:pPr>
    </w:p>
    <w:p>
      <w:pPr>
        <w:spacing w:line="360" w:lineRule="auto"/>
        <w:ind w:firstLine="420" w:firstLineChars="200"/>
        <w:outlineLvl w:val="1"/>
        <w:rPr>
          <w:rFonts w:hint="eastAsia" w:ascii="宋体" w:hAnsi="宋体" w:eastAsia="宋体" w:cs="宋体"/>
          <w:szCs w:val="21"/>
        </w:rPr>
      </w:pPr>
      <w:bookmarkStart w:id="10" w:name="_Toc14011"/>
      <w:r>
        <w:rPr>
          <w:rFonts w:hint="eastAsia" w:ascii="宋体" w:hAnsi="宋体" w:eastAsia="宋体" w:cs="宋体"/>
          <w:szCs w:val="21"/>
        </w:rPr>
        <w:t>一、总则</w:t>
      </w:r>
      <w:bookmarkEnd w:id="10"/>
    </w:p>
    <w:p>
      <w:pPr>
        <w:topLinePunct/>
        <w:autoSpaceDE w:val="0"/>
        <w:autoSpaceDN w:val="0"/>
        <w:adjustRightInd w:val="0"/>
        <w:snapToGrid w:val="0"/>
        <w:spacing w:line="360" w:lineRule="auto"/>
        <w:ind w:firstLine="421" w:firstLineChars="200"/>
        <w:outlineLvl w:val="2"/>
        <w:rPr>
          <w:rFonts w:hint="eastAsia" w:ascii="宋体" w:hAnsi="宋体" w:eastAsia="宋体" w:cs="宋体"/>
          <w:b/>
          <w:szCs w:val="21"/>
        </w:rPr>
      </w:pPr>
      <w:bookmarkStart w:id="11" w:name="_Toc23529"/>
      <w:r>
        <w:rPr>
          <w:rFonts w:hint="eastAsia" w:ascii="宋体" w:hAnsi="宋体" w:eastAsia="宋体" w:cs="宋体"/>
          <w:b/>
          <w:szCs w:val="21"/>
        </w:rPr>
        <w:t>1.预算资金及来源</w:t>
      </w:r>
      <w:bookmarkEnd w:id="11"/>
    </w:p>
    <w:p>
      <w:pPr>
        <w:topLinePunct/>
        <w:autoSpaceDE w:val="0"/>
        <w:autoSpaceDN w:val="0"/>
        <w:adjustRightInd w:val="0"/>
        <w:snapToGrid w:val="0"/>
        <w:spacing w:line="360" w:lineRule="auto"/>
        <w:ind w:firstLine="420" w:firstLineChars="200"/>
        <w:outlineLvl w:val="9"/>
        <w:rPr>
          <w:rFonts w:hint="eastAsia" w:ascii="宋体" w:hAnsi="宋体" w:eastAsia="宋体" w:cs="宋体"/>
          <w:szCs w:val="21"/>
        </w:rPr>
      </w:pPr>
      <w:r>
        <w:rPr>
          <w:rFonts w:hint="eastAsia" w:ascii="宋体" w:hAnsi="宋体" w:eastAsia="宋体" w:cs="宋体"/>
          <w:szCs w:val="21"/>
        </w:rPr>
        <w:t>1.1 本项目已经</w:t>
      </w:r>
      <w:r>
        <w:rPr>
          <w:rFonts w:hint="eastAsia" w:ascii="宋体" w:hAnsi="宋体" w:eastAsia="宋体" w:cs="宋体"/>
          <w:b/>
          <w:szCs w:val="21"/>
          <w:u w:val="single"/>
          <w:lang w:eastAsia="zh-CN"/>
        </w:rPr>
        <w:t>国家税务总局仙游县税务局</w:t>
      </w:r>
      <w:r>
        <w:rPr>
          <w:rFonts w:hint="eastAsia" w:ascii="宋体" w:hAnsi="宋体" w:eastAsia="宋体" w:cs="宋体"/>
          <w:szCs w:val="21"/>
        </w:rPr>
        <w:t>批准立项。</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1.2 本项目预算资金见</w:t>
      </w:r>
      <w:r>
        <w:rPr>
          <w:rFonts w:hint="eastAsia" w:ascii="宋体" w:hAnsi="宋体" w:eastAsia="宋体" w:cs="宋体"/>
          <w:b/>
          <w:bCs/>
          <w:szCs w:val="21"/>
        </w:rPr>
        <w:t>投标人须知前附表</w:t>
      </w:r>
      <w:r>
        <w:rPr>
          <w:rFonts w:hint="eastAsia" w:ascii="宋体" w:hAnsi="宋体" w:eastAsia="宋体" w:cs="宋体"/>
          <w:szCs w:val="21"/>
        </w:rPr>
        <w:t>，已列入</w:t>
      </w:r>
      <w:r>
        <w:rPr>
          <w:rFonts w:hint="eastAsia" w:ascii="宋体" w:hAnsi="宋体" w:eastAsia="宋体" w:cs="宋体"/>
          <w:b/>
          <w:szCs w:val="21"/>
          <w:u w:val="single"/>
          <w:lang w:eastAsia="zh-CN"/>
        </w:rPr>
        <w:t>国家税务总局仙游县税务局</w:t>
      </w:r>
      <w:r>
        <w:rPr>
          <w:rFonts w:hint="eastAsia" w:ascii="宋体" w:hAnsi="宋体" w:eastAsia="宋体" w:cs="宋体"/>
          <w:szCs w:val="21"/>
        </w:rPr>
        <w:t>预算。</w:t>
      </w:r>
    </w:p>
    <w:p>
      <w:pPr>
        <w:topLinePunct/>
        <w:autoSpaceDE w:val="0"/>
        <w:autoSpaceDN w:val="0"/>
        <w:adjustRightInd w:val="0"/>
        <w:snapToGrid w:val="0"/>
        <w:spacing w:line="360" w:lineRule="auto"/>
        <w:ind w:firstLine="421" w:firstLineChars="200"/>
        <w:outlineLvl w:val="2"/>
        <w:rPr>
          <w:rFonts w:hint="eastAsia" w:ascii="宋体" w:hAnsi="宋体" w:eastAsia="宋体" w:cs="宋体"/>
          <w:b/>
          <w:szCs w:val="21"/>
        </w:rPr>
      </w:pPr>
      <w:bookmarkStart w:id="12" w:name="_Toc28686"/>
      <w:r>
        <w:rPr>
          <w:rFonts w:hint="eastAsia" w:ascii="宋体" w:hAnsi="宋体" w:eastAsia="宋体" w:cs="宋体"/>
          <w:b/>
          <w:szCs w:val="21"/>
        </w:rPr>
        <w:t>2.合格的产品和服务</w:t>
      </w:r>
      <w:bookmarkEnd w:id="12"/>
    </w:p>
    <w:p>
      <w:pPr>
        <w:tabs>
          <w:tab w:val="left" w:pos="216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2.1 本项目所涉及的所有产品和服务均应来自中国境内（指关境内），合同金额的支付也仅限于这些产品和服务。</w:t>
      </w:r>
    </w:p>
    <w:p>
      <w:pPr>
        <w:tabs>
          <w:tab w:val="left" w:pos="2160"/>
        </w:tabs>
        <w:topLinePunct/>
        <w:autoSpaceDE w:val="0"/>
        <w:autoSpaceDN w:val="0"/>
        <w:adjustRightInd w:val="0"/>
        <w:snapToGrid w:val="0"/>
        <w:spacing w:line="360" w:lineRule="auto"/>
        <w:ind w:firstLine="420" w:firstLineChars="200"/>
        <w:outlineLvl w:val="9"/>
        <w:rPr>
          <w:rFonts w:hint="eastAsia" w:ascii="宋体" w:hAnsi="宋体" w:eastAsia="宋体" w:cs="宋体"/>
          <w:szCs w:val="21"/>
        </w:rPr>
      </w:pPr>
      <w:r>
        <w:rPr>
          <w:rFonts w:hint="eastAsia" w:ascii="宋体" w:hAnsi="宋体" w:eastAsia="宋体" w:cs="宋体"/>
          <w:szCs w:val="21"/>
        </w:rPr>
        <w:t>2.2 合格的产品和服务即</w:t>
      </w:r>
      <w:r>
        <w:rPr>
          <w:rFonts w:hint="eastAsia" w:ascii="宋体" w:hAnsi="宋体" w:eastAsia="宋体" w:cs="宋体"/>
          <w:b/>
          <w:bCs/>
          <w:szCs w:val="21"/>
        </w:rPr>
        <w:t>采购需求</w:t>
      </w:r>
      <w:r>
        <w:rPr>
          <w:rFonts w:hint="eastAsia" w:ascii="宋体" w:hAnsi="宋体" w:eastAsia="宋体" w:cs="宋体"/>
          <w:szCs w:val="21"/>
        </w:rPr>
        <w:t>见</w:t>
      </w:r>
      <w:r>
        <w:rPr>
          <w:rFonts w:hint="eastAsia" w:ascii="宋体" w:hAnsi="宋体" w:eastAsia="宋体" w:cs="宋体"/>
          <w:b/>
          <w:szCs w:val="21"/>
        </w:rPr>
        <w:t>招标文件（技术部分）。</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2.3 投标人应保证所提供的产品及服务免受第三方提出侵犯其知识产权（专利权、商标权、工业设计权及使用权）的请求及起诉。</w:t>
      </w:r>
    </w:p>
    <w:p>
      <w:pPr>
        <w:topLinePunct/>
        <w:autoSpaceDE w:val="0"/>
        <w:autoSpaceDN w:val="0"/>
        <w:adjustRightInd w:val="0"/>
        <w:snapToGrid w:val="0"/>
        <w:spacing w:line="360" w:lineRule="auto"/>
        <w:ind w:firstLine="421" w:firstLineChars="200"/>
        <w:outlineLvl w:val="2"/>
        <w:rPr>
          <w:rFonts w:hint="eastAsia" w:ascii="宋体" w:hAnsi="宋体" w:eastAsia="宋体" w:cs="宋体"/>
          <w:b/>
          <w:szCs w:val="21"/>
        </w:rPr>
      </w:pPr>
      <w:bookmarkStart w:id="13" w:name="_Toc16008"/>
      <w:r>
        <w:rPr>
          <w:rFonts w:hint="eastAsia" w:ascii="宋体" w:hAnsi="宋体" w:eastAsia="宋体" w:cs="宋体"/>
          <w:b/>
          <w:szCs w:val="21"/>
        </w:rPr>
        <w:t>3.合格的投标人</w:t>
      </w:r>
      <w:bookmarkEnd w:id="13"/>
    </w:p>
    <w:p>
      <w:pPr>
        <w:pStyle w:val="43"/>
        <w:widowControl w:val="0"/>
        <w:spacing w:line="360" w:lineRule="auto"/>
        <w:ind w:firstLine="420" w:firstLineChars="200"/>
        <w:jc w:val="both"/>
        <w:outlineLvl w:val="9"/>
        <w:rPr>
          <w:rFonts w:hint="eastAsia" w:ascii="宋体" w:hAnsi="宋体" w:eastAsia="宋体" w:cs="宋体"/>
          <w:sz w:val="21"/>
          <w:szCs w:val="21"/>
        </w:rPr>
      </w:pPr>
      <w:r>
        <w:rPr>
          <w:rFonts w:hint="eastAsia" w:ascii="宋体" w:hAnsi="宋体" w:eastAsia="宋体" w:cs="宋体"/>
          <w:sz w:val="21"/>
          <w:szCs w:val="21"/>
        </w:rPr>
        <w:t>3.1一般规定</w:t>
      </w:r>
    </w:p>
    <w:p>
      <w:pPr>
        <w:pStyle w:val="43"/>
        <w:widowControl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3.1.1投标人应遵守《政府采购法》及其实施条例、《政府采购货物和服务招标投标管理办法》、《政府采购质疑和投诉办法》及有关政府采购的规定，同时还应遵守有关法律、法规和规章的强制性规定。</w:t>
      </w:r>
    </w:p>
    <w:p>
      <w:pPr>
        <w:pStyle w:val="43"/>
        <w:widowControl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3.1.2投标人的资格要求及本项目的特定资格要求见</w:t>
      </w:r>
      <w:r>
        <w:rPr>
          <w:rFonts w:hint="eastAsia" w:ascii="宋体" w:hAnsi="宋体" w:eastAsia="宋体" w:cs="宋体"/>
          <w:b/>
          <w:sz w:val="21"/>
          <w:szCs w:val="21"/>
        </w:rPr>
        <w:t>投标人须知前附表</w:t>
      </w:r>
      <w:r>
        <w:rPr>
          <w:rFonts w:hint="eastAsia" w:ascii="宋体" w:hAnsi="宋体" w:eastAsia="宋体" w:cs="宋体"/>
          <w:sz w:val="21"/>
          <w:szCs w:val="21"/>
        </w:rPr>
        <w:t>。</w:t>
      </w:r>
    </w:p>
    <w:p>
      <w:pPr>
        <w:pStyle w:val="43"/>
        <w:widowControl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3.1.3资格条件中所称“重大违法记录”，是指投标人因违法经营受到刑事处罚或者责令停产停业、吊销许可证或者执照、较大数额罚款等行政处罚。</w:t>
      </w:r>
    </w:p>
    <w:p>
      <w:pPr>
        <w:pStyle w:val="43"/>
        <w:widowControl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投标人在参加政府采购活动前3年内因违法经营被禁止在一定期限内参加政府采购活动，期限届满的，可以参加政府采购活动。</w:t>
      </w:r>
    </w:p>
    <w:p>
      <w:pPr>
        <w:pStyle w:val="43"/>
        <w:widowControl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“较大数额罚款”认定为200万元以上的罚款，法律、行政法规以及国务院有关部门明确规定相关领域“较大数额罚款”标准高于200万元的，从其规定。</w:t>
      </w:r>
    </w:p>
    <w:p>
      <w:pPr>
        <w:pStyle w:val="43"/>
        <w:widowControl w:val="0"/>
        <w:spacing w:line="360" w:lineRule="auto"/>
        <w:ind w:firstLine="420" w:firstLineChars="200"/>
        <w:jc w:val="both"/>
        <w:outlineLvl w:val="9"/>
        <w:rPr>
          <w:rFonts w:hint="eastAsia" w:ascii="宋体" w:hAnsi="宋体" w:eastAsia="宋体" w:cs="宋体"/>
          <w:sz w:val="21"/>
          <w:szCs w:val="21"/>
        </w:rPr>
      </w:pPr>
      <w:r>
        <w:rPr>
          <w:rFonts w:hint="eastAsia" w:ascii="宋体" w:hAnsi="宋体" w:eastAsia="宋体" w:cs="宋体"/>
          <w:sz w:val="21"/>
          <w:szCs w:val="21"/>
        </w:rPr>
        <w:t>3.1.4信用记录要求</w:t>
      </w:r>
    </w:p>
    <w:p>
      <w:pPr>
        <w:pStyle w:val="43"/>
        <w:widowControl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采购人、采购代理机构应当通过“信用中国”网站（www.creditchina.gov.cn）、中国政府采购网（www.ccgp.gov.cn）等渠道查询投标人的信用记录，并对投标人信用记录进行甄别，对列入失信被执行人、重大税收违法案件当事人名单、政府采购严重违法失信行为记录名单及其他不符合《中华人民共和国政府采购法》第二十二条规定条件的投标人，应当拒绝其参与政府采购活动。</w:t>
      </w:r>
    </w:p>
    <w:p>
      <w:pPr>
        <w:pStyle w:val="43"/>
        <w:widowControl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pStyle w:val="43"/>
        <w:widowControl w:val="0"/>
        <w:spacing w:line="360" w:lineRule="auto"/>
        <w:ind w:firstLine="420" w:firstLineChars="200"/>
        <w:jc w:val="both"/>
        <w:outlineLvl w:val="9"/>
        <w:rPr>
          <w:rFonts w:hint="eastAsia" w:ascii="宋体" w:hAnsi="宋体" w:eastAsia="宋体" w:cs="宋体"/>
          <w:sz w:val="21"/>
          <w:szCs w:val="21"/>
        </w:rPr>
      </w:pPr>
      <w:r>
        <w:rPr>
          <w:rFonts w:hint="eastAsia" w:ascii="宋体" w:hAnsi="宋体" w:eastAsia="宋体" w:cs="宋体"/>
          <w:sz w:val="21"/>
          <w:szCs w:val="21"/>
        </w:rPr>
        <w:t>3.2联合体</w:t>
      </w:r>
    </w:p>
    <w:p>
      <w:pPr>
        <w:pStyle w:val="43"/>
        <w:widowControl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3.2.1若本项目接受联合体投标，则两个以上的自然人、法人或者其他组织可以组成一个联合体，以一个投标人的身份共同参加政府采购。</w:t>
      </w:r>
    </w:p>
    <w:p>
      <w:pPr>
        <w:pStyle w:val="43"/>
        <w:widowControl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3.2.2以联合体形式参加投标的，联合体各方应按第二章要求提供资格条件材料。</w:t>
      </w:r>
    </w:p>
    <w:p>
      <w:pPr>
        <w:pStyle w:val="43"/>
        <w:widowControl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3.2.3联合体中有同类资质的投标人按照联合体分工承担相同工作的，应当按照资质等级较低的投标人确定资质等级。</w:t>
      </w:r>
    </w:p>
    <w:p>
      <w:pPr>
        <w:pStyle w:val="43"/>
        <w:widowControl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3.2.4联合体应当提交联合协议，载明联合体各方承担的工作和义务。</w:t>
      </w:r>
    </w:p>
    <w:p>
      <w:pPr>
        <w:pStyle w:val="43"/>
        <w:widowControl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3.2.5联合体各方应当共同与采购人签订采购合同，就采购合同约定的事项对采购人承担连带责任。</w:t>
      </w:r>
    </w:p>
    <w:p>
      <w:pPr>
        <w:pStyle w:val="43"/>
        <w:widowControl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3.2.6以联合体形式参加政府采购活动的，联合体各方不得再单独参加或者与其他投标人另外组成联合体参加同一合同项下的政府采购活动。</w:t>
      </w:r>
    </w:p>
    <w:p>
      <w:pPr>
        <w:pStyle w:val="43"/>
        <w:widowControl w:val="0"/>
        <w:spacing w:line="360" w:lineRule="auto"/>
        <w:ind w:firstLine="420" w:firstLineChars="200"/>
        <w:jc w:val="both"/>
        <w:outlineLvl w:val="9"/>
        <w:rPr>
          <w:rFonts w:hint="eastAsia" w:ascii="宋体" w:hAnsi="宋体" w:eastAsia="宋体" w:cs="宋体"/>
          <w:sz w:val="21"/>
          <w:szCs w:val="21"/>
        </w:rPr>
      </w:pPr>
      <w:r>
        <w:rPr>
          <w:rFonts w:hint="eastAsia" w:ascii="宋体" w:hAnsi="宋体" w:eastAsia="宋体" w:cs="宋体"/>
          <w:sz w:val="21"/>
          <w:szCs w:val="21"/>
        </w:rPr>
        <w:t>3.3禁止规定</w:t>
      </w:r>
    </w:p>
    <w:p>
      <w:pPr>
        <w:pStyle w:val="43"/>
        <w:widowControl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3.3.1单位负责人为同一人或者存在直接控股、管理关系的不同投标人，不得参加同一采购包的政府采购活动。否则投标均无效。</w:t>
      </w:r>
    </w:p>
    <w:p>
      <w:pPr>
        <w:pStyle w:val="43"/>
        <w:widowControl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3.3.2除单一来源采购项目外，为采购项目提供整体设计、规范编制或者项目管理、监理、检测等服务的供应商，不得再参加该采购项目的其他采购活动。否则投标无效。</w:t>
      </w:r>
    </w:p>
    <w:p>
      <w:pPr>
        <w:topLinePunct/>
        <w:autoSpaceDE w:val="0"/>
        <w:autoSpaceDN w:val="0"/>
        <w:adjustRightInd w:val="0"/>
        <w:snapToGrid w:val="0"/>
        <w:spacing w:line="360" w:lineRule="auto"/>
        <w:ind w:firstLine="421" w:firstLineChars="200"/>
        <w:outlineLvl w:val="2"/>
        <w:rPr>
          <w:rFonts w:hint="eastAsia" w:ascii="宋体" w:hAnsi="宋体" w:eastAsia="宋体" w:cs="宋体"/>
          <w:b/>
          <w:szCs w:val="21"/>
        </w:rPr>
      </w:pPr>
      <w:bookmarkStart w:id="14" w:name="_Toc12428"/>
      <w:r>
        <w:rPr>
          <w:rFonts w:hint="eastAsia" w:ascii="宋体" w:hAnsi="宋体" w:eastAsia="宋体" w:cs="宋体"/>
          <w:b/>
          <w:szCs w:val="21"/>
        </w:rPr>
        <w:t>4.投标费用</w:t>
      </w:r>
      <w:bookmarkEnd w:id="14"/>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4.1 投标人应承担所有与编写、提交投标文件有关的费用，不论招标的结果如何，采购人在任何情况下均无义务和责任承担这些费用。</w:t>
      </w:r>
    </w:p>
    <w:p>
      <w:pPr>
        <w:spacing w:line="360" w:lineRule="auto"/>
        <w:ind w:firstLine="420" w:firstLineChars="200"/>
        <w:outlineLvl w:val="1"/>
        <w:rPr>
          <w:rFonts w:hint="eastAsia" w:ascii="宋体" w:hAnsi="宋体" w:eastAsia="宋体" w:cs="宋体"/>
        </w:rPr>
      </w:pPr>
      <w:bookmarkStart w:id="15" w:name="_Toc1944"/>
      <w:r>
        <w:rPr>
          <w:rFonts w:hint="eastAsia" w:ascii="宋体" w:hAnsi="宋体" w:eastAsia="宋体" w:cs="宋体"/>
        </w:rPr>
        <w:t>二、招标文件</w:t>
      </w:r>
      <w:bookmarkEnd w:id="15"/>
    </w:p>
    <w:p>
      <w:pPr>
        <w:topLinePunct/>
        <w:autoSpaceDE w:val="0"/>
        <w:autoSpaceDN w:val="0"/>
        <w:adjustRightInd w:val="0"/>
        <w:snapToGrid w:val="0"/>
        <w:spacing w:line="360" w:lineRule="auto"/>
        <w:ind w:firstLine="421" w:firstLineChars="200"/>
        <w:outlineLvl w:val="2"/>
        <w:rPr>
          <w:rFonts w:hint="eastAsia" w:ascii="宋体" w:hAnsi="宋体" w:eastAsia="宋体" w:cs="宋体"/>
          <w:b/>
          <w:szCs w:val="21"/>
        </w:rPr>
      </w:pPr>
      <w:bookmarkStart w:id="16" w:name="_Toc27356"/>
      <w:r>
        <w:rPr>
          <w:rFonts w:hint="eastAsia" w:ascii="宋体" w:hAnsi="宋体" w:eastAsia="宋体" w:cs="宋体"/>
          <w:b/>
          <w:szCs w:val="21"/>
        </w:rPr>
        <w:t>5.招标文件构成</w:t>
      </w:r>
      <w:bookmarkEnd w:id="16"/>
    </w:p>
    <w:p>
      <w:pPr>
        <w:topLinePunct/>
        <w:autoSpaceDE w:val="0"/>
        <w:autoSpaceDN w:val="0"/>
        <w:adjustRightInd w:val="0"/>
        <w:snapToGrid w:val="0"/>
        <w:spacing w:line="360" w:lineRule="auto"/>
        <w:ind w:firstLine="421" w:firstLineChars="200"/>
        <w:outlineLvl w:val="9"/>
        <w:rPr>
          <w:rFonts w:hint="eastAsia" w:ascii="宋体" w:hAnsi="宋体" w:eastAsia="宋体" w:cs="宋体"/>
          <w:b/>
          <w:szCs w:val="21"/>
        </w:rPr>
      </w:pPr>
      <w:r>
        <w:rPr>
          <w:rFonts w:hint="eastAsia" w:ascii="宋体" w:hAnsi="宋体" w:eastAsia="宋体" w:cs="宋体"/>
          <w:b/>
          <w:szCs w:val="21"/>
        </w:rPr>
        <w:t>第一部分 商务部分</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（1）招标公告</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（2）投标人须知</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（3）评标方法及标准</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（4）政府采购合同文本</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（5）投标文件格式</w:t>
      </w:r>
    </w:p>
    <w:p>
      <w:pPr>
        <w:topLinePunct/>
        <w:autoSpaceDE w:val="0"/>
        <w:autoSpaceDN w:val="0"/>
        <w:adjustRightInd w:val="0"/>
        <w:snapToGrid w:val="0"/>
        <w:spacing w:line="360" w:lineRule="auto"/>
        <w:ind w:firstLine="421" w:firstLineChars="200"/>
        <w:outlineLvl w:val="9"/>
        <w:rPr>
          <w:rFonts w:hint="eastAsia" w:ascii="宋体" w:hAnsi="宋体" w:eastAsia="宋体" w:cs="宋体"/>
          <w:b/>
          <w:szCs w:val="21"/>
        </w:rPr>
      </w:pPr>
      <w:r>
        <w:rPr>
          <w:rFonts w:hint="eastAsia" w:ascii="宋体" w:hAnsi="宋体" w:eastAsia="宋体" w:cs="宋体"/>
          <w:b/>
          <w:szCs w:val="21"/>
        </w:rPr>
        <w:t>第二部分 技术部分</w:t>
      </w:r>
    </w:p>
    <w:p>
      <w:pPr>
        <w:topLinePunct/>
        <w:autoSpaceDE w:val="0"/>
        <w:autoSpaceDN w:val="0"/>
        <w:adjustRightInd w:val="0"/>
        <w:snapToGrid w:val="0"/>
        <w:spacing w:line="360" w:lineRule="auto"/>
        <w:ind w:firstLine="413" w:firstLineChars="196"/>
        <w:outlineLvl w:val="2"/>
        <w:rPr>
          <w:rFonts w:hint="eastAsia" w:ascii="宋体" w:hAnsi="宋体" w:eastAsia="宋体" w:cs="宋体"/>
          <w:b/>
          <w:szCs w:val="21"/>
        </w:rPr>
      </w:pPr>
      <w:bookmarkStart w:id="17" w:name="_Toc30920"/>
      <w:r>
        <w:rPr>
          <w:rFonts w:hint="eastAsia" w:ascii="宋体" w:hAnsi="宋体" w:eastAsia="宋体" w:cs="宋体"/>
          <w:b/>
          <w:szCs w:val="21"/>
        </w:rPr>
        <w:t>6.招标文件询问、澄清或修改</w:t>
      </w:r>
      <w:bookmarkEnd w:id="17"/>
    </w:p>
    <w:p>
      <w:pPr>
        <w:widowControl/>
        <w:topLinePunct/>
        <w:autoSpaceDE w:val="0"/>
        <w:autoSpaceDN w:val="0"/>
        <w:adjustRightInd w:val="0"/>
        <w:snapToGrid w:val="0"/>
        <w:spacing w:line="360" w:lineRule="auto"/>
        <w:ind w:firstLine="420" w:firstLineChars="200"/>
        <w:jc w:val="left"/>
        <w:rPr>
          <w:rFonts w:hint="eastAsia" w:ascii="宋体" w:hAnsi="宋体" w:eastAsia="宋体" w:cs="宋体"/>
          <w:b/>
          <w:szCs w:val="21"/>
        </w:rPr>
      </w:pPr>
      <w:r>
        <w:rPr>
          <w:rFonts w:hint="eastAsia" w:ascii="宋体" w:hAnsi="宋体" w:eastAsia="宋体" w:cs="宋体"/>
          <w:szCs w:val="21"/>
        </w:rPr>
        <w:t>6.1 投标人对招标文件如有疑问的，可以向采购人或者采购代理机构提出询问，采购人或者采购代理机构应当在3个工作日内作出答复</w:t>
      </w:r>
      <w:r>
        <w:rPr>
          <w:rFonts w:hint="eastAsia" w:ascii="宋体" w:hAnsi="宋体" w:eastAsia="宋体" w:cs="宋体"/>
          <w:bCs/>
          <w:szCs w:val="21"/>
        </w:rPr>
        <w:t>，但答复的内容不得涉及商业秘密。</w:t>
      </w:r>
      <w:r>
        <w:rPr>
          <w:rFonts w:hint="eastAsia" w:ascii="宋体" w:hAnsi="宋体" w:eastAsia="宋体" w:cs="宋体"/>
          <w:szCs w:val="21"/>
        </w:rPr>
        <w:t>如有必要，采购人或者采购代理机构可对招标文件进行澄清或者修改。</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6.2 采购人或者采购代理机构可主动对招标文件进行必要的澄清或者修改，但不得改变采购标的和资格条件。</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6.3 澄清或者修改应当在原公告发布媒体上发布澄清公告，线上采购项目还应通过国家税务总局政府采购评审管理系统（以下简称“评审管理系统”）通知所有获取招标文件的潜在投标人。</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6.4 澄清或者修改的内容可能影响投标文件编制的，采购人或者采购代理机构应当在投标截止时间至少15日前，以书面形式或通过评审管理系统（适用于线上采购，下同）通知所有获取招标文件的潜在投标人；不足15日的，采购人或者采购代理机构应当顺延提交投标文件的截止时间。</w:t>
      </w:r>
    </w:p>
    <w:p>
      <w:pPr>
        <w:topLinePunct/>
        <w:autoSpaceDE w:val="0"/>
        <w:autoSpaceDN w:val="0"/>
        <w:adjustRightInd w:val="0"/>
        <w:snapToGrid w:val="0"/>
        <w:spacing w:line="360" w:lineRule="auto"/>
        <w:ind w:firstLine="420" w:firstLineChars="200"/>
        <w:outlineLvl w:val="9"/>
        <w:rPr>
          <w:rFonts w:hint="eastAsia" w:ascii="宋体" w:hAnsi="宋体" w:eastAsia="宋体" w:cs="宋体"/>
          <w:szCs w:val="21"/>
        </w:rPr>
      </w:pPr>
      <w:r>
        <w:rPr>
          <w:rFonts w:hint="eastAsia" w:ascii="宋体" w:hAnsi="宋体" w:eastAsia="宋体" w:cs="宋体"/>
          <w:szCs w:val="21"/>
        </w:rPr>
        <w:t>6.5 澄清或者修改的内容为招标文件的组成部分。</w:t>
      </w:r>
    </w:p>
    <w:p>
      <w:pPr>
        <w:spacing w:line="360" w:lineRule="auto"/>
        <w:ind w:firstLine="420" w:firstLineChars="200"/>
        <w:outlineLvl w:val="1"/>
        <w:rPr>
          <w:rFonts w:hint="eastAsia" w:ascii="宋体" w:hAnsi="宋体" w:eastAsia="宋体" w:cs="宋体"/>
        </w:rPr>
      </w:pPr>
      <w:bookmarkStart w:id="18" w:name="_Toc5385"/>
      <w:r>
        <w:rPr>
          <w:rFonts w:hint="eastAsia" w:ascii="宋体" w:hAnsi="宋体" w:eastAsia="宋体" w:cs="宋体"/>
        </w:rPr>
        <w:t>三、投标文件</w:t>
      </w:r>
      <w:bookmarkEnd w:id="18"/>
    </w:p>
    <w:p>
      <w:pPr>
        <w:topLinePunct/>
        <w:autoSpaceDE w:val="0"/>
        <w:autoSpaceDN w:val="0"/>
        <w:adjustRightInd w:val="0"/>
        <w:snapToGrid w:val="0"/>
        <w:spacing w:line="360" w:lineRule="auto"/>
        <w:ind w:firstLine="421" w:firstLineChars="200"/>
        <w:outlineLvl w:val="2"/>
        <w:rPr>
          <w:rFonts w:hint="eastAsia" w:ascii="宋体" w:hAnsi="宋体" w:eastAsia="宋体" w:cs="宋体"/>
          <w:b/>
          <w:szCs w:val="21"/>
        </w:rPr>
      </w:pPr>
      <w:bookmarkStart w:id="19" w:name="_Toc26285"/>
      <w:r>
        <w:rPr>
          <w:rFonts w:hint="eastAsia" w:ascii="宋体" w:hAnsi="宋体" w:eastAsia="宋体" w:cs="宋体"/>
          <w:b/>
          <w:szCs w:val="21"/>
        </w:rPr>
        <w:t>7</w:t>
      </w:r>
      <w:r>
        <w:rPr>
          <w:rFonts w:hint="eastAsia" w:ascii="宋体" w:hAnsi="宋体" w:eastAsia="宋体" w:cs="宋体"/>
          <w:szCs w:val="21"/>
        </w:rPr>
        <w:t>．</w:t>
      </w:r>
      <w:r>
        <w:rPr>
          <w:rFonts w:hint="eastAsia" w:ascii="宋体" w:hAnsi="宋体" w:eastAsia="宋体" w:cs="宋体"/>
          <w:b/>
          <w:szCs w:val="21"/>
        </w:rPr>
        <w:t>投标文件编制</w:t>
      </w:r>
      <w:bookmarkEnd w:id="19"/>
    </w:p>
    <w:p>
      <w:pPr>
        <w:pStyle w:val="43"/>
        <w:widowControl w:val="0"/>
        <w:spacing w:line="360" w:lineRule="auto"/>
        <w:ind w:firstLine="420" w:firstLineChars="200"/>
        <w:jc w:val="both"/>
        <w:outlineLvl w:val="9"/>
        <w:rPr>
          <w:rFonts w:hint="eastAsia" w:ascii="宋体" w:hAnsi="宋体" w:eastAsia="宋体" w:cs="宋体"/>
          <w:sz w:val="21"/>
          <w:szCs w:val="21"/>
        </w:rPr>
      </w:pPr>
      <w:r>
        <w:rPr>
          <w:rFonts w:hint="eastAsia" w:ascii="宋体" w:hAnsi="宋体" w:eastAsia="宋体" w:cs="宋体"/>
          <w:sz w:val="21"/>
          <w:szCs w:val="21"/>
        </w:rPr>
        <w:t>7.1投标文件的编制</w:t>
      </w:r>
    </w:p>
    <w:p>
      <w:pPr>
        <w:pStyle w:val="43"/>
        <w:widowControl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7.1.1投标人应先仔细阅读招标文件的全部内容后，再进行投标文件的编制。</w:t>
      </w:r>
    </w:p>
    <w:p>
      <w:pPr>
        <w:pStyle w:val="43"/>
        <w:widowControl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7.1.2投标文件应满足招标文件提出的实质性要求和条件，并保证其所提交的全部资料是不可割离且真实、有效、准确、完整和不具有任何误导性的，否则造成不利后果由投标人承担责任。</w:t>
      </w:r>
    </w:p>
    <w:p>
      <w:pPr>
        <w:pStyle w:val="43"/>
        <w:widowControl w:val="0"/>
        <w:spacing w:line="360" w:lineRule="auto"/>
        <w:ind w:firstLine="420" w:firstLineChars="200"/>
        <w:jc w:val="both"/>
        <w:outlineLvl w:val="9"/>
        <w:rPr>
          <w:rFonts w:hint="eastAsia" w:ascii="宋体" w:hAnsi="宋体" w:eastAsia="宋体" w:cs="宋体"/>
          <w:sz w:val="21"/>
          <w:szCs w:val="21"/>
        </w:rPr>
      </w:pPr>
      <w:r>
        <w:rPr>
          <w:rFonts w:hint="eastAsia" w:ascii="宋体" w:hAnsi="宋体" w:eastAsia="宋体" w:cs="宋体"/>
          <w:sz w:val="21"/>
          <w:szCs w:val="21"/>
        </w:rPr>
        <w:t>7.2投标文件的语言</w:t>
      </w:r>
    </w:p>
    <w:p>
      <w:pPr>
        <w:pStyle w:val="43"/>
        <w:widowControl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7.2.1除招标文件另有规定外，投标文件应使用中文文本并使用中文简化字，若有不同文本，以中文简化字文本为准。</w:t>
      </w:r>
    </w:p>
    <w:p>
      <w:pPr>
        <w:pStyle w:val="43"/>
        <w:widowControl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7.2.2投标文件提供的全部资料中，若属于非中文描述的，应同时提供中文简化字译本。</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7.2.3除在招标文件的要求中另有规定外，投标文件计量单位应使用中华人民共和国法定计量单位。</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7.3投标人制作投标文件前须提前办理数字证书和电子签章，办理方式和注意事项详见网站《供应商操作手册》。供应商在国家税务总局集中采购中心网站（https://swcg.chinatax.gov.cn） “下载中心”下载并安装“供应商投标工具”，使用投标工具编制投标文件。（线上采购项目适用）</w:t>
      </w:r>
    </w:p>
    <w:p>
      <w:pPr>
        <w:topLinePunct/>
        <w:autoSpaceDE w:val="0"/>
        <w:autoSpaceDN w:val="0"/>
        <w:adjustRightInd w:val="0"/>
        <w:snapToGrid w:val="0"/>
        <w:spacing w:line="360" w:lineRule="auto"/>
        <w:ind w:firstLine="421" w:firstLineChars="200"/>
        <w:outlineLvl w:val="2"/>
        <w:rPr>
          <w:rFonts w:hint="eastAsia" w:ascii="宋体" w:hAnsi="宋体" w:eastAsia="宋体" w:cs="宋体"/>
          <w:b/>
          <w:szCs w:val="21"/>
        </w:rPr>
      </w:pPr>
      <w:bookmarkStart w:id="20" w:name="_Toc21823"/>
      <w:r>
        <w:rPr>
          <w:rFonts w:hint="eastAsia" w:ascii="宋体" w:hAnsi="宋体" w:eastAsia="宋体" w:cs="宋体"/>
          <w:b/>
          <w:szCs w:val="21"/>
        </w:rPr>
        <w:t>8.投标文件的组成</w:t>
      </w:r>
      <w:bookmarkEnd w:id="20"/>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8.1 投标文件包括商务部分和技术部分。</w:t>
      </w:r>
    </w:p>
    <w:p>
      <w:pPr>
        <w:topLinePunct/>
        <w:autoSpaceDE w:val="0"/>
        <w:autoSpaceDN w:val="0"/>
        <w:adjustRightInd w:val="0"/>
        <w:snapToGrid w:val="0"/>
        <w:spacing w:line="360" w:lineRule="auto"/>
        <w:ind w:firstLine="428" w:firstLineChars="204"/>
        <w:rPr>
          <w:rFonts w:hint="eastAsia" w:ascii="宋体" w:hAnsi="宋体" w:eastAsia="宋体" w:cs="宋体"/>
          <w:szCs w:val="21"/>
        </w:rPr>
      </w:pPr>
      <w:r>
        <w:rPr>
          <w:rFonts w:hint="eastAsia" w:ascii="宋体" w:hAnsi="宋体" w:eastAsia="宋体" w:cs="宋体"/>
          <w:szCs w:val="21"/>
        </w:rPr>
        <w:t>8.2 投标文件</w:t>
      </w:r>
      <w:r>
        <w:rPr>
          <w:rFonts w:hint="eastAsia" w:ascii="宋体" w:hAnsi="宋体" w:eastAsia="宋体" w:cs="宋体"/>
          <w:b/>
          <w:bCs/>
          <w:szCs w:val="21"/>
        </w:rPr>
        <w:t>商务部分</w:t>
      </w:r>
      <w:r>
        <w:rPr>
          <w:rFonts w:hint="eastAsia" w:ascii="宋体" w:hAnsi="宋体" w:eastAsia="宋体" w:cs="宋体"/>
          <w:szCs w:val="21"/>
        </w:rPr>
        <w:t>主要包括的文件和资料：</w:t>
      </w:r>
    </w:p>
    <w:p>
      <w:pPr>
        <w:topLinePunct/>
        <w:autoSpaceDE w:val="0"/>
        <w:autoSpaceDN w:val="0"/>
        <w:adjustRightInd w:val="0"/>
        <w:snapToGrid w:val="0"/>
        <w:spacing w:line="360" w:lineRule="auto"/>
        <w:ind w:firstLine="428" w:firstLineChars="204"/>
        <w:rPr>
          <w:rFonts w:hint="eastAsia" w:ascii="宋体" w:hAnsi="宋体" w:eastAsia="宋体" w:cs="宋体"/>
          <w:szCs w:val="21"/>
        </w:rPr>
      </w:pPr>
      <w:r>
        <w:rPr>
          <w:rFonts w:hint="eastAsia" w:ascii="宋体" w:hAnsi="宋体" w:eastAsia="宋体" w:cs="宋体"/>
          <w:szCs w:val="21"/>
        </w:rPr>
        <w:t>8.2.1 资格证明文件，见</w:t>
      </w:r>
      <w:r>
        <w:rPr>
          <w:rFonts w:hint="eastAsia" w:ascii="宋体" w:hAnsi="宋体" w:eastAsia="宋体" w:cs="宋体"/>
          <w:b/>
          <w:szCs w:val="21"/>
        </w:rPr>
        <w:t>投标人须知前附表。</w:t>
      </w:r>
    </w:p>
    <w:p>
      <w:pPr>
        <w:overflowPunct w:val="0"/>
        <w:autoSpaceDE w:val="0"/>
        <w:autoSpaceDN w:val="0"/>
        <w:adjustRightInd w:val="0"/>
        <w:snapToGrid w:val="0"/>
        <w:spacing w:line="360" w:lineRule="auto"/>
        <w:ind w:firstLine="426" w:firstLineChars="203"/>
        <w:rPr>
          <w:rFonts w:hint="eastAsia" w:ascii="宋体" w:hAnsi="宋体" w:eastAsia="宋体" w:cs="宋体"/>
          <w:szCs w:val="21"/>
        </w:rPr>
      </w:pPr>
      <w:r>
        <w:rPr>
          <w:rFonts w:hint="eastAsia" w:ascii="宋体" w:hAnsi="宋体" w:eastAsia="宋体" w:cs="宋体"/>
          <w:szCs w:val="21"/>
        </w:rPr>
        <w:t>8.2.2 其他文件及资料，见</w:t>
      </w:r>
      <w:r>
        <w:rPr>
          <w:rFonts w:hint="eastAsia" w:ascii="宋体" w:hAnsi="宋体" w:eastAsia="宋体" w:cs="宋体"/>
          <w:b/>
          <w:szCs w:val="21"/>
        </w:rPr>
        <w:t>投标人须知前附表。</w:t>
      </w:r>
    </w:p>
    <w:p>
      <w:pPr>
        <w:overflowPunct w:val="0"/>
        <w:autoSpaceDE w:val="0"/>
        <w:autoSpaceDN w:val="0"/>
        <w:adjustRightInd w:val="0"/>
        <w:snapToGrid w:val="0"/>
        <w:spacing w:line="360" w:lineRule="auto"/>
        <w:ind w:firstLine="426" w:firstLineChars="203"/>
        <w:rPr>
          <w:rFonts w:hint="eastAsia" w:ascii="宋体" w:hAnsi="宋体" w:eastAsia="宋体" w:cs="宋体"/>
          <w:szCs w:val="21"/>
        </w:rPr>
      </w:pPr>
      <w:r>
        <w:rPr>
          <w:rFonts w:hint="eastAsia" w:ascii="宋体" w:hAnsi="宋体" w:eastAsia="宋体" w:cs="宋体"/>
          <w:szCs w:val="21"/>
        </w:rPr>
        <w:t>8.3 投标文件</w:t>
      </w:r>
      <w:r>
        <w:rPr>
          <w:rFonts w:hint="eastAsia" w:ascii="宋体" w:hAnsi="宋体" w:eastAsia="宋体" w:cs="宋体"/>
          <w:b/>
          <w:bCs/>
          <w:szCs w:val="21"/>
        </w:rPr>
        <w:t>技术部分</w:t>
      </w:r>
      <w:r>
        <w:rPr>
          <w:rFonts w:hint="eastAsia" w:ascii="宋体" w:hAnsi="宋体" w:eastAsia="宋体" w:cs="宋体"/>
          <w:szCs w:val="21"/>
        </w:rPr>
        <w:t>主要包括的文件及资料，见</w:t>
      </w:r>
      <w:r>
        <w:rPr>
          <w:rFonts w:hint="eastAsia" w:ascii="宋体" w:hAnsi="宋体" w:eastAsia="宋体" w:cs="宋体"/>
          <w:b/>
          <w:szCs w:val="21"/>
        </w:rPr>
        <w:t>投标人须知前附表。</w:t>
      </w:r>
    </w:p>
    <w:p>
      <w:pPr>
        <w:overflowPunct w:val="0"/>
        <w:autoSpaceDE w:val="0"/>
        <w:autoSpaceDN w:val="0"/>
        <w:adjustRightInd w:val="0"/>
        <w:snapToGrid w:val="0"/>
        <w:spacing w:line="360" w:lineRule="auto"/>
        <w:ind w:firstLine="426" w:firstLineChars="203"/>
        <w:outlineLvl w:val="9"/>
        <w:rPr>
          <w:rFonts w:hint="eastAsia" w:ascii="宋体" w:hAnsi="宋体" w:eastAsia="宋体" w:cs="宋体"/>
          <w:szCs w:val="21"/>
        </w:rPr>
      </w:pPr>
      <w:r>
        <w:rPr>
          <w:rFonts w:hint="eastAsia" w:ascii="宋体" w:hAnsi="宋体" w:eastAsia="宋体" w:cs="宋体"/>
          <w:szCs w:val="21"/>
        </w:rPr>
        <w:t>8.4 证明资料如标明有效期的，必须在有效期内。</w:t>
      </w:r>
    </w:p>
    <w:p>
      <w:pPr>
        <w:topLinePunct/>
        <w:autoSpaceDE w:val="0"/>
        <w:autoSpaceDN w:val="0"/>
        <w:adjustRightInd w:val="0"/>
        <w:snapToGrid w:val="0"/>
        <w:spacing w:line="360" w:lineRule="auto"/>
        <w:ind w:firstLine="421" w:firstLineChars="200"/>
        <w:outlineLvl w:val="2"/>
        <w:rPr>
          <w:rFonts w:hint="eastAsia" w:ascii="宋体" w:hAnsi="宋体" w:eastAsia="宋体" w:cs="宋体"/>
          <w:b/>
          <w:szCs w:val="21"/>
        </w:rPr>
      </w:pPr>
      <w:bookmarkStart w:id="21" w:name="_Toc6909"/>
      <w:r>
        <w:rPr>
          <w:rFonts w:hint="eastAsia" w:ascii="宋体" w:hAnsi="宋体" w:eastAsia="宋体" w:cs="宋体"/>
          <w:b/>
          <w:szCs w:val="21"/>
        </w:rPr>
        <w:t>9.报价要求</w:t>
      </w:r>
      <w:bookmarkEnd w:id="21"/>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9.1 除招标文件另有规定外，投标应以人民币报价，线上采购项目还须按照投标工具的流程和提示编制并上传投标报价表。</w:t>
      </w:r>
    </w:p>
    <w:p>
      <w:pPr>
        <w:topLinePunct/>
        <w:autoSpaceDE w:val="0"/>
        <w:autoSpaceDN w:val="0"/>
        <w:adjustRightInd w:val="0"/>
        <w:snapToGrid w:val="0"/>
        <w:spacing w:line="360" w:lineRule="auto"/>
        <w:ind w:firstLine="420" w:firstLineChars="200"/>
        <w:outlineLvl w:val="9"/>
        <w:rPr>
          <w:rFonts w:hint="eastAsia" w:ascii="宋体" w:hAnsi="宋体" w:eastAsia="宋体" w:cs="宋体"/>
          <w:szCs w:val="21"/>
        </w:rPr>
      </w:pPr>
      <w:r>
        <w:rPr>
          <w:rFonts w:hint="eastAsia" w:ascii="宋体" w:hAnsi="宋体" w:eastAsia="宋体" w:cs="宋体"/>
          <w:szCs w:val="21"/>
        </w:rPr>
        <w:t>9.2 本项目不接受任何形式的赠送、“零”报价和折扣报价。</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9.3 本项目以投标报价为依据计算价格分。投标报价应包括招标文件中要求投标人承担所有工作内容的全部费用。</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opLinePunct/>
        <w:autoSpaceDE w:val="0"/>
        <w:autoSpaceDN w:val="0"/>
        <w:adjustRightInd w:val="0"/>
        <w:snapToGrid w:val="0"/>
        <w:spacing w:line="360" w:lineRule="auto"/>
        <w:ind w:firstLine="420" w:firstLineChars="200"/>
        <w:outlineLvl w:val="9"/>
        <w:rPr>
          <w:rFonts w:hint="eastAsia" w:ascii="宋体" w:hAnsi="宋体" w:eastAsia="宋体" w:cs="宋体"/>
          <w:szCs w:val="21"/>
        </w:rPr>
      </w:pPr>
      <w:r>
        <w:rPr>
          <w:rFonts w:hint="eastAsia" w:ascii="宋体" w:hAnsi="宋体" w:eastAsia="宋体" w:cs="宋体"/>
          <w:szCs w:val="21"/>
        </w:rPr>
        <w:t>9.5 最低报价不能作为中标的保证。</w:t>
      </w:r>
    </w:p>
    <w:p>
      <w:pPr>
        <w:topLinePunct/>
        <w:autoSpaceDE w:val="0"/>
        <w:autoSpaceDN w:val="0"/>
        <w:adjustRightInd w:val="0"/>
        <w:snapToGrid w:val="0"/>
        <w:spacing w:line="360" w:lineRule="auto"/>
        <w:ind w:firstLine="421" w:firstLineChars="200"/>
        <w:outlineLvl w:val="2"/>
        <w:rPr>
          <w:rFonts w:hint="eastAsia" w:ascii="宋体" w:hAnsi="宋体" w:eastAsia="宋体" w:cs="宋体"/>
          <w:b/>
          <w:szCs w:val="21"/>
        </w:rPr>
      </w:pPr>
      <w:bookmarkStart w:id="22" w:name="_Toc8595"/>
      <w:r>
        <w:rPr>
          <w:rFonts w:hint="eastAsia" w:ascii="宋体" w:hAnsi="宋体" w:eastAsia="宋体" w:cs="宋体"/>
          <w:b/>
          <w:szCs w:val="21"/>
        </w:rPr>
        <w:t>10.投标文件的书写、密封、签署、盖章</w:t>
      </w:r>
      <w:bookmarkEnd w:id="22"/>
    </w:p>
    <w:p>
      <w:pPr>
        <w:pStyle w:val="43"/>
        <w:widowControl w:val="0"/>
        <w:spacing w:line="360" w:lineRule="auto"/>
        <w:ind w:firstLine="420" w:firstLineChars="200"/>
        <w:jc w:val="both"/>
        <w:outlineLvl w:val="9"/>
        <w:rPr>
          <w:rFonts w:hint="eastAsia" w:ascii="宋体" w:hAnsi="宋体" w:eastAsia="宋体" w:cs="宋体"/>
          <w:sz w:val="21"/>
          <w:szCs w:val="21"/>
        </w:rPr>
      </w:pPr>
      <w:r>
        <w:rPr>
          <w:rFonts w:hint="eastAsia" w:ascii="宋体" w:hAnsi="宋体" w:eastAsia="宋体" w:cs="宋体"/>
          <w:sz w:val="21"/>
          <w:szCs w:val="21"/>
        </w:rPr>
        <w:t>10.1书写</w:t>
      </w:r>
    </w:p>
    <w:p>
      <w:pPr>
        <w:pStyle w:val="43"/>
        <w:widowControl w:val="0"/>
        <w:spacing w:line="360" w:lineRule="auto"/>
        <w:ind w:firstLine="420" w:firstLineChars="200"/>
        <w:jc w:val="both"/>
        <w:outlineLvl w:val="9"/>
        <w:rPr>
          <w:rFonts w:hint="eastAsia" w:ascii="宋体" w:hAnsi="宋体" w:eastAsia="宋体" w:cs="宋体"/>
          <w:sz w:val="21"/>
          <w:szCs w:val="21"/>
        </w:rPr>
      </w:pPr>
      <w:r>
        <w:rPr>
          <w:rFonts w:hint="eastAsia" w:ascii="宋体" w:hAnsi="宋体" w:eastAsia="宋体" w:cs="宋体"/>
          <w:sz w:val="21"/>
          <w:szCs w:val="21"/>
        </w:rPr>
        <w:t>10.1.1投标文件应使用不能擦去的墨料或墨水打印、书写。</w:t>
      </w:r>
    </w:p>
    <w:p>
      <w:pPr>
        <w:pStyle w:val="43"/>
        <w:widowControl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10.1.2投标文件内容应没有涂改或行间插字。若有前述改动，在改动处应由单位负责人（投标人代表）签字确认或加盖投标人的单位公章或校正章。</w:t>
      </w:r>
    </w:p>
    <w:p>
      <w:pPr>
        <w:pStyle w:val="43"/>
        <w:widowControl w:val="0"/>
        <w:spacing w:line="360" w:lineRule="auto"/>
        <w:ind w:firstLine="420" w:firstLineChars="200"/>
        <w:jc w:val="both"/>
        <w:outlineLvl w:val="9"/>
        <w:rPr>
          <w:rFonts w:hint="eastAsia" w:ascii="宋体" w:hAnsi="宋体" w:eastAsia="宋体" w:cs="宋体"/>
          <w:sz w:val="21"/>
          <w:szCs w:val="21"/>
        </w:rPr>
      </w:pPr>
      <w:r>
        <w:rPr>
          <w:rFonts w:hint="eastAsia" w:ascii="宋体" w:hAnsi="宋体" w:eastAsia="宋体" w:cs="宋体"/>
          <w:sz w:val="21"/>
          <w:szCs w:val="21"/>
        </w:rPr>
        <w:t>10.2密封</w:t>
      </w:r>
    </w:p>
    <w:p>
      <w:pPr>
        <w:pStyle w:val="43"/>
        <w:widowControl w:val="0"/>
        <w:spacing w:line="360" w:lineRule="auto"/>
        <w:ind w:firstLine="420" w:firstLineChars="200"/>
        <w:jc w:val="both"/>
        <w:outlineLvl w:val="9"/>
        <w:rPr>
          <w:rFonts w:hint="eastAsia" w:ascii="宋体" w:hAnsi="宋体" w:eastAsia="宋体" w:cs="宋体"/>
          <w:sz w:val="21"/>
          <w:szCs w:val="21"/>
        </w:rPr>
      </w:pPr>
      <w:r>
        <w:rPr>
          <w:rFonts w:hint="eastAsia" w:ascii="宋体" w:hAnsi="宋体" w:eastAsia="宋体" w:cs="宋体"/>
          <w:sz w:val="21"/>
          <w:szCs w:val="21"/>
        </w:rPr>
        <w:t>10.2.1投标文件应胶装或装订成册，避免材料散装、脱落。</w:t>
      </w:r>
    </w:p>
    <w:p>
      <w:pPr>
        <w:pStyle w:val="43"/>
        <w:widowControl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10.2.2投标文件应使用不透明的牛皮纸或档案袋等材料密封包装，并在外包装封面注明“正本”或“副本”，以及项目编号、项目名称、开标时间等信息，避免投标文件被误拆或提前拆封。投标文件正本应按上述要求制作。副本可按上述要求制作，也可用正本的完整复印件，并与正本保持一致（若不一致，以正本为准）</w:t>
      </w:r>
    </w:p>
    <w:p>
      <w:pPr>
        <w:pStyle w:val="43"/>
        <w:widowControl w:val="0"/>
        <w:spacing w:line="360" w:lineRule="auto"/>
        <w:ind w:firstLine="420" w:firstLineChars="200"/>
        <w:jc w:val="both"/>
        <w:outlineLvl w:val="9"/>
        <w:rPr>
          <w:rFonts w:hint="eastAsia" w:ascii="宋体" w:hAnsi="宋体" w:eastAsia="宋体" w:cs="宋体"/>
          <w:sz w:val="21"/>
          <w:szCs w:val="21"/>
        </w:rPr>
      </w:pPr>
      <w:r>
        <w:rPr>
          <w:rFonts w:hint="eastAsia" w:ascii="宋体" w:hAnsi="宋体" w:eastAsia="宋体" w:cs="宋体"/>
          <w:sz w:val="21"/>
          <w:szCs w:val="21"/>
        </w:rPr>
        <w:t>10.3签署、盖章</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10.3.1投标文件中要求签字处应由投标人的单位负责人（投标人代表）签字或加盖个人印章。</w:t>
      </w:r>
    </w:p>
    <w:p>
      <w:pPr>
        <w:pStyle w:val="43"/>
        <w:widowControl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10.3.2投标文件必须按照招标文件给出文件格式的签署要求进行签署。</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10.3.3投标人在</w:t>
      </w:r>
      <w:r>
        <w:rPr>
          <w:rFonts w:hint="eastAsia" w:ascii="宋体" w:hAnsi="宋体" w:eastAsia="宋体" w:cs="宋体"/>
          <w:b/>
          <w:bCs/>
          <w:szCs w:val="21"/>
        </w:rPr>
        <w:t>“投标函”“法定代表人授权委托书”</w:t>
      </w:r>
      <w:r>
        <w:rPr>
          <w:rFonts w:hint="eastAsia" w:ascii="宋体" w:hAnsi="宋体" w:eastAsia="宋体" w:cs="宋体"/>
          <w:szCs w:val="21"/>
        </w:rPr>
        <w:t>上应当按格式要求加盖与投标人名称全称一致的标准公章，并按照招标文件第五章投标文件格式中的相应格式文件要求签署全名或加盖名章。</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10.3.4投标文件中的“盖章”指加盖投标人的“公章”，而非“合同专用章”、“投标专用章”等其他非公章。</w:t>
      </w:r>
    </w:p>
    <w:p>
      <w:pPr>
        <w:topLinePunct/>
        <w:autoSpaceDE w:val="0"/>
        <w:autoSpaceDN w:val="0"/>
        <w:adjustRightInd w:val="0"/>
        <w:snapToGrid w:val="0"/>
        <w:spacing w:line="360" w:lineRule="auto"/>
        <w:ind w:firstLine="420" w:firstLineChars="200"/>
        <w:outlineLvl w:val="9"/>
        <w:rPr>
          <w:rFonts w:hint="eastAsia" w:ascii="宋体" w:hAnsi="宋体" w:eastAsia="宋体" w:cs="宋体"/>
          <w:szCs w:val="21"/>
        </w:rPr>
      </w:pPr>
      <w:r>
        <w:rPr>
          <w:rFonts w:hint="eastAsia" w:ascii="宋体" w:hAnsi="宋体" w:eastAsia="宋体" w:cs="宋体"/>
          <w:szCs w:val="21"/>
        </w:rPr>
        <w:t>10.3.5线上采购项目可以使用电子签章。</w:t>
      </w:r>
    </w:p>
    <w:p>
      <w:pPr>
        <w:topLinePunct/>
        <w:autoSpaceDE w:val="0"/>
        <w:autoSpaceDN w:val="0"/>
        <w:adjustRightInd w:val="0"/>
        <w:snapToGrid w:val="0"/>
        <w:spacing w:line="360" w:lineRule="auto"/>
        <w:ind w:firstLine="421" w:firstLineChars="200"/>
        <w:outlineLvl w:val="2"/>
        <w:rPr>
          <w:rFonts w:hint="eastAsia" w:ascii="宋体" w:hAnsi="宋体" w:eastAsia="宋体" w:cs="宋体"/>
          <w:b/>
          <w:szCs w:val="21"/>
        </w:rPr>
      </w:pPr>
      <w:bookmarkStart w:id="23" w:name="_Toc8657"/>
      <w:r>
        <w:rPr>
          <w:rFonts w:hint="eastAsia" w:ascii="宋体" w:hAnsi="宋体" w:eastAsia="宋体" w:cs="宋体"/>
          <w:b/>
          <w:szCs w:val="21"/>
        </w:rPr>
        <w:t>11</w:t>
      </w:r>
      <w:r>
        <w:rPr>
          <w:rFonts w:hint="eastAsia" w:ascii="宋体" w:hAnsi="宋体" w:eastAsia="宋体" w:cs="宋体"/>
          <w:szCs w:val="21"/>
        </w:rPr>
        <w:t>．</w:t>
      </w:r>
      <w:r>
        <w:rPr>
          <w:rFonts w:hint="eastAsia" w:ascii="宋体" w:hAnsi="宋体" w:eastAsia="宋体" w:cs="宋体"/>
          <w:b/>
          <w:szCs w:val="21"/>
        </w:rPr>
        <w:t>投标有效期</w:t>
      </w:r>
      <w:bookmarkEnd w:id="23"/>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11.1 投标有效期见</w:t>
      </w:r>
      <w:r>
        <w:rPr>
          <w:rFonts w:hint="eastAsia" w:ascii="宋体" w:hAnsi="宋体" w:eastAsia="宋体" w:cs="宋体"/>
          <w:b/>
          <w:szCs w:val="21"/>
        </w:rPr>
        <w:t>投标人须知前附表</w:t>
      </w:r>
      <w:r>
        <w:rPr>
          <w:rFonts w:hint="eastAsia" w:ascii="宋体" w:hAnsi="宋体" w:eastAsia="宋体" w:cs="宋体"/>
          <w:szCs w:val="21"/>
        </w:rPr>
        <w:t>，在此期间，投标文件对投标人具有法律约束力，以保证采购人或者采购代理机构有足够的时间完成评标、定标以及签订合同。投标文件中承诺的投标有效期应当不少于招标文件中载明的投标有效期，否则作为无效投标处理。</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11.2 特殊情况下，在原投标有效期期满之前，采购人或者采购代理机构可征得投标人同意延长投标有效期。</w:t>
      </w:r>
    </w:p>
    <w:p>
      <w:pPr>
        <w:spacing w:line="360" w:lineRule="auto"/>
        <w:ind w:firstLine="420" w:firstLineChars="200"/>
        <w:outlineLvl w:val="1"/>
        <w:rPr>
          <w:rFonts w:hint="eastAsia" w:ascii="宋体" w:hAnsi="宋体" w:eastAsia="宋体" w:cs="宋体"/>
        </w:rPr>
      </w:pPr>
      <w:bookmarkStart w:id="24" w:name="_Toc21191"/>
      <w:r>
        <w:rPr>
          <w:rFonts w:hint="eastAsia" w:ascii="宋体" w:hAnsi="宋体" w:eastAsia="宋体" w:cs="宋体"/>
        </w:rPr>
        <w:t>四、投标文件递交</w:t>
      </w:r>
      <w:bookmarkEnd w:id="24"/>
    </w:p>
    <w:p>
      <w:pPr>
        <w:topLinePunct/>
        <w:autoSpaceDE w:val="0"/>
        <w:autoSpaceDN w:val="0"/>
        <w:adjustRightInd w:val="0"/>
        <w:snapToGrid w:val="0"/>
        <w:spacing w:line="360" w:lineRule="auto"/>
        <w:ind w:firstLine="421" w:firstLineChars="200"/>
        <w:outlineLvl w:val="2"/>
        <w:rPr>
          <w:rFonts w:hint="eastAsia" w:ascii="宋体" w:hAnsi="宋体" w:eastAsia="宋体" w:cs="宋体"/>
          <w:b/>
          <w:szCs w:val="21"/>
        </w:rPr>
      </w:pPr>
      <w:bookmarkStart w:id="25" w:name="_Toc8643"/>
      <w:r>
        <w:rPr>
          <w:rFonts w:hint="eastAsia" w:ascii="宋体" w:hAnsi="宋体" w:eastAsia="宋体" w:cs="宋体"/>
          <w:b/>
          <w:szCs w:val="21"/>
        </w:rPr>
        <w:t>12</w:t>
      </w:r>
      <w:r>
        <w:rPr>
          <w:rFonts w:hint="eastAsia" w:ascii="宋体" w:hAnsi="宋体" w:eastAsia="宋体" w:cs="宋体"/>
          <w:szCs w:val="21"/>
        </w:rPr>
        <w:t>．</w:t>
      </w:r>
      <w:r>
        <w:rPr>
          <w:rFonts w:hint="eastAsia" w:ascii="宋体" w:hAnsi="宋体" w:eastAsia="宋体" w:cs="宋体"/>
          <w:b/>
          <w:szCs w:val="21"/>
        </w:rPr>
        <w:t>投标文件递交</w:t>
      </w:r>
      <w:bookmarkEnd w:id="25"/>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12.1 投标人应当在</w:t>
      </w:r>
      <w:r>
        <w:rPr>
          <w:rFonts w:hint="eastAsia" w:ascii="宋体" w:hAnsi="宋体" w:eastAsia="宋体" w:cs="宋体"/>
          <w:b/>
          <w:szCs w:val="21"/>
        </w:rPr>
        <w:t>投标人须知前附表</w:t>
      </w:r>
      <w:r>
        <w:rPr>
          <w:rFonts w:hint="eastAsia" w:ascii="宋体" w:hAnsi="宋体" w:eastAsia="宋体" w:cs="宋体"/>
          <w:szCs w:val="21"/>
        </w:rPr>
        <w:t>要求提交投标文件截止时间前，根据《投标人须知前附表》载明方式提交投标文件。提交投标文件截止时间后，递交投标文件的投标将被拒绝。</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12.2 线上采购项目应登录评审管理系统并使用投标工具加密上传投标文件。除上述方式之外，不接受投标人以纸质文件以及其他任何方式提交的投标文件。投标人应充分考虑网络传输时间等因素，合理安排上传时间。提交投标文件截止时间后，评审管理系统不提供投标文件上传功能。投标人未完成投标文件上传的，投标将被拒绝。</w:t>
      </w:r>
    </w:p>
    <w:p>
      <w:pPr>
        <w:topLinePunct/>
        <w:autoSpaceDE w:val="0"/>
        <w:autoSpaceDN w:val="0"/>
        <w:adjustRightInd w:val="0"/>
        <w:snapToGrid w:val="0"/>
        <w:spacing w:line="360" w:lineRule="auto"/>
        <w:ind w:firstLine="421" w:firstLineChars="200"/>
        <w:outlineLvl w:val="2"/>
        <w:rPr>
          <w:rFonts w:hint="eastAsia" w:ascii="宋体" w:hAnsi="宋体" w:eastAsia="宋体" w:cs="宋体"/>
          <w:b/>
          <w:szCs w:val="21"/>
        </w:rPr>
      </w:pPr>
      <w:bookmarkStart w:id="26" w:name="_Toc27241"/>
      <w:r>
        <w:rPr>
          <w:rFonts w:hint="eastAsia" w:ascii="宋体" w:hAnsi="宋体" w:eastAsia="宋体" w:cs="宋体"/>
          <w:b/>
          <w:szCs w:val="21"/>
        </w:rPr>
        <w:t>13</w:t>
      </w:r>
      <w:r>
        <w:rPr>
          <w:rFonts w:hint="eastAsia" w:ascii="宋体" w:hAnsi="宋体" w:eastAsia="宋体" w:cs="宋体"/>
          <w:szCs w:val="21"/>
        </w:rPr>
        <w:t>．</w:t>
      </w:r>
      <w:r>
        <w:rPr>
          <w:rFonts w:hint="eastAsia" w:ascii="宋体" w:hAnsi="宋体" w:eastAsia="宋体" w:cs="宋体"/>
          <w:b/>
          <w:szCs w:val="21"/>
        </w:rPr>
        <w:t>投标文件补充、修改或撤回</w:t>
      </w:r>
      <w:bookmarkEnd w:id="26"/>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13.1 投标人在投标截止时间前，可以对所递交的投标文件进行补充、修改或者撤回，并书面通知采购人或者采购代理机构。补充、修改的内容应当按照招标文件要求签署、盖章、密封后，作为投标文件的组成部分。</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13.2 线上采购项目，投标人在投标截止时间前，可以登录评审管理系统对所提交的投标文件进行撤回、补充、修改、重新提交。补充、修改的内容应当按照招标文件要求签署、盖章。</w:t>
      </w:r>
    </w:p>
    <w:p>
      <w:pPr>
        <w:widowControl/>
        <w:topLinePunct/>
        <w:autoSpaceDE w:val="0"/>
        <w:autoSpaceDN w:val="0"/>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13.3 提交投标文件截止时间后，不支持对已提交的投标文件作任何补充、修改或者撤回。</w:t>
      </w:r>
    </w:p>
    <w:p>
      <w:pPr>
        <w:spacing w:line="360" w:lineRule="auto"/>
        <w:ind w:firstLine="420" w:firstLineChars="200"/>
        <w:outlineLvl w:val="1"/>
        <w:rPr>
          <w:rFonts w:hint="eastAsia" w:ascii="宋体" w:hAnsi="宋体" w:eastAsia="宋体" w:cs="宋体"/>
        </w:rPr>
      </w:pPr>
      <w:bookmarkStart w:id="27" w:name="_Toc7707"/>
      <w:r>
        <w:rPr>
          <w:rFonts w:hint="eastAsia" w:ascii="宋体" w:hAnsi="宋体" w:eastAsia="宋体" w:cs="宋体"/>
        </w:rPr>
        <w:t>五、开标与评标</w:t>
      </w:r>
      <w:bookmarkEnd w:id="27"/>
    </w:p>
    <w:p>
      <w:pPr>
        <w:topLinePunct/>
        <w:autoSpaceDE w:val="0"/>
        <w:autoSpaceDN w:val="0"/>
        <w:adjustRightInd w:val="0"/>
        <w:snapToGrid w:val="0"/>
        <w:spacing w:line="360" w:lineRule="auto"/>
        <w:ind w:firstLine="421" w:firstLineChars="200"/>
        <w:outlineLvl w:val="2"/>
        <w:rPr>
          <w:rFonts w:hint="eastAsia" w:ascii="宋体" w:hAnsi="宋体" w:eastAsia="宋体" w:cs="宋体"/>
          <w:szCs w:val="21"/>
        </w:rPr>
      </w:pPr>
      <w:bookmarkStart w:id="28" w:name="_Toc3781"/>
      <w:r>
        <w:rPr>
          <w:rFonts w:hint="eastAsia" w:ascii="宋体" w:hAnsi="宋体" w:eastAsia="宋体" w:cs="宋体"/>
          <w:b/>
          <w:szCs w:val="21"/>
        </w:rPr>
        <w:t>14</w:t>
      </w:r>
      <w:r>
        <w:rPr>
          <w:rFonts w:hint="eastAsia" w:ascii="宋体" w:hAnsi="宋体" w:eastAsia="宋体" w:cs="宋体"/>
          <w:szCs w:val="21"/>
        </w:rPr>
        <w:t>．</w:t>
      </w:r>
      <w:r>
        <w:rPr>
          <w:rFonts w:hint="eastAsia" w:ascii="宋体" w:hAnsi="宋体" w:eastAsia="宋体" w:cs="宋体"/>
          <w:b/>
          <w:szCs w:val="21"/>
        </w:rPr>
        <w:t>开标</w:t>
      </w:r>
      <w:bookmarkEnd w:id="28"/>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14.1 开标在招标文件确定的提交投标文件截止时间的同一时间进行。开标地点详见</w:t>
      </w:r>
      <w:r>
        <w:rPr>
          <w:rFonts w:hint="eastAsia" w:ascii="宋体" w:hAnsi="宋体" w:eastAsia="宋体" w:cs="宋体"/>
          <w:b/>
          <w:szCs w:val="21"/>
        </w:rPr>
        <w:t>投标人须知前附表</w:t>
      </w:r>
      <w:r>
        <w:rPr>
          <w:rFonts w:hint="eastAsia" w:ascii="宋体" w:hAnsi="宋体" w:eastAsia="宋体" w:cs="宋体"/>
          <w:szCs w:val="21"/>
        </w:rPr>
        <w:t>。</w:t>
      </w:r>
    </w:p>
    <w:p>
      <w:pPr>
        <w:pStyle w:val="43"/>
        <w:widowControl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14.2 开标由采购人或者采购代理机构主持，邀请投标人参加。评标委员会成员不得参加开标活动。</w:t>
      </w:r>
    </w:p>
    <w:p>
      <w:pPr>
        <w:pStyle w:val="43"/>
        <w:widowControl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14.3 开标时，由投标人或者其推选的代表检查投标文件的密封情况；经确认无误后，由采购人或者采购代理机构工作人员当众拆封，宣布投标人名称、投标价格和招标文件规定的需要宣布的其他内容。</w:t>
      </w:r>
    </w:p>
    <w:p>
      <w:pPr>
        <w:pStyle w:val="43"/>
        <w:widowControl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14.4 开标过程由采购人或者采购代理机构负责记录，由参加开标的各投标人代表和相关工作人员签字确认后随采购文件一并存档。投标人未参加开标的，视同认可开标结果。</w:t>
      </w:r>
    </w:p>
    <w:p>
      <w:pPr>
        <w:pStyle w:val="43"/>
        <w:widowControl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14.5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3"/>
        <w:widowControl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14.6 在政府采购活动中，采购人员及相关人员与投标人有下列利害关系之一的，应当回避：</w:t>
      </w:r>
    </w:p>
    <w:p>
      <w:pPr>
        <w:pStyle w:val="43"/>
        <w:widowControl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（1）参加采购活动前3年内与投标人存在劳动关系；</w:t>
      </w:r>
    </w:p>
    <w:p>
      <w:pPr>
        <w:pStyle w:val="43"/>
        <w:widowControl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（2）参加采购活动前3年内担任投标人的董事、监事；</w:t>
      </w:r>
    </w:p>
    <w:p>
      <w:pPr>
        <w:pStyle w:val="43"/>
        <w:widowControl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（3）参加采购活动前3年内是投标人的控股股东或者实际控制人；</w:t>
      </w:r>
    </w:p>
    <w:p>
      <w:pPr>
        <w:pStyle w:val="43"/>
        <w:widowControl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（4）与投标人的法定代表人或者负责人有夫妻、直系血亲、三代以内旁系血亲或者近姻亲关系；</w:t>
      </w:r>
    </w:p>
    <w:p>
      <w:pPr>
        <w:pStyle w:val="43"/>
        <w:widowControl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（5）与投标人有其他可能影响政府采购活动公平、公正进行的关系。</w:t>
      </w:r>
    </w:p>
    <w:p>
      <w:pPr>
        <w:pStyle w:val="43"/>
        <w:widowControl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认为采购人员及相关人员（包括评标委员会的组成人员）与其他投标人有利害关系的，可以向采购人或者采购代理机构书面提出回避申请，并说明理由。采购人或者采购代理机构应当及时询问被申请回避人员，有利害关系的被申请回避人员应当回避。</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14.7 对线上采购项目，采购人或者采购代理机构将在</w:t>
      </w:r>
      <w:r>
        <w:rPr>
          <w:rFonts w:hint="eastAsia" w:ascii="宋体" w:hAnsi="宋体" w:eastAsia="宋体" w:cs="宋体"/>
          <w:b/>
          <w:szCs w:val="21"/>
        </w:rPr>
        <w:t>投标人须知前附表</w:t>
      </w:r>
      <w:r>
        <w:rPr>
          <w:rFonts w:hint="eastAsia" w:ascii="宋体" w:hAnsi="宋体" w:eastAsia="宋体" w:cs="宋体"/>
          <w:szCs w:val="21"/>
        </w:rPr>
        <w:t>规定的时间进行电子开标，采购人或者采购代理机构将对开标、评标现场活动进行全程录音录像，音像资料作为采购文件一并存档。开标由采购人或者采购代理机构主持，投标人通过登录评审管理系统进入开标大厅远程参加。</w:t>
      </w:r>
    </w:p>
    <w:p>
      <w:pPr>
        <w:topLinePunct/>
        <w:autoSpaceDE w:val="0"/>
        <w:autoSpaceDN w:val="0"/>
        <w:adjustRightInd w:val="0"/>
        <w:snapToGrid w:val="0"/>
        <w:spacing w:line="360" w:lineRule="auto"/>
        <w:ind w:firstLine="421" w:firstLineChars="200"/>
        <w:outlineLvl w:val="2"/>
        <w:rPr>
          <w:rFonts w:hint="eastAsia" w:ascii="宋体" w:hAnsi="宋体" w:eastAsia="宋体" w:cs="宋体"/>
          <w:b/>
          <w:szCs w:val="21"/>
        </w:rPr>
      </w:pPr>
      <w:bookmarkStart w:id="29" w:name="_Toc15225"/>
      <w:r>
        <w:rPr>
          <w:rFonts w:hint="eastAsia" w:ascii="宋体" w:hAnsi="宋体" w:eastAsia="宋体" w:cs="宋体"/>
          <w:b/>
          <w:szCs w:val="21"/>
        </w:rPr>
        <w:t>15</w:t>
      </w:r>
      <w:r>
        <w:rPr>
          <w:rFonts w:hint="eastAsia" w:ascii="宋体" w:hAnsi="宋体" w:eastAsia="宋体" w:cs="宋体"/>
          <w:szCs w:val="21"/>
        </w:rPr>
        <w:t>．</w:t>
      </w:r>
      <w:r>
        <w:rPr>
          <w:rFonts w:hint="eastAsia" w:ascii="宋体" w:hAnsi="宋体" w:eastAsia="宋体" w:cs="宋体"/>
          <w:b/>
          <w:szCs w:val="21"/>
        </w:rPr>
        <w:t>投标资格审查</w:t>
      </w:r>
      <w:bookmarkEnd w:id="29"/>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15.1 公开招标采购项目开标结束后，由采购人或者采购代理机构依法对投标人的资格进行审查，以确定投标人是否具备投标资格。</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15.1.1 审查投标人按照8.2.1提交的</w:t>
      </w:r>
      <w:r>
        <w:rPr>
          <w:rFonts w:hint="eastAsia" w:ascii="宋体" w:hAnsi="宋体" w:eastAsia="宋体" w:cs="宋体"/>
          <w:b/>
          <w:szCs w:val="21"/>
        </w:rPr>
        <w:t>“资格证明文件”</w:t>
      </w:r>
      <w:r>
        <w:rPr>
          <w:rFonts w:hint="eastAsia" w:ascii="宋体" w:hAnsi="宋体" w:eastAsia="宋体" w:cs="宋体"/>
          <w:szCs w:val="21"/>
        </w:rPr>
        <w:t>。</w:t>
      </w:r>
    </w:p>
    <w:p>
      <w:pPr>
        <w:topLinePunct/>
        <w:autoSpaceDE w:val="0"/>
        <w:autoSpaceDN w:val="0"/>
        <w:adjustRightInd w:val="0"/>
        <w:snapToGrid w:val="0"/>
        <w:spacing w:line="360" w:lineRule="auto"/>
        <w:ind w:firstLine="420" w:firstLineChars="200"/>
        <w:outlineLvl w:val="9"/>
        <w:rPr>
          <w:rFonts w:hint="eastAsia" w:ascii="宋体" w:hAnsi="宋体" w:eastAsia="宋体" w:cs="宋体"/>
          <w:b/>
          <w:bCs/>
          <w:szCs w:val="21"/>
        </w:rPr>
      </w:pPr>
      <w:r>
        <w:rPr>
          <w:rFonts w:hint="eastAsia" w:ascii="宋体" w:hAnsi="宋体" w:eastAsia="宋体" w:cs="宋体"/>
          <w:szCs w:val="21"/>
        </w:rPr>
        <w:t>15.1.2 信用记录审查。</w:t>
      </w:r>
      <w:r>
        <w:rPr>
          <w:rFonts w:hint="eastAsia" w:ascii="宋体" w:hAnsi="宋体" w:eastAsia="宋体" w:cs="宋体"/>
          <w:b/>
          <w:bCs/>
          <w:szCs w:val="21"/>
        </w:rPr>
        <w:t>见投标人须知前附表。</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15.2 未通过资格审查的投标人，其投标无效。</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15.3 合格投标人不足3家的，不得评标。</w:t>
      </w:r>
    </w:p>
    <w:p>
      <w:pPr>
        <w:topLinePunct/>
        <w:autoSpaceDE w:val="0"/>
        <w:autoSpaceDN w:val="0"/>
        <w:adjustRightInd w:val="0"/>
        <w:snapToGrid w:val="0"/>
        <w:spacing w:line="360" w:lineRule="auto"/>
        <w:ind w:firstLine="421" w:firstLineChars="200"/>
        <w:outlineLvl w:val="2"/>
        <w:rPr>
          <w:rFonts w:hint="eastAsia" w:ascii="宋体" w:hAnsi="宋体" w:eastAsia="宋体" w:cs="宋体"/>
          <w:b/>
          <w:szCs w:val="21"/>
        </w:rPr>
      </w:pPr>
      <w:bookmarkStart w:id="30" w:name="_Toc4985"/>
      <w:r>
        <w:rPr>
          <w:rFonts w:hint="eastAsia" w:ascii="宋体" w:hAnsi="宋体" w:eastAsia="宋体" w:cs="宋体"/>
          <w:b/>
          <w:szCs w:val="21"/>
        </w:rPr>
        <w:t>16</w:t>
      </w:r>
      <w:r>
        <w:rPr>
          <w:rFonts w:hint="eastAsia" w:ascii="宋体" w:hAnsi="宋体" w:eastAsia="宋体" w:cs="宋体"/>
          <w:szCs w:val="21"/>
        </w:rPr>
        <w:t>．</w:t>
      </w:r>
      <w:r>
        <w:rPr>
          <w:rFonts w:hint="eastAsia" w:ascii="宋体" w:hAnsi="宋体" w:eastAsia="宋体" w:cs="宋体"/>
          <w:b/>
          <w:szCs w:val="21"/>
        </w:rPr>
        <w:t>评标委员会的组成</w:t>
      </w:r>
      <w:bookmarkEnd w:id="30"/>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16.1 采购人或者采购代理机构根据有关法律法规规定组建评标委员会，评标委员会由采购人代表和评审专家组成。</w:t>
      </w:r>
    </w:p>
    <w:p>
      <w:pPr>
        <w:topLinePunct/>
        <w:autoSpaceDE w:val="0"/>
        <w:autoSpaceDN w:val="0"/>
        <w:adjustRightInd w:val="0"/>
        <w:snapToGrid w:val="0"/>
        <w:spacing w:line="360" w:lineRule="auto"/>
        <w:ind w:firstLine="421" w:firstLineChars="200"/>
        <w:outlineLvl w:val="2"/>
        <w:rPr>
          <w:rFonts w:hint="eastAsia" w:ascii="宋体" w:hAnsi="宋体" w:eastAsia="宋体" w:cs="宋体"/>
          <w:b/>
          <w:szCs w:val="21"/>
        </w:rPr>
      </w:pPr>
      <w:bookmarkStart w:id="31" w:name="_Toc8847"/>
      <w:r>
        <w:rPr>
          <w:rFonts w:hint="eastAsia" w:ascii="宋体" w:hAnsi="宋体" w:eastAsia="宋体" w:cs="宋体"/>
          <w:b/>
          <w:szCs w:val="21"/>
        </w:rPr>
        <w:t>17</w:t>
      </w:r>
      <w:r>
        <w:rPr>
          <w:rFonts w:hint="eastAsia" w:ascii="宋体" w:hAnsi="宋体" w:eastAsia="宋体" w:cs="宋体"/>
          <w:szCs w:val="21"/>
        </w:rPr>
        <w:t>．</w:t>
      </w:r>
      <w:r>
        <w:rPr>
          <w:rFonts w:hint="eastAsia" w:ascii="宋体" w:hAnsi="宋体" w:eastAsia="宋体" w:cs="宋体"/>
          <w:b/>
          <w:szCs w:val="21"/>
        </w:rPr>
        <w:t>投标符合性审查</w:t>
      </w:r>
      <w:bookmarkEnd w:id="31"/>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17.1 评标委员会对符合资格的投标人的投标文件进行符合性审查，以确定其是否符合招标文件的商务、技术等实质性要求。</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17.2 未通过符合性审查的投标人，其投标无效。</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17.3 通过符合性审查的投标人不足3家的，应予以废标。</w:t>
      </w:r>
    </w:p>
    <w:p>
      <w:pPr>
        <w:topLinePunct/>
        <w:autoSpaceDE w:val="0"/>
        <w:autoSpaceDN w:val="0"/>
        <w:adjustRightInd w:val="0"/>
        <w:snapToGrid w:val="0"/>
        <w:spacing w:line="360" w:lineRule="auto"/>
        <w:ind w:firstLine="421" w:firstLineChars="200"/>
        <w:outlineLvl w:val="2"/>
        <w:rPr>
          <w:rFonts w:hint="eastAsia" w:ascii="宋体" w:hAnsi="宋体" w:eastAsia="宋体" w:cs="宋体"/>
          <w:b/>
          <w:szCs w:val="21"/>
        </w:rPr>
      </w:pPr>
      <w:bookmarkStart w:id="32" w:name="_Toc23481"/>
      <w:r>
        <w:rPr>
          <w:rFonts w:hint="eastAsia" w:ascii="宋体" w:hAnsi="宋体" w:eastAsia="宋体" w:cs="宋体"/>
          <w:b/>
          <w:szCs w:val="21"/>
        </w:rPr>
        <w:t>18</w:t>
      </w:r>
      <w:r>
        <w:rPr>
          <w:rFonts w:hint="eastAsia" w:ascii="宋体" w:hAnsi="宋体" w:eastAsia="宋体" w:cs="宋体"/>
          <w:szCs w:val="21"/>
        </w:rPr>
        <w:t>．</w:t>
      </w:r>
      <w:r>
        <w:rPr>
          <w:rFonts w:hint="eastAsia" w:ascii="宋体" w:hAnsi="宋体" w:eastAsia="宋体" w:cs="宋体"/>
          <w:b/>
          <w:szCs w:val="21"/>
        </w:rPr>
        <w:t>投标文件的澄清</w:t>
      </w:r>
      <w:bookmarkEnd w:id="32"/>
    </w:p>
    <w:p>
      <w:pPr>
        <w:pStyle w:val="43"/>
        <w:widowControl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18.1对于投标文件中含义不明确、同类问题表述不一致或者有明显文字和计算错误的内容，评标委员会应当以书面形式要求投标人作出必要的澄清、说明或者补正。</w:t>
      </w:r>
    </w:p>
    <w:p>
      <w:pPr>
        <w:pStyle w:val="43"/>
        <w:widowControl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18.2投标人的澄清、说明或者补正应当采用书面形式，并加盖公章，或者由法定代表人或其授权的代表签字。（线上采购项目的通过评审管理系统上传加盖电子公章的扫描件）。投标人的澄清、说明或者补正不得超出投标文件的范围或者改变投标文件的实质性内容。</w:t>
      </w:r>
    </w:p>
    <w:p>
      <w:pPr>
        <w:pStyle w:val="43"/>
        <w:widowControl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18.3关于投标描述（即投标文件中描述的内容）</w:t>
      </w:r>
    </w:p>
    <w:p>
      <w:pPr>
        <w:pStyle w:val="43"/>
        <w:widowControl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（1）投标描述前后不一致且不涉及证明材料的：按照本节第18.1条规定执行。</w:t>
      </w:r>
    </w:p>
    <w:p>
      <w:pPr>
        <w:pStyle w:val="43"/>
        <w:widowControl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（2）投标描述与证明材料不一致或多份证明材料之间不一致的：</w:t>
      </w:r>
    </w:p>
    <w:p>
      <w:pPr>
        <w:pStyle w:val="43"/>
        <w:widowControl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①评标委员会将要求投标人进行书面澄清，无法澄清的将按照不利于投标人的内容进行评标。</w:t>
      </w:r>
    </w:p>
    <w:p>
      <w:pPr>
        <w:pStyle w:val="43"/>
        <w:widowControl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②投标人按照要求进行澄清的，采购人以澄清内容为准进行验收；投标人未按照要求进行澄清的，采购人以投标描述或证明材料中有利于采购人的内容进行验收。投标人应对证明材料的真实性、有效性承担责任。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43"/>
        <w:widowControl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18.4 除评标委员会要求投标人做出的澄清、说明或者补正以外，评标委员会不接受投标人的任何询问、说明、更改及文件。</w:t>
      </w:r>
    </w:p>
    <w:p>
      <w:pPr>
        <w:topLinePunct/>
        <w:autoSpaceDE w:val="0"/>
        <w:autoSpaceDN w:val="0"/>
        <w:adjustRightInd w:val="0"/>
        <w:snapToGrid w:val="0"/>
        <w:spacing w:line="360" w:lineRule="auto"/>
        <w:ind w:firstLine="420" w:firstLineChars="200"/>
        <w:outlineLvl w:val="9"/>
        <w:rPr>
          <w:rFonts w:hint="eastAsia" w:ascii="宋体" w:hAnsi="宋体" w:eastAsia="宋体" w:cs="宋体"/>
          <w:szCs w:val="21"/>
        </w:rPr>
      </w:pPr>
      <w:r>
        <w:rPr>
          <w:rFonts w:hint="eastAsia" w:ascii="宋体" w:hAnsi="宋体" w:eastAsia="宋体" w:cs="宋体"/>
          <w:szCs w:val="21"/>
        </w:rPr>
        <w:t>18.5 投标人的澄清必须在规定的时间内提交。</w:t>
      </w:r>
    </w:p>
    <w:p>
      <w:pPr>
        <w:topLinePunct/>
        <w:autoSpaceDE w:val="0"/>
        <w:autoSpaceDN w:val="0"/>
        <w:adjustRightInd w:val="0"/>
        <w:snapToGrid w:val="0"/>
        <w:spacing w:line="360" w:lineRule="auto"/>
        <w:ind w:firstLine="421" w:firstLineChars="200"/>
        <w:outlineLvl w:val="2"/>
        <w:rPr>
          <w:rFonts w:hint="eastAsia" w:ascii="宋体" w:hAnsi="宋体" w:eastAsia="宋体" w:cs="宋体"/>
          <w:b/>
          <w:szCs w:val="21"/>
        </w:rPr>
      </w:pPr>
      <w:bookmarkStart w:id="33" w:name="_Toc14826"/>
      <w:r>
        <w:rPr>
          <w:rFonts w:hint="eastAsia" w:ascii="宋体" w:hAnsi="宋体" w:eastAsia="宋体" w:cs="宋体"/>
          <w:b/>
          <w:szCs w:val="21"/>
        </w:rPr>
        <w:t>19</w:t>
      </w:r>
      <w:r>
        <w:rPr>
          <w:rFonts w:hint="eastAsia" w:ascii="宋体" w:hAnsi="宋体" w:eastAsia="宋体" w:cs="宋体"/>
          <w:szCs w:val="21"/>
        </w:rPr>
        <w:t>．</w:t>
      </w:r>
      <w:r>
        <w:rPr>
          <w:rFonts w:hint="eastAsia" w:ascii="宋体" w:hAnsi="宋体" w:eastAsia="宋体" w:cs="宋体"/>
          <w:b/>
          <w:szCs w:val="21"/>
        </w:rPr>
        <w:t>核价原则</w:t>
      </w:r>
      <w:bookmarkEnd w:id="33"/>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bCs/>
          <w:szCs w:val="21"/>
        </w:rPr>
        <w:t xml:space="preserve">19.1 </w:t>
      </w:r>
      <w:r>
        <w:rPr>
          <w:rFonts w:hint="eastAsia" w:ascii="宋体" w:hAnsi="宋体" w:eastAsia="宋体" w:cs="宋体"/>
          <w:szCs w:val="21"/>
        </w:rPr>
        <w:t>投标文件报价出现前后不一致的，除招标文件另有规定外，按照下列规定修正：</w:t>
      </w:r>
    </w:p>
    <w:p>
      <w:pPr>
        <w:overflowPunct w:val="0"/>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（1）投标文件中开标一览表（总报价表）内容与投标文件中相应内容不一致的，以开标一览表（总报价表）为准；</w:t>
      </w:r>
    </w:p>
    <w:p>
      <w:pPr>
        <w:overflowPunct w:val="0"/>
        <w:autoSpaceDE w:val="0"/>
        <w:autoSpaceDN w:val="0"/>
        <w:adjustRightInd w:val="0"/>
        <w:snapToGrid w:val="0"/>
        <w:spacing w:line="360" w:lineRule="auto"/>
        <w:ind w:firstLine="420" w:firstLineChars="200"/>
        <w:outlineLvl w:val="9"/>
        <w:rPr>
          <w:rFonts w:hint="eastAsia" w:ascii="宋体" w:hAnsi="宋体" w:eastAsia="宋体" w:cs="宋体"/>
          <w:szCs w:val="21"/>
        </w:rPr>
      </w:pPr>
      <w:r>
        <w:rPr>
          <w:rFonts w:hint="eastAsia" w:ascii="宋体" w:hAnsi="宋体" w:eastAsia="宋体" w:cs="宋体"/>
          <w:szCs w:val="21"/>
        </w:rPr>
        <w:t>（2）大写金额和小写金额不一致的，以大写金额为准；</w:t>
      </w:r>
    </w:p>
    <w:p>
      <w:pPr>
        <w:overflowPunct w:val="0"/>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（3）单价金额小数点或者百分比有明显错位的，以开标一览表的总价为准，并修改单价；</w:t>
      </w:r>
    </w:p>
    <w:p>
      <w:pPr>
        <w:overflowPunct w:val="0"/>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（4）总价金额与按单价汇总金额不一致的，以单价金额计算结果为准。</w:t>
      </w:r>
    </w:p>
    <w:p>
      <w:pPr>
        <w:overflowPunct w:val="0"/>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（5）同时出现两种以上不一致的，按照前款规定的顺序修正。修正后的报价按照18.2条的规定经投标人确认后产生约束力，投标人不确认的，其投标无效。</w:t>
      </w:r>
    </w:p>
    <w:p>
      <w:pPr>
        <w:topLinePunct/>
        <w:autoSpaceDE w:val="0"/>
        <w:autoSpaceDN w:val="0"/>
        <w:adjustRightInd w:val="0"/>
        <w:snapToGrid w:val="0"/>
        <w:spacing w:line="360" w:lineRule="auto"/>
        <w:ind w:firstLine="421" w:firstLineChars="200"/>
        <w:outlineLvl w:val="2"/>
        <w:rPr>
          <w:rFonts w:hint="eastAsia" w:ascii="宋体" w:hAnsi="宋体" w:eastAsia="宋体" w:cs="宋体"/>
          <w:b/>
          <w:szCs w:val="21"/>
        </w:rPr>
      </w:pPr>
      <w:bookmarkStart w:id="34" w:name="_Toc2935"/>
      <w:r>
        <w:rPr>
          <w:rFonts w:hint="eastAsia" w:ascii="宋体" w:hAnsi="宋体" w:eastAsia="宋体" w:cs="宋体"/>
          <w:b/>
          <w:szCs w:val="21"/>
        </w:rPr>
        <w:t>20</w:t>
      </w:r>
      <w:r>
        <w:rPr>
          <w:rFonts w:hint="eastAsia" w:ascii="宋体" w:hAnsi="宋体" w:eastAsia="宋体" w:cs="宋体"/>
          <w:szCs w:val="21"/>
        </w:rPr>
        <w:t>．</w:t>
      </w:r>
      <w:r>
        <w:rPr>
          <w:rFonts w:hint="eastAsia" w:ascii="宋体" w:hAnsi="宋体" w:eastAsia="宋体" w:cs="宋体"/>
          <w:b/>
          <w:szCs w:val="21"/>
        </w:rPr>
        <w:t>投标无效</w:t>
      </w:r>
      <w:bookmarkEnd w:id="34"/>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20.1 投标人及投标文件有下列情况之一的，应当在资格审查时按照投标无效处理：</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 不具备招标文件中规定的资格要求的；</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 投标文件组成中“资格证明文件”未提供或无效的；</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 未通过信用记录审查或未提供相关证明材料的。</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20.2 投标人及投标文件有下列情况之一的，应当在符合性审查时按照投标无效处理：</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 投标文件组成中除“资格证明文件”外，★条款相关文件及资料未提供或提供无效的；</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 投标文件未按招标文件要求签署、盖章的；</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 投标报价超过招标文件中规定的预算金额或者最高限价的；</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 投标有效期不足的；</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 投标文件含有采购人不能接受的附加条件的；</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20.3 除20.1及20.2情形外，投标人及投标文件有下列情况之一的，应当按照投标无效处理：</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 提供虚假投标文件材料的；</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 投标人串通投标的；</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 投标报价明显低于其他通过符合性审查投标人的报价，且不能证明其报价合理性的。</w:t>
      </w:r>
    </w:p>
    <w:p>
      <w:pPr>
        <w:topLinePunct/>
        <w:autoSpaceDE w:val="0"/>
        <w:autoSpaceDN w:val="0"/>
        <w:adjustRightInd w:val="0"/>
        <w:snapToGrid w:val="0"/>
        <w:spacing w:line="360" w:lineRule="auto"/>
        <w:ind w:firstLine="420" w:firstLineChars="200"/>
        <w:outlineLvl w:val="9"/>
        <w:rPr>
          <w:rFonts w:hint="eastAsia" w:ascii="宋体" w:hAnsi="宋体" w:eastAsia="宋体" w:cs="宋体"/>
          <w:szCs w:val="21"/>
        </w:rPr>
      </w:pPr>
      <w:r>
        <w:rPr>
          <w:rFonts w:hint="eastAsia" w:ascii="宋体" w:hAnsi="宋体" w:eastAsia="宋体" w:cs="宋体"/>
          <w:szCs w:val="21"/>
        </w:rPr>
        <w:t>（4） 法律、法规和招标文件规定的其他无效情形。</w:t>
      </w:r>
    </w:p>
    <w:p>
      <w:pPr>
        <w:topLinePunct/>
        <w:autoSpaceDE w:val="0"/>
        <w:autoSpaceDN w:val="0"/>
        <w:adjustRightInd w:val="0"/>
        <w:snapToGrid w:val="0"/>
        <w:spacing w:line="360" w:lineRule="auto"/>
        <w:ind w:firstLine="421" w:firstLineChars="200"/>
        <w:outlineLvl w:val="2"/>
        <w:rPr>
          <w:rFonts w:hint="eastAsia" w:ascii="宋体" w:hAnsi="宋体" w:eastAsia="宋体" w:cs="宋体"/>
          <w:b/>
          <w:szCs w:val="21"/>
        </w:rPr>
      </w:pPr>
      <w:bookmarkStart w:id="35" w:name="_Toc30436"/>
      <w:r>
        <w:rPr>
          <w:rFonts w:hint="eastAsia" w:ascii="宋体" w:hAnsi="宋体" w:eastAsia="宋体" w:cs="宋体"/>
          <w:b/>
          <w:szCs w:val="21"/>
        </w:rPr>
        <w:t>21</w:t>
      </w:r>
      <w:r>
        <w:rPr>
          <w:rFonts w:hint="eastAsia" w:ascii="宋体" w:hAnsi="宋体" w:eastAsia="宋体" w:cs="宋体"/>
          <w:szCs w:val="21"/>
        </w:rPr>
        <w:t>．</w:t>
      </w:r>
      <w:r>
        <w:rPr>
          <w:rFonts w:hint="eastAsia" w:ascii="宋体" w:hAnsi="宋体" w:eastAsia="宋体" w:cs="宋体"/>
          <w:b/>
          <w:szCs w:val="21"/>
        </w:rPr>
        <w:t>比较与评价</w:t>
      </w:r>
      <w:bookmarkEnd w:id="35"/>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21.1 评标委员会按照招标文件中规定的评标方法和标准，对符合性审查合格的投标文件进行商务和技术评估，综合比较与评价。</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21.2 价格分应当采用低价优先法计算。小型、微型企业和监狱企业、残疾人福利性单位的投标报价按照</w:t>
      </w:r>
      <w:r>
        <w:rPr>
          <w:rFonts w:hint="eastAsia" w:ascii="宋体" w:hAnsi="宋体" w:eastAsia="宋体" w:cs="宋体"/>
          <w:b/>
          <w:szCs w:val="21"/>
        </w:rPr>
        <w:t>投标人须知前附表</w:t>
      </w:r>
      <w:r>
        <w:rPr>
          <w:rFonts w:hint="eastAsia" w:ascii="宋体" w:hAnsi="宋体" w:eastAsia="宋体" w:cs="宋体"/>
          <w:szCs w:val="21"/>
        </w:rPr>
        <w:t>规定，分别给予扣除，并以扣除后的报价计算价格分。未提供《中小型企业声明函》、《监狱企业证明文件》、《残疾人福利性单位声明函》的，价格不予扣除。同一投标人不得重复享受价格扣除政策。</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21.3 评标委员会各成员独立对每个投标人的投标文件进行评价，并汇总得出每个投标人的评审得分。</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21.4 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opLinePunct/>
        <w:autoSpaceDE w:val="0"/>
        <w:autoSpaceDN w:val="0"/>
        <w:adjustRightInd w:val="0"/>
        <w:snapToGrid w:val="0"/>
        <w:spacing w:line="360" w:lineRule="auto"/>
        <w:ind w:firstLine="420" w:firstLineChars="200"/>
        <w:outlineLvl w:val="9"/>
        <w:rPr>
          <w:rFonts w:hint="eastAsia" w:ascii="宋体" w:hAnsi="宋体" w:eastAsia="宋体" w:cs="宋体"/>
          <w:b/>
          <w:szCs w:val="21"/>
        </w:rPr>
      </w:pPr>
      <w:r>
        <w:rPr>
          <w:rFonts w:hint="eastAsia" w:ascii="宋体" w:hAnsi="宋体" w:eastAsia="宋体" w:cs="宋体"/>
          <w:szCs w:val="21"/>
        </w:rPr>
        <w:t>21.5 评标方法及标准</w:t>
      </w:r>
      <w:r>
        <w:rPr>
          <w:rFonts w:hint="eastAsia" w:ascii="宋体" w:hAnsi="宋体" w:eastAsia="宋体" w:cs="宋体"/>
          <w:b/>
          <w:szCs w:val="21"/>
        </w:rPr>
        <w:t>详见招标文件商务部分第三章。</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21.6 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pPr>
        <w:topLinePunct/>
        <w:autoSpaceDE w:val="0"/>
        <w:autoSpaceDN w:val="0"/>
        <w:adjustRightInd w:val="0"/>
        <w:snapToGrid w:val="0"/>
        <w:spacing w:line="360" w:lineRule="auto"/>
        <w:ind w:firstLine="421" w:firstLineChars="200"/>
        <w:outlineLvl w:val="2"/>
        <w:rPr>
          <w:rFonts w:hint="eastAsia" w:ascii="宋体" w:hAnsi="宋体" w:eastAsia="宋体" w:cs="宋体"/>
          <w:b/>
          <w:szCs w:val="21"/>
        </w:rPr>
      </w:pPr>
      <w:bookmarkStart w:id="36" w:name="_Toc26382"/>
      <w:r>
        <w:rPr>
          <w:rFonts w:hint="eastAsia" w:ascii="宋体" w:hAnsi="宋体" w:eastAsia="宋体" w:cs="宋体"/>
          <w:b/>
          <w:szCs w:val="21"/>
        </w:rPr>
        <w:t>22</w:t>
      </w:r>
      <w:r>
        <w:rPr>
          <w:rFonts w:hint="eastAsia" w:ascii="宋体" w:hAnsi="宋体" w:eastAsia="宋体" w:cs="宋体"/>
          <w:szCs w:val="21"/>
        </w:rPr>
        <w:t>．</w:t>
      </w:r>
      <w:r>
        <w:rPr>
          <w:rFonts w:hint="eastAsia" w:ascii="宋体" w:hAnsi="宋体" w:eastAsia="宋体" w:cs="宋体"/>
          <w:b/>
          <w:szCs w:val="21"/>
        </w:rPr>
        <w:t>废标</w:t>
      </w:r>
      <w:bookmarkEnd w:id="36"/>
    </w:p>
    <w:p>
      <w:pPr>
        <w:topLinePunct/>
        <w:autoSpaceDE w:val="0"/>
        <w:autoSpaceDN w:val="0"/>
        <w:adjustRightInd w:val="0"/>
        <w:snapToGrid w:val="0"/>
        <w:spacing w:line="360" w:lineRule="auto"/>
        <w:ind w:firstLine="420" w:firstLineChars="200"/>
        <w:outlineLvl w:val="9"/>
        <w:rPr>
          <w:rFonts w:hint="eastAsia" w:ascii="宋体" w:hAnsi="宋体" w:eastAsia="宋体" w:cs="宋体"/>
          <w:szCs w:val="21"/>
        </w:rPr>
      </w:pPr>
      <w:r>
        <w:rPr>
          <w:rFonts w:hint="eastAsia" w:ascii="宋体" w:hAnsi="宋体" w:eastAsia="宋体" w:cs="宋体"/>
          <w:szCs w:val="21"/>
        </w:rPr>
        <w:t>22.1 在招标采购中，出现下列情形之一的，应予废标：</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（1）符合专业条件的供应商或者对招标文件作实质响应的供应商不足三家的；</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（2）出现影响采购公正的违法、违规行为的；</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（3）投标人的报价均超过了采购预算，采购人不能支付的；</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（4）因重大变故，采购任务取消的。</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22.2 废标后，采购人或者采购代理机构将废标理由通知所有投标人。</w:t>
      </w:r>
    </w:p>
    <w:p>
      <w:pPr>
        <w:spacing w:line="360" w:lineRule="auto"/>
        <w:ind w:firstLine="420" w:firstLineChars="200"/>
        <w:outlineLvl w:val="1"/>
        <w:rPr>
          <w:rFonts w:hint="eastAsia" w:ascii="宋体" w:hAnsi="宋体" w:eastAsia="宋体" w:cs="宋体"/>
        </w:rPr>
      </w:pPr>
      <w:bookmarkStart w:id="37" w:name="_Toc18220"/>
      <w:r>
        <w:rPr>
          <w:rFonts w:hint="eastAsia" w:ascii="宋体" w:hAnsi="宋体" w:eastAsia="宋体" w:cs="宋体"/>
        </w:rPr>
        <w:t>六、中标和合同</w:t>
      </w:r>
      <w:bookmarkEnd w:id="37"/>
    </w:p>
    <w:p>
      <w:pPr>
        <w:topLinePunct/>
        <w:autoSpaceDE w:val="0"/>
        <w:autoSpaceDN w:val="0"/>
        <w:adjustRightInd w:val="0"/>
        <w:snapToGrid w:val="0"/>
        <w:spacing w:line="360" w:lineRule="auto"/>
        <w:ind w:firstLine="421" w:firstLineChars="200"/>
        <w:outlineLvl w:val="2"/>
        <w:rPr>
          <w:rFonts w:hint="eastAsia" w:ascii="宋体" w:hAnsi="宋体" w:eastAsia="宋体" w:cs="宋体"/>
          <w:b/>
          <w:szCs w:val="21"/>
        </w:rPr>
      </w:pPr>
      <w:bookmarkStart w:id="38" w:name="_Toc32045"/>
      <w:r>
        <w:rPr>
          <w:rFonts w:hint="eastAsia" w:ascii="宋体" w:hAnsi="宋体" w:eastAsia="宋体" w:cs="宋体"/>
          <w:b/>
          <w:szCs w:val="21"/>
        </w:rPr>
        <w:t>23</w:t>
      </w:r>
      <w:r>
        <w:rPr>
          <w:rFonts w:hint="eastAsia" w:ascii="宋体" w:hAnsi="宋体" w:eastAsia="宋体" w:cs="宋体"/>
          <w:szCs w:val="21"/>
        </w:rPr>
        <w:t>．</w:t>
      </w:r>
      <w:r>
        <w:rPr>
          <w:rFonts w:hint="eastAsia" w:ascii="宋体" w:hAnsi="宋体" w:eastAsia="宋体" w:cs="宋体"/>
          <w:b/>
          <w:szCs w:val="21"/>
        </w:rPr>
        <w:t>中标</w:t>
      </w:r>
      <w:bookmarkEnd w:id="38"/>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23.1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采购人自行组织招标的，采购人应当在评标结束后5个工作日内，按评标报告推荐的中标候选人顺序确定中标人。</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23.2 采购人或者采购代理机构应当自中标人确定之日起2个工作日内，在</w:t>
      </w:r>
      <w:r>
        <w:rPr>
          <w:rFonts w:hint="eastAsia" w:ascii="宋体" w:hAnsi="宋体" w:eastAsia="宋体" w:cs="宋体"/>
          <w:b/>
          <w:szCs w:val="21"/>
        </w:rPr>
        <w:t>投标人须知前附表</w:t>
      </w:r>
      <w:r>
        <w:rPr>
          <w:rFonts w:hint="eastAsia" w:ascii="宋体" w:hAnsi="宋体" w:eastAsia="宋体" w:cs="宋体"/>
          <w:szCs w:val="21"/>
        </w:rPr>
        <w:t>规定的媒体上公告中标结果，招标文件应随中标结果同时公告。中标公告期限为1个工作日。</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23.3 在公告中标结果的同时，采购人或者采购代理机构应当向中标人发出中标通知书（对线上采购项目，通过评审管理系统发出中标通知书）；对未通过资格审查的投标人，告知其未通过的原因；采用综合评分法评审的，同时告知未中标人本人的评审得分与排序。</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23.4 中标通知书发出后，采购人或者采购代理机构不得违法改变中标结果，中标人无正当理由不得放弃中标。</w:t>
      </w:r>
    </w:p>
    <w:p>
      <w:pPr>
        <w:topLinePunct/>
        <w:autoSpaceDE w:val="0"/>
        <w:autoSpaceDN w:val="0"/>
        <w:adjustRightInd w:val="0"/>
        <w:snapToGrid w:val="0"/>
        <w:spacing w:line="360" w:lineRule="auto"/>
        <w:ind w:firstLine="420" w:firstLineChars="200"/>
        <w:outlineLvl w:val="9"/>
        <w:rPr>
          <w:rFonts w:hint="eastAsia" w:ascii="宋体" w:hAnsi="宋体" w:eastAsia="宋体" w:cs="宋体"/>
          <w:szCs w:val="21"/>
        </w:rPr>
      </w:pPr>
      <w:r>
        <w:rPr>
          <w:rFonts w:hint="eastAsia" w:ascii="宋体" w:hAnsi="宋体" w:eastAsia="宋体" w:cs="宋体"/>
          <w:szCs w:val="21"/>
        </w:rPr>
        <w:t>23.5 中标通知书对采购人和中标人具有同等法律效力。</w:t>
      </w:r>
    </w:p>
    <w:p>
      <w:pPr>
        <w:topLinePunct/>
        <w:autoSpaceDE w:val="0"/>
        <w:autoSpaceDN w:val="0"/>
        <w:adjustRightInd w:val="0"/>
        <w:snapToGrid w:val="0"/>
        <w:spacing w:line="360" w:lineRule="auto"/>
        <w:ind w:firstLine="421" w:firstLineChars="200"/>
        <w:outlineLvl w:val="2"/>
        <w:rPr>
          <w:rFonts w:hint="eastAsia" w:ascii="宋体" w:hAnsi="宋体" w:eastAsia="宋体" w:cs="宋体"/>
          <w:b/>
          <w:szCs w:val="21"/>
        </w:rPr>
      </w:pPr>
      <w:bookmarkStart w:id="39" w:name="_Toc24459"/>
      <w:r>
        <w:rPr>
          <w:rFonts w:hint="eastAsia" w:ascii="宋体" w:hAnsi="宋体" w:eastAsia="宋体" w:cs="宋体"/>
          <w:b/>
          <w:szCs w:val="21"/>
        </w:rPr>
        <w:t>24</w:t>
      </w:r>
      <w:r>
        <w:rPr>
          <w:rFonts w:hint="eastAsia" w:ascii="宋体" w:hAnsi="宋体" w:eastAsia="宋体" w:cs="宋体"/>
          <w:szCs w:val="21"/>
        </w:rPr>
        <w:t>．</w:t>
      </w:r>
      <w:r>
        <w:rPr>
          <w:rFonts w:hint="eastAsia" w:ascii="宋体" w:hAnsi="宋体" w:eastAsia="宋体" w:cs="宋体"/>
          <w:b/>
          <w:szCs w:val="21"/>
        </w:rPr>
        <w:t>签订合同</w:t>
      </w:r>
      <w:bookmarkEnd w:id="39"/>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24.1 采购人应当自中标通知书发出之日起30日内，按照招标文件和中标人投标文件的规定，与中标人签订合同。</w:t>
      </w:r>
      <w:r>
        <w:rPr>
          <w:rFonts w:hint="eastAsia" w:ascii="宋体" w:hAnsi="宋体" w:eastAsia="宋体" w:cs="宋体"/>
          <w:szCs w:val="21"/>
          <w:u w:val="single"/>
        </w:rPr>
        <w:t>线上采购项目可通过评审管理系统签订合同</w:t>
      </w:r>
      <w:r>
        <w:rPr>
          <w:rFonts w:hint="eastAsia" w:ascii="宋体" w:hAnsi="宋体" w:eastAsia="宋体" w:cs="宋体"/>
          <w:szCs w:val="21"/>
        </w:rPr>
        <w:t>。</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24.2 所签订的合同不得对招标文件确定的事项和中标人投标文件作实质性修改。</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24.3 采购人不得向中标人提出任何不合理的要求作为签订合同的条件。</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24.4 中标人拒绝与采购人签订合同的，采购人可以按照评审报告推荐的中标候选人名单排序，确定下一候选人为中标人，也可以重新开展政府采购活动。</w:t>
      </w:r>
    </w:p>
    <w:p>
      <w:pPr>
        <w:topLinePunct/>
        <w:autoSpaceDE w:val="0"/>
        <w:autoSpaceDN w:val="0"/>
        <w:adjustRightInd w:val="0"/>
        <w:snapToGrid w:val="0"/>
        <w:spacing w:line="360" w:lineRule="auto"/>
        <w:ind w:firstLine="421" w:firstLineChars="200"/>
        <w:outlineLvl w:val="2"/>
        <w:rPr>
          <w:rFonts w:hint="eastAsia" w:ascii="宋体" w:hAnsi="宋体" w:eastAsia="宋体" w:cs="宋体"/>
          <w:b/>
          <w:szCs w:val="21"/>
        </w:rPr>
      </w:pPr>
      <w:bookmarkStart w:id="40" w:name="_Toc21765"/>
      <w:r>
        <w:rPr>
          <w:rFonts w:hint="eastAsia" w:ascii="宋体" w:hAnsi="宋体" w:eastAsia="宋体" w:cs="宋体"/>
          <w:b/>
          <w:szCs w:val="21"/>
        </w:rPr>
        <w:t>25</w:t>
      </w:r>
      <w:r>
        <w:rPr>
          <w:rFonts w:hint="eastAsia" w:ascii="宋体" w:hAnsi="宋体" w:eastAsia="宋体" w:cs="宋体"/>
          <w:szCs w:val="21"/>
        </w:rPr>
        <w:t>．</w:t>
      </w:r>
      <w:r>
        <w:rPr>
          <w:rFonts w:hint="eastAsia" w:ascii="宋体" w:hAnsi="宋体" w:eastAsia="宋体" w:cs="宋体"/>
          <w:b/>
          <w:szCs w:val="21"/>
        </w:rPr>
        <w:t>履约保证金</w:t>
      </w:r>
      <w:bookmarkEnd w:id="40"/>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25.1 需提交履约保证金的项目，中标人应在合同签订之日起30日内，按照</w:t>
      </w:r>
      <w:r>
        <w:rPr>
          <w:rFonts w:hint="eastAsia" w:ascii="宋体" w:hAnsi="宋体" w:eastAsia="宋体" w:cs="宋体"/>
          <w:b/>
          <w:szCs w:val="21"/>
        </w:rPr>
        <w:t>投标人须知前附表</w:t>
      </w:r>
      <w:r>
        <w:rPr>
          <w:rFonts w:hint="eastAsia" w:ascii="宋体" w:hAnsi="宋体" w:eastAsia="宋体" w:cs="宋体"/>
          <w:szCs w:val="21"/>
        </w:rPr>
        <w:t>的规定，向采购人提交履约保证金。</w:t>
      </w:r>
    </w:p>
    <w:p>
      <w:pPr>
        <w:spacing w:line="360" w:lineRule="auto"/>
        <w:ind w:firstLine="420" w:firstLineChars="200"/>
        <w:outlineLvl w:val="1"/>
        <w:rPr>
          <w:rFonts w:hint="eastAsia" w:ascii="宋体" w:hAnsi="宋体" w:eastAsia="宋体" w:cs="宋体"/>
        </w:rPr>
      </w:pPr>
      <w:bookmarkStart w:id="41" w:name="_Toc25033"/>
      <w:r>
        <w:rPr>
          <w:rFonts w:hint="eastAsia" w:ascii="宋体" w:hAnsi="宋体" w:eastAsia="宋体" w:cs="宋体"/>
        </w:rPr>
        <w:t>七、询问和质疑</w:t>
      </w:r>
      <w:bookmarkEnd w:id="41"/>
    </w:p>
    <w:p>
      <w:pPr>
        <w:topLinePunct/>
        <w:autoSpaceDE w:val="0"/>
        <w:autoSpaceDN w:val="0"/>
        <w:adjustRightInd w:val="0"/>
        <w:snapToGrid w:val="0"/>
        <w:spacing w:line="360" w:lineRule="auto"/>
        <w:ind w:firstLine="421" w:firstLineChars="200"/>
        <w:outlineLvl w:val="2"/>
        <w:rPr>
          <w:rFonts w:hint="eastAsia" w:ascii="宋体" w:hAnsi="宋体" w:eastAsia="宋体" w:cs="宋体"/>
          <w:b/>
          <w:szCs w:val="21"/>
        </w:rPr>
      </w:pPr>
      <w:bookmarkStart w:id="42" w:name="_Toc27410"/>
      <w:r>
        <w:rPr>
          <w:rFonts w:hint="eastAsia" w:ascii="宋体" w:hAnsi="宋体" w:eastAsia="宋体" w:cs="宋体"/>
          <w:b/>
          <w:szCs w:val="21"/>
        </w:rPr>
        <w:t>26. 询问</w:t>
      </w:r>
      <w:bookmarkEnd w:id="42"/>
    </w:p>
    <w:p>
      <w:pPr>
        <w:topLinePunct/>
        <w:autoSpaceDE w:val="0"/>
        <w:autoSpaceDN w:val="0"/>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26.1潜在投标人、投标人对政府采购活动事项有疑问的，可以向采购人或者采购代理机构提出询问，采购人或者采购代理机构应当在3个工作日内对依法提出的询问作出答复，但答复的内容不得涉及商业秘密。</w:t>
      </w:r>
    </w:p>
    <w:p>
      <w:pPr>
        <w:topLinePunct/>
        <w:autoSpaceDE w:val="0"/>
        <w:autoSpaceDN w:val="0"/>
        <w:adjustRightInd w:val="0"/>
        <w:snapToGrid w:val="0"/>
        <w:spacing w:line="360" w:lineRule="auto"/>
        <w:ind w:firstLine="421" w:firstLineChars="200"/>
        <w:outlineLvl w:val="2"/>
        <w:rPr>
          <w:rFonts w:hint="eastAsia" w:ascii="宋体" w:hAnsi="宋体" w:eastAsia="宋体" w:cs="宋体"/>
          <w:b/>
          <w:szCs w:val="21"/>
        </w:rPr>
      </w:pPr>
      <w:bookmarkStart w:id="43" w:name="_Toc6892"/>
      <w:r>
        <w:rPr>
          <w:rFonts w:hint="eastAsia" w:ascii="宋体" w:hAnsi="宋体" w:eastAsia="宋体" w:cs="宋体"/>
          <w:b/>
          <w:szCs w:val="21"/>
        </w:rPr>
        <w:t>27</w:t>
      </w:r>
      <w:r>
        <w:rPr>
          <w:rFonts w:hint="eastAsia" w:ascii="宋体" w:hAnsi="宋体" w:eastAsia="宋体" w:cs="宋体"/>
          <w:szCs w:val="21"/>
        </w:rPr>
        <w:t>．</w:t>
      </w:r>
      <w:r>
        <w:rPr>
          <w:rFonts w:hint="eastAsia" w:ascii="宋体" w:hAnsi="宋体" w:eastAsia="宋体" w:cs="宋体"/>
          <w:b/>
          <w:szCs w:val="21"/>
        </w:rPr>
        <w:t>质疑</w:t>
      </w:r>
      <w:bookmarkEnd w:id="43"/>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27.1潜在投标人、投标人（统称质疑人）认为招标文件、招标过程和中标结果使自己的权益受到损害的，可以在知道或者应知其权益受到损害之日起7个工作日内以书面形式向采购人或者采购代理机构提出质疑（线上采购项目可以通过评审管理系统提交）。联系部门、联系电话、通讯地址、电子邮箱</w:t>
      </w:r>
      <w:r>
        <w:rPr>
          <w:rFonts w:hint="eastAsia" w:ascii="宋体" w:hAnsi="宋体" w:eastAsia="宋体" w:cs="宋体"/>
          <w:b/>
          <w:bCs/>
          <w:szCs w:val="21"/>
        </w:rPr>
        <w:t>见</w:t>
      </w:r>
      <w:r>
        <w:rPr>
          <w:rFonts w:hint="eastAsia" w:ascii="宋体" w:hAnsi="宋体" w:eastAsia="宋体" w:cs="宋体"/>
          <w:b/>
          <w:szCs w:val="21"/>
        </w:rPr>
        <w:t>投标人须知前附表</w:t>
      </w:r>
      <w:r>
        <w:rPr>
          <w:rFonts w:hint="eastAsia" w:ascii="宋体" w:hAnsi="宋体" w:eastAsia="宋体" w:cs="宋体"/>
          <w:szCs w:val="21"/>
        </w:rPr>
        <w:t>。</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27.2在法定质疑期内，针对同一采购程序环节的质疑应一次性提出。</w:t>
      </w:r>
    </w:p>
    <w:p>
      <w:pPr>
        <w:topLinePunct/>
        <w:autoSpaceDE w:val="0"/>
        <w:autoSpaceDN w:val="0"/>
        <w:adjustRightInd w:val="0"/>
        <w:snapToGrid w:val="0"/>
        <w:spacing w:line="360" w:lineRule="auto"/>
        <w:ind w:firstLine="420" w:firstLineChars="200"/>
        <w:outlineLvl w:val="9"/>
        <w:rPr>
          <w:rFonts w:hint="eastAsia" w:ascii="宋体" w:hAnsi="宋体" w:eastAsia="宋体" w:cs="宋体"/>
          <w:szCs w:val="21"/>
        </w:rPr>
      </w:pPr>
      <w:r>
        <w:rPr>
          <w:rFonts w:hint="eastAsia" w:ascii="宋体" w:hAnsi="宋体" w:eastAsia="宋体" w:cs="宋体"/>
          <w:szCs w:val="21"/>
        </w:rPr>
        <w:t xml:space="preserve">27.3质疑人应知其权益受到损害之日，是指： </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（1）对可以质疑的采购文件提出质疑的，为收到采购文件之日或者采购文件公告期限届满之日；</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（2）对采购过程提出质疑的，为各采购程序环节结束之日；</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（3）对中标结果提出质疑的，为中标结果公告期限届满之日。</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27.4质疑应当有明确的请求和必要的证明材料。供应商为自然人的，应当由本人签字；供应商为法人或者其他组织的，应当由法定代表人、主要负责人，或者其授权代表签字或者签章，并加盖公章。</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27.5 采购人或者代理机构应当在收到供应商的质疑函后7个工作日内，对质疑内容作出答复，</w:t>
      </w:r>
      <w:r>
        <w:rPr>
          <w:rFonts w:hint="eastAsia" w:ascii="宋体" w:hAnsi="宋体" w:eastAsia="宋体" w:cs="宋体"/>
          <w:bCs/>
          <w:szCs w:val="21"/>
        </w:rPr>
        <w:t>书面形式</w:t>
      </w:r>
      <w:r>
        <w:rPr>
          <w:rFonts w:hint="eastAsia" w:ascii="宋体" w:hAnsi="宋体" w:eastAsia="宋体" w:cs="宋体"/>
          <w:szCs w:val="21"/>
        </w:rPr>
        <w:t>通知质疑供应商和其他有关供应商，但答复内容不得涉及商业秘密。</w:t>
      </w:r>
    </w:p>
    <w:p>
      <w:pPr>
        <w:pStyle w:val="43"/>
        <w:widowControl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27.6质疑人对采购人、采购代理机构的答复不满意或者采购人、采购代理机构未在规定的时间内作出答复的，可以在答复期满后15个工作日内向同级人民政府财政部门投诉。</w:t>
      </w:r>
    </w:p>
    <w:p>
      <w:pPr>
        <w:pStyle w:val="43"/>
        <w:widowControl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27.7投诉应当有明确的请求和必要的证明材料。投诉的事项不得超出已质疑事项的范围。</w:t>
      </w:r>
    </w:p>
    <w:p>
      <w:pPr>
        <w:spacing w:line="360" w:lineRule="auto"/>
        <w:ind w:firstLine="420" w:firstLineChars="200"/>
        <w:outlineLvl w:val="1"/>
        <w:rPr>
          <w:rFonts w:hint="eastAsia" w:ascii="宋体" w:hAnsi="宋体" w:eastAsia="宋体" w:cs="宋体"/>
        </w:rPr>
      </w:pPr>
      <w:bookmarkStart w:id="44" w:name="_Toc22768"/>
      <w:r>
        <w:rPr>
          <w:rFonts w:hint="eastAsia" w:ascii="宋体" w:hAnsi="宋体" w:eastAsia="宋体" w:cs="宋体"/>
        </w:rPr>
        <w:t>八、其他</w:t>
      </w:r>
      <w:bookmarkEnd w:id="44"/>
    </w:p>
    <w:p>
      <w:pPr>
        <w:topLinePunct/>
        <w:autoSpaceDE w:val="0"/>
        <w:autoSpaceDN w:val="0"/>
        <w:adjustRightInd w:val="0"/>
        <w:snapToGrid w:val="0"/>
        <w:spacing w:line="360" w:lineRule="auto"/>
        <w:ind w:firstLine="421" w:firstLineChars="200"/>
        <w:outlineLvl w:val="2"/>
        <w:rPr>
          <w:rFonts w:hint="eastAsia" w:ascii="宋体" w:hAnsi="宋体" w:eastAsia="宋体" w:cs="宋体"/>
          <w:b/>
          <w:szCs w:val="21"/>
        </w:rPr>
      </w:pPr>
      <w:bookmarkStart w:id="45" w:name="_Toc25629"/>
      <w:bookmarkStart w:id="46" w:name="_Toc217989361"/>
      <w:bookmarkStart w:id="47" w:name="_Toc233181902"/>
      <w:bookmarkStart w:id="48" w:name="_Toc262111390"/>
      <w:bookmarkStart w:id="49" w:name="_Toc319519285"/>
      <w:r>
        <w:rPr>
          <w:rFonts w:hint="eastAsia" w:ascii="宋体" w:hAnsi="宋体" w:eastAsia="宋体" w:cs="宋体"/>
          <w:b/>
          <w:szCs w:val="21"/>
        </w:rPr>
        <w:t>28</w:t>
      </w:r>
      <w:r>
        <w:rPr>
          <w:rFonts w:hint="eastAsia" w:ascii="宋体" w:hAnsi="宋体" w:eastAsia="宋体" w:cs="宋体"/>
          <w:szCs w:val="21"/>
        </w:rPr>
        <w:t>．</w:t>
      </w:r>
      <w:r>
        <w:rPr>
          <w:rFonts w:hint="eastAsia" w:ascii="宋体" w:hAnsi="宋体" w:eastAsia="宋体" w:cs="宋体"/>
          <w:b/>
          <w:szCs w:val="21"/>
        </w:rPr>
        <w:t>保密</w:t>
      </w:r>
      <w:bookmarkEnd w:id="45"/>
    </w:p>
    <w:p>
      <w:pPr>
        <w:widowControl/>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28.1采购人、采购代理机构应当采取必要措施，保证评标在严格保密的情况下进行。除采购人代表、评标现场组织人员外，采购人的其他工作人员以及与评标工作无关的人员不得进入评标现场。</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28.2 评标委员会成员和参与评标工作的有关人员对评标情况以及在评标过程中获悉的国家秘密、商业秘密负有保密责任。</w:t>
      </w:r>
    </w:p>
    <w:p>
      <w:pPr>
        <w:topLinePunct/>
        <w:autoSpaceDE w:val="0"/>
        <w:autoSpaceDN w:val="0"/>
        <w:adjustRightInd w:val="0"/>
        <w:snapToGrid w:val="0"/>
        <w:spacing w:line="360" w:lineRule="auto"/>
        <w:ind w:firstLine="421" w:firstLineChars="200"/>
        <w:outlineLvl w:val="2"/>
        <w:rPr>
          <w:rFonts w:hint="eastAsia" w:ascii="宋体" w:hAnsi="宋体" w:eastAsia="宋体" w:cs="宋体"/>
          <w:b/>
          <w:szCs w:val="21"/>
        </w:rPr>
      </w:pPr>
      <w:bookmarkStart w:id="50" w:name="_Toc10525"/>
      <w:r>
        <w:rPr>
          <w:rFonts w:hint="eastAsia" w:ascii="宋体" w:hAnsi="宋体" w:eastAsia="宋体" w:cs="宋体"/>
          <w:b/>
          <w:szCs w:val="21"/>
        </w:rPr>
        <w:t>29. 知识产权与规避专利、版权纠纷</w:t>
      </w:r>
      <w:bookmarkEnd w:id="46"/>
      <w:bookmarkEnd w:id="47"/>
      <w:bookmarkEnd w:id="48"/>
      <w:bookmarkEnd w:id="49"/>
      <w:bookmarkEnd w:id="50"/>
    </w:p>
    <w:p>
      <w:pPr>
        <w:widowControl/>
        <w:topLinePunct/>
        <w:autoSpaceDE w:val="0"/>
        <w:autoSpaceDN w:val="0"/>
        <w:adjustRightInd w:val="0"/>
        <w:snapToGrid w:val="0"/>
        <w:spacing w:line="360" w:lineRule="auto"/>
        <w:ind w:firstLine="420" w:firstLineChars="200"/>
        <w:outlineLvl w:val="9"/>
        <w:rPr>
          <w:rFonts w:hint="eastAsia" w:ascii="宋体" w:hAnsi="宋体" w:eastAsia="宋体" w:cs="宋体"/>
          <w:szCs w:val="21"/>
        </w:rPr>
      </w:pPr>
      <w:r>
        <w:rPr>
          <w:rFonts w:hint="eastAsia" w:ascii="宋体" w:hAnsi="宋体" w:eastAsia="宋体" w:cs="宋体"/>
          <w:szCs w:val="21"/>
        </w:rPr>
        <w:t>29.1 知识产权</w:t>
      </w:r>
    </w:p>
    <w:p>
      <w:pPr>
        <w:widowControl/>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29.1.1 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widowControl/>
        <w:topLinePunct/>
        <w:autoSpaceDE w:val="0"/>
        <w:autoSpaceDN w:val="0"/>
        <w:adjustRightInd w:val="0"/>
        <w:snapToGrid w:val="0"/>
        <w:spacing w:line="360" w:lineRule="auto"/>
        <w:ind w:firstLine="420" w:firstLineChars="200"/>
        <w:outlineLvl w:val="9"/>
        <w:rPr>
          <w:rFonts w:hint="eastAsia" w:ascii="宋体" w:hAnsi="宋体" w:eastAsia="宋体" w:cs="宋体"/>
          <w:szCs w:val="21"/>
        </w:rPr>
      </w:pPr>
      <w:r>
        <w:rPr>
          <w:rFonts w:hint="eastAsia" w:ascii="宋体" w:hAnsi="宋体" w:eastAsia="宋体" w:cs="宋体"/>
          <w:szCs w:val="21"/>
        </w:rPr>
        <w:t>29.2 规避专利、版权纠纷</w:t>
      </w:r>
    </w:p>
    <w:p>
      <w:pPr>
        <w:widowControl/>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29.2.1 投标人应保证其投标方案中的有关软件、文件、图纸等没有违反有关专利和版权等知识产权的规定。</w:t>
      </w:r>
    </w:p>
    <w:p>
      <w:pPr>
        <w:widowControl/>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29.2.2 中标人应保证采购人在中华人民共和国使用本项目成果任何一部分、或接受乙方服务时，免受第三方提出的侵犯其专利权、商标权或工业设计权等知识产权的索赔或起诉。</w:t>
      </w:r>
    </w:p>
    <w:p>
      <w:pPr>
        <w:widowControl/>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29.2.3 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pPr>
        <w:widowControl/>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29.2.4 如果采购人发现任何第三方在采购人未被许可的范围内非法使用采购人获得的知识产权，采购人应通知中标人。中标人应在收到采购人通知后14天内采取行动制止非法使用行为，否则由中标人承担相应的责任。</w:t>
      </w:r>
    </w:p>
    <w:p>
      <w:pPr>
        <w:spacing w:line="360" w:lineRule="auto"/>
        <w:rPr>
          <w:rFonts w:hint="eastAsia" w:ascii="宋体" w:hAnsi="宋体" w:eastAsia="宋体" w:cs="宋体"/>
          <w:szCs w:val="21"/>
        </w:rPr>
      </w:pPr>
      <w:r>
        <w:rPr>
          <w:rFonts w:hint="eastAsia" w:ascii="宋体" w:hAnsi="宋体" w:eastAsia="宋体" w:cs="宋体"/>
          <w:szCs w:val="21"/>
        </w:rPr>
        <w:br w:type="page"/>
      </w:r>
    </w:p>
    <w:p>
      <w:pPr>
        <w:spacing w:line="360" w:lineRule="auto"/>
        <w:jc w:val="center"/>
        <w:outlineLvl w:val="0"/>
        <w:rPr>
          <w:rFonts w:hint="eastAsia" w:ascii="宋体" w:hAnsi="宋体" w:eastAsia="宋体" w:cs="宋体"/>
          <w:b/>
          <w:bCs/>
          <w:sz w:val="28"/>
          <w:szCs w:val="28"/>
        </w:rPr>
      </w:pPr>
      <w:bookmarkStart w:id="51" w:name="_Toc525052846"/>
      <w:bookmarkStart w:id="52" w:name="_Toc1762322514"/>
      <w:bookmarkStart w:id="53" w:name="_Toc1380332034"/>
      <w:bookmarkStart w:id="54" w:name="_Toc17395"/>
      <w:bookmarkStart w:id="55" w:name="_Toc1168671576"/>
      <w:bookmarkStart w:id="56" w:name="_Toc38030149"/>
      <w:bookmarkStart w:id="57" w:name="_Toc1298913388"/>
      <w:bookmarkStart w:id="58" w:name="_Toc1481241717"/>
      <w:bookmarkStart w:id="59" w:name="_Toc937455070"/>
      <w:r>
        <w:rPr>
          <w:rFonts w:hint="eastAsia" w:ascii="宋体" w:hAnsi="宋体" w:eastAsia="宋体" w:cs="宋体"/>
          <w:b/>
          <w:bCs/>
          <w:sz w:val="28"/>
          <w:szCs w:val="28"/>
        </w:rPr>
        <w:t>第三章  评标方法及标准</w:t>
      </w:r>
      <w:bookmarkEnd w:id="51"/>
      <w:bookmarkEnd w:id="52"/>
      <w:bookmarkEnd w:id="53"/>
      <w:bookmarkEnd w:id="54"/>
      <w:bookmarkEnd w:id="55"/>
      <w:bookmarkEnd w:id="56"/>
      <w:bookmarkEnd w:id="57"/>
      <w:bookmarkEnd w:id="58"/>
      <w:bookmarkEnd w:id="59"/>
    </w:p>
    <w:p>
      <w:pPr>
        <w:pStyle w:val="18"/>
        <w:spacing w:line="360" w:lineRule="auto"/>
        <w:ind w:firstLine="421" w:firstLineChars="200"/>
        <w:outlineLvl w:val="9"/>
        <w:rPr>
          <w:rFonts w:hint="eastAsia" w:ascii="宋体" w:hAnsi="宋体" w:eastAsia="宋体" w:cs="宋体"/>
          <w:b/>
          <w:bCs/>
          <w:kern w:val="2"/>
          <w:sz w:val="21"/>
          <w:szCs w:val="21"/>
          <w:lang w:val="en-US" w:eastAsia="zh-CN" w:bidi="ar-SA"/>
        </w:rPr>
      </w:pPr>
    </w:p>
    <w:p>
      <w:pPr>
        <w:numPr>
          <w:ilvl w:val="0"/>
          <w:numId w:val="0"/>
        </w:numPr>
        <w:spacing w:line="360" w:lineRule="auto"/>
        <w:ind w:firstLine="421" w:firstLineChars="200"/>
        <w:jc w:val="left"/>
        <w:outlineLvl w:val="2"/>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1.评标方法</w:t>
      </w:r>
    </w:p>
    <w:p>
      <w:pPr>
        <w:numPr>
          <w:ilvl w:val="0"/>
          <w:numId w:val="0"/>
        </w:numPr>
        <w:spacing w:line="360" w:lineRule="auto"/>
        <w:ind w:firstLine="420" w:firstLineChars="20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1.1 本项目评标方法：</w:t>
      </w:r>
      <w:r>
        <w:rPr>
          <w:rFonts w:hint="eastAsia" w:ascii="宋体" w:hAnsi="宋体" w:eastAsia="宋体" w:cs="宋体"/>
          <w:b/>
          <w:bCs/>
          <w:kern w:val="2"/>
          <w:sz w:val="21"/>
          <w:szCs w:val="21"/>
          <w:u w:val="single"/>
          <w:lang w:val="en-US" w:eastAsia="zh-CN" w:bidi="ar-SA"/>
        </w:rPr>
        <w:t>采用综合评分法</w:t>
      </w:r>
    </w:p>
    <w:p>
      <w:pPr>
        <w:numPr>
          <w:ilvl w:val="0"/>
          <w:numId w:val="0"/>
        </w:numPr>
        <w:spacing w:line="360" w:lineRule="auto"/>
        <w:ind w:firstLine="421" w:firstLineChars="200"/>
        <w:jc w:val="left"/>
        <w:outlineLvl w:val="2"/>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2.评标标准</w:t>
      </w:r>
    </w:p>
    <w:p>
      <w:pPr>
        <w:numPr>
          <w:ilvl w:val="0"/>
          <w:numId w:val="0"/>
        </w:numPr>
        <w:spacing w:line="360" w:lineRule="auto"/>
        <w:ind w:firstLine="420" w:firstLineChars="200"/>
        <w:jc w:val="left"/>
        <w:outlineLvl w:val="3"/>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2.1 本项目</w:t>
      </w:r>
      <w:r>
        <w:rPr>
          <w:rFonts w:hint="eastAsia" w:ascii="宋体" w:hAnsi="宋体" w:eastAsia="宋体" w:cs="宋体"/>
          <w:b/>
          <w:bCs/>
          <w:kern w:val="2"/>
          <w:sz w:val="21"/>
          <w:szCs w:val="21"/>
          <w:u w:val="single"/>
          <w:lang w:val="en-US" w:eastAsia="zh-CN" w:bidi="ar-SA"/>
        </w:rPr>
        <w:t>采用综合评分法</w:t>
      </w:r>
      <w:r>
        <w:rPr>
          <w:rFonts w:hint="eastAsia" w:ascii="宋体" w:hAnsi="宋体" w:eastAsia="宋体" w:cs="宋体"/>
          <w:b w:val="0"/>
          <w:bCs w:val="0"/>
          <w:kern w:val="2"/>
          <w:sz w:val="21"/>
          <w:szCs w:val="21"/>
          <w:lang w:val="en-US" w:eastAsia="zh-CN" w:bidi="ar-SA"/>
        </w:rPr>
        <w:t>进行评标，综合评分法是指投标文件满足招标文件全部实质性要求，且按照评审因素的量化指标评审得分最高的投标人为中标候选人的评标方法。评审因素主要内容如下表。</w:t>
      </w:r>
    </w:p>
    <w:p>
      <w:pPr>
        <w:numPr>
          <w:ilvl w:val="0"/>
          <w:numId w:val="0"/>
        </w:numPr>
        <w:spacing w:line="360" w:lineRule="auto"/>
        <w:ind w:firstLine="420" w:firstLineChars="200"/>
        <w:jc w:val="left"/>
        <w:outlineLvl w:val="3"/>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2.2 本项目价格分值为</w:t>
      </w:r>
      <w:r>
        <w:rPr>
          <w:rFonts w:hint="eastAsia" w:ascii="宋体" w:hAnsi="宋体" w:eastAsia="宋体" w:cs="宋体"/>
          <w:b w:val="0"/>
          <w:bCs w:val="0"/>
          <w:kern w:val="2"/>
          <w:sz w:val="21"/>
          <w:szCs w:val="21"/>
          <w:u w:val="single"/>
          <w:lang w:val="en-US" w:eastAsia="zh-CN" w:bidi="ar-SA"/>
        </w:rPr>
        <w:t>35</w:t>
      </w:r>
      <w:r>
        <w:rPr>
          <w:rFonts w:hint="eastAsia" w:ascii="宋体" w:hAnsi="宋体" w:eastAsia="宋体" w:cs="宋体"/>
          <w:b w:val="0"/>
          <w:bCs w:val="0"/>
          <w:kern w:val="2"/>
          <w:sz w:val="21"/>
          <w:szCs w:val="21"/>
          <w:lang w:val="en-US" w:eastAsia="zh-CN" w:bidi="ar-SA"/>
        </w:rPr>
        <w:t>分，其余评审因素分值为</w:t>
      </w:r>
      <w:r>
        <w:rPr>
          <w:rFonts w:hint="eastAsia" w:ascii="宋体" w:hAnsi="宋体" w:eastAsia="宋体" w:cs="宋体"/>
          <w:b w:val="0"/>
          <w:bCs w:val="0"/>
          <w:kern w:val="2"/>
          <w:sz w:val="21"/>
          <w:szCs w:val="21"/>
          <w:u w:val="single"/>
          <w:lang w:val="en-US" w:eastAsia="zh-CN" w:bidi="ar-SA"/>
        </w:rPr>
        <w:t>65</w:t>
      </w:r>
      <w:r>
        <w:rPr>
          <w:rFonts w:hint="eastAsia" w:ascii="宋体" w:hAnsi="宋体" w:eastAsia="宋体" w:cs="宋体"/>
          <w:b w:val="0"/>
          <w:bCs w:val="0"/>
          <w:kern w:val="2"/>
          <w:sz w:val="21"/>
          <w:szCs w:val="21"/>
          <w:lang w:val="en-US" w:eastAsia="zh-CN" w:bidi="ar-SA"/>
        </w:rPr>
        <w:t>分。评审标准如下表：</w:t>
      </w:r>
    </w:p>
    <w:p>
      <w:pPr>
        <w:spacing w:line="360" w:lineRule="auto"/>
        <w:ind w:firstLine="421" w:firstLineChars="200"/>
        <w:outlineLvl w:val="9"/>
        <w:rPr>
          <w:rFonts w:hint="eastAsia" w:ascii="宋体" w:hAnsi="宋体" w:eastAsia="宋体" w:cs="宋体"/>
          <w:b/>
          <w:szCs w:val="21"/>
        </w:rPr>
      </w:pPr>
      <w:r>
        <w:rPr>
          <w:rFonts w:hint="eastAsia" w:ascii="宋体" w:hAnsi="宋体" w:eastAsia="宋体" w:cs="宋体"/>
          <w:b/>
          <w:szCs w:val="21"/>
        </w:rPr>
        <w:t>各</w:t>
      </w:r>
      <w:r>
        <w:rPr>
          <w:rFonts w:hint="eastAsia" w:ascii="宋体" w:hAnsi="宋体" w:eastAsia="宋体" w:cs="宋体"/>
          <w:b/>
          <w:szCs w:val="21"/>
          <w:lang w:val="en-US" w:eastAsia="zh-CN"/>
        </w:rPr>
        <w:t>部分</w:t>
      </w:r>
      <w:r>
        <w:rPr>
          <w:rFonts w:hint="eastAsia" w:ascii="宋体" w:hAnsi="宋体" w:eastAsia="宋体" w:cs="宋体"/>
          <w:b/>
          <w:szCs w:val="21"/>
        </w:rPr>
        <w:t>评分分值分布如下：</w:t>
      </w:r>
    </w:p>
    <w:p>
      <w:pPr>
        <w:pStyle w:val="18"/>
        <w:spacing w:line="360" w:lineRule="auto"/>
        <w:ind w:firstLine="420" w:firstLineChars="20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A：价格部分评分（A1项）         满分:35 分</w:t>
      </w:r>
    </w:p>
    <w:p>
      <w:pPr>
        <w:pStyle w:val="18"/>
        <w:spacing w:line="360" w:lineRule="auto"/>
        <w:ind w:firstLine="420" w:firstLineChars="20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B：商务部分评分（B1-B8项）      满分:30 分</w:t>
      </w:r>
    </w:p>
    <w:p>
      <w:pPr>
        <w:pStyle w:val="18"/>
        <w:spacing w:line="360" w:lineRule="auto"/>
        <w:ind w:firstLine="420" w:firstLineChars="20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C：技术部分评分（C1-C12项）      满分:35 分</w:t>
      </w:r>
    </w:p>
    <w:p>
      <w:pPr>
        <w:spacing w:line="360" w:lineRule="auto"/>
        <w:ind w:firstLine="422"/>
        <w:rPr>
          <w:rFonts w:hint="eastAsia" w:ascii="宋体" w:hAnsi="宋体" w:eastAsia="宋体" w:cs="宋体"/>
          <w:szCs w:val="21"/>
        </w:rPr>
      </w:pPr>
      <w:r>
        <w:rPr>
          <w:rFonts w:hint="eastAsia" w:ascii="宋体" w:hAnsi="宋体" w:eastAsia="宋体" w:cs="宋体"/>
          <w:szCs w:val="21"/>
        </w:rPr>
        <w:t>各评委评分B</w:t>
      </w:r>
      <w:r>
        <w:rPr>
          <w:rFonts w:hint="eastAsia" w:ascii="宋体" w:hAnsi="宋体" w:eastAsia="宋体" w:cs="宋体"/>
          <w:szCs w:val="21"/>
          <w:lang w:eastAsia="zh-CN"/>
        </w:rPr>
        <w:t>、</w:t>
      </w:r>
      <w:r>
        <w:rPr>
          <w:rFonts w:hint="eastAsia" w:ascii="宋体" w:hAnsi="宋体" w:eastAsia="宋体" w:cs="宋体"/>
          <w:szCs w:val="21"/>
          <w:lang w:val="en-US" w:eastAsia="zh-CN"/>
        </w:rPr>
        <w:t>C</w:t>
      </w:r>
      <w:r>
        <w:rPr>
          <w:rFonts w:hint="eastAsia" w:ascii="宋体" w:hAnsi="宋体" w:eastAsia="宋体" w:cs="宋体"/>
          <w:szCs w:val="21"/>
        </w:rPr>
        <w:t>部分</w:t>
      </w:r>
      <w:r>
        <w:rPr>
          <w:rFonts w:hint="eastAsia" w:ascii="宋体" w:hAnsi="宋体" w:eastAsia="宋体" w:cs="宋体"/>
          <w:szCs w:val="21"/>
          <w:lang w:val="en-US" w:eastAsia="zh-CN"/>
        </w:rPr>
        <w:t>分别取</w:t>
      </w:r>
      <w:r>
        <w:rPr>
          <w:rFonts w:hint="eastAsia" w:ascii="宋体" w:hAnsi="宋体" w:eastAsia="宋体" w:cs="宋体"/>
          <w:szCs w:val="21"/>
        </w:rPr>
        <w:t>算术平均值为最终得分，并取小数点后的2位数。</w:t>
      </w:r>
    </w:p>
    <w:p>
      <w:pPr>
        <w:spacing w:line="360" w:lineRule="auto"/>
        <w:ind w:firstLine="420"/>
        <w:rPr>
          <w:rFonts w:hint="eastAsia" w:ascii="宋体" w:hAnsi="宋体" w:eastAsia="宋体" w:cs="宋体"/>
          <w:szCs w:val="21"/>
          <w:lang w:val="en-US" w:eastAsia="zh-CN"/>
        </w:rPr>
      </w:pPr>
      <w:r>
        <w:rPr>
          <w:rFonts w:hint="eastAsia" w:ascii="宋体" w:hAnsi="宋体" w:eastAsia="宋体" w:cs="宋体"/>
          <w:szCs w:val="21"/>
        </w:rPr>
        <w:t>综合评分：A＋B＋</w:t>
      </w:r>
      <w:r>
        <w:rPr>
          <w:rFonts w:hint="eastAsia" w:ascii="宋体" w:hAnsi="宋体" w:eastAsia="宋体" w:cs="宋体"/>
          <w:szCs w:val="21"/>
          <w:lang w:val="en-US" w:eastAsia="zh-CN"/>
        </w:rPr>
        <w:t>C</w:t>
      </w:r>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206"/>
        <w:gridCol w:w="5628"/>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11" w:type="pct"/>
            <w:noWrap w:val="0"/>
            <w:vAlign w:val="center"/>
          </w:tcPr>
          <w:p>
            <w:pPr>
              <w:pStyle w:val="18"/>
              <w:keepNext w:val="0"/>
              <w:keepLines w:val="0"/>
              <w:pageBreakBefore w:val="0"/>
              <w:kinsoku/>
              <w:wordWrap w:val="0"/>
              <w:overflowPunct/>
              <w:topLinePunct w:val="0"/>
              <w:autoSpaceDE/>
              <w:autoSpaceDN/>
              <w:bidi w:val="0"/>
              <w:adjustRightInd/>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700" w:type="pct"/>
            <w:noWrap w:val="0"/>
            <w:vAlign w:val="center"/>
          </w:tcPr>
          <w:p>
            <w:pPr>
              <w:pStyle w:val="18"/>
              <w:keepNext w:val="0"/>
              <w:keepLines w:val="0"/>
              <w:pageBreakBefore w:val="0"/>
              <w:kinsoku/>
              <w:wordWrap w:val="0"/>
              <w:overflowPunct/>
              <w:topLinePunct w:val="0"/>
              <w:autoSpaceDE/>
              <w:autoSpaceDN/>
              <w:bidi w:val="0"/>
              <w:adjustRightInd/>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评审因素</w:t>
            </w:r>
          </w:p>
        </w:tc>
        <w:tc>
          <w:tcPr>
            <w:tcW w:w="3267" w:type="pct"/>
            <w:noWrap w:val="0"/>
            <w:vAlign w:val="center"/>
          </w:tcPr>
          <w:p>
            <w:pPr>
              <w:pStyle w:val="18"/>
              <w:keepNext w:val="0"/>
              <w:keepLines w:val="0"/>
              <w:pageBreakBefore w:val="0"/>
              <w:kinsoku/>
              <w:wordWrap w:val="0"/>
              <w:overflowPunct/>
              <w:topLinePunct w:val="0"/>
              <w:autoSpaceDE/>
              <w:autoSpaceDN/>
              <w:bidi w:val="0"/>
              <w:adjustRightInd/>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评审细则</w:t>
            </w:r>
          </w:p>
        </w:tc>
        <w:tc>
          <w:tcPr>
            <w:tcW w:w="621" w:type="pct"/>
            <w:noWrap w:val="0"/>
            <w:vAlign w:val="center"/>
          </w:tcPr>
          <w:p>
            <w:pPr>
              <w:pStyle w:val="18"/>
              <w:keepNext w:val="0"/>
              <w:keepLines w:val="0"/>
              <w:pageBreakBefore w:val="0"/>
              <w:kinsoku/>
              <w:wordWrap w:val="0"/>
              <w:overflowPunct/>
              <w:topLinePunct w:val="0"/>
              <w:autoSpaceDE/>
              <w:autoSpaceDN/>
              <w:bidi w:val="0"/>
              <w:adjustRightInd/>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noWrap w:val="0"/>
            <w:vAlign w:val="center"/>
          </w:tcPr>
          <w:p>
            <w:pPr>
              <w:pStyle w:val="18"/>
              <w:keepNext w:val="0"/>
              <w:keepLines w:val="0"/>
              <w:pageBreakBefore w:val="0"/>
              <w:kinsoku/>
              <w:wordWrap w:val="0"/>
              <w:overflowPunct/>
              <w:topLinePunct w:val="0"/>
              <w:autoSpaceDE/>
              <w:autoSpaceDN/>
              <w:bidi w:val="0"/>
              <w:adjustRightInd/>
              <w:snapToGrid w:val="0"/>
              <w:spacing w:line="360" w:lineRule="auto"/>
              <w:jc w:val="left"/>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价格部分（满分35分）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noWrap w:val="0"/>
            <w:vAlign w:val="center"/>
          </w:tcPr>
          <w:p>
            <w:pPr>
              <w:pStyle w:val="18"/>
              <w:keepNext w:val="0"/>
              <w:keepLines w:val="0"/>
              <w:pageBreakBefore w:val="0"/>
              <w:kinsoku/>
              <w:wordWrap w:val="0"/>
              <w:overflowPunct/>
              <w:topLinePunct w:val="0"/>
              <w:autoSpaceDE/>
              <w:autoSpaceDN/>
              <w:bidi w:val="0"/>
              <w:adjustRightInd/>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700" w:type="pct"/>
            <w:noWrap w:val="0"/>
            <w:vAlign w:val="center"/>
          </w:tcPr>
          <w:p>
            <w:pPr>
              <w:pStyle w:val="18"/>
              <w:keepNext w:val="0"/>
              <w:keepLines w:val="0"/>
              <w:pageBreakBefore w:val="0"/>
              <w:kinsoku/>
              <w:wordWrap w:val="0"/>
              <w:overflowPunct/>
              <w:topLinePunct w:val="0"/>
              <w:autoSpaceDE/>
              <w:autoSpaceDN/>
              <w:bidi w:val="0"/>
              <w:adjustRightInd/>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A1</w:t>
            </w:r>
            <w:r>
              <w:rPr>
                <w:rFonts w:hint="eastAsia" w:ascii="宋体" w:hAnsi="宋体" w:eastAsia="宋体" w:cs="宋体"/>
                <w:sz w:val="21"/>
                <w:szCs w:val="21"/>
                <w:lang w:val="en-US" w:eastAsia="zh-CN"/>
              </w:rPr>
              <w:t>价格</w:t>
            </w:r>
          </w:p>
        </w:tc>
        <w:tc>
          <w:tcPr>
            <w:tcW w:w="3267" w:type="pct"/>
            <w:noWrap w:val="0"/>
            <w:vAlign w:val="center"/>
          </w:tcPr>
          <w:p>
            <w:pPr>
              <w:pStyle w:val="18"/>
              <w:keepNext w:val="0"/>
              <w:keepLines w:val="0"/>
              <w:pageBreakBefore w:val="0"/>
              <w:kinsoku/>
              <w:wordWrap w:val="0"/>
              <w:overflowPunct/>
              <w:topLinePunct w:val="0"/>
              <w:autoSpaceDE/>
              <w:autoSpaceDN/>
              <w:bidi w:val="0"/>
              <w:adjustRightInd/>
              <w:snapToGrid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投标报价得分=（评标基准价／投标报价）× 满分值</w:t>
            </w:r>
          </w:p>
          <w:p>
            <w:pPr>
              <w:pStyle w:val="18"/>
              <w:keepNext w:val="0"/>
              <w:keepLines w:val="0"/>
              <w:pageBreakBefore w:val="0"/>
              <w:kinsoku/>
              <w:wordWrap w:val="0"/>
              <w:overflowPunct/>
              <w:topLinePunct w:val="0"/>
              <w:autoSpaceDE/>
              <w:autoSpaceDN/>
              <w:bidi w:val="0"/>
              <w:adjustRightInd/>
              <w:snapToGrid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（1）评标基准价是指满足招标文件要求且投标价格最低的投标报价。</w:t>
            </w:r>
          </w:p>
          <w:p>
            <w:pPr>
              <w:pStyle w:val="18"/>
              <w:keepNext w:val="0"/>
              <w:keepLines w:val="0"/>
              <w:pageBreakBefore w:val="0"/>
              <w:kinsoku/>
              <w:wordWrap w:val="0"/>
              <w:overflowPunct/>
              <w:topLinePunct w:val="0"/>
              <w:autoSpaceDE/>
              <w:autoSpaceDN/>
              <w:bidi w:val="0"/>
              <w:adjustRightInd/>
              <w:snapToGrid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（2）因落实政府采购政策进行价格调整的，以调整后的价格计算评标基准价和投标报价。</w:t>
            </w:r>
          </w:p>
          <w:p>
            <w:pPr>
              <w:pStyle w:val="18"/>
              <w:keepNext w:val="0"/>
              <w:keepLines w:val="0"/>
              <w:pageBreakBefore w:val="0"/>
              <w:kinsoku/>
              <w:wordWrap w:val="0"/>
              <w:overflowPunct/>
              <w:topLinePunct w:val="0"/>
              <w:autoSpaceDE/>
              <w:autoSpaceDN/>
              <w:bidi w:val="0"/>
              <w:adjustRightInd/>
              <w:snapToGrid w:val="0"/>
              <w:spacing w:line="360" w:lineRule="auto"/>
              <w:rPr>
                <w:rFonts w:hint="eastAsia" w:ascii="宋体" w:hAnsi="宋体" w:eastAsia="宋体" w:cs="宋体"/>
                <w:b/>
                <w:bCs/>
                <w:sz w:val="21"/>
                <w:szCs w:val="21"/>
              </w:rPr>
            </w:pPr>
            <w:r>
              <w:rPr>
                <w:rFonts w:hint="eastAsia" w:ascii="宋体" w:hAnsi="宋体" w:eastAsia="宋体" w:cs="宋体"/>
                <w:b/>
                <w:bCs/>
                <w:sz w:val="21"/>
                <w:szCs w:val="21"/>
              </w:rPr>
              <w:t>注：采购人不接受投标人的恶意低价竞争。评标委员会认为投标人的报价明显低于其他通过符合性审查投标人的报价，有可能影响产品质量或者不能诚信履约的，要求其在评标现场提供书面说明，并提交相关证明材料；投标人不能证明其报价合理性的，评标委员会将其作为无效投标处理。</w:t>
            </w:r>
          </w:p>
        </w:tc>
        <w:tc>
          <w:tcPr>
            <w:tcW w:w="621" w:type="pct"/>
            <w:noWrap w:val="0"/>
            <w:vAlign w:val="center"/>
          </w:tcPr>
          <w:p>
            <w:pPr>
              <w:pStyle w:val="18"/>
              <w:keepNext w:val="0"/>
              <w:keepLines w:val="0"/>
              <w:pageBreakBefore w:val="0"/>
              <w:kinsoku/>
              <w:wordWrap w:val="0"/>
              <w:overflowPunct/>
              <w:topLinePunct w:val="0"/>
              <w:autoSpaceDE/>
              <w:autoSpaceDN/>
              <w:bidi w:val="0"/>
              <w:adjustRightInd/>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noWrap w:val="0"/>
            <w:vAlign w:val="center"/>
          </w:tcPr>
          <w:p>
            <w:pPr>
              <w:pStyle w:val="18"/>
              <w:keepNext w:val="0"/>
              <w:keepLines w:val="0"/>
              <w:pageBreakBefore w:val="0"/>
              <w:kinsoku/>
              <w:wordWrap w:val="0"/>
              <w:overflowPunct/>
              <w:topLinePunct w:val="0"/>
              <w:autoSpaceDE/>
              <w:autoSpaceDN/>
              <w:bidi w:val="0"/>
              <w:adjustRightInd/>
              <w:snapToGrid w:val="0"/>
              <w:spacing w:line="360" w:lineRule="auto"/>
              <w:jc w:val="left"/>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noWrap w:val="0"/>
            <w:vAlign w:val="center"/>
          </w:tcPr>
          <w:p>
            <w:pPr>
              <w:pStyle w:val="18"/>
              <w:keepNext w:val="0"/>
              <w:keepLines w:val="0"/>
              <w:pageBreakBefore w:val="0"/>
              <w:kinsoku/>
              <w:wordWrap w:val="0"/>
              <w:overflowPunct/>
              <w:topLinePunct w:val="0"/>
              <w:autoSpaceDE/>
              <w:autoSpaceDN/>
              <w:bidi w:val="0"/>
              <w:adjustRightInd/>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700" w:type="pct"/>
            <w:noWrap w:val="0"/>
            <w:vAlign w:val="center"/>
          </w:tcPr>
          <w:p>
            <w:pPr>
              <w:pStyle w:val="18"/>
              <w:keepNext w:val="0"/>
              <w:keepLines w:val="0"/>
              <w:pageBreakBefore w:val="0"/>
              <w:kinsoku/>
              <w:wordWrap w:val="0"/>
              <w:overflowPunct/>
              <w:topLinePunct w:val="0"/>
              <w:autoSpaceDE/>
              <w:autoSpaceDN/>
              <w:bidi w:val="0"/>
              <w:adjustRightInd/>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B1管理体系认证</w:t>
            </w:r>
          </w:p>
        </w:tc>
        <w:tc>
          <w:tcPr>
            <w:tcW w:w="3267" w:type="pct"/>
            <w:noWrap w:val="0"/>
            <w:vAlign w:val="center"/>
          </w:tcPr>
          <w:p>
            <w:pPr>
              <w:widowControl/>
              <w:spacing w:line="360" w:lineRule="auto"/>
              <w:rPr>
                <w:rFonts w:hint="eastAsia" w:ascii="宋体" w:hAnsi="宋体" w:eastAsia="宋体" w:cs="宋体"/>
                <w:sz w:val="21"/>
                <w:szCs w:val="21"/>
                <w:lang w:eastAsia="zh-CN"/>
              </w:rPr>
            </w:pPr>
            <w:r>
              <w:rPr>
                <w:rFonts w:hint="eastAsia" w:ascii="宋体" w:hAnsi="宋体" w:eastAsia="宋体" w:cs="宋体"/>
                <w:sz w:val="21"/>
                <w:szCs w:val="21"/>
              </w:rPr>
              <w:t>根据投标人</w:t>
            </w:r>
            <w:r>
              <w:rPr>
                <w:rFonts w:hint="eastAsia" w:ascii="宋体" w:hAnsi="宋体" w:eastAsia="宋体" w:cs="宋体"/>
                <w:sz w:val="21"/>
                <w:szCs w:val="21"/>
                <w:lang w:val="en-US" w:eastAsia="zh-CN"/>
              </w:rPr>
              <w:t>持有</w:t>
            </w:r>
            <w:r>
              <w:rPr>
                <w:rFonts w:hint="eastAsia" w:ascii="宋体" w:hAnsi="宋体" w:eastAsia="宋体" w:cs="宋体"/>
                <w:sz w:val="21"/>
                <w:szCs w:val="21"/>
              </w:rPr>
              <w:t>有效期内的管理体系证书进行评分：①质量管理体系认证证书、②环境管理体系认证证书、③职业健康安全管理体系认证证书，每具备上述一项证书的得2分，满分6分</w:t>
            </w:r>
            <w:r>
              <w:rPr>
                <w:rFonts w:hint="eastAsia" w:ascii="宋体" w:hAnsi="宋体" w:eastAsia="宋体" w:cs="宋体"/>
                <w:sz w:val="21"/>
                <w:szCs w:val="21"/>
                <w:lang w:eastAsia="zh-CN"/>
              </w:rPr>
              <w:t>。</w:t>
            </w:r>
          </w:p>
          <w:p>
            <w:pPr>
              <w:widowControl/>
              <w:spacing w:line="360" w:lineRule="auto"/>
              <w:rPr>
                <w:rFonts w:hint="eastAsia" w:ascii="宋体" w:hAnsi="宋体" w:eastAsia="宋体" w:cs="宋体"/>
                <w:sz w:val="21"/>
                <w:szCs w:val="21"/>
                <w:lang w:eastAsia="zh-CN"/>
              </w:rPr>
            </w:pPr>
          </w:p>
          <w:p>
            <w:pPr>
              <w:widowControl/>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评审依据：</w:t>
            </w:r>
            <w:r>
              <w:rPr>
                <w:rFonts w:hint="eastAsia" w:ascii="宋体" w:hAnsi="宋体" w:eastAsia="宋体" w:cs="宋体"/>
                <w:sz w:val="21"/>
                <w:szCs w:val="21"/>
              </w:rPr>
              <w:t>投标人须提供有效证书复印件，并加盖投标人公章，否则不得分。</w:t>
            </w:r>
          </w:p>
        </w:tc>
        <w:tc>
          <w:tcPr>
            <w:tcW w:w="621" w:type="pct"/>
            <w:noWrap w:val="0"/>
            <w:vAlign w:val="center"/>
          </w:tcPr>
          <w:p>
            <w:pPr>
              <w:pStyle w:val="18"/>
              <w:keepNext w:val="0"/>
              <w:keepLines w:val="0"/>
              <w:pageBreakBefore w:val="0"/>
              <w:kinsoku/>
              <w:wordWrap w:val="0"/>
              <w:overflowPunct/>
              <w:topLinePunct w:val="0"/>
              <w:autoSpaceDE/>
              <w:autoSpaceDN/>
              <w:bidi w:val="0"/>
              <w:adjustRightInd/>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noWrap w:val="0"/>
            <w:vAlign w:val="center"/>
          </w:tcPr>
          <w:p>
            <w:pPr>
              <w:pStyle w:val="18"/>
              <w:keepNext w:val="0"/>
              <w:keepLines w:val="0"/>
              <w:pageBreakBefore w:val="0"/>
              <w:kinsoku/>
              <w:wordWrap w:val="0"/>
              <w:overflowPunct/>
              <w:topLinePunct w:val="0"/>
              <w:autoSpaceDE/>
              <w:autoSpaceDN/>
              <w:bidi w:val="0"/>
              <w:adjustRightInd/>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00" w:type="pct"/>
            <w:noWrap w:val="0"/>
            <w:vAlign w:val="center"/>
          </w:tcPr>
          <w:p>
            <w:pPr>
              <w:pStyle w:val="18"/>
              <w:keepNext w:val="0"/>
              <w:keepLines w:val="0"/>
              <w:pageBreakBefore w:val="0"/>
              <w:kinsoku/>
              <w:wordWrap w:val="0"/>
              <w:overflowPunct/>
              <w:topLinePunct w:val="0"/>
              <w:autoSpaceDE/>
              <w:autoSpaceDN/>
              <w:bidi w:val="0"/>
              <w:adjustRightInd/>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B2项目业绩</w:t>
            </w:r>
          </w:p>
        </w:tc>
        <w:tc>
          <w:tcPr>
            <w:tcW w:w="3267" w:type="pct"/>
            <w:noWrap w:val="0"/>
            <w:vAlign w:val="center"/>
          </w:tcPr>
          <w:p>
            <w:pPr>
              <w:widowControl/>
              <w:wordWrap w:val="0"/>
              <w:spacing w:line="360" w:lineRule="auto"/>
              <w:jc w:val="both"/>
              <w:rPr>
                <w:rFonts w:hint="eastAsia" w:ascii="宋体" w:hAnsi="宋体" w:eastAsia="宋体" w:cs="宋体"/>
                <w:sz w:val="21"/>
                <w:szCs w:val="21"/>
              </w:rPr>
            </w:pPr>
            <w:r>
              <w:rPr>
                <w:rFonts w:hint="eastAsia" w:ascii="宋体" w:hAnsi="宋体" w:eastAsia="宋体" w:cs="宋体"/>
                <w:sz w:val="21"/>
                <w:szCs w:val="21"/>
              </w:rPr>
              <w:t>根据投标人2021年1月1日</w:t>
            </w:r>
            <w:r>
              <w:rPr>
                <w:rFonts w:hint="eastAsia" w:ascii="宋体" w:hAnsi="宋体" w:eastAsia="宋体" w:cs="宋体"/>
                <w:sz w:val="21"/>
                <w:szCs w:val="21"/>
                <w:lang w:val="en-US" w:eastAsia="zh-CN"/>
              </w:rPr>
              <w:t>至本项目投标截止时间</w:t>
            </w:r>
            <w:r>
              <w:rPr>
                <w:rFonts w:hint="eastAsia" w:ascii="宋体" w:hAnsi="宋体" w:eastAsia="宋体" w:cs="宋体"/>
                <w:sz w:val="21"/>
                <w:szCs w:val="21"/>
              </w:rPr>
              <w:t>（以合同签订日期为准）由投标人自身已完成或正在履行期内的非住宅类物业管理服务项目【其中管理服务的项目至少应同时包含保洁、接待（会议）服务、安保（安防）、设施设备维护(工程)四项内容】的业绩情况进行评分：每提供1份得1分，满分4分。</w:t>
            </w:r>
          </w:p>
          <w:p>
            <w:pPr>
              <w:widowControl/>
              <w:wordWrap w:val="0"/>
              <w:spacing w:line="360" w:lineRule="auto"/>
              <w:jc w:val="both"/>
              <w:rPr>
                <w:rFonts w:hint="eastAsia" w:ascii="宋体" w:hAnsi="宋体" w:eastAsia="宋体" w:cs="宋体"/>
                <w:sz w:val="21"/>
                <w:szCs w:val="21"/>
              </w:rPr>
            </w:pPr>
          </w:p>
          <w:p>
            <w:pPr>
              <w:widowControl/>
              <w:wordWrap w:val="0"/>
              <w:spacing w:line="36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评审依据：</w:t>
            </w:r>
            <w:r>
              <w:rPr>
                <w:rFonts w:hint="eastAsia" w:ascii="宋体" w:hAnsi="宋体" w:eastAsia="宋体" w:cs="宋体"/>
                <w:sz w:val="21"/>
                <w:szCs w:val="21"/>
              </w:rPr>
              <w:t>每项业绩项目须含中标/成交通知书复印件、采购合同文本复印件、以及项目验收或评价证明（或服务期内任意一个月的物业服务费收款证明复印件或银行收款回单复印件）为评分依据，未同时提供的则不得分。</w:t>
            </w:r>
          </w:p>
          <w:p>
            <w:pPr>
              <w:widowControl/>
              <w:wordWrap w:val="0"/>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rPr>
              <w:t>本项与B3满意度评价不重复计分。</w:t>
            </w:r>
          </w:p>
        </w:tc>
        <w:tc>
          <w:tcPr>
            <w:tcW w:w="621" w:type="pct"/>
            <w:noWrap w:val="0"/>
            <w:vAlign w:val="center"/>
          </w:tcPr>
          <w:p>
            <w:pPr>
              <w:widowControl/>
              <w:wordWrap w:val="0"/>
              <w:spacing w:line="360" w:lineRule="auto"/>
              <w:jc w:val="center"/>
              <w:rPr>
                <w:rFonts w:hint="eastAsia" w:ascii="宋体" w:hAnsi="宋体" w:eastAsia="宋体" w:cs="宋体"/>
                <w:sz w:val="21"/>
                <w:szCs w:val="21"/>
                <w:lang w:val="en-US" w:eastAsia="zh-CN"/>
              </w:rPr>
            </w:pPr>
            <w:r>
              <w:rPr>
                <w:rFonts w:hint="eastAsia" w:ascii="宋体" w:hAnsi="宋体" w:eastAsia="宋体" w:cs="宋体"/>
                <w:bCs/>
                <w:snapToGrid/>
                <w:sz w:val="21"/>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noWrap w:val="0"/>
            <w:vAlign w:val="center"/>
          </w:tcPr>
          <w:p>
            <w:pPr>
              <w:pStyle w:val="18"/>
              <w:keepNext w:val="0"/>
              <w:keepLines w:val="0"/>
              <w:pageBreakBefore w:val="0"/>
              <w:kinsoku/>
              <w:wordWrap w:val="0"/>
              <w:overflowPunct/>
              <w:topLinePunct w:val="0"/>
              <w:autoSpaceDE/>
              <w:autoSpaceDN/>
              <w:bidi w:val="0"/>
              <w:adjustRightInd/>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700" w:type="pct"/>
            <w:noWrap w:val="0"/>
            <w:vAlign w:val="center"/>
          </w:tcPr>
          <w:p>
            <w:pPr>
              <w:keepNext w:val="0"/>
              <w:keepLines w:val="0"/>
              <w:pageBreakBefore w:val="0"/>
              <w:kinsoku/>
              <w:wordWrap w:val="0"/>
              <w:overflowPunct/>
              <w:topLinePunct w:val="0"/>
              <w:autoSpaceDE/>
              <w:autoSpaceDN/>
              <w:bidi w:val="0"/>
              <w:adjustRightInd/>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B3满意度评价</w:t>
            </w:r>
          </w:p>
        </w:tc>
        <w:tc>
          <w:tcPr>
            <w:tcW w:w="3267" w:type="pct"/>
            <w:noWrap w:val="0"/>
            <w:vAlign w:val="center"/>
          </w:tcPr>
          <w:p>
            <w:pPr>
              <w:wordWrap w:val="0"/>
              <w:spacing w:line="360" w:lineRule="auto"/>
              <w:jc w:val="both"/>
              <w:rPr>
                <w:rFonts w:hint="eastAsia" w:ascii="宋体" w:hAnsi="宋体" w:eastAsia="宋体" w:cs="宋体"/>
                <w:sz w:val="21"/>
                <w:szCs w:val="21"/>
              </w:rPr>
            </w:pPr>
            <w:r>
              <w:rPr>
                <w:rFonts w:hint="eastAsia" w:ascii="宋体" w:hAnsi="宋体" w:eastAsia="宋体" w:cs="宋体"/>
                <w:sz w:val="21"/>
                <w:szCs w:val="21"/>
              </w:rPr>
              <w:t>根据投标人2021年1月1日</w:t>
            </w:r>
            <w:r>
              <w:rPr>
                <w:rFonts w:hint="eastAsia" w:ascii="宋体" w:hAnsi="宋体" w:eastAsia="宋体" w:cs="宋体"/>
                <w:sz w:val="21"/>
                <w:szCs w:val="21"/>
                <w:lang w:val="en-US" w:eastAsia="zh-CN"/>
              </w:rPr>
              <w:t>至本项目投标截止时间</w:t>
            </w:r>
            <w:r>
              <w:rPr>
                <w:rFonts w:hint="eastAsia" w:ascii="宋体" w:hAnsi="宋体" w:eastAsia="宋体" w:cs="宋体"/>
                <w:sz w:val="21"/>
                <w:szCs w:val="21"/>
              </w:rPr>
              <w:t>（以合同签订日期为准）由投标人自身已完成或正在履行期内的非住宅类物业管理服务项目获得采购人单位满意情况进行打分：每提供一份采购人满意或表扬等类似肯定性评价的得1分，满分4分。</w:t>
            </w:r>
          </w:p>
          <w:p>
            <w:pPr>
              <w:wordWrap w:val="0"/>
              <w:spacing w:line="360" w:lineRule="auto"/>
              <w:jc w:val="both"/>
              <w:rPr>
                <w:rFonts w:hint="eastAsia" w:ascii="宋体" w:hAnsi="宋体" w:eastAsia="宋体" w:cs="宋体"/>
                <w:sz w:val="21"/>
                <w:szCs w:val="21"/>
              </w:rPr>
            </w:pPr>
          </w:p>
          <w:p>
            <w:pPr>
              <w:wordWrap w:val="0"/>
              <w:spacing w:line="36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评审依据：</w:t>
            </w:r>
            <w:r>
              <w:rPr>
                <w:rFonts w:hint="eastAsia" w:ascii="宋体" w:hAnsi="宋体" w:eastAsia="宋体" w:cs="宋体"/>
                <w:sz w:val="21"/>
                <w:szCs w:val="21"/>
              </w:rPr>
              <w:t>证明材料须含中标/成交通知书复印件、合同复印件、服务期内任意一个月的物业服务费收款证明</w:t>
            </w:r>
            <w:r>
              <w:rPr>
                <w:rFonts w:hint="eastAsia" w:ascii="宋体" w:hAnsi="宋体" w:eastAsia="宋体" w:cs="宋体"/>
                <w:sz w:val="21"/>
                <w:szCs w:val="21"/>
                <w:lang w:val="en-US" w:eastAsia="zh-CN"/>
              </w:rPr>
              <w:t>或银行收款回单复印件</w:t>
            </w:r>
            <w:r>
              <w:rPr>
                <w:rFonts w:hint="eastAsia" w:ascii="宋体" w:hAnsi="宋体" w:eastAsia="宋体" w:cs="宋体"/>
                <w:sz w:val="21"/>
                <w:szCs w:val="21"/>
              </w:rPr>
              <w:t>、采购人满意的书面证明材料（如满意度或表扬信等材料），未同时提供的则不得分。</w:t>
            </w:r>
          </w:p>
          <w:p>
            <w:pPr>
              <w:wordWrap w:val="0"/>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rPr>
              <w:t>本项与B2项目业绩不重复计分。</w:t>
            </w:r>
          </w:p>
        </w:tc>
        <w:tc>
          <w:tcPr>
            <w:tcW w:w="621" w:type="pct"/>
            <w:noWrap w:val="0"/>
            <w:vAlign w:val="center"/>
          </w:tcPr>
          <w:p>
            <w:pPr>
              <w:widowControl/>
              <w:wordWrap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4</w:t>
            </w:r>
            <w:r>
              <w:rPr>
                <w:rFonts w:hint="eastAsia" w:ascii="宋体" w:hAnsi="宋体" w:eastAsia="宋体" w:cs="宋体"/>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noWrap w:val="0"/>
            <w:vAlign w:val="center"/>
          </w:tcPr>
          <w:p>
            <w:pPr>
              <w:pStyle w:val="18"/>
              <w:keepNext w:val="0"/>
              <w:keepLines w:val="0"/>
              <w:pageBreakBefore w:val="0"/>
              <w:kinsoku/>
              <w:wordWrap w:val="0"/>
              <w:overflowPunct/>
              <w:topLinePunct w:val="0"/>
              <w:autoSpaceDE/>
              <w:autoSpaceDN/>
              <w:bidi w:val="0"/>
              <w:adjustRightInd/>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700" w:type="pct"/>
            <w:noWrap w:val="0"/>
            <w:vAlign w:val="center"/>
          </w:tcPr>
          <w:p>
            <w:pPr>
              <w:pStyle w:val="43"/>
              <w:keepNext w:val="0"/>
              <w:keepLines w:val="0"/>
              <w:pageBreakBefore w:val="0"/>
              <w:kinsoku/>
              <w:wordWrap w:val="0"/>
              <w:overflowPunct/>
              <w:topLinePunct w:val="0"/>
              <w:autoSpaceDE/>
              <w:autoSpaceDN/>
              <w:bidi w:val="0"/>
              <w:adjustRightInd/>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B4保险投保承诺</w:t>
            </w:r>
          </w:p>
        </w:tc>
        <w:tc>
          <w:tcPr>
            <w:tcW w:w="3267" w:type="pct"/>
            <w:noWrap w:val="0"/>
            <w:vAlign w:val="center"/>
          </w:tcPr>
          <w:p>
            <w:pPr>
              <w:pStyle w:val="43"/>
              <w:wordWrap w:val="0"/>
              <w:spacing w:line="360" w:lineRule="auto"/>
              <w:jc w:val="both"/>
              <w:rPr>
                <w:rFonts w:hint="eastAsia" w:ascii="宋体" w:hAnsi="宋体" w:eastAsia="宋体" w:cs="宋体"/>
                <w:bCs/>
                <w:sz w:val="21"/>
                <w:szCs w:val="21"/>
                <w:lang w:eastAsia="zh-CN"/>
              </w:rPr>
            </w:pPr>
            <w:r>
              <w:rPr>
                <w:rFonts w:hint="eastAsia" w:ascii="宋体" w:hAnsi="宋体" w:eastAsia="宋体" w:cs="宋体"/>
                <w:bCs/>
                <w:sz w:val="21"/>
                <w:szCs w:val="21"/>
              </w:rPr>
              <w:t>投标人承诺中标后为本项目所有服务人员购买雇主责任险或意外险，根据赔偿限额进行评分</w:t>
            </w:r>
            <w:r>
              <w:rPr>
                <w:rFonts w:hint="eastAsia" w:ascii="宋体" w:hAnsi="宋体" w:eastAsia="宋体" w:cs="宋体"/>
                <w:bCs/>
                <w:sz w:val="21"/>
                <w:szCs w:val="21"/>
                <w:lang w:eastAsia="zh-CN"/>
              </w:rPr>
              <w:t>：</w:t>
            </w:r>
          </w:p>
          <w:p>
            <w:pPr>
              <w:pStyle w:val="43"/>
              <w:wordWrap w:val="0"/>
              <w:spacing w:line="360" w:lineRule="auto"/>
              <w:jc w:val="both"/>
              <w:rPr>
                <w:rFonts w:hint="eastAsia" w:ascii="宋体" w:hAnsi="宋体" w:eastAsia="宋体" w:cs="宋体"/>
                <w:bCs/>
                <w:sz w:val="21"/>
                <w:szCs w:val="21"/>
              </w:rPr>
            </w:pPr>
            <w:r>
              <w:rPr>
                <w:rFonts w:hint="eastAsia" w:ascii="宋体" w:hAnsi="宋体" w:eastAsia="宋体" w:cs="宋体"/>
                <w:bCs/>
                <w:sz w:val="21"/>
                <w:szCs w:val="21"/>
              </w:rPr>
              <w:t>50万元≤赔偿金额＜80万元的，得1分；</w:t>
            </w:r>
          </w:p>
          <w:p>
            <w:pPr>
              <w:pStyle w:val="43"/>
              <w:wordWrap w:val="0"/>
              <w:spacing w:line="360" w:lineRule="auto"/>
              <w:jc w:val="both"/>
              <w:rPr>
                <w:rFonts w:hint="eastAsia" w:ascii="宋体" w:hAnsi="宋体" w:eastAsia="宋体" w:cs="宋体"/>
                <w:bCs/>
                <w:sz w:val="21"/>
                <w:szCs w:val="21"/>
                <w:lang w:eastAsia="zh-CN"/>
              </w:rPr>
            </w:pPr>
            <w:r>
              <w:rPr>
                <w:rFonts w:hint="eastAsia" w:ascii="宋体" w:hAnsi="宋体" w:eastAsia="宋体" w:cs="宋体"/>
                <w:bCs/>
                <w:sz w:val="21"/>
                <w:szCs w:val="21"/>
              </w:rPr>
              <w:t>80万元≤赔偿金额＜100万元的，得2分</w:t>
            </w:r>
            <w:r>
              <w:rPr>
                <w:rFonts w:hint="eastAsia" w:ascii="宋体" w:hAnsi="宋体" w:eastAsia="宋体" w:cs="宋体"/>
                <w:bCs/>
                <w:sz w:val="21"/>
                <w:szCs w:val="21"/>
                <w:lang w:eastAsia="zh-CN"/>
              </w:rPr>
              <w:t>；</w:t>
            </w:r>
          </w:p>
          <w:p>
            <w:pPr>
              <w:pStyle w:val="43"/>
              <w:wordWrap w:val="0"/>
              <w:spacing w:line="360" w:lineRule="auto"/>
              <w:jc w:val="both"/>
              <w:rPr>
                <w:rFonts w:hint="eastAsia" w:ascii="宋体" w:hAnsi="宋体" w:eastAsia="宋体" w:cs="宋体"/>
                <w:bCs/>
                <w:sz w:val="21"/>
                <w:szCs w:val="21"/>
                <w:lang w:eastAsia="zh-CN"/>
              </w:rPr>
            </w:pPr>
            <w:r>
              <w:rPr>
                <w:rFonts w:hint="eastAsia" w:ascii="宋体" w:hAnsi="宋体" w:eastAsia="宋体" w:cs="宋体"/>
                <w:bCs/>
                <w:sz w:val="21"/>
                <w:szCs w:val="21"/>
              </w:rPr>
              <w:t>赔偿金额≥100万元的，得3分</w:t>
            </w:r>
            <w:r>
              <w:rPr>
                <w:rFonts w:hint="eastAsia" w:ascii="宋体" w:hAnsi="宋体" w:eastAsia="宋体" w:cs="宋体"/>
                <w:bCs/>
                <w:sz w:val="21"/>
                <w:szCs w:val="21"/>
                <w:lang w:eastAsia="zh-CN"/>
              </w:rPr>
              <w:t>；</w:t>
            </w:r>
          </w:p>
          <w:p>
            <w:pPr>
              <w:pStyle w:val="43"/>
              <w:wordWrap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其他情况不得分。</w:t>
            </w:r>
          </w:p>
          <w:p>
            <w:pPr>
              <w:pStyle w:val="43"/>
              <w:wordWrap w:val="0"/>
              <w:spacing w:line="360" w:lineRule="auto"/>
              <w:jc w:val="both"/>
              <w:rPr>
                <w:rFonts w:hint="eastAsia" w:ascii="宋体" w:hAnsi="宋体" w:eastAsia="宋体" w:cs="宋体"/>
                <w:sz w:val="21"/>
                <w:szCs w:val="21"/>
                <w:lang w:val="en-US" w:eastAsia="zh-CN"/>
              </w:rPr>
            </w:pPr>
          </w:p>
          <w:p>
            <w:pPr>
              <w:pStyle w:val="43"/>
              <w:wordWrap w:val="0"/>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评审依据：</w:t>
            </w:r>
            <w:r>
              <w:rPr>
                <w:rFonts w:hint="eastAsia" w:ascii="宋体" w:hAnsi="宋体" w:eastAsia="宋体" w:cs="宋体"/>
                <w:bCs/>
                <w:sz w:val="21"/>
                <w:szCs w:val="21"/>
              </w:rPr>
              <w:t>提供承诺书，承诺书应明确在签订合同后10日内购买雇主责任险或意外险，投保时间覆盖本项目服务期，否则不得分。</w:t>
            </w:r>
          </w:p>
        </w:tc>
        <w:tc>
          <w:tcPr>
            <w:tcW w:w="621" w:type="pct"/>
            <w:noWrap w:val="0"/>
            <w:vAlign w:val="center"/>
          </w:tcPr>
          <w:p>
            <w:pPr>
              <w:pStyle w:val="43"/>
              <w:wordWrap w:val="0"/>
              <w:spacing w:line="360" w:lineRule="auto"/>
              <w:jc w:val="center"/>
              <w:rPr>
                <w:rFonts w:hint="eastAsia" w:ascii="宋体" w:hAnsi="宋体" w:eastAsia="宋体" w:cs="宋体"/>
                <w:sz w:val="21"/>
                <w:szCs w:val="21"/>
                <w:lang w:val="en-US" w:eastAsia="zh-CN"/>
              </w:rPr>
            </w:pPr>
            <w:r>
              <w:rPr>
                <w:rFonts w:hint="eastAsia" w:ascii="宋体" w:hAnsi="宋体" w:eastAsia="宋体" w:cs="宋体"/>
                <w:bCs/>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noWrap w:val="0"/>
            <w:vAlign w:val="center"/>
          </w:tcPr>
          <w:p>
            <w:pPr>
              <w:pStyle w:val="18"/>
              <w:keepNext w:val="0"/>
              <w:keepLines w:val="0"/>
              <w:pageBreakBefore w:val="0"/>
              <w:kinsoku/>
              <w:wordWrap w:val="0"/>
              <w:overflowPunct/>
              <w:topLinePunct w:val="0"/>
              <w:autoSpaceDE/>
              <w:autoSpaceDN/>
              <w:bidi w:val="0"/>
              <w:adjustRightInd/>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700" w:type="pct"/>
            <w:noWrap w:val="0"/>
            <w:vAlign w:val="center"/>
          </w:tcPr>
          <w:p>
            <w:pPr>
              <w:keepNext w:val="0"/>
              <w:keepLines w:val="0"/>
              <w:pageBreakBefore w:val="0"/>
              <w:kinsoku/>
              <w:wordWrap w:val="0"/>
              <w:overflowPunct/>
              <w:topLinePunct w:val="0"/>
              <w:autoSpaceDE/>
              <w:autoSpaceDN/>
              <w:bidi w:val="0"/>
              <w:adjustRightInd/>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B5物业经理</w:t>
            </w:r>
          </w:p>
        </w:tc>
        <w:tc>
          <w:tcPr>
            <w:tcW w:w="3267" w:type="pct"/>
            <w:noWrap w:val="0"/>
            <w:vAlign w:val="center"/>
          </w:tcPr>
          <w:p>
            <w:pPr>
              <w:wordWrap w:val="0"/>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rPr>
              <w:t>拟派本项目的物业经理在满足招标文件中对应岗位要求的基础上进行评分：</w:t>
            </w:r>
          </w:p>
          <w:p>
            <w:pPr>
              <w:wordWrap w:val="0"/>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45周岁</w:t>
            </w:r>
            <w:r>
              <w:rPr>
                <w:rFonts w:hint="eastAsia" w:ascii="宋体" w:hAnsi="宋体" w:eastAsia="宋体" w:cs="宋体"/>
                <w:sz w:val="21"/>
                <w:szCs w:val="21"/>
                <w:highlight w:val="none"/>
                <w:lang w:val="en-US" w:eastAsia="zh-CN"/>
              </w:rPr>
              <w:t>或</w:t>
            </w:r>
            <w:r>
              <w:rPr>
                <w:rFonts w:hint="eastAsia" w:ascii="宋体" w:hAnsi="宋体" w:eastAsia="宋体" w:cs="宋体"/>
                <w:sz w:val="21"/>
                <w:szCs w:val="21"/>
                <w:highlight w:val="none"/>
              </w:rPr>
              <w:t>以下，大专</w:t>
            </w:r>
            <w:r>
              <w:rPr>
                <w:rFonts w:hint="eastAsia" w:ascii="宋体" w:hAnsi="宋体" w:eastAsia="宋体" w:cs="宋体"/>
                <w:sz w:val="21"/>
                <w:szCs w:val="21"/>
                <w:highlight w:val="none"/>
                <w:lang w:val="en-US" w:eastAsia="zh-CN"/>
              </w:rPr>
              <w:t>或</w:t>
            </w:r>
            <w:r>
              <w:rPr>
                <w:rFonts w:hint="eastAsia" w:ascii="宋体" w:hAnsi="宋体" w:eastAsia="宋体" w:cs="宋体"/>
                <w:sz w:val="21"/>
                <w:szCs w:val="21"/>
                <w:highlight w:val="none"/>
              </w:rPr>
              <w:t>以上学历得1分；</w:t>
            </w:r>
          </w:p>
          <w:p>
            <w:pPr>
              <w:wordWrap w:val="0"/>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具有政府部门颁发的物业经理证得1分；</w:t>
            </w:r>
          </w:p>
          <w:p>
            <w:pPr>
              <w:wordWrap w:val="0"/>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具有3年及以上物业管理经验得1分。</w:t>
            </w:r>
          </w:p>
          <w:p>
            <w:pPr>
              <w:wordWrap w:val="0"/>
              <w:spacing w:line="360" w:lineRule="auto"/>
              <w:jc w:val="both"/>
              <w:rPr>
                <w:rFonts w:hint="eastAsia" w:ascii="宋体" w:hAnsi="宋体" w:eastAsia="宋体" w:cs="宋体"/>
                <w:sz w:val="21"/>
                <w:szCs w:val="21"/>
                <w:highlight w:val="none"/>
              </w:rPr>
            </w:pPr>
          </w:p>
          <w:p>
            <w:pPr>
              <w:wordWrap w:val="0"/>
              <w:spacing w:line="36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评审依据：</w:t>
            </w:r>
            <w:r>
              <w:rPr>
                <w:rFonts w:hint="eastAsia" w:ascii="宋体" w:hAnsi="宋体" w:eastAsia="宋体" w:cs="宋体"/>
                <w:sz w:val="21"/>
                <w:szCs w:val="21"/>
              </w:rPr>
              <w:t>须提供以下证明材料：</w:t>
            </w:r>
          </w:p>
          <w:p>
            <w:pPr>
              <w:wordWrap w:val="0"/>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rPr>
              <w:t>①有效身份证复印件、毕业证书复印件（或学信网查询截图）</w:t>
            </w:r>
            <w:r>
              <w:rPr>
                <w:rFonts w:hint="eastAsia" w:ascii="宋体" w:hAnsi="宋体" w:eastAsia="宋体" w:cs="宋体"/>
                <w:sz w:val="21"/>
                <w:szCs w:val="21"/>
                <w:lang w:eastAsia="zh-CN"/>
              </w:rPr>
              <w:t>；</w:t>
            </w:r>
          </w:p>
          <w:p>
            <w:pPr>
              <w:wordWrap w:val="0"/>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rPr>
              <w:t>②</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"http://jndj.osta.org.cn/" </w:instrText>
            </w:r>
            <w:r>
              <w:rPr>
                <w:rFonts w:hint="eastAsia" w:ascii="宋体" w:hAnsi="宋体" w:eastAsia="宋体" w:cs="宋体"/>
                <w:sz w:val="21"/>
                <w:szCs w:val="21"/>
              </w:rPr>
              <w:fldChar w:fldCharType="separate"/>
            </w:r>
            <w:r>
              <w:rPr>
                <w:rFonts w:hint="eastAsia" w:ascii="宋体" w:hAnsi="宋体" w:eastAsia="宋体" w:cs="宋体"/>
                <w:sz w:val="21"/>
                <w:szCs w:val="21"/>
              </w:rPr>
              <w:t>技能人才评价证书全国联网查询系统</w:t>
            </w:r>
            <w:r>
              <w:rPr>
                <w:rFonts w:hint="eastAsia" w:ascii="宋体" w:hAnsi="宋体" w:eastAsia="宋体" w:cs="宋体"/>
                <w:sz w:val="21"/>
                <w:szCs w:val="21"/>
                <w:lang w:eastAsia="zh-CN"/>
              </w:rPr>
              <w:t>（</w:t>
            </w:r>
            <w:r>
              <w:rPr>
                <w:rFonts w:hint="eastAsia" w:ascii="宋体" w:hAnsi="宋体" w:eastAsia="宋体" w:cs="宋体"/>
                <w:sz w:val="21"/>
                <w:szCs w:val="21"/>
              </w:rPr>
              <w:t>http://zscx.osta.org.cn/</w:t>
            </w:r>
            <w:r>
              <w:rPr>
                <w:rFonts w:hint="eastAsia" w:ascii="宋体" w:hAnsi="宋体" w:eastAsia="宋体" w:cs="宋体"/>
                <w:sz w:val="21"/>
                <w:szCs w:val="21"/>
              </w:rPr>
              <w:fldChar w:fldCharType="end"/>
            </w:r>
            <w:r>
              <w:rPr>
                <w:rFonts w:hint="eastAsia" w:ascii="宋体" w:hAnsi="宋体" w:eastAsia="宋体" w:cs="宋体"/>
                <w:sz w:val="21"/>
                <w:szCs w:val="21"/>
                <w:lang w:eastAsia="zh-CN"/>
              </w:rPr>
              <w:t>）</w:t>
            </w:r>
            <w:r>
              <w:rPr>
                <w:rFonts w:hint="eastAsia" w:ascii="宋体" w:hAnsi="宋体" w:eastAsia="宋体" w:cs="宋体"/>
                <w:sz w:val="21"/>
                <w:szCs w:val="21"/>
              </w:rPr>
              <w:t>查询截图或相关证书复印件</w:t>
            </w:r>
            <w:r>
              <w:rPr>
                <w:rFonts w:hint="eastAsia" w:ascii="宋体" w:hAnsi="宋体" w:eastAsia="宋体" w:cs="宋体"/>
                <w:sz w:val="21"/>
                <w:szCs w:val="21"/>
                <w:lang w:eastAsia="zh-CN"/>
              </w:rPr>
              <w:t>；</w:t>
            </w:r>
          </w:p>
          <w:p>
            <w:pPr>
              <w:wordWrap w:val="0"/>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rPr>
              <w:t>③投标人为该人员在投标截止时间前六个月（不含投标截止时间的当月）中任一月份缴纳的社保证明材料复印件</w:t>
            </w:r>
            <w:r>
              <w:rPr>
                <w:rFonts w:hint="eastAsia" w:ascii="宋体" w:hAnsi="宋体" w:eastAsia="宋体" w:cs="宋体"/>
                <w:sz w:val="21"/>
                <w:szCs w:val="21"/>
                <w:lang w:eastAsia="zh-CN"/>
              </w:rPr>
              <w:t>。</w:t>
            </w:r>
            <w:r>
              <w:rPr>
                <w:rFonts w:hint="eastAsia" w:ascii="宋体" w:hAnsi="宋体" w:eastAsia="宋体" w:cs="宋体"/>
                <w:sz w:val="21"/>
                <w:szCs w:val="21"/>
              </w:rPr>
              <w:t>提交投标文件截止时间的当月成立的投标人，提交社保增员材料视同满足本项评分要求</w:t>
            </w:r>
            <w:r>
              <w:rPr>
                <w:rFonts w:hint="eastAsia" w:ascii="宋体" w:hAnsi="宋体" w:eastAsia="宋体" w:cs="宋体"/>
                <w:sz w:val="21"/>
                <w:szCs w:val="21"/>
                <w:lang w:eastAsia="zh-CN"/>
              </w:rPr>
              <w:t>；</w:t>
            </w:r>
          </w:p>
          <w:p>
            <w:pPr>
              <w:wordWrap w:val="0"/>
              <w:spacing w:line="360" w:lineRule="auto"/>
              <w:jc w:val="both"/>
              <w:rPr>
                <w:rFonts w:hint="eastAsia" w:ascii="宋体" w:hAnsi="宋体" w:eastAsia="宋体" w:cs="宋体"/>
                <w:sz w:val="21"/>
                <w:szCs w:val="21"/>
              </w:rPr>
            </w:pPr>
            <w:r>
              <w:rPr>
                <w:rFonts w:hint="eastAsia" w:ascii="宋体" w:hAnsi="宋体" w:eastAsia="宋体" w:cs="宋体"/>
                <w:szCs w:val="21"/>
              </w:rPr>
              <w:t>④提供被服务单位出具的证明，证明项目经理有3年及以上物业管理经验；或提供与被服务单位签订的合同复印件（合同中体现项目经理）。</w:t>
            </w:r>
          </w:p>
          <w:p>
            <w:pPr>
              <w:wordWrap w:val="0"/>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rPr>
              <w:t>未提供或提供的材料不齐全的其所对应的单项不得分。此评分项与其它评分项中提供的人员不得重复，若有重复，以该人员在所涉及的评分项的低分计分，未提供的不得分。</w:t>
            </w:r>
          </w:p>
        </w:tc>
        <w:tc>
          <w:tcPr>
            <w:tcW w:w="621" w:type="pct"/>
            <w:noWrap w:val="0"/>
            <w:vAlign w:val="center"/>
          </w:tcPr>
          <w:p>
            <w:pPr>
              <w:widowControl/>
              <w:wordWrap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noWrap w:val="0"/>
            <w:vAlign w:val="center"/>
          </w:tcPr>
          <w:p>
            <w:pPr>
              <w:pStyle w:val="18"/>
              <w:keepNext w:val="0"/>
              <w:keepLines w:val="0"/>
              <w:pageBreakBefore w:val="0"/>
              <w:kinsoku/>
              <w:wordWrap w:val="0"/>
              <w:overflowPunct/>
              <w:topLinePunct w:val="0"/>
              <w:autoSpaceDE/>
              <w:autoSpaceDN/>
              <w:bidi w:val="0"/>
              <w:adjustRightInd/>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700" w:type="pct"/>
            <w:noWrap w:val="0"/>
            <w:vAlign w:val="center"/>
          </w:tcPr>
          <w:p>
            <w:pPr>
              <w:keepNext w:val="0"/>
              <w:keepLines w:val="0"/>
              <w:pageBreakBefore w:val="0"/>
              <w:kinsoku/>
              <w:wordWrap w:val="0"/>
              <w:overflowPunct/>
              <w:topLinePunct w:val="0"/>
              <w:autoSpaceDE/>
              <w:autoSpaceDN/>
              <w:bidi w:val="0"/>
              <w:adjustRightInd/>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B6水电工</w:t>
            </w:r>
          </w:p>
        </w:tc>
        <w:tc>
          <w:tcPr>
            <w:tcW w:w="3267" w:type="pct"/>
            <w:noWrap w:val="0"/>
            <w:vAlign w:val="center"/>
          </w:tcPr>
          <w:p>
            <w:pPr>
              <w:wordWrap w:val="0"/>
              <w:spacing w:line="360" w:lineRule="auto"/>
              <w:jc w:val="both"/>
              <w:rPr>
                <w:rFonts w:hint="eastAsia" w:ascii="宋体" w:hAnsi="宋体" w:eastAsia="宋体" w:cs="宋体"/>
                <w:sz w:val="21"/>
                <w:szCs w:val="21"/>
              </w:rPr>
            </w:pPr>
            <w:r>
              <w:rPr>
                <w:rFonts w:hint="eastAsia" w:ascii="宋体" w:hAnsi="宋体" w:eastAsia="宋体" w:cs="宋体"/>
                <w:sz w:val="21"/>
                <w:szCs w:val="21"/>
              </w:rPr>
              <w:t>投标人拟派本项目水电工在满足招标文件中对应岗位要求的基础上进行评分：</w:t>
            </w:r>
          </w:p>
          <w:p>
            <w:pPr>
              <w:wordWrap w:val="0"/>
              <w:spacing w:line="360" w:lineRule="auto"/>
              <w:jc w:val="both"/>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具有</w:t>
            </w:r>
            <w:r>
              <w:rPr>
                <w:rFonts w:hint="eastAsia" w:ascii="宋体" w:hAnsi="宋体" w:eastAsia="宋体" w:cs="宋体"/>
                <w:szCs w:val="21"/>
              </w:rPr>
              <w:t>安全管理和作业人员证（职业名称：特种设备安全管理员（项目代号A））</w:t>
            </w:r>
            <w:r>
              <w:rPr>
                <w:rFonts w:hint="eastAsia" w:ascii="宋体" w:hAnsi="宋体" w:eastAsia="宋体" w:cs="宋体"/>
                <w:sz w:val="21"/>
                <w:szCs w:val="21"/>
              </w:rPr>
              <w:t>得1分；</w:t>
            </w:r>
          </w:p>
          <w:p>
            <w:pPr>
              <w:wordWrap w:val="0"/>
              <w:spacing w:line="360" w:lineRule="auto"/>
              <w:jc w:val="both"/>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具有</w:t>
            </w:r>
            <w:r>
              <w:rPr>
                <w:rFonts w:hint="eastAsia" w:ascii="宋体" w:hAnsi="宋体" w:eastAsia="宋体" w:cs="宋体"/>
                <w:szCs w:val="21"/>
              </w:rPr>
              <w:t>消防设施操作员证</w:t>
            </w:r>
            <w:r>
              <w:rPr>
                <w:rFonts w:hint="eastAsia" w:ascii="宋体" w:hAnsi="宋体" w:eastAsia="宋体" w:cs="宋体"/>
                <w:sz w:val="21"/>
                <w:szCs w:val="21"/>
              </w:rPr>
              <w:t>得1分；</w:t>
            </w:r>
          </w:p>
          <w:p>
            <w:pPr>
              <w:wordWrap w:val="0"/>
              <w:spacing w:line="360" w:lineRule="auto"/>
              <w:jc w:val="both"/>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具有</w:t>
            </w:r>
            <w:r>
              <w:rPr>
                <w:rFonts w:hint="eastAsia" w:ascii="宋体" w:hAnsi="宋体" w:eastAsia="宋体" w:cs="宋体"/>
                <w:szCs w:val="21"/>
              </w:rPr>
              <w:t>特种作业操作证（操作项目：高压电工作业）</w:t>
            </w:r>
            <w:r>
              <w:rPr>
                <w:rFonts w:hint="eastAsia" w:ascii="宋体" w:hAnsi="宋体" w:eastAsia="宋体" w:cs="宋体"/>
                <w:sz w:val="21"/>
                <w:szCs w:val="21"/>
              </w:rPr>
              <w:t>得1分。</w:t>
            </w:r>
          </w:p>
          <w:p>
            <w:pPr>
              <w:wordWrap w:val="0"/>
              <w:spacing w:line="360" w:lineRule="auto"/>
              <w:jc w:val="both"/>
              <w:rPr>
                <w:rFonts w:hint="eastAsia" w:ascii="宋体" w:hAnsi="宋体" w:eastAsia="宋体" w:cs="宋体"/>
                <w:sz w:val="21"/>
                <w:szCs w:val="21"/>
              </w:rPr>
            </w:pPr>
          </w:p>
          <w:p>
            <w:pPr>
              <w:wordWrap w:val="0"/>
              <w:spacing w:line="36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评审依据：</w:t>
            </w:r>
            <w:r>
              <w:rPr>
                <w:rFonts w:hint="eastAsia" w:ascii="宋体" w:hAnsi="宋体" w:eastAsia="宋体" w:cs="宋体"/>
                <w:sz w:val="21"/>
                <w:szCs w:val="21"/>
              </w:rPr>
              <w:t>须提供以下证明材料：</w:t>
            </w:r>
          </w:p>
          <w:p>
            <w:pPr>
              <w:wordWrap w:val="0"/>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rPr>
              <w:t>①有效身份证复印件</w:t>
            </w:r>
            <w:r>
              <w:rPr>
                <w:rFonts w:hint="eastAsia" w:ascii="宋体" w:hAnsi="宋体" w:eastAsia="宋体" w:cs="宋体"/>
                <w:sz w:val="21"/>
                <w:szCs w:val="21"/>
                <w:lang w:eastAsia="zh-CN"/>
              </w:rPr>
              <w:t>；</w:t>
            </w:r>
          </w:p>
          <w:p>
            <w:pPr>
              <w:wordWrap w:val="0"/>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rPr>
              <w:t>②以上相关证书证明材料</w:t>
            </w:r>
            <w:r>
              <w:rPr>
                <w:rFonts w:hint="eastAsia" w:ascii="宋体" w:hAnsi="宋体" w:eastAsia="宋体" w:cs="宋体"/>
                <w:sz w:val="21"/>
                <w:szCs w:val="21"/>
                <w:lang w:eastAsia="zh-CN"/>
              </w:rPr>
              <w:t>；</w:t>
            </w:r>
          </w:p>
          <w:p>
            <w:pPr>
              <w:wordWrap w:val="0"/>
              <w:spacing w:line="360" w:lineRule="auto"/>
              <w:jc w:val="both"/>
              <w:rPr>
                <w:rFonts w:hint="eastAsia" w:ascii="宋体" w:hAnsi="宋体" w:eastAsia="宋体" w:cs="宋体"/>
                <w:sz w:val="21"/>
                <w:szCs w:val="21"/>
              </w:rPr>
            </w:pPr>
            <w:r>
              <w:rPr>
                <w:rFonts w:hint="eastAsia" w:ascii="宋体" w:hAnsi="宋体" w:eastAsia="宋体" w:cs="宋体"/>
                <w:sz w:val="21"/>
                <w:szCs w:val="21"/>
              </w:rPr>
              <w:t>③投标人为该人员在投标截止时间前六个月（不含投标截止时间的当月）中任一月份缴纳的社保证明材料复印件，提交投标文件截止时间的当月成立的投标人，提交社保增员材料视同满足本项评分要求。</w:t>
            </w:r>
          </w:p>
          <w:p>
            <w:pPr>
              <w:wordWrap w:val="0"/>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rPr>
              <w:t>未提供或提供的材料不齐全的其所对应的单项不得分。此评分项与其它评分项中提供的人员不得重复，若有重复，以该人员在所涉及的评分项的低分计分，未提供的不得分。</w:t>
            </w:r>
          </w:p>
        </w:tc>
        <w:tc>
          <w:tcPr>
            <w:tcW w:w="621" w:type="pct"/>
            <w:noWrap w:val="0"/>
            <w:vAlign w:val="center"/>
          </w:tcPr>
          <w:p>
            <w:pPr>
              <w:widowControl/>
              <w:wordWrap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noWrap w:val="0"/>
            <w:vAlign w:val="center"/>
          </w:tcPr>
          <w:p>
            <w:pPr>
              <w:pStyle w:val="18"/>
              <w:keepNext w:val="0"/>
              <w:keepLines w:val="0"/>
              <w:pageBreakBefore w:val="0"/>
              <w:kinsoku/>
              <w:wordWrap w:val="0"/>
              <w:overflowPunct/>
              <w:topLinePunct w:val="0"/>
              <w:autoSpaceDE/>
              <w:autoSpaceDN/>
              <w:bidi w:val="0"/>
              <w:adjustRightInd/>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700" w:type="pct"/>
            <w:noWrap w:val="0"/>
            <w:vAlign w:val="center"/>
          </w:tcPr>
          <w:p>
            <w:pPr>
              <w:pStyle w:val="43"/>
              <w:keepNext w:val="0"/>
              <w:keepLines w:val="0"/>
              <w:pageBreakBefore w:val="0"/>
              <w:kinsoku/>
              <w:wordWrap w:val="0"/>
              <w:overflowPunct/>
              <w:topLinePunct w:val="0"/>
              <w:autoSpaceDE/>
              <w:autoSpaceDN/>
              <w:bidi w:val="0"/>
              <w:adjustRightInd/>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B7保安队长</w:t>
            </w:r>
          </w:p>
        </w:tc>
        <w:tc>
          <w:tcPr>
            <w:tcW w:w="3267" w:type="pct"/>
            <w:noWrap w:val="0"/>
            <w:vAlign w:val="center"/>
          </w:tcPr>
          <w:p>
            <w:pPr>
              <w:wordWrap w:val="0"/>
              <w:spacing w:line="360" w:lineRule="auto"/>
              <w:jc w:val="both"/>
              <w:rPr>
                <w:rFonts w:hint="eastAsia" w:ascii="宋体" w:hAnsi="宋体" w:eastAsia="宋体" w:cs="宋体"/>
                <w:sz w:val="21"/>
                <w:szCs w:val="21"/>
              </w:rPr>
            </w:pPr>
            <w:r>
              <w:rPr>
                <w:rFonts w:hint="eastAsia" w:ascii="宋体" w:hAnsi="宋体" w:eastAsia="宋体" w:cs="宋体"/>
                <w:sz w:val="21"/>
                <w:szCs w:val="21"/>
              </w:rPr>
              <w:t>根据投标人拟派驻本项目的保安</w:t>
            </w:r>
            <w:r>
              <w:rPr>
                <w:rFonts w:hint="eastAsia" w:ascii="宋体" w:hAnsi="宋体" w:eastAsia="宋体" w:cs="宋体"/>
                <w:sz w:val="21"/>
                <w:szCs w:val="21"/>
                <w:lang w:val="en-US" w:eastAsia="zh-CN"/>
              </w:rPr>
              <w:t>队长</w:t>
            </w:r>
            <w:r>
              <w:rPr>
                <w:rFonts w:hint="eastAsia" w:ascii="宋体" w:hAnsi="宋体" w:eastAsia="宋体" w:cs="宋体"/>
                <w:sz w:val="21"/>
                <w:szCs w:val="21"/>
              </w:rPr>
              <w:t>在满足招标文件中对应岗位要求（须提供相关职能或授权部门的保安员证书复印件）情况下：</w:t>
            </w:r>
          </w:p>
          <w:p>
            <w:pPr>
              <w:wordWrap w:val="0"/>
              <w:spacing w:line="360" w:lineRule="auto"/>
              <w:jc w:val="both"/>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45周岁（含）以下且具有高中（或中专）</w:t>
            </w:r>
            <w:r>
              <w:rPr>
                <w:rFonts w:hint="eastAsia" w:ascii="宋体" w:hAnsi="宋体" w:eastAsia="宋体" w:cs="宋体"/>
                <w:sz w:val="21"/>
                <w:szCs w:val="21"/>
                <w:lang w:val="en-US" w:eastAsia="zh-CN"/>
              </w:rPr>
              <w:t>或</w:t>
            </w:r>
            <w:r>
              <w:rPr>
                <w:rFonts w:hint="eastAsia" w:ascii="宋体" w:hAnsi="宋体" w:eastAsia="宋体" w:cs="宋体"/>
                <w:sz w:val="21"/>
                <w:szCs w:val="21"/>
              </w:rPr>
              <w:t>以上学历得1分；</w:t>
            </w:r>
          </w:p>
          <w:p>
            <w:pPr>
              <w:wordWrap w:val="0"/>
              <w:spacing w:line="360" w:lineRule="auto"/>
              <w:jc w:val="both"/>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持有退伍证或退役证</w:t>
            </w:r>
            <w:r>
              <w:rPr>
                <w:rFonts w:hint="eastAsia" w:ascii="宋体" w:hAnsi="宋体" w:eastAsia="宋体" w:cs="宋体"/>
                <w:sz w:val="21"/>
                <w:szCs w:val="21"/>
                <w:lang w:val="en-US" w:eastAsia="zh-CN"/>
              </w:rPr>
              <w:t>或军人优待证</w:t>
            </w:r>
            <w:r>
              <w:rPr>
                <w:rFonts w:hint="eastAsia" w:ascii="宋体" w:hAnsi="宋体" w:eastAsia="宋体" w:cs="宋体"/>
                <w:sz w:val="21"/>
                <w:szCs w:val="21"/>
              </w:rPr>
              <w:t>得1分；</w:t>
            </w:r>
          </w:p>
          <w:p>
            <w:pPr>
              <w:wordWrap w:val="0"/>
              <w:spacing w:line="360" w:lineRule="auto"/>
              <w:jc w:val="both"/>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具有3年及以上保安管理相关经验得1分。</w:t>
            </w:r>
          </w:p>
          <w:p>
            <w:pPr>
              <w:wordWrap w:val="0"/>
              <w:spacing w:line="360" w:lineRule="auto"/>
              <w:jc w:val="both"/>
              <w:rPr>
                <w:rFonts w:hint="eastAsia" w:ascii="宋体" w:hAnsi="宋体" w:eastAsia="宋体" w:cs="宋体"/>
                <w:sz w:val="21"/>
                <w:szCs w:val="21"/>
                <w:lang w:val="en-US" w:eastAsia="zh-CN"/>
              </w:rPr>
            </w:pPr>
          </w:p>
          <w:p>
            <w:pPr>
              <w:wordWrap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评审依据：</w:t>
            </w:r>
            <w:r>
              <w:rPr>
                <w:rFonts w:hint="eastAsia" w:ascii="宋体" w:hAnsi="宋体" w:eastAsia="宋体" w:cs="宋体"/>
                <w:sz w:val="21"/>
                <w:szCs w:val="21"/>
              </w:rPr>
              <w:t>须提供以下证明材料：</w:t>
            </w:r>
          </w:p>
          <w:p>
            <w:pPr>
              <w:wordWrap w:val="0"/>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①</w:t>
            </w:r>
            <w:r>
              <w:rPr>
                <w:rFonts w:hint="eastAsia" w:ascii="宋体" w:hAnsi="宋体" w:eastAsia="宋体" w:cs="宋体"/>
                <w:sz w:val="21"/>
                <w:szCs w:val="21"/>
              </w:rPr>
              <w:t>须提供以上人员有效身份证复印件</w:t>
            </w:r>
            <w:r>
              <w:rPr>
                <w:rFonts w:hint="eastAsia" w:ascii="宋体" w:hAnsi="宋体" w:eastAsia="宋体" w:cs="宋体"/>
                <w:sz w:val="21"/>
                <w:szCs w:val="21"/>
                <w:lang w:eastAsia="zh-CN"/>
              </w:rPr>
              <w:t>；</w:t>
            </w:r>
          </w:p>
          <w:p>
            <w:pPr>
              <w:wordWrap w:val="0"/>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②相关证书复印件；</w:t>
            </w:r>
          </w:p>
          <w:p>
            <w:pPr>
              <w:wordWrap w:val="0"/>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③</w:t>
            </w:r>
            <w:r>
              <w:rPr>
                <w:rFonts w:hint="eastAsia" w:ascii="宋体" w:hAnsi="宋体" w:eastAsia="宋体" w:cs="宋体"/>
                <w:sz w:val="21"/>
                <w:szCs w:val="21"/>
              </w:rPr>
              <w:t>毕业证书复印件（或学信网查询截图）</w:t>
            </w:r>
            <w:r>
              <w:rPr>
                <w:rFonts w:hint="eastAsia" w:ascii="宋体" w:hAnsi="宋体" w:eastAsia="宋体" w:cs="宋体"/>
                <w:sz w:val="21"/>
                <w:szCs w:val="21"/>
                <w:lang w:eastAsia="zh-CN"/>
              </w:rPr>
              <w:t>；</w:t>
            </w:r>
          </w:p>
          <w:p>
            <w:pPr>
              <w:wordWrap w:val="0"/>
              <w:spacing w:line="360" w:lineRule="auto"/>
              <w:jc w:val="both"/>
              <w:rPr>
                <w:rFonts w:hint="eastAsia" w:ascii="宋体" w:hAnsi="宋体" w:eastAsia="宋体" w:cs="宋体"/>
                <w:sz w:val="21"/>
                <w:szCs w:val="21"/>
                <w:lang w:eastAsia="zh-CN"/>
              </w:rPr>
            </w:pPr>
            <w:r>
              <w:rPr>
                <w:rFonts w:hint="eastAsia" w:ascii="宋体" w:hAnsi="宋体" w:eastAsia="宋体" w:cs="宋体"/>
                <w:szCs w:val="21"/>
              </w:rPr>
              <w:t>④</w:t>
            </w:r>
            <w:r>
              <w:rPr>
                <w:rFonts w:hint="eastAsia" w:ascii="宋体" w:hAnsi="宋体" w:eastAsia="宋体" w:cs="宋体"/>
                <w:sz w:val="21"/>
                <w:szCs w:val="21"/>
              </w:rPr>
              <w:t>投标人为其人员在投标截止时间前六个月（不含投标截止时间的当月）中任一月份缴纳的社保证明材料复印件，提交投标文件截止时间的当月成立的投标人，提交社保增员材料视同满足本项评分要求</w:t>
            </w:r>
            <w:r>
              <w:rPr>
                <w:rFonts w:hint="eastAsia" w:ascii="宋体" w:hAnsi="宋体" w:eastAsia="宋体" w:cs="宋体"/>
                <w:sz w:val="21"/>
                <w:szCs w:val="21"/>
                <w:lang w:eastAsia="zh-CN"/>
              </w:rPr>
              <w:t>；</w:t>
            </w:r>
          </w:p>
          <w:p>
            <w:pPr>
              <w:wordWrap w:val="0"/>
              <w:spacing w:line="36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⑤</w:t>
            </w:r>
            <w:r>
              <w:rPr>
                <w:rFonts w:hint="eastAsia" w:ascii="宋体" w:hAnsi="宋体" w:eastAsia="宋体" w:cs="宋体"/>
                <w:szCs w:val="21"/>
              </w:rPr>
              <w:t>提供被服务单位出具的证明，证明项目保安队长有3年及以上保安管理相关经验；或提供与被服务单位签订的合同复印件（合同中体现保安队长）。</w:t>
            </w:r>
          </w:p>
          <w:p>
            <w:pPr>
              <w:wordWrap w:val="0"/>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rPr>
              <w:t>未提供或不符合要求的均不得分。此评分项与其它评分项中提供的人员不得重复，若有重复，以该人员在所涉及的评分项的低分计分，未提供的不得分。</w:t>
            </w:r>
          </w:p>
        </w:tc>
        <w:tc>
          <w:tcPr>
            <w:tcW w:w="621" w:type="pct"/>
            <w:noWrap w:val="0"/>
            <w:vAlign w:val="center"/>
          </w:tcPr>
          <w:p>
            <w:pPr>
              <w:widowControl/>
              <w:wordWrap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noWrap w:val="0"/>
            <w:vAlign w:val="center"/>
          </w:tcPr>
          <w:p>
            <w:pPr>
              <w:pStyle w:val="18"/>
              <w:keepNext w:val="0"/>
              <w:keepLines w:val="0"/>
              <w:pageBreakBefore w:val="0"/>
              <w:kinsoku/>
              <w:wordWrap w:val="0"/>
              <w:overflowPunct/>
              <w:topLinePunct w:val="0"/>
              <w:autoSpaceDE/>
              <w:autoSpaceDN/>
              <w:bidi w:val="0"/>
              <w:adjustRightInd/>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700" w:type="pct"/>
            <w:noWrap w:val="0"/>
            <w:vAlign w:val="center"/>
          </w:tcPr>
          <w:p>
            <w:pPr>
              <w:keepNext w:val="0"/>
              <w:keepLines w:val="0"/>
              <w:pageBreakBefore w:val="0"/>
              <w:kinsoku/>
              <w:wordWrap w:val="0"/>
              <w:overflowPunct/>
              <w:topLinePunct w:val="0"/>
              <w:autoSpaceDE/>
              <w:autoSpaceDN/>
              <w:bidi w:val="0"/>
              <w:adjustRightInd/>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B8应急响应承诺</w:t>
            </w:r>
          </w:p>
        </w:tc>
        <w:tc>
          <w:tcPr>
            <w:tcW w:w="3267" w:type="pct"/>
            <w:noWrap w:val="0"/>
            <w:vAlign w:val="center"/>
          </w:tcPr>
          <w:p>
            <w:pPr>
              <w:wordWrap w:val="0"/>
              <w:spacing w:line="360" w:lineRule="auto"/>
              <w:jc w:val="both"/>
              <w:rPr>
                <w:rFonts w:hint="eastAsia" w:ascii="宋体" w:hAnsi="宋体" w:eastAsia="宋体" w:cs="宋体"/>
                <w:bCs/>
                <w:sz w:val="21"/>
                <w:szCs w:val="21"/>
              </w:rPr>
            </w:pPr>
            <w:r>
              <w:rPr>
                <w:rFonts w:hint="eastAsia" w:ascii="宋体" w:hAnsi="宋体" w:eastAsia="宋体" w:cs="宋体"/>
                <w:bCs/>
                <w:sz w:val="21"/>
                <w:szCs w:val="21"/>
              </w:rPr>
              <w:t>投标人承诺遇特殊情况须增加服务人员的，能够无条件为采购人临时调派符合要求的服务人员的得4分。</w:t>
            </w:r>
          </w:p>
          <w:p>
            <w:pPr>
              <w:wordWrap w:val="0"/>
              <w:spacing w:line="360" w:lineRule="auto"/>
              <w:jc w:val="both"/>
              <w:rPr>
                <w:rFonts w:hint="eastAsia" w:ascii="宋体" w:hAnsi="宋体" w:eastAsia="宋体" w:cs="宋体"/>
                <w:bCs/>
                <w:sz w:val="21"/>
                <w:szCs w:val="21"/>
              </w:rPr>
            </w:pPr>
          </w:p>
          <w:p>
            <w:pPr>
              <w:wordWrap w:val="0"/>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评审依据：</w:t>
            </w:r>
            <w:r>
              <w:rPr>
                <w:rFonts w:hint="eastAsia" w:ascii="宋体" w:hAnsi="宋体" w:eastAsia="宋体" w:cs="宋体"/>
                <w:bCs/>
                <w:sz w:val="21"/>
                <w:szCs w:val="21"/>
              </w:rPr>
              <w:t>提供承诺函（格式自拟），否则不得分。</w:t>
            </w:r>
          </w:p>
        </w:tc>
        <w:tc>
          <w:tcPr>
            <w:tcW w:w="621" w:type="pct"/>
            <w:noWrap w:val="0"/>
            <w:vAlign w:val="center"/>
          </w:tcPr>
          <w:p>
            <w:pPr>
              <w:widowControl/>
              <w:wordWrap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noWrap w:val="0"/>
            <w:vAlign w:val="center"/>
          </w:tcPr>
          <w:p>
            <w:pPr>
              <w:keepNext w:val="0"/>
              <w:keepLines w:val="0"/>
              <w:pageBreakBefore w:val="0"/>
              <w:widowControl/>
              <w:suppressLineNumbers w:val="0"/>
              <w:kinsoku/>
              <w:wordWrap w:val="0"/>
              <w:overflowPunct/>
              <w:topLinePunct w:val="0"/>
              <w:autoSpaceDE/>
              <w:autoSpaceDN/>
              <w:bidi w:val="0"/>
              <w:adjustRightInd/>
              <w:spacing w:line="360" w:lineRule="auto"/>
              <w:jc w:val="left"/>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val="0"/>
                <w:bCs w:val="0"/>
                <w:kern w:val="2"/>
                <w:sz w:val="21"/>
                <w:szCs w:val="21"/>
                <w:lang w:val="en-US" w:eastAsia="zh-CN" w:bidi="ar-SA"/>
              </w:rPr>
              <w:t>各投标人的商务部分得分B=B1</w:t>
            </w:r>
            <w:r>
              <w:rPr>
                <w:rFonts w:hint="eastAsia" w:ascii="宋体" w:hAnsi="宋体" w:eastAsia="宋体" w:cs="宋体"/>
                <w:b w:val="0"/>
                <w:bCs w:val="0"/>
                <w:kern w:val="2"/>
                <w:sz w:val="21"/>
                <w:szCs w:val="21"/>
                <w:u w:val="none"/>
                <w:lang w:val="en-US" w:eastAsia="zh-CN" w:bidi="ar-SA"/>
              </w:rPr>
              <w:t>+B2+B3+B4+B</w:t>
            </w:r>
            <w:r>
              <w:rPr>
                <w:rFonts w:hint="eastAsia" w:ascii="宋体" w:hAnsi="宋体" w:eastAsia="宋体" w:cs="宋体"/>
                <w:b w:val="0"/>
                <w:bCs w:val="0"/>
                <w:kern w:val="2"/>
                <w:sz w:val="21"/>
                <w:szCs w:val="21"/>
                <w:lang w:val="en-US" w:eastAsia="zh-CN" w:bidi="ar-SA"/>
              </w:rPr>
              <w:t>5+B6+B7+B8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noWrap w:val="0"/>
            <w:vAlign w:val="center"/>
          </w:tcPr>
          <w:p>
            <w:pPr>
              <w:keepNext w:val="0"/>
              <w:keepLines w:val="0"/>
              <w:pageBreakBefore w:val="0"/>
              <w:widowControl/>
              <w:suppressLineNumbers w:val="0"/>
              <w:kinsoku/>
              <w:wordWrap w:val="0"/>
              <w:overflowPunct/>
              <w:topLinePunct w:val="0"/>
              <w:autoSpaceDE/>
              <w:autoSpaceDN/>
              <w:bidi w:val="0"/>
              <w:adjustRightInd/>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kern w:val="2"/>
                <w:sz w:val="21"/>
                <w:szCs w:val="21"/>
                <w:lang w:val="en-US" w:eastAsia="zh-CN" w:bidi="ar-SA"/>
              </w:rPr>
              <w:t>技术服务部分（满分35分）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noWrap w:val="0"/>
            <w:vAlign w:val="center"/>
          </w:tcPr>
          <w:p>
            <w:pPr>
              <w:pStyle w:val="18"/>
              <w:keepNext w:val="0"/>
              <w:keepLines w:val="0"/>
              <w:pageBreakBefore w:val="0"/>
              <w:kinsoku/>
              <w:wordWrap w:val="0"/>
              <w:overflowPunct/>
              <w:topLinePunct w:val="0"/>
              <w:autoSpaceDE/>
              <w:autoSpaceDN/>
              <w:bidi w:val="0"/>
              <w:adjustRightInd/>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700" w:type="pct"/>
            <w:noWrap w:val="0"/>
            <w:vAlign w:val="center"/>
          </w:tcPr>
          <w:p>
            <w:pPr>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C1项目分析、解决措施和提升方案</w:t>
            </w:r>
          </w:p>
        </w:tc>
        <w:tc>
          <w:tcPr>
            <w:tcW w:w="5628" w:type="dxa"/>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投标人通过对本物业建筑架构、配套设施、周边环境等方面进行分析，综合其布局、功能上的特点，列出项目管理上的难点，提出相应解决措施和项目提升方案，由评委进行评审：方案合理可行、符合项目实际、可操作性强的得3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方案基本合理可行、符合项目实际，可操作性较强的得2分；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方案部分合理可行、不足部分不影响项目实施的得1分；</w:t>
            </w:r>
          </w:p>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未提供的不得分。</w:t>
            </w:r>
          </w:p>
        </w:tc>
        <w:tc>
          <w:tcPr>
            <w:tcW w:w="1071" w:type="dxa"/>
            <w:noWrap w:val="0"/>
            <w:vAlign w:val="center"/>
          </w:tcPr>
          <w:p>
            <w:pPr>
              <w:widowControl/>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noWrap w:val="0"/>
            <w:vAlign w:val="center"/>
          </w:tcPr>
          <w:p>
            <w:pPr>
              <w:pStyle w:val="18"/>
              <w:keepNext w:val="0"/>
              <w:keepLines w:val="0"/>
              <w:pageBreakBefore w:val="0"/>
              <w:kinsoku/>
              <w:wordWrap w:val="0"/>
              <w:overflowPunct/>
              <w:topLinePunct w:val="0"/>
              <w:autoSpaceDE/>
              <w:autoSpaceDN/>
              <w:bidi w:val="0"/>
              <w:adjustRightInd/>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700" w:type="pct"/>
            <w:noWrap w:val="0"/>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C2公共秩序维护方案</w:t>
            </w:r>
          </w:p>
        </w:tc>
        <w:tc>
          <w:tcPr>
            <w:tcW w:w="5628" w:type="dxa"/>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根据投标人针对本项目制定的公共秩序维护方案进行评分：包含但不限于日常治安管理、安防监控系统管理、车辆停放管理的人员和时间安排、质量标准等，由评委进行评审：</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方案合理可行、符合项目实际、可操作性强的得3分；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方案基本合理可行、符合项目实际，可操作性较强的得2分；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方案部分合理可行、不足部分不影响项目实施的得1分；</w:t>
            </w:r>
          </w:p>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未提供或不合理的不得分。</w:t>
            </w:r>
          </w:p>
        </w:tc>
        <w:tc>
          <w:tcPr>
            <w:tcW w:w="1071" w:type="dxa"/>
            <w:noWrap w:val="0"/>
            <w:vAlign w:val="center"/>
          </w:tcPr>
          <w:p>
            <w:pPr>
              <w:widowControl/>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noWrap w:val="0"/>
            <w:vAlign w:val="center"/>
          </w:tcPr>
          <w:p>
            <w:pPr>
              <w:pStyle w:val="18"/>
              <w:keepNext w:val="0"/>
              <w:keepLines w:val="0"/>
              <w:pageBreakBefore w:val="0"/>
              <w:kinsoku/>
              <w:wordWrap w:val="0"/>
              <w:overflowPunct/>
              <w:topLinePunct w:val="0"/>
              <w:autoSpaceDE/>
              <w:autoSpaceDN/>
              <w:bidi w:val="0"/>
              <w:adjustRightInd/>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700" w:type="pct"/>
            <w:noWrap w:val="0"/>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C3保洁服务方案</w:t>
            </w:r>
          </w:p>
        </w:tc>
        <w:tc>
          <w:tcPr>
            <w:tcW w:w="5628" w:type="dxa"/>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根据投标人针对本项目制定的保洁服务方案进行评分：包含但不限于日常保洁、垃圾清运、卫生消杀、白蚁防治等服务的内容、人员配备、作业流程、服务质量标准等，由评委进行评审：</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方案合理可行、符合项目实际、可操作性强的得3分；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方案基本合理可行、符合项目实际，可操作性较强的得2分；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方案部分合理可行、不足部分不影响项目实施的得1分；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未提供或不合理的不得分。</w:t>
            </w:r>
          </w:p>
        </w:tc>
        <w:tc>
          <w:tcPr>
            <w:tcW w:w="1071" w:type="dxa"/>
            <w:noWrap w:val="0"/>
            <w:vAlign w:val="center"/>
          </w:tcPr>
          <w:p>
            <w:pPr>
              <w:widowControl/>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noWrap w:val="0"/>
            <w:vAlign w:val="center"/>
          </w:tcPr>
          <w:p>
            <w:pPr>
              <w:pStyle w:val="18"/>
              <w:keepNext w:val="0"/>
              <w:keepLines w:val="0"/>
              <w:pageBreakBefore w:val="0"/>
              <w:kinsoku/>
              <w:wordWrap w:val="0"/>
              <w:overflowPunct/>
              <w:topLinePunct w:val="0"/>
              <w:autoSpaceDE/>
              <w:autoSpaceDN/>
              <w:bidi w:val="0"/>
              <w:adjustRightInd/>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700" w:type="pct"/>
            <w:noWrap w:val="0"/>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C4绿化养护方案</w:t>
            </w:r>
          </w:p>
        </w:tc>
        <w:tc>
          <w:tcPr>
            <w:tcW w:w="5628" w:type="dxa"/>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根据投标人针对本项目制定的绿化养护方案进行评分：包含但不限于含绿化养护、绿植摆放、病虫害防治的服务内容、作业流程、服务质量标准等，由评委进行评审：</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方案合理可行、符合项目实际、可操作性强的得3分；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方案基本合理可行、符合项目实际，可操作性较强的得2分；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方案部分合理可行、不足部分不影响项目实施的得1分；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未提供或不合理的不得分。</w:t>
            </w:r>
          </w:p>
        </w:tc>
        <w:tc>
          <w:tcPr>
            <w:tcW w:w="1071" w:type="dxa"/>
            <w:noWrap w:val="0"/>
            <w:vAlign w:val="center"/>
          </w:tcPr>
          <w:p>
            <w:pPr>
              <w:widowControl/>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noWrap w:val="0"/>
            <w:vAlign w:val="center"/>
          </w:tcPr>
          <w:p>
            <w:pPr>
              <w:pStyle w:val="18"/>
              <w:keepNext w:val="0"/>
              <w:keepLines w:val="0"/>
              <w:pageBreakBefore w:val="0"/>
              <w:kinsoku/>
              <w:wordWrap w:val="0"/>
              <w:overflowPunct/>
              <w:topLinePunct w:val="0"/>
              <w:autoSpaceDE/>
              <w:autoSpaceDN/>
              <w:bidi w:val="0"/>
              <w:adjustRightInd/>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700" w:type="pct"/>
            <w:noWrap w:val="0"/>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C5公用设施设备维护方案</w:t>
            </w:r>
          </w:p>
        </w:tc>
        <w:tc>
          <w:tcPr>
            <w:tcW w:w="5628" w:type="dxa"/>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根据投标人针对本项目制定的公用设施设备维护管理方案，包含但不限于供配电系统、电梯系统、空调系统、供暖系统、照明系统、消防系统、给排水系统等日常运行、维护管理、突发性故障应急等，由评委进行评审：</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方案合理可行、符合项目实际、可操作性强的得3分；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方案基本合理可行、符合项目实际，可操作性较强的得2分；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方案部分合理可行、不足部分不影响项目实施的得1分；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未提供或不合理的不得分。</w:t>
            </w:r>
          </w:p>
        </w:tc>
        <w:tc>
          <w:tcPr>
            <w:tcW w:w="1071" w:type="dxa"/>
            <w:noWrap w:val="0"/>
            <w:vAlign w:val="center"/>
          </w:tcPr>
          <w:p>
            <w:pPr>
              <w:pStyle w:val="18"/>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Cs/>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noWrap w:val="0"/>
            <w:vAlign w:val="center"/>
          </w:tcPr>
          <w:p>
            <w:pPr>
              <w:pStyle w:val="18"/>
              <w:keepNext w:val="0"/>
              <w:keepLines w:val="0"/>
              <w:pageBreakBefore w:val="0"/>
              <w:kinsoku/>
              <w:wordWrap w:val="0"/>
              <w:overflowPunct/>
              <w:topLinePunct w:val="0"/>
              <w:autoSpaceDE/>
              <w:autoSpaceDN/>
              <w:bidi w:val="0"/>
              <w:adjustRightInd/>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700" w:type="pct"/>
            <w:noWrap w:val="0"/>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C6会务服务</w:t>
            </w:r>
          </w:p>
        </w:tc>
        <w:tc>
          <w:tcPr>
            <w:tcW w:w="5628" w:type="dxa"/>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根据投标人针对本项目制定的会务服务方案，包含但不限于会前准备、会中服务、会后整理等，由评委进行评审：</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方案合理可行、符合项目实际、可操作性强的得3分；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方案基本合理可行、符合项目实际，可操作性较强的得2分；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方案部分合理可行、不足部分不影响项目实施的得1分；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未提供或不合理的不得分。</w:t>
            </w:r>
          </w:p>
        </w:tc>
        <w:tc>
          <w:tcPr>
            <w:tcW w:w="1071" w:type="dxa"/>
            <w:noWrap w:val="0"/>
            <w:vAlign w:val="center"/>
          </w:tcPr>
          <w:p>
            <w:pPr>
              <w:widowControl/>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noWrap w:val="0"/>
            <w:vAlign w:val="center"/>
          </w:tcPr>
          <w:p>
            <w:pPr>
              <w:pStyle w:val="18"/>
              <w:keepNext w:val="0"/>
              <w:keepLines w:val="0"/>
              <w:pageBreakBefore w:val="0"/>
              <w:kinsoku/>
              <w:wordWrap w:val="0"/>
              <w:overflowPunct/>
              <w:topLinePunct w:val="0"/>
              <w:autoSpaceDE/>
              <w:autoSpaceDN/>
              <w:bidi w:val="0"/>
              <w:adjustRightInd/>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700" w:type="pct"/>
            <w:noWrap w:val="0"/>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C7能源管理与节能减排方案</w:t>
            </w:r>
          </w:p>
        </w:tc>
        <w:tc>
          <w:tcPr>
            <w:tcW w:w="5628" w:type="dxa"/>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根据投标人针对本项目制定的能源管理与节能减排方案，包含但不限于水电房节能管理、楼宇日常节能管理等，由评委进行评审：</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方案合理可行、符合项目实际、可操作性强的得3分；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方案基本合理可行、符合项目实际，可操作性较强的得2分；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方案部分合理可行、不足部分不影响项目实施的得1分；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未提供或不合理的不得分。</w:t>
            </w:r>
          </w:p>
        </w:tc>
        <w:tc>
          <w:tcPr>
            <w:tcW w:w="1071" w:type="dxa"/>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sz w:val="21"/>
                <w:szCs w:val="21"/>
              </w:rPr>
              <w:t>3</w:t>
            </w:r>
            <w:r>
              <w:rPr>
                <w:rFonts w:hint="eastAsia" w:ascii="宋体" w:hAnsi="宋体" w:eastAsia="宋体" w:cs="宋体"/>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noWrap w:val="0"/>
            <w:vAlign w:val="center"/>
          </w:tcPr>
          <w:p>
            <w:pPr>
              <w:pStyle w:val="18"/>
              <w:keepNext w:val="0"/>
              <w:keepLines w:val="0"/>
              <w:pageBreakBefore w:val="0"/>
              <w:kinsoku/>
              <w:wordWrap w:val="0"/>
              <w:overflowPunct/>
              <w:topLinePunct w:val="0"/>
              <w:autoSpaceDE/>
              <w:autoSpaceDN/>
              <w:bidi w:val="0"/>
              <w:adjustRightInd/>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700" w:type="pct"/>
            <w:noWrap w:val="0"/>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C8物资配备</w:t>
            </w:r>
          </w:p>
        </w:tc>
        <w:tc>
          <w:tcPr>
            <w:tcW w:w="5628" w:type="dxa"/>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根据投标人针对本项目提供的物资配备情况（该物资配备须与项目服务相关）由评委进行评分：包含不限于办公信息化设备、维修工具、安保工具、保洁工具和耗材等。</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方案合理可行、符合项目实际、可操作性强的得3分；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方案基本合理可行、符合项目实际，可操作性较强的得2分；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方案部分合理可行、不足部分不影响项目实施的得1分；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未提供或不合理的不得分。</w:t>
            </w:r>
          </w:p>
        </w:tc>
        <w:tc>
          <w:tcPr>
            <w:tcW w:w="1071" w:type="dxa"/>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sz w:val="21"/>
                <w:szCs w:val="21"/>
              </w:rPr>
              <w:t>3</w:t>
            </w:r>
            <w:r>
              <w:rPr>
                <w:rFonts w:hint="eastAsia" w:ascii="宋体" w:hAnsi="宋体" w:eastAsia="宋体" w:cs="宋体"/>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noWrap w:val="0"/>
            <w:vAlign w:val="center"/>
          </w:tcPr>
          <w:p>
            <w:pPr>
              <w:pStyle w:val="18"/>
              <w:keepNext w:val="0"/>
              <w:keepLines w:val="0"/>
              <w:pageBreakBefore w:val="0"/>
              <w:kinsoku/>
              <w:wordWrap w:val="0"/>
              <w:overflowPunct/>
              <w:topLinePunct w:val="0"/>
              <w:autoSpaceDE/>
              <w:autoSpaceDN/>
              <w:bidi w:val="0"/>
              <w:adjustRightInd/>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700" w:type="pct"/>
            <w:noWrap w:val="0"/>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C9制度和档案的建立与管理</w:t>
            </w:r>
          </w:p>
        </w:tc>
        <w:tc>
          <w:tcPr>
            <w:tcW w:w="5628" w:type="dxa"/>
            <w:noWrap w:val="0"/>
            <w:vAlign w:val="center"/>
          </w:tcPr>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根据各投标人制度和档案建立与管理的设立情况由评委进行评分：至少包含但不限于：①按标准化、信息化建立档案管理流程；②将系统收集的环境资料(图片)、建筑项目资料、图纸、装修维修记录、文书档案、财务报表、荣誉、空调的日常清洗、加氨、维修的登记情况表等各类资料进行整理、分类、编目进入电脑储存，以备检查利用等。</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方案合理可行、符合项目实际、可操作性强的得3分；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方案基本合理可行、符合项目实际，可操作性较强的得2分；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方案部分合理可行、不足部分不影响项目实施的得1分；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未提供或不合理的不得分。</w:t>
            </w:r>
          </w:p>
        </w:tc>
        <w:tc>
          <w:tcPr>
            <w:tcW w:w="1071" w:type="dxa"/>
            <w:noWrap w:val="0"/>
            <w:vAlign w:val="center"/>
          </w:tcPr>
          <w:p>
            <w:pPr>
              <w:widowControl/>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noWrap w:val="0"/>
            <w:vAlign w:val="center"/>
          </w:tcPr>
          <w:p>
            <w:pPr>
              <w:pStyle w:val="18"/>
              <w:keepNext w:val="0"/>
              <w:keepLines w:val="0"/>
              <w:pageBreakBefore w:val="0"/>
              <w:kinsoku/>
              <w:wordWrap w:val="0"/>
              <w:overflowPunct/>
              <w:topLinePunct w:val="0"/>
              <w:autoSpaceDE/>
              <w:autoSpaceDN/>
              <w:bidi w:val="0"/>
              <w:adjustRightInd/>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700" w:type="pct"/>
            <w:noWrap w:val="0"/>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C10突发事件应急保障预案</w:t>
            </w:r>
          </w:p>
        </w:tc>
        <w:tc>
          <w:tcPr>
            <w:tcW w:w="5628" w:type="dxa"/>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根据投标人针对本项目制定的突发事件应急保障预案进行评分：包含但不限于防灾减灾&lt;地震、台风、暴雨等自然灾害&gt;、安全事故&lt;火灾、暴恐、投毒、治安案件、危化品管理&gt;、传染病疫情以及意外伤亡等。</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方案合理可行、符合项目实际、可操作性强的得3分；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方案基本合理可行、符合项目实际，可操作性较强的得2分；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方案部分合理可行、不足部分不影响项目实施的得1分；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未提供或不合理的不得分。</w:t>
            </w:r>
          </w:p>
        </w:tc>
        <w:tc>
          <w:tcPr>
            <w:tcW w:w="1071" w:type="dxa"/>
            <w:noWrap w:val="0"/>
            <w:vAlign w:val="center"/>
          </w:tcPr>
          <w:p>
            <w:pPr>
              <w:widowControl/>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noWrap w:val="0"/>
            <w:vAlign w:val="center"/>
          </w:tcPr>
          <w:p>
            <w:pPr>
              <w:pStyle w:val="18"/>
              <w:keepNext w:val="0"/>
              <w:keepLines w:val="0"/>
              <w:pageBreakBefore w:val="0"/>
              <w:kinsoku/>
              <w:wordWrap w:val="0"/>
              <w:overflowPunct/>
              <w:topLinePunct w:val="0"/>
              <w:autoSpaceDE/>
              <w:autoSpaceDN/>
              <w:bidi w:val="0"/>
              <w:adjustRightInd/>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700" w:type="pct"/>
            <w:noWrap w:val="0"/>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C11重大活动接待服务保障方案及案例</w:t>
            </w:r>
          </w:p>
        </w:tc>
        <w:tc>
          <w:tcPr>
            <w:tcW w:w="5628" w:type="dxa"/>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根据投标人针对本项目会议、大型活动等服务内容提供的实施方案，由评委进行评审：</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方案合理可行、符合项目实际、可操作性强的得3分；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方案基本合理可行、符合项目实际，可操作性较强的得2分；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方案部分合理可行、不足部分不影响项目实施的得1分；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未提供或不合理的不得分。</w:t>
            </w:r>
          </w:p>
        </w:tc>
        <w:tc>
          <w:tcPr>
            <w:tcW w:w="1071" w:type="dxa"/>
            <w:noWrap w:val="0"/>
            <w:vAlign w:val="center"/>
          </w:tcPr>
          <w:p>
            <w:pPr>
              <w:widowControl/>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noWrap w:val="0"/>
            <w:vAlign w:val="center"/>
          </w:tcPr>
          <w:p>
            <w:pPr>
              <w:pStyle w:val="18"/>
              <w:keepNext w:val="0"/>
              <w:keepLines w:val="0"/>
              <w:pageBreakBefore w:val="0"/>
              <w:kinsoku/>
              <w:wordWrap w:val="0"/>
              <w:overflowPunct/>
              <w:topLinePunct w:val="0"/>
              <w:autoSpaceDE/>
              <w:autoSpaceDN/>
              <w:bidi w:val="0"/>
              <w:adjustRightInd/>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700" w:type="pct"/>
            <w:noWrap w:val="0"/>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C12过渡交接方案</w:t>
            </w:r>
          </w:p>
        </w:tc>
        <w:tc>
          <w:tcPr>
            <w:tcW w:w="5628" w:type="dxa"/>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根据投标人针对本项目制定的过渡交接方案由评委进行评分：①进场前期介入方案；②进场和项目结束退场交接方案。</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方案合理可行、符合项目实际、可操作性强的得2分；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方案基本合理可行、符合项目实际，可操作性较强的得1分；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方案部分合理可行、不足部分不影响项目实施的得0.5分；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未提供或不合理的不得分。</w:t>
            </w:r>
          </w:p>
        </w:tc>
        <w:tc>
          <w:tcPr>
            <w:tcW w:w="1071" w:type="dxa"/>
            <w:noWrap w:val="0"/>
            <w:vAlign w:val="center"/>
          </w:tcPr>
          <w:p>
            <w:pPr>
              <w:widowControl/>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noWrap w:val="0"/>
            <w:vAlign w:val="center"/>
          </w:tcPr>
          <w:p>
            <w:pPr>
              <w:keepNext w:val="0"/>
              <w:keepLines w:val="0"/>
              <w:pageBreakBefore w:val="0"/>
              <w:widowControl/>
              <w:suppressLineNumbers w:val="0"/>
              <w:kinsoku/>
              <w:wordWrap w:val="0"/>
              <w:overflowPunct/>
              <w:topLinePunct w:val="0"/>
              <w:autoSpaceDE/>
              <w:autoSpaceDN/>
              <w:bidi w:val="0"/>
              <w:adjustRightInd/>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各投标人的技术服务部分得分C=C1+C2+C3+C4+C5+C6+C7+C8+C9+C10+C11+C12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noWrap w:val="0"/>
            <w:vAlign w:val="center"/>
          </w:tcPr>
          <w:p>
            <w:pPr>
              <w:keepNext w:val="0"/>
              <w:keepLines w:val="0"/>
              <w:pageBreakBefore w:val="0"/>
              <w:widowControl/>
              <w:suppressLineNumbers w:val="0"/>
              <w:kinsoku/>
              <w:wordWrap w:val="0"/>
              <w:overflowPunct/>
              <w:topLinePunct w:val="0"/>
              <w:autoSpaceDE/>
              <w:autoSpaceDN/>
              <w:bidi w:val="0"/>
              <w:adjustRightInd/>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各投标人的综合得分为A+B+C</w:t>
            </w:r>
          </w:p>
        </w:tc>
      </w:tr>
    </w:tbl>
    <w:p>
      <w:pPr>
        <w:topLinePunct/>
        <w:autoSpaceDE w:val="0"/>
        <w:autoSpaceDN w:val="0"/>
        <w:spacing w:line="360" w:lineRule="auto"/>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2.3 落实政府采购政策进行价格调整的规则：</w:t>
      </w:r>
    </w:p>
    <w:tbl>
      <w:tblPr>
        <w:tblStyle w:val="29"/>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82"/>
        <w:gridCol w:w="3414"/>
        <w:gridCol w:w="3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0" w:type="pct"/>
            <w:vAlign w:val="center"/>
          </w:tcPr>
          <w:p>
            <w:pPr>
              <w:pStyle w:val="43"/>
              <w:widowControl w:val="0"/>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政府采购政策</w:t>
            </w:r>
          </w:p>
        </w:tc>
        <w:tc>
          <w:tcPr>
            <w:tcW w:w="1981" w:type="pct"/>
            <w:vAlign w:val="center"/>
          </w:tcPr>
          <w:p>
            <w:pPr>
              <w:pStyle w:val="43"/>
              <w:widowControl w:val="0"/>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价格扣除规则</w:t>
            </w:r>
          </w:p>
        </w:tc>
        <w:tc>
          <w:tcPr>
            <w:tcW w:w="1868" w:type="pct"/>
            <w:vAlign w:val="center"/>
          </w:tcPr>
          <w:p>
            <w:pPr>
              <w:pStyle w:val="43"/>
              <w:widowControl w:val="0"/>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享受价格扣除的条件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0" w:type="pct"/>
            <w:vAlign w:val="center"/>
          </w:tcPr>
          <w:p>
            <w:pPr>
              <w:pStyle w:val="43"/>
              <w:widowControl w:val="0"/>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节约能源政策</w:t>
            </w:r>
          </w:p>
        </w:tc>
        <w:tc>
          <w:tcPr>
            <w:tcW w:w="3849" w:type="pct"/>
            <w:gridSpan w:val="2"/>
            <w:vAlign w:val="center"/>
          </w:tcPr>
          <w:p>
            <w:pPr>
              <w:pStyle w:val="43"/>
              <w:widowControl w:val="0"/>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本项目不适用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0" w:type="pct"/>
            <w:vAlign w:val="center"/>
          </w:tcPr>
          <w:p>
            <w:pPr>
              <w:pStyle w:val="43"/>
              <w:widowControl w:val="0"/>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保护环境政策</w:t>
            </w:r>
          </w:p>
        </w:tc>
        <w:tc>
          <w:tcPr>
            <w:tcW w:w="3849" w:type="pct"/>
            <w:gridSpan w:val="2"/>
            <w:vAlign w:val="center"/>
          </w:tcPr>
          <w:p>
            <w:pPr>
              <w:pStyle w:val="43"/>
              <w:widowControl w:val="0"/>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本项目不适用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150" w:type="pct"/>
            <w:vAlign w:val="center"/>
          </w:tcPr>
          <w:p>
            <w:pPr>
              <w:pStyle w:val="43"/>
              <w:widowControl w:val="0"/>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促进中小企业</w:t>
            </w:r>
          </w:p>
          <w:p>
            <w:pPr>
              <w:pStyle w:val="43"/>
              <w:widowControl w:val="0"/>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发展政策</w:t>
            </w:r>
          </w:p>
        </w:tc>
        <w:tc>
          <w:tcPr>
            <w:tcW w:w="3414" w:type="dxa"/>
            <w:vMerge w:val="restart"/>
            <w:vAlign w:val="center"/>
          </w:tcPr>
          <w:p>
            <w:pPr>
              <w:pStyle w:val="43"/>
              <w:widowControl w:val="0"/>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本项目不适用：本项目为专门面向中小企业采购，小、微企业在价格评审阶段不再享受价格优惠政策。</w:t>
            </w:r>
          </w:p>
        </w:tc>
        <w:tc>
          <w:tcPr>
            <w:tcW w:w="3219" w:type="dxa"/>
            <w:vMerge w:val="restart"/>
            <w:vAlign w:val="center"/>
          </w:tcPr>
          <w:p>
            <w:pPr>
              <w:pStyle w:val="43"/>
              <w:widowControl w:val="0"/>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在服务采购项目中，满足服务由中小企业承接，即提供服务的人员为中小企业依照《中华人民共和国劳动合同法》订立劳动合同的从业人员的，可享受中小企业扶持政策。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150" w:type="pct"/>
            <w:vAlign w:val="center"/>
          </w:tcPr>
          <w:p>
            <w:pPr>
              <w:pStyle w:val="43"/>
              <w:widowControl w:val="0"/>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促进残疾人就业政策</w:t>
            </w:r>
          </w:p>
        </w:tc>
        <w:tc>
          <w:tcPr>
            <w:tcW w:w="1981" w:type="pct"/>
            <w:vMerge w:val="continue"/>
            <w:vAlign w:val="center"/>
          </w:tcPr>
          <w:p>
            <w:pPr>
              <w:pStyle w:val="43"/>
              <w:widowControl w:val="0"/>
              <w:spacing w:line="360" w:lineRule="auto"/>
              <w:jc w:val="center"/>
              <w:rPr>
                <w:rFonts w:hint="eastAsia" w:ascii="宋体" w:hAnsi="宋体" w:eastAsia="宋体" w:cs="宋体"/>
                <w:kern w:val="2"/>
                <w:sz w:val="21"/>
                <w:szCs w:val="21"/>
              </w:rPr>
            </w:pPr>
          </w:p>
        </w:tc>
        <w:tc>
          <w:tcPr>
            <w:tcW w:w="1868" w:type="pct"/>
            <w:vMerge w:val="continue"/>
            <w:vAlign w:val="center"/>
          </w:tcPr>
          <w:p>
            <w:pPr>
              <w:pStyle w:val="43"/>
              <w:widowControl w:val="0"/>
              <w:spacing w:line="360" w:lineRule="auto"/>
              <w:jc w:val="center"/>
              <w:rPr>
                <w:rFonts w:hint="eastAsia" w:ascii="宋体" w:hAnsi="宋体" w:eastAsia="宋体" w:cs="宋体"/>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150" w:type="pct"/>
            <w:vAlign w:val="center"/>
          </w:tcPr>
          <w:p>
            <w:pPr>
              <w:pStyle w:val="43"/>
              <w:widowControl w:val="0"/>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支持监狱企业</w:t>
            </w:r>
          </w:p>
          <w:p>
            <w:pPr>
              <w:pStyle w:val="43"/>
              <w:widowControl w:val="0"/>
              <w:spacing w:line="360" w:lineRule="auto"/>
              <w:jc w:val="center"/>
              <w:rPr>
                <w:rFonts w:hint="eastAsia" w:ascii="宋体" w:hAnsi="宋体" w:eastAsia="宋体" w:cs="宋体"/>
                <w:kern w:val="2"/>
                <w:sz w:val="21"/>
                <w:szCs w:val="21"/>
              </w:rPr>
            </w:pPr>
            <w:r>
              <w:rPr>
                <w:rFonts w:hint="eastAsia" w:ascii="宋体" w:hAnsi="宋体" w:eastAsia="宋体" w:cs="宋体"/>
                <w:kern w:val="2"/>
                <w:sz w:val="21"/>
                <w:szCs w:val="21"/>
              </w:rPr>
              <w:t>发展政策</w:t>
            </w:r>
          </w:p>
        </w:tc>
        <w:tc>
          <w:tcPr>
            <w:tcW w:w="1981" w:type="pct"/>
            <w:vMerge w:val="continue"/>
            <w:vAlign w:val="center"/>
          </w:tcPr>
          <w:p>
            <w:pPr>
              <w:pStyle w:val="43"/>
              <w:widowControl w:val="0"/>
              <w:spacing w:line="360" w:lineRule="auto"/>
              <w:jc w:val="center"/>
              <w:rPr>
                <w:rFonts w:hint="eastAsia" w:ascii="宋体" w:hAnsi="宋体" w:eastAsia="宋体" w:cs="宋体"/>
                <w:kern w:val="2"/>
                <w:sz w:val="21"/>
                <w:szCs w:val="21"/>
              </w:rPr>
            </w:pPr>
          </w:p>
        </w:tc>
        <w:tc>
          <w:tcPr>
            <w:tcW w:w="1868" w:type="pct"/>
            <w:vMerge w:val="continue"/>
            <w:vAlign w:val="center"/>
          </w:tcPr>
          <w:p>
            <w:pPr>
              <w:pStyle w:val="43"/>
              <w:widowControl w:val="0"/>
              <w:spacing w:line="360" w:lineRule="auto"/>
              <w:jc w:val="center"/>
              <w:rPr>
                <w:rFonts w:hint="eastAsia" w:ascii="宋体" w:hAnsi="宋体" w:eastAsia="宋体" w:cs="宋体"/>
                <w:kern w:val="2"/>
                <w:sz w:val="21"/>
                <w:szCs w:val="21"/>
              </w:rPr>
            </w:pPr>
          </w:p>
        </w:tc>
      </w:tr>
    </w:tbl>
    <w:p>
      <w:pPr>
        <w:pStyle w:val="43"/>
        <w:widowControl w:val="0"/>
        <w:spacing w:line="360" w:lineRule="auto"/>
        <w:ind w:firstLine="420" w:firstLineChars="200"/>
        <w:jc w:val="both"/>
        <w:outlineLvl w:val="3"/>
        <w:rPr>
          <w:rFonts w:hint="eastAsia" w:ascii="宋体" w:hAnsi="宋体" w:eastAsia="宋体" w:cs="宋体"/>
          <w:sz w:val="21"/>
          <w:szCs w:val="21"/>
        </w:rPr>
      </w:pPr>
      <w:r>
        <w:rPr>
          <w:rFonts w:hint="eastAsia" w:ascii="宋体" w:hAnsi="宋体" w:eastAsia="宋体" w:cs="宋体"/>
          <w:sz w:val="21"/>
          <w:szCs w:val="21"/>
        </w:rPr>
        <w:t>2.4推荐中标候选人</w:t>
      </w:r>
    </w:p>
    <w:p>
      <w:pPr>
        <w:pStyle w:val="43"/>
        <w:widowControl w:val="0"/>
        <w:spacing w:line="360" w:lineRule="auto"/>
        <w:ind w:firstLine="420" w:firstLineChars="200"/>
        <w:jc w:val="both"/>
        <w:outlineLvl w:val="9"/>
        <w:rPr>
          <w:rFonts w:hint="eastAsia" w:ascii="宋体" w:hAnsi="宋体" w:eastAsia="宋体" w:cs="宋体"/>
          <w:sz w:val="21"/>
          <w:szCs w:val="21"/>
        </w:rPr>
      </w:pPr>
      <w:r>
        <w:rPr>
          <w:rFonts w:hint="eastAsia" w:ascii="宋体" w:hAnsi="宋体" w:eastAsia="宋体" w:cs="宋体"/>
          <w:sz w:val="21"/>
          <w:szCs w:val="21"/>
        </w:rPr>
        <w:t>2.4.1按评审后得分由高到低顺序排列。</w:t>
      </w:r>
    </w:p>
    <w:p>
      <w:pPr>
        <w:pStyle w:val="43"/>
        <w:widowControl w:val="0"/>
        <w:spacing w:line="360" w:lineRule="auto"/>
        <w:ind w:firstLine="420" w:firstLineChars="200"/>
        <w:jc w:val="both"/>
        <w:outlineLvl w:val="9"/>
        <w:rPr>
          <w:rFonts w:hint="eastAsia" w:ascii="宋体" w:hAnsi="宋体" w:eastAsia="宋体" w:cs="宋体"/>
          <w:sz w:val="21"/>
          <w:szCs w:val="21"/>
        </w:rPr>
      </w:pPr>
      <w:r>
        <w:rPr>
          <w:rFonts w:hint="eastAsia" w:ascii="宋体" w:hAnsi="宋体" w:eastAsia="宋体" w:cs="宋体"/>
          <w:sz w:val="21"/>
          <w:szCs w:val="21"/>
        </w:rPr>
        <w:t>2.4.2推荐中标候选人的数量：</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3</w:t>
      </w:r>
      <w:r>
        <w:rPr>
          <w:rFonts w:hint="eastAsia" w:ascii="宋体" w:hAnsi="宋体" w:eastAsia="宋体" w:cs="宋体"/>
          <w:sz w:val="21"/>
          <w:szCs w:val="21"/>
          <w:u w:val="single"/>
        </w:rPr>
        <w:t xml:space="preserve"> </w:t>
      </w:r>
      <w:r>
        <w:rPr>
          <w:rFonts w:hint="eastAsia" w:ascii="宋体" w:hAnsi="宋体" w:eastAsia="宋体" w:cs="宋体"/>
          <w:sz w:val="21"/>
          <w:szCs w:val="21"/>
        </w:rPr>
        <w:t>家。</w:t>
      </w:r>
    </w:p>
    <w:p>
      <w:pPr>
        <w:pStyle w:val="43"/>
        <w:widowControl w:val="0"/>
        <w:spacing w:line="360" w:lineRule="auto"/>
        <w:ind w:firstLine="420" w:firstLineChars="200"/>
        <w:jc w:val="both"/>
        <w:outlineLvl w:val="9"/>
        <w:rPr>
          <w:rFonts w:hint="eastAsia" w:ascii="宋体" w:hAnsi="宋体" w:eastAsia="宋体" w:cs="宋体"/>
          <w:sz w:val="21"/>
          <w:szCs w:val="21"/>
        </w:rPr>
      </w:pPr>
      <w:r>
        <w:rPr>
          <w:rFonts w:hint="eastAsia" w:ascii="宋体" w:hAnsi="宋体" w:eastAsia="宋体" w:cs="宋体"/>
          <w:sz w:val="21"/>
          <w:szCs w:val="21"/>
        </w:rPr>
        <w:t>2.4.3中标人数量：</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1</w:t>
      </w:r>
      <w:r>
        <w:rPr>
          <w:rFonts w:hint="eastAsia" w:ascii="宋体" w:hAnsi="宋体" w:eastAsia="宋体" w:cs="宋体"/>
          <w:sz w:val="21"/>
          <w:szCs w:val="21"/>
          <w:u w:val="single"/>
        </w:rPr>
        <w:t xml:space="preserve"> </w:t>
      </w:r>
      <w:r>
        <w:rPr>
          <w:rFonts w:hint="eastAsia" w:ascii="宋体" w:hAnsi="宋体" w:eastAsia="宋体" w:cs="宋体"/>
          <w:sz w:val="21"/>
          <w:szCs w:val="21"/>
        </w:rPr>
        <w:t>家。</w:t>
      </w:r>
    </w:p>
    <w:p>
      <w:pPr>
        <w:pStyle w:val="43"/>
        <w:widowControl w:val="0"/>
        <w:spacing w:line="360" w:lineRule="auto"/>
        <w:ind w:firstLine="420" w:firstLineChars="200"/>
        <w:jc w:val="both"/>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2.4.4</w:t>
      </w:r>
      <w:r>
        <w:rPr>
          <w:rFonts w:hint="eastAsia" w:ascii="宋体" w:hAnsi="宋体" w:eastAsia="宋体" w:cs="宋体"/>
          <w:sz w:val="21"/>
          <w:szCs w:val="21"/>
        </w:rPr>
        <w:t>中标候选人并列的，按照以下方式确定中标人</w:t>
      </w:r>
      <w:r>
        <w:rPr>
          <w:rFonts w:hint="eastAsia" w:ascii="宋体" w:hAnsi="宋体" w:eastAsia="宋体" w:cs="宋体"/>
          <w:sz w:val="21"/>
          <w:szCs w:val="21"/>
          <w:lang w:eastAsia="zh-CN"/>
        </w:rPr>
        <w:t>：</w:t>
      </w:r>
    </w:p>
    <w:p>
      <w:pPr>
        <w:pStyle w:val="43"/>
        <w:widowControl w:val="0"/>
        <w:spacing w:line="360" w:lineRule="auto"/>
        <w:ind w:firstLine="420" w:firstLineChars="200"/>
        <w:jc w:val="both"/>
        <w:outlineLvl w:val="9"/>
        <w:rPr>
          <w:rFonts w:hint="eastAsia" w:ascii="宋体" w:hAnsi="宋体" w:eastAsia="宋体" w:cs="宋体"/>
          <w:b/>
          <w:bCs/>
          <w:kern w:val="2"/>
          <w:sz w:val="21"/>
          <w:szCs w:val="21"/>
          <w:lang w:val="en-US" w:eastAsia="zh-CN" w:bidi="ar-SA"/>
        </w:rPr>
      </w:pPr>
      <w:r>
        <w:rPr>
          <w:rFonts w:hint="eastAsia" w:ascii="宋体" w:hAnsi="宋体" w:eastAsia="宋体" w:cs="宋体"/>
          <w:sz w:val="21"/>
          <w:szCs w:val="21"/>
        </w:rPr>
        <w:t>综合得分相同的，按投标报价由低到高顺序排列推荐中标候选人。若综合得分和报价均相同的，则按技术得分高低顺序推荐中标候选人，若综合得分、报价、技术得分均相同的，则按照随机抽取方式确定中标候选人。</w:t>
      </w:r>
    </w:p>
    <w:p>
      <w:pPr>
        <w:spacing w:line="360" w:lineRule="auto"/>
        <w:rPr>
          <w:rFonts w:hint="eastAsia" w:ascii="宋体" w:hAnsi="宋体" w:eastAsia="宋体" w:cs="宋体"/>
          <w:b/>
          <w:bCs/>
          <w:sz w:val="28"/>
          <w:szCs w:val="28"/>
        </w:rPr>
      </w:pPr>
      <w:bookmarkStart w:id="60" w:name="_Toc38030150"/>
      <w:bookmarkStart w:id="61" w:name="_Toc1406510925"/>
      <w:bookmarkStart w:id="62" w:name="_Toc1505390621"/>
      <w:bookmarkStart w:id="63" w:name="_Toc15819"/>
      <w:bookmarkStart w:id="64" w:name="_Toc1484421284"/>
      <w:bookmarkStart w:id="65" w:name="_Toc353483817"/>
      <w:bookmarkStart w:id="66" w:name="_Toc1914430521"/>
      <w:bookmarkStart w:id="67" w:name="_Toc614538032"/>
      <w:bookmarkStart w:id="68" w:name="_Toc525052847"/>
      <w:r>
        <w:rPr>
          <w:rFonts w:hint="eastAsia" w:ascii="宋体" w:hAnsi="宋体" w:eastAsia="宋体" w:cs="宋体"/>
          <w:b/>
          <w:bCs/>
          <w:sz w:val="28"/>
          <w:szCs w:val="28"/>
        </w:rPr>
        <w:br w:type="page"/>
      </w:r>
    </w:p>
    <w:p>
      <w:pPr>
        <w:spacing w:line="360" w:lineRule="auto"/>
        <w:jc w:val="center"/>
        <w:outlineLvl w:val="0"/>
        <w:rPr>
          <w:rFonts w:hint="eastAsia" w:ascii="宋体" w:hAnsi="宋体" w:eastAsia="宋体" w:cs="宋体"/>
          <w:b/>
          <w:bCs/>
          <w:sz w:val="28"/>
          <w:szCs w:val="28"/>
        </w:rPr>
      </w:pPr>
      <w:r>
        <w:rPr>
          <w:rFonts w:hint="eastAsia" w:ascii="宋体" w:hAnsi="宋体" w:eastAsia="宋体" w:cs="宋体"/>
          <w:b/>
          <w:bCs/>
          <w:sz w:val="28"/>
          <w:szCs w:val="28"/>
        </w:rPr>
        <w:t>第四章  政府采购合同文本</w:t>
      </w:r>
      <w:bookmarkEnd w:id="60"/>
      <w:bookmarkEnd w:id="61"/>
      <w:bookmarkEnd w:id="62"/>
      <w:bookmarkEnd w:id="63"/>
      <w:bookmarkEnd w:id="64"/>
      <w:bookmarkEnd w:id="65"/>
      <w:bookmarkEnd w:id="66"/>
      <w:bookmarkEnd w:id="67"/>
      <w:bookmarkEnd w:id="68"/>
    </w:p>
    <w:p>
      <w:pPr>
        <w:pStyle w:val="18"/>
        <w:spacing w:line="360" w:lineRule="auto"/>
        <w:jc w:val="center"/>
        <w:rPr>
          <w:rFonts w:hint="eastAsia" w:ascii="宋体" w:hAnsi="宋体" w:eastAsia="宋体" w:cs="宋体"/>
          <w:b/>
          <w:color w:val="auto"/>
          <w:sz w:val="96"/>
          <w:szCs w:val="96"/>
          <w:highlight w:val="none"/>
        </w:rPr>
      </w:pPr>
      <w:bookmarkStart w:id="69" w:name="_Toc4640"/>
    </w:p>
    <w:p>
      <w:pPr>
        <w:pStyle w:val="18"/>
        <w:spacing w:line="360" w:lineRule="auto"/>
        <w:jc w:val="center"/>
        <w:rPr>
          <w:rFonts w:hint="eastAsia" w:ascii="宋体" w:hAnsi="宋体" w:eastAsia="宋体" w:cs="宋体"/>
          <w:b/>
          <w:color w:val="auto"/>
          <w:sz w:val="96"/>
          <w:szCs w:val="96"/>
          <w:highlight w:val="none"/>
        </w:rPr>
      </w:pPr>
    </w:p>
    <w:p>
      <w:pPr>
        <w:pStyle w:val="18"/>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合 同 书</w:t>
      </w:r>
    </w:p>
    <w:p>
      <w:pPr>
        <w:pStyle w:val="18"/>
        <w:spacing w:line="360" w:lineRule="auto"/>
        <w:jc w:val="center"/>
        <w:rPr>
          <w:rFonts w:hint="eastAsia" w:ascii="宋体" w:hAnsi="宋体" w:eastAsia="宋体" w:cs="宋体"/>
          <w:b w:val="0"/>
          <w:bCs/>
          <w:color w:val="auto"/>
          <w:sz w:val="32"/>
          <w:szCs w:val="32"/>
          <w:highlight w:val="none"/>
        </w:rPr>
      </w:pPr>
    </w:p>
    <w:p>
      <w:pPr>
        <w:tabs>
          <w:tab w:val="left" w:pos="540"/>
          <w:tab w:val="left" w:pos="1080"/>
          <w:tab w:val="left" w:pos="1440"/>
        </w:tabs>
        <w:snapToGrid w:val="0"/>
        <w:spacing w:line="360" w:lineRule="auto"/>
        <w:jc w:val="center"/>
        <w:rPr>
          <w:rFonts w:hint="eastAsia" w:ascii="宋体" w:hAnsi="宋体" w:eastAsia="宋体" w:cs="宋体"/>
          <w:color w:val="auto"/>
          <w:sz w:val="32"/>
          <w:szCs w:val="32"/>
          <w:highlight w:val="none"/>
        </w:rPr>
      </w:pPr>
    </w:p>
    <w:p>
      <w:pPr>
        <w:tabs>
          <w:tab w:val="left" w:pos="540"/>
          <w:tab w:val="left" w:pos="1080"/>
          <w:tab w:val="left" w:pos="1440"/>
        </w:tabs>
        <w:snapToGrid w:val="0"/>
        <w:spacing w:line="360" w:lineRule="auto"/>
        <w:jc w:val="center"/>
        <w:rPr>
          <w:rFonts w:hint="eastAsia" w:ascii="宋体" w:hAnsi="宋体" w:eastAsia="宋体" w:cs="宋体"/>
          <w:color w:val="auto"/>
          <w:sz w:val="32"/>
          <w:szCs w:val="32"/>
          <w:highlight w:val="none"/>
        </w:rPr>
      </w:pPr>
    </w:p>
    <w:p>
      <w:pPr>
        <w:tabs>
          <w:tab w:val="left" w:pos="540"/>
          <w:tab w:val="left" w:pos="1080"/>
          <w:tab w:val="left" w:pos="1440"/>
        </w:tabs>
        <w:snapToGrid w:val="0"/>
        <w:spacing w:line="360" w:lineRule="auto"/>
        <w:jc w:val="center"/>
        <w:rPr>
          <w:rFonts w:hint="eastAsia" w:ascii="宋体" w:hAnsi="宋体" w:eastAsia="宋体" w:cs="宋体"/>
          <w:color w:val="auto"/>
          <w:sz w:val="32"/>
          <w:szCs w:val="32"/>
          <w:highlight w:val="none"/>
        </w:rPr>
      </w:pPr>
    </w:p>
    <w:p>
      <w:pPr>
        <w:keepNext w:val="0"/>
        <w:keepLines w:val="0"/>
        <w:pageBreakBefore w:val="0"/>
        <w:widowControl w:val="0"/>
        <w:tabs>
          <w:tab w:val="left" w:pos="540"/>
          <w:tab w:val="left" w:pos="1080"/>
          <w:tab w:val="left" w:pos="1440"/>
        </w:tabs>
        <w:kinsoku/>
        <w:wordWrap/>
        <w:overflowPunct/>
        <w:bidi w:val="0"/>
        <w:adjustRightInd/>
        <w:snapToGrid w:val="0"/>
        <w:spacing w:line="360" w:lineRule="auto"/>
        <w:ind w:left="1680" w:leftChars="800"/>
        <w:jc w:val="center"/>
        <w:textAlignment w:val="auto"/>
        <w:rPr>
          <w:rFonts w:hint="eastAsia" w:ascii="宋体" w:hAnsi="宋体" w:eastAsia="宋体" w:cs="宋体"/>
          <w:color w:val="auto"/>
          <w:sz w:val="32"/>
          <w:szCs w:val="32"/>
          <w:highlight w:val="none"/>
        </w:rPr>
      </w:pP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项目名称：</w:t>
      </w:r>
      <w:r>
        <w:rPr>
          <w:rFonts w:hint="eastAsia" w:ascii="宋体" w:hAnsi="宋体" w:eastAsia="宋体" w:cs="宋体"/>
          <w:b w:val="0"/>
          <w:bCs/>
          <w:color w:val="auto"/>
          <w:sz w:val="24"/>
          <w:szCs w:val="24"/>
          <w:highlight w:val="none"/>
          <w:u w:val="single"/>
          <w:lang w:val="en-US" w:eastAsia="zh-CN"/>
        </w:rPr>
        <w:t xml:space="preserve">                   </w:t>
      </w: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包</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eastAsia="zh-CN"/>
        </w:rPr>
        <w:t>号：</w:t>
      </w:r>
      <w:r>
        <w:rPr>
          <w:rFonts w:hint="eastAsia" w:ascii="宋体" w:hAnsi="宋体" w:eastAsia="宋体" w:cs="宋体"/>
          <w:b w:val="0"/>
          <w:bCs/>
          <w:color w:val="auto"/>
          <w:sz w:val="24"/>
          <w:szCs w:val="24"/>
          <w:highlight w:val="none"/>
          <w:u w:val="single"/>
          <w:lang w:val="en-US" w:eastAsia="zh-CN"/>
        </w:rPr>
        <w:t xml:space="preserve">                   </w:t>
      </w:r>
    </w:p>
    <w:p>
      <w:pPr>
        <w:keepNext w:val="0"/>
        <w:keepLines w:val="0"/>
        <w:pageBreakBefore w:val="0"/>
        <w:widowControl w:val="0"/>
        <w:tabs>
          <w:tab w:val="left" w:pos="540"/>
          <w:tab w:val="left" w:pos="1080"/>
          <w:tab w:val="left" w:pos="1440"/>
        </w:tabs>
        <w:kinsoku/>
        <w:wordWrap/>
        <w:overflowPunct/>
        <w:bidi w:val="0"/>
        <w:adjustRightInd/>
        <w:snapToGrid w:val="0"/>
        <w:spacing w:line="360" w:lineRule="auto"/>
        <w:ind w:left="2100" w:leftChars="1000" w:firstLine="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合同编号：</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 xml:space="preserve"> </w:t>
      </w: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880" w:leftChars="800" w:hanging="1200" w:hangingChars="500"/>
        <w:textAlignment w:val="auto"/>
        <w:rPr>
          <w:rFonts w:hint="eastAsia" w:ascii="宋体" w:hAnsi="宋体" w:eastAsia="宋体" w:cs="宋体"/>
          <w:b w:val="0"/>
          <w:bCs/>
          <w:color w:val="auto"/>
          <w:sz w:val="24"/>
          <w:szCs w:val="24"/>
          <w:highlight w:val="none"/>
        </w:rPr>
      </w:pPr>
    </w:p>
    <w:p>
      <w:pPr>
        <w:pStyle w:val="18"/>
        <w:spacing w:line="360" w:lineRule="auto"/>
        <w:jc w:val="center"/>
        <w:rPr>
          <w:rFonts w:hint="eastAsia" w:ascii="宋体" w:hAnsi="宋体" w:eastAsia="宋体" w:cs="宋体"/>
          <w:b w:val="0"/>
          <w:bCs/>
          <w:color w:val="auto"/>
          <w:sz w:val="24"/>
          <w:szCs w:val="24"/>
          <w:highlight w:val="none"/>
        </w:rPr>
      </w:pPr>
    </w:p>
    <w:p>
      <w:pPr>
        <w:pStyle w:val="18"/>
        <w:tabs>
          <w:tab w:val="left" w:pos="3045"/>
        </w:tabs>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b/>
      </w:r>
    </w:p>
    <w:p>
      <w:pPr>
        <w:pStyle w:val="18"/>
        <w:spacing w:line="360" w:lineRule="auto"/>
        <w:jc w:val="both"/>
        <w:rPr>
          <w:rFonts w:hint="eastAsia" w:ascii="宋体" w:hAnsi="宋体" w:eastAsia="宋体" w:cs="宋体"/>
          <w:b w:val="0"/>
          <w:bCs/>
          <w:color w:val="auto"/>
          <w:sz w:val="24"/>
          <w:szCs w:val="24"/>
          <w:highlight w:val="none"/>
        </w:rPr>
      </w:pPr>
    </w:p>
    <w:p>
      <w:pPr>
        <w:pStyle w:val="18"/>
        <w:spacing w:line="360" w:lineRule="auto"/>
        <w:jc w:val="center"/>
        <w:rPr>
          <w:rFonts w:hint="eastAsia" w:ascii="宋体" w:hAnsi="宋体" w:eastAsia="宋体" w:cs="宋体"/>
          <w:b w:val="0"/>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840" w:leftChars="400" w:firstLine="1298" w:firstLineChars="541"/>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 xml:space="preserve">甲    方： </w:t>
      </w:r>
      <w:r>
        <w:rPr>
          <w:rFonts w:hint="eastAsia" w:ascii="宋体" w:hAnsi="宋体" w:eastAsia="宋体" w:cs="宋体"/>
          <w:b w:val="0"/>
          <w:bCs/>
          <w:color w:val="auto"/>
          <w:sz w:val="24"/>
          <w:szCs w:val="24"/>
          <w:highlight w:val="none"/>
          <w:u w:val="single"/>
          <w:lang w:eastAsia="zh-CN"/>
        </w:rPr>
        <w:t>国家税务总局仙游县税务局</w:t>
      </w:r>
    </w:p>
    <w:p>
      <w:pPr>
        <w:keepNext w:val="0"/>
        <w:keepLines w:val="0"/>
        <w:pageBreakBefore w:val="0"/>
        <w:widowControl w:val="0"/>
        <w:kinsoku/>
        <w:wordWrap/>
        <w:overflowPunct/>
        <w:topLinePunct w:val="0"/>
        <w:autoSpaceDE/>
        <w:autoSpaceDN/>
        <w:bidi w:val="0"/>
        <w:adjustRightInd/>
        <w:snapToGrid/>
        <w:spacing w:line="360" w:lineRule="auto"/>
        <w:ind w:left="840" w:leftChars="400" w:firstLine="1298" w:firstLineChars="541"/>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rPr>
        <w:t xml:space="preserve">乙    方： </w:t>
      </w:r>
      <w:r>
        <w:rPr>
          <w:rFonts w:hint="eastAsia" w:ascii="宋体" w:hAnsi="宋体" w:eastAsia="宋体" w:cs="宋体"/>
          <w:b w:val="0"/>
          <w:bCs/>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840" w:leftChars="400" w:firstLine="1298" w:firstLineChars="541"/>
        <w:textAlignment w:val="auto"/>
        <w:rPr>
          <w:rFonts w:hint="eastAsia" w:ascii="宋体" w:hAnsi="宋体" w:eastAsia="宋体" w:cs="宋体"/>
          <w:b w:val="0"/>
          <w:bCs/>
          <w:color w:val="auto"/>
          <w:sz w:val="24"/>
          <w:szCs w:val="24"/>
          <w:highlight w:val="none"/>
          <w:u w:val="single"/>
          <w:lang w:eastAsia="zh-CN"/>
        </w:rPr>
      </w:pPr>
      <w:r>
        <w:rPr>
          <w:rFonts w:hint="eastAsia" w:ascii="宋体" w:hAnsi="宋体" w:eastAsia="宋体" w:cs="宋体"/>
          <w:b w:val="0"/>
          <w:bCs/>
          <w:color w:val="auto"/>
          <w:sz w:val="24"/>
          <w:szCs w:val="24"/>
          <w:highlight w:val="none"/>
        </w:rPr>
        <w:t xml:space="preserve">日    期：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rPr>
        <w:t>年</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rPr>
        <w:t xml:space="preserve">月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lang w:eastAsia="zh-CN"/>
        </w:rPr>
        <w:t>日</w:t>
      </w:r>
    </w:p>
    <w:p>
      <w:pPr>
        <w:spacing w:line="360" w:lineRule="auto"/>
        <w:jc w:val="center"/>
        <w:outlineLvl w:val="1"/>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u w:val="single"/>
        </w:rPr>
        <w:br w:type="page"/>
      </w:r>
      <w:r>
        <w:rPr>
          <w:rFonts w:hint="eastAsia" w:ascii="宋体" w:hAnsi="宋体" w:eastAsia="宋体" w:cs="宋体"/>
          <w:b/>
          <w:color w:val="auto"/>
          <w:sz w:val="24"/>
          <w:szCs w:val="24"/>
          <w:highlight w:val="none"/>
        </w:rPr>
        <w:t>合同条款前附表</w:t>
      </w:r>
    </w:p>
    <w:tbl>
      <w:tblPr>
        <w:tblStyle w:val="29"/>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1500"/>
        <w:gridCol w:w="5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68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合同名称</w:t>
            </w:r>
          </w:p>
        </w:tc>
        <w:tc>
          <w:tcPr>
            <w:tcW w:w="5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合同编号</w:t>
            </w:r>
          </w:p>
        </w:tc>
        <w:tc>
          <w:tcPr>
            <w:tcW w:w="5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360" w:lineRule="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合同类型</w:t>
            </w:r>
          </w:p>
        </w:tc>
        <w:tc>
          <w:tcPr>
            <w:tcW w:w="5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360" w:lineRule="auto"/>
              <w:rPr>
                <w:rFonts w:hint="eastAsia" w:ascii="宋体" w:hAnsi="宋体" w:eastAsia="宋体" w:cs="宋体"/>
                <w:b/>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定价方式</w:t>
            </w:r>
          </w:p>
        </w:tc>
        <w:tc>
          <w:tcPr>
            <w:tcW w:w="5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360" w:lineRule="auto"/>
              <w:rPr>
                <w:rFonts w:hint="eastAsia" w:ascii="宋体" w:hAnsi="宋体" w:eastAsia="宋体" w:cs="宋体"/>
                <w:b/>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909" w:type="dxa"/>
            <w:gridSpan w:val="2"/>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甲方名称</w:t>
            </w:r>
          </w:p>
        </w:tc>
        <w:tc>
          <w:tcPr>
            <w:tcW w:w="5779"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1909" w:type="dxa"/>
            <w:gridSpan w:val="2"/>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甲方地址</w:t>
            </w:r>
          </w:p>
        </w:tc>
        <w:tc>
          <w:tcPr>
            <w:tcW w:w="5779"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409" w:type="dxa"/>
            <w:vMerge w:val="restart"/>
            <w:tcBorders>
              <w:top w:val="single" w:color="auto" w:sz="6" w:space="0"/>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甲方相关部门</w:t>
            </w:r>
          </w:p>
        </w:tc>
        <w:tc>
          <w:tcPr>
            <w:tcW w:w="150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甲方采购部门</w:t>
            </w:r>
          </w:p>
        </w:tc>
        <w:tc>
          <w:tcPr>
            <w:tcW w:w="5779"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409" w:type="dxa"/>
            <w:vMerge w:val="continue"/>
            <w:tcBorders>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p>
        </w:tc>
        <w:tc>
          <w:tcPr>
            <w:tcW w:w="150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5779"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409" w:type="dxa"/>
            <w:vMerge w:val="continue"/>
            <w:tcBorders>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5779"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409" w:type="dxa"/>
            <w:vMerge w:val="continue"/>
            <w:tcBorders>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需求部门</w:t>
            </w:r>
          </w:p>
        </w:tc>
        <w:tc>
          <w:tcPr>
            <w:tcW w:w="5779"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409" w:type="dxa"/>
            <w:vMerge w:val="continue"/>
            <w:tcBorders>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5779"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40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5779"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乙方名称</w:t>
            </w:r>
          </w:p>
        </w:tc>
        <w:tc>
          <w:tcPr>
            <w:tcW w:w="5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乙方企业性质</w:t>
            </w:r>
          </w:p>
        </w:tc>
        <w:tc>
          <w:tcPr>
            <w:tcW w:w="5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sym w:font="Wingdings 2" w:char="00A3"/>
            </w:r>
            <w:r>
              <w:rPr>
                <w:rFonts w:hint="eastAsia" w:ascii="宋体" w:hAnsi="宋体" w:eastAsia="宋体" w:cs="宋体"/>
                <w:color w:val="auto"/>
                <w:sz w:val="21"/>
                <w:szCs w:val="21"/>
                <w:highlight w:val="none"/>
              </w:rPr>
              <w:t xml:space="preserve"> 中型企业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 xml:space="preserve"> 小型企业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 xml:space="preserve"> 微型企业    </w:t>
            </w:r>
          </w:p>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 xml:space="preserve"> 监狱企业</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 xml:space="preserve"> 残疾人福利性单位    </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乙方地址</w:t>
            </w:r>
          </w:p>
        </w:tc>
        <w:tc>
          <w:tcPr>
            <w:tcW w:w="5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乙方联系人</w:t>
            </w:r>
          </w:p>
        </w:tc>
        <w:tc>
          <w:tcPr>
            <w:tcW w:w="5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5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5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w:t>
            </w:r>
          </w:p>
        </w:tc>
        <w:tc>
          <w:tcPr>
            <w:tcW w:w="5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元</w:t>
            </w:r>
            <w:r>
              <w:rPr>
                <w:rFonts w:hint="eastAsia" w:ascii="宋体" w:hAnsi="宋体" w:eastAsia="宋体" w:cs="宋体"/>
                <w:color w:val="auto"/>
                <w:sz w:val="21"/>
                <w:szCs w:val="21"/>
                <w:highlight w:val="none"/>
              </w:rPr>
              <w:t>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5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概述服务内容，详见招标文件采购需求。</w:t>
            </w:r>
          </w:p>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合同付款</w:t>
            </w:r>
          </w:p>
        </w:tc>
        <w:tc>
          <w:tcPr>
            <w:tcW w:w="5779" w:type="dxa"/>
            <w:tcBorders>
              <w:top w:val="single" w:color="auto" w:sz="4" w:space="0"/>
              <w:left w:val="single" w:color="auto" w:sz="4" w:space="0"/>
              <w:bottom w:val="single" w:color="auto" w:sz="4" w:space="0"/>
              <w:right w:val="single" w:color="auto" w:sz="4" w:space="0"/>
            </w:tcBorders>
            <w:noWrap w:val="0"/>
            <w:vAlign w:val="center"/>
          </w:tcPr>
          <w:p>
            <w:pPr>
              <w:pStyle w:val="72"/>
              <w:keepNext w:val="0"/>
              <w:keepLines w:val="0"/>
              <w:pageBreakBefore w:val="0"/>
              <w:numPr>
                <w:ilvl w:val="0"/>
                <w:numId w:val="0"/>
              </w:numPr>
              <w:tabs>
                <w:tab w:val="left" w:pos="840"/>
              </w:tabs>
              <w:kinsoku/>
              <w:wordWrap/>
              <w:overflowPunct/>
              <w:bidi w:val="0"/>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合同以人民币结算，付款方式：</w:t>
            </w:r>
          </w:p>
          <w:p>
            <w:pPr>
              <w:pStyle w:val="72"/>
              <w:keepNext w:val="0"/>
              <w:keepLines w:val="0"/>
              <w:pageBreakBefore w:val="0"/>
              <w:numPr>
                <w:ilvl w:val="0"/>
                <w:numId w:val="0"/>
              </w:numPr>
              <w:tabs>
                <w:tab w:val="left" w:pos="840"/>
              </w:tabs>
              <w:kinsoku/>
              <w:wordWrap/>
              <w:overflowPunct/>
              <w:bidi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第一次付款：在</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后，甲方支付乙方合同金额</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rPr>
              <w:t>%的款项，即人民币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72"/>
              <w:keepNext w:val="0"/>
              <w:keepLines w:val="0"/>
              <w:pageBreakBefore w:val="0"/>
              <w:numPr>
                <w:ilvl w:val="0"/>
                <w:numId w:val="0"/>
              </w:numPr>
              <w:tabs>
                <w:tab w:val="left" w:pos="840"/>
              </w:tabs>
              <w:kinsoku/>
              <w:wordWrap/>
              <w:overflowPunct/>
              <w:bidi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第二次付款：在</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后，甲方支付乙方合同金额</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rPr>
              <w:t>%的款项，即人民币</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rPr>
              <w:t>元整（¥</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rPr>
              <w:t>）；</w:t>
            </w:r>
          </w:p>
          <w:p>
            <w:pPr>
              <w:pStyle w:val="72"/>
              <w:keepNext w:val="0"/>
              <w:keepLines w:val="0"/>
              <w:pageBreakBefore w:val="0"/>
              <w:numPr>
                <w:ilvl w:val="0"/>
                <w:numId w:val="0"/>
              </w:numPr>
              <w:tabs>
                <w:tab w:val="left" w:pos="840"/>
              </w:tabs>
              <w:kinsoku/>
              <w:wordWrap/>
              <w:overflowPunct/>
              <w:bidi w:val="0"/>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
              </w:rPr>
              <w:t>......</w:t>
            </w:r>
          </w:p>
          <w:p>
            <w:pPr>
              <w:pStyle w:val="72"/>
              <w:keepNext w:val="0"/>
              <w:keepLines w:val="0"/>
              <w:pageBreakBefore w:val="0"/>
              <w:numPr>
                <w:ilvl w:val="0"/>
                <w:numId w:val="0"/>
              </w:numPr>
              <w:tabs>
                <w:tab w:val="left" w:pos="840"/>
              </w:tabs>
              <w:kinsoku/>
              <w:wordWrap/>
              <w:overflowPunct/>
              <w:bidi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每次办理付款时，乙方应提供发票、付款申请（格式另附）</w:t>
            </w:r>
            <w:r>
              <w:rPr>
                <w:rFonts w:hint="eastAsia" w:ascii="宋体" w:hAnsi="宋体" w:eastAsia="宋体" w:cs="宋体"/>
                <w:color w:val="auto"/>
                <w:sz w:val="21"/>
                <w:szCs w:val="21"/>
                <w:highlight w:val="none"/>
                <w:lang w:eastAsia="zh-CN"/>
              </w:rPr>
              <w:t>、合同或</w:t>
            </w:r>
            <w:r>
              <w:rPr>
                <w:rFonts w:hint="eastAsia" w:ascii="宋体" w:hAnsi="宋体" w:eastAsia="宋体" w:cs="宋体"/>
                <w:color w:val="auto"/>
                <w:sz w:val="21"/>
                <w:szCs w:val="21"/>
                <w:highlight w:val="none"/>
              </w:rPr>
              <w:t>合同关键页复印件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合同约定的其他资料。涉及验收的，应同时提交验收意见。</w:t>
            </w:r>
          </w:p>
          <w:p>
            <w:pPr>
              <w:pStyle w:val="72"/>
              <w:keepNext w:val="0"/>
              <w:keepLines w:val="0"/>
              <w:pageBreakBefore w:val="0"/>
              <w:numPr>
                <w:ilvl w:val="0"/>
                <w:numId w:val="0"/>
              </w:numPr>
              <w:tabs>
                <w:tab w:val="left" w:pos="840"/>
              </w:tabs>
              <w:kinsoku/>
              <w:wordWrap/>
              <w:overflowPunct/>
              <w:bidi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甲方在收到发票等合同约定资料后，进行核实。满足合同约定支付条件的，自收到发票后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日内将资金支付到乙方账户</w:t>
            </w:r>
            <w:r>
              <w:rPr>
                <w:rFonts w:hint="eastAsia" w:ascii="宋体" w:hAnsi="宋体" w:eastAsia="宋体" w:cs="宋体"/>
                <w:color w:val="auto"/>
                <w:sz w:val="21"/>
                <w:szCs w:val="21"/>
                <w:highlight w:val="none"/>
                <w:lang w:eastAsia="zh-CN"/>
              </w:rPr>
              <w:t>，特殊情形付款期限最长不超过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履约保证金及返还</w:t>
            </w:r>
          </w:p>
        </w:tc>
        <w:tc>
          <w:tcPr>
            <w:tcW w:w="5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项目不要求提供履约保证金。</w:t>
            </w:r>
          </w:p>
          <w:p>
            <w:pPr>
              <w:keepNext w:val="0"/>
              <w:keepLines w:val="0"/>
              <w:pageBreakBefore w:val="0"/>
              <w:tabs>
                <w:tab w:val="left" w:pos="700"/>
              </w:tabs>
              <w:kinsoku/>
              <w:wordWrap/>
              <w:overflowPunct/>
              <w:bidi w:val="0"/>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□本项目要求提供履约保证金。履约保证金为合同</w:t>
            </w:r>
            <w:r>
              <w:rPr>
                <w:rFonts w:hint="eastAsia" w:ascii="宋体" w:hAnsi="宋体" w:eastAsia="宋体" w:cs="宋体"/>
                <w:color w:val="auto"/>
                <w:sz w:val="21"/>
                <w:szCs w:val="21"/>
                <w:highlight w:val="none"/>
                <w:lang w:eastAsia="zh-CN"/>
              </w:rPr>
              <w:t>总</w:t>
            </w:r>
            <w:r>
              <w:rPr>
                <w:rFonts w:hint="eastAsia" w:ascii="宋体" w:hAnsi="宋体" w:eastAsia="宋体" w:cs="宋体"/>
                <w:color w:val="auto"/>
                <w:sz w:val="21"/>
                <w:szCs w:val="21"/>
                <w:highlight w:val="none"/>
              </w:rPr>
              <w:t>金额</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%，即人民币</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u w:val="none"/>
                <w:lang w:val="en" w:eastAsia="zh-CN"/>
              </w:rPr>
              <w:t>元</w:t>
            </w:r>
            <w:r>
              <w:rPr>
                <w:rFonts w:hint="eastAsia" w:ascii="宋体" w:hAnsi="宋体" w:eastAsia="宋体" w:cs="宋体"/>
                <w:color w:val="auto"/>
                <w:sz w:val="21"/>
                <w:szCs w:val="21"/>
                <w:highlight w:val="none"/>
              </w:rPr>
              <w:t>整（¥</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乙方应在合同签订之日起 30 日内提交甲方。提交方式为银行电汇、金融机构或担保机构出具的保函。在合同履行期满，扣除应扣除的款项（如有）且双方无争议后，无息返还。</w:t>
            </w:r>
          </w:p>
          <w:p>
            <w:pPr>
              <w:keepNext w:val="0"/>
              <w:keepLines w:val="0"/>
              <w:pageBreakBefore w:val="0"/>
              <w:tabs>
                <w:tab w:val="left" w:pos="700"/>
              </w:tabs>
              <w:kinsoku/>
              <w:wordWrap/>
              <w:overflowPunct/>
              <w:bidi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办理返还履约保证金时，乙方应提供履约保证金返还申请（格式另附）、</w:t>
            </w:r>
            <w:r>
              <w:rPr>
                <w:rFonts w:hint="eastAsia" w:ascii="宋体" w:hAnsi="宋体" w:eastAsia="宋体" w:cs="宋体"/>
                <w:color w:val="auto"/>
                <w:sz w:val="21"/>
                <w:szCs w:val="21"/>
                <w:highlight w:val="none"/>
                <w:lang w:eastAsia="zh-CN"/>
              </w:rPr>
              <w:t>合同或</w:t>
            </w:r>
            <w:r>
              <w:rPr>
                <w:rFonts w:hint="eastAsia" w:ascii="宋体" w:hAnsi="宋体" w:eastAsia="宋体" w:cs="宋体"/>
                <w:color w:val="auto"/>
                <w:sz w:val="21"/>
                <w:szCs w:val="21"/>
                <w:highlight w:val="none"/>
              </w:rPr>
              <w:t>合同关键页复印件、合同约定的其他资料。涉及验收的，应同时提交甲方</w:t>
            </w:r>
            <w:r>
              <w:rPr>
                <w:rFonts w:hint="eastAsia" w:ascii="宋体" w:hAnsi="宋体" w:eastAsia="宋体" w:cs="宋体"/>
                <w:color w:val="auto"/>
                <w:sz w:val="21"/>
                <w:szCs w:val="21"/>
                <w:highlight w:val="none"/>
                <w:lang w:eastAsia="zh-CN"/>
              </w:rPr>
              <w:t>需求部门</w:t>
            </w:r>
            <w:r>
              <w:rPr>
                <w:rFonts w:hint="eastAsia" w:ascii="宋体" w:hAnsi="宋体" w:eastAsia="宋体" w:cs="宋体"/>
                <w:color w:val="auto"/>
                <w:sz w:val="21"/>
                <w:szCs w:val="21"/>
                <w:highlight w:val="none"/>
              </w:rPr>
              <w:t>出具的项目终验意见或</w:t>
            </w:r>
            <w:r>
              <w:rPr>
                <w:rFonts w:hint="eastAsia" w:ascii="宋体" w:hAnsi="宋体" w:eastAsia="宋体" w:cs="宋体"/>
                <w:color w:val="auto"/>
                <w:sz w:val="21"/>
                <w:szCs w:val="21"/>
                <w:highlight w:val="none"/>
                <w:lang w:eastAsia="zh-CN"/>
              </w:rPr>
              <w:t>质量保证</w:t>
            </w:r>
            <w:r>
              <w:rPr>
                <w:rFonts w:hint="eastAsia" w:ascii="宋体" w:hAnsi="宋体" w:eastAsia="宋体" w:cs="宋体"/>
                <w:color w:val="auto"/>
                <w:sz w:val="21"/>
                <w:szCs w:val="21"/>
                <w:highlight w:val="none"/>
              </w:rPr>
              <w:t>期（服务期）满验收意见。</w:t>
            </w:r>
          </w:p>
          <w:p>
            <w:pPr>
              <w:keepNext w:val="0"/>
              <w:keepLines w:val="0"/>
              <w:pageBreakBefore w:val="0"/>
              <w:tabs>
                <w:tab w:val="left" w:pos="700"/>
              </w:tabs>
              <w:kinsoku/>
              <w:wordWrap/>
              <w:overflowPunct/>
              <w:bidi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满足履约保证金返还条件的，甲方在收到返还相关信息等合同约定资料后，进行核实。对核实结果无异议的，自完成核实之日起30日内，以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方式返还履约保证金</w:t>
            </w:r>
            <w:r>
              <w:rPr>
                <w:rFonts w:hint="eastAsia" w:ascii="宋体" w:hAnsi="宋体" w:eastAsia="宋体" w:cs="宋体"/>
                <w:color w:val="auto"/>
                <w:sz w:val="21"/>
                <w:szCs w:val="21"/>
                <w:highlight w:val="none"/>
                <w:lang w:eastAsia="zh-CN"/>
              </w:rPr>
              <w:t>或退回保函</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w:t>
            </w:r>
          </w:p>
        </w:tc>
        <w:tc>
          <w:tcPr>
            <w:tcW w:w="5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自合同签订之日起至合同全部权利义务履行完毕之日止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val="en" w:eastAsia="zh-CN"/>
              </w:rPr>
            </w:pPr>
            <w:r>
              <w:rPr>
                <w:rFonts w:hint="eastAsia" w:ascii="宋体" w:hAnsi="宋体" w:eastAsia="宋体" w:cs="宋体"/>
                <w:color w:val="auto"/>
                <w:sz w:val="21"/>
                <w:szCs w:val="21"/>
                <w:highlight w:val="none"/>
                <w:lang w:eastAsia="zh-CN"/>
              </w:rPr>
              <w:t>服务期</w:t>
            </w:r>
          </w:p>
        </w:tc>
        <w:tc>
          <w:tcPr>
            <w:tcW w:w="5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日至</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合同履约地点</w:t>
            </w:r>
          </w:p>
        </w:tc>
        <w:tc>
          <w:tcPr>
            <w:tcW w:w="5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合同约定地点或甲方指定地点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合同纠纷解决方式</w:t>
            </w:r>
          </w:p>
        </w:tc>
        <w:tc>
          <w:tcPr>
            <w:tcW w:w="5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甲乙双方应首先通过友好协商解决在执行本合同中所发生的或与本合同有关的一切争端。如从协商开始</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天内仍不能解决，可以选择以下途径之一解决纠纷：</w:t>
            </w:r>
          </w:p>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□向甲方所在地仲裁委员会或</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仲裁委员会申请仲裁</w:t>
            </w:r>
          </w:p>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□向甲方所在地人民法院或</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人民法院提起诉讼</w:t>
            </w:r>
          </w:p>
        </w:tc>
      </w:tr>
    </w:tbl>
    <w:p>
      <w:pPr>
        <w:tabs>
          <w:tab w:val="left" w:pos="700"/>
        </w:tabs>
        <w:topLinePunct/>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8"/>
          <w:highlight w:val="none"/>
        </w:rPr>
        <w:br w:type="page"/>
      </w:r>
    </w:p>
    <w:p>
      <w:pPr>
        <w:keepNext w:val="0"/>
        <w:keepLines w:val="0"/>
        <w:pageBreakBefore w:val="0"/>
        <w:widowControl w:val="0"/>
        <w:tabs>
          <w:tab w:val="left" w:pos="0"/>
        </w:tabs>
        <w:kinsoku/>
        <w:wordWrap/>
        <w:overflowPunct/>
        <w:topLinePunct/>
        <w:autoSpaceDE w:val="0"/>
        <w:autoSpaceDN w:val="0"/>
        <w:bidi w:val="0"/>
        <w:adjustRightInd/>
        <w:snapToGrid/>
        <w:spacing w:line="360" w:lineRule="auto"/>
        <w:jc w:val="center"/>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   合  同 </w:t>
      </w:r>
    </w:p>
    <w:p>
      <w:pPr>
        <w:tabs>
          <w:tab w:val="left" w:pos="540"/>
        </w:tabs>
        <w:topLinePunct/>
        <w:autoSpaceDE w:val="0"/>
        <w:autoSpaceDN w:val="0"/>
        <w:spacing w:line="360" w:lineRule="auto"/>
        <w:rPr>
          <w:rFonts w:hint="eastAsia" w:ascii="宋体" w:hAnsi="宋体" w:eastAsia="宋体" w:cs="宋体"/>
          <w:b/>
          <w:color w:val="auto"/>
          <w:sz w:val="24"/>
          <w:highlight w:val="none"/>
        </w:rPr>
      </w:pP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国家税务总局仙游县税务局</w:t>
      </w:r>
      <w:r>
        <w:rPr>
          <w:rFonts w:hint="eastAsia" w:ascii="宋体" w:hAnsi="宋体" w:eastAsia="宋体" w:cs="宋体"/>
          <w:color w:val="auto"/>
          <w:sz w:val="21"/>
          <w:szCs w:val="21"/>
          <w:highlight w:val="none"/>
        </w:rPr>
        <w:t>（以下简称“甲方”）通过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式</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确定_</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_____公司（以下简称“乙方”）为《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eastAsia="zh-CN"/>
        </w:rPr>
        <w:t>中标（成交）供应商</w:t>
      </w:r>
      <w:r>
        <w:rPr>
          <w:rFonts w:hint="eastAsia" w:ascii="宋体" w:hAnsi="宋体" w:eastAsia="宋体" w:cs="宋体"/>
          <w:color w:val="auto"/>
          <w:sz w:val="21"/>
          <w:szCs w:val="21"/>
          <w:highlight w:val="none"/>
        </w:rPr>
        <w:t>。甲乙双方同意按照该项目</w:t>
      </w:r>
      <w:r>
        <w:rPr>
          <w:rFonts w:hint="eastAsia" w:ascii="宋体" w:hAnsi="宋体" w:eastAsia="宋体" w:cs="宋体"/>
          <w:color w:val="auto"/>
          <w:sz w:val="21"/>
          <w:szCs w:val="21"/>
          <w:highlight w:val="none"/>
          <w:lang w:eastAsia="zh-CN"/>
        </w:rPr>
        <w:t>招标（采购）文件</w:t>
      </w:r>
      <w:r>
        <w:rPr>
          <w:rFonts w:hint="eastAsia" w:ascii="宋体" w:hAnsi="宋体" w:eastAsia="宋体" w:cs="宋体"/>
          <w:color w:val="auto"/>
          <w:sz w:val="21"/>
          <w:szCs w:val="21"/>
          <w:highlight w:val="none"/>
        </w:rPr>
        <w:t>约定的内容，签署《</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合同书》（合同编号：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，以下简称“合同”)。</w:t>
      </w:r>
    </w:p>
    <w:p>
      <w:pPr>
        <w:keepNext w:val="0"/>
        <w:keepLines w:val="0"/>
        <w:pageBreakBefore w:val="0"/>
        <w:widowControl w:val="0"/>
        <w:kinsoku/>
        <w:wordWrap/>
        <w:overflowPunct/>
        <w:topLinePunct/>
        <w:autoSpaceDE w:val="0"/>
        <w:autoSpaceDN w:val="0"/>
        <w:bidi w:val="0"/>
        <w:snapToGrid w:val="0"/>
        <w:spacing w:line="360" w:lineRule="auto"/>
        <w:ind w:left="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合同文件</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本合同所附下列文件是构成本合同不可分割的部分：</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（1）合同通用条款；</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（2）报价表（总报价表和分项报价表）；</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）招标（采购）文件；</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投标（响应）</w:t>
      </w:r>
      <w:r>
        <w:rPr>
          <w:rFonts w:hint="eastAsia" w:ascii="宋体" w:hAnsi="宋体" w:eastAsia="宋体" w:cs="宋体"/>
          <w:color w:val="auto"/>
          <w:sz w:val="21"/>
          <w:szCs w:val="21"/>
          <w:highlight w:val="none"/>
        </w:rPr>
        <w:t>文件。</w:t>
      </w:r>
    </w:p>
    <w:p>
      <w:pPr>
        <w:keepNext w:val="0"/>
        <w:keepLines w:val="0"/>
        <w:pageBreakBefore w:val="0"/>
        <w:widowControl w:val="0"/>
        <w:kinsoku/>
        <w:wordWrap/>
        <w:overflowPunct/>
        <w:topLinePunct/>
        <w:autoSpaceDE w:val="0"/>
        <w:autoSpaceDN w:val="0"/>
        <w:bidi w:val="0"/>
        <w:snapToGrid w:val="0"/>
        <w:spacing w:line="360" w:lineRule="auto"/>
        <w:ind w:left="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合同范围和条件</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本合同的范围和条件应与上述合同文件的规定相一致。</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合同金额</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w:t>
      </w:r>
      <w:r>
        <w:rPr>
          <w:rFonts w:hint="eastAsia" w:ascii="宋体" w:hAnsi="宋体" w:eastAsia="宋体" w:cs="宋体"/>
          <w:color w:val="auto"/>
          <w:sz w:val="21"/>
          <w:szCs w:val="21"/>
          <w:highlight w:val="none"/>
          <w:lang w:eastAsia="zh-CN"/>
        </w:rPr>
        <w:t>总</w:t>
      </w:r>
      <w:r>
        <w:rPr>
          <w:rFonts w:hint="eastAsia" w:ascii="宋体" w:hAnsi="宋体" w:eastAsia="宋体" w:cs="宋体"/>
          <w:color w:val="auto"/>
          <w:sz w:val="21"/>
          <w:szCs w:val="21"/>
          <w:highlight w:val="none"/>
        </w:rPr>
        <w:t>金额为人民币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元</w:t>
      </w:r>
      <w:r>
        <w:rPr>
          <w:rFonts w:hint="eastAsia" w:ascii="宋体" w:hAnsi="宋体" w:eastAsia="宋体" w:cs="宋体"/>
          <w:color w:val="auto"/>
          <w:sz w:val="21"/>
          <w:szCs w:val="21"/>
          <w:highlight w:val="none"/>
        </w:rPr>
        <w:t>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。本项目以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个月为1个服务周期，每个服务周期合同金额为人民币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元</w:t>
      </w:r>
      <w:r>
        <w:rPr>
          <w:rFonts w:hint="eastAsia" w:ascii="宋体" w:hAnsi="宋体" w:eastAsia="宋体" w:cs="宋体"/>
          <w:color w:val="auto"/>
          <w:sz w:val="21"/>
          <w:szCs w:val="21"/>
          <w:highlight w:val="none"/>
        </w:rPr>
        <w:t>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tabs>
          <w:tab w:val="left" w:pos="700"/>
        </w:tabs>
        <w:kinsoku/>
        <w:wordWrap/>
        <w:overflowPunct/>
        <w:topLinePunct/>
        <w:autoSpaceDE w:val="0"/>
        <w:autoSpaceDN w:val="0"/>
        <w:bidi w:val="0"/>
        <w:snapToGrid w:val="0"/>
        <w:spacing w:line="360" w:lineRule="auto"/>
        <w:ind w:firstLine="421"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
        </w:rPr>
        <w:t>4.</w:t>
      </w:r>
      <w:r>
        <w:rPr>
          <w:rFonts w:hint="eastAsia" w:ascii="宋体" w:hAnsi="宋体" w:eastAsia="宋体" w:cs="宋体"/>
          <w:b/>
          <w:color w:val="auto"/>
          <w:sz w:val="21"/>
          <w:szCs w:val="21"/>
          <w:highlight w:val="none"/>
        </w:rPr>
        <w:t>付款条件</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rPr>
        <w:t>月为 1 个服务周期，共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个服务周期。每个服务周期，甲方按照采购文件和合同约定对乙方提供的服务进行考核或验收后支付相应款项。</w:t>
      </w:r>
    </w:p>
    <w:p>
      <w:pPr>
        <w:pStyle w:val="72"/>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firstLine="420" w:firstLine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合同以人民币结算，付款方式：</w:t>
      </w:r>
    </w:p>
    <w:p>
      <w:pPr>
        <w:pStyle w:val="72"/>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firstLine="420" w:firstLine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第一次付款：在</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后，甲方支付乙方合同金额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%的款项，即人民币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元</w:t>
      </w:r>
      <w:r>
        <w:rPr>
          <w:rFonts w:hint="eastAsia" w:ascii="宋体" w:hAnsi="宋体" w:eastAsia="宋体" w:cs="宋体"/>
          <w:color w:val="auto"/>
          <w:sz w:val="21"/>
          <w:szCs w:val="21"/>
          <w:highlight w:val="none"/>
        </w:rPr>
        <w:t>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72"/>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firstLine="420" w:firstLine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第二次付款：在</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后，甲方支付乙方合同金额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%的款项，即人民币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元</w:t>
      </w:r>
      <w:r>
        <w:rPr>
          <w:rFonts w:hint="eastAsia" w:ascii="宋体" w:hAnsi="宋体" w:eastAsia="宋体" w:cs="宋体"/>
          <w:color w:val="auto"/>
          <w:sz w:val="21"/>
          <w:szCs w:val="21"/>
          <w:highlight w:val="none"/>
        </w:rPr>
        <w:t>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72"/>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pStyle w:val="72"/>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firstLine="420" w:firstLine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每次办理付款时，乙方应提供发票、付款申请（格式另附）、合同或合同关键页复印件、合同约定的其他资料。涉及验收的，应同时提交甲方</w:t>
      </w:r>
      <w:r>
        <w:rPr>
          <w:rFonts w:hint="eastAsia" w:ascii="宋体" w:hAnsi="宋体" w:eastAsia="宋体" w:cs="宋体"/>
          <w:color w:val="auto"/>
          <w:sz w:val="21"/>
          <w:szCs w:val="21"/>
          <w:highlight w:val="none"/>
          <w:lang w:eastAsia="zh-CN"/>
        </w:rPr>
        <w:t>需求部门</w:t>
      </w:r>
      <w:r>
        <w:rPr>
          <w:rFonts w:hint="eastAsia" w:ascii="宋体" w:hAnsi="宋体" w:eastAsia="宋体" w:cs="宋体"/>
          <w:color w:val="auto"/>
          <w:sz w:val="21"/>
          <w:szCs w:val="21"/>
          <w:highlight w:val="none"/>
        </w:rPr>
        <w:t>出具的验收意见。</w:t>
      </w:r>
    </w:p>
    <w:p>
      <w:pPr>
        <w:pStyle w:val="72"/>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firstLine="420" w:firstLineChars="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甲方在收到发票等合同约定资料后，进行核实。满足合同约定支付条件的，自收到发票后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日内将资金支付到乙方账户，特殊情形付款期限最长不超过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overflowPunct/>
        <w:topLinePunct/>
        <w:autoSpaceDE w:val="0"/>
        <w:autoSpaceDN w:val="0"/>
        <w:bidi w:val="0"/>
        <w:snapToGrid w:val="0"/>
        <w:spacing w:line="360" w:lineRule="auto"/>
        <w:ind w:left="482"/>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5. 合同签订</w:t>
      </w:r>
      <w:r>
        <w:rPr>
          <w:rFonts w:hint="eastAsia" w:ascii="宋体" w:hAnsi="宋体" w:eastAsia="宋体" w:cs="宋体"/>
          <w:b/>
          <w:color w:val="auto"/>
          <w:sz w:val="21"/>
          <w:szCs w:val="21"/>
          <w:highlight w:val="none"/>
          <w:lang w:eastAsia="zh-CN"/>
        </w:rPr>
        <w:t>及生效</w:t>
      </w:r>
    </w:p>
    <w:p>
      <w:pPr>
        <w:pStyle w:val="72"/>
        <w:keepNext w:val="0"/>
        <w:keepLines w:val="0"/>
        <w:pageBreakBefore w:val="0"/>
        <w:widowControl w:val="0"/>
        <w:numPr>
          <w:ilvl w:val="0"/>
          <w:numId w:val="0"/>
        </w:numPr>
        <w:tabs>
          <w:tab w:val="left" w:pos="840"/>
        </w:tabs>
        <w:kinsoku/>
        <w:wordWrap/>
        <w:overflowPunct/>
        <w:bidi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由甲乙双方</w:t>
      </w:r>
      <w:r>
        <w:rPr>
          <w:rFonts w:hint="eastAsia" w:ascii="宋体" w:hAnsi="宋体" w:eastAsia="宋体" w:cs="宋体"/>
          <w:color w:val="auto"/>
          <w:sz w:val="21"/>
          <w:szCs w:val="21"/>
          <w:highlight w:val="none"/>
          <w:lang w:eastAsia="zh-CN"/>
        </w:rPr>
        <w:t>法定代表人或被</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lang w:eastAsia="zh-CN"/>
        </w:rPr>
        <w:t>后生效。</w:t>
      </w:r>
    </w:p>
    <w:p>
      <w:pPr>
        <w:pStyle w:val="72"/>
        <w:keepNext w:val="0"/>
        <w:keepLines w:val="0"/>
        <w:pageBreakBefore w:val="0"/>
        <w:widowControl w:val="0"/>
        <w:numPr>
          <w:ilvl w:val="0"/>
          <w:numId w:val="0"/>
        </w:numPr>
        <w:tabs>
          <w:tab w:val="left" w:pos="840"/>
        </w:tabs>
        <w:kinsoku/>
        <w:wordWrap/>
        <w:overflowPunct/>
        <w:bidi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乙方由</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签订合同的，应提供</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身份证复印件；乙方由</w:t>
      </w:r>
      <w:r>
        <w:rPr>
          <w:rFonts w:hint="eastAsia" w:ascii="宋体" w:hAnsi="宋体" w:eastAsia="宋体" w:cs="宋体"/>
          <w:color w:val="auto"/>
          <w:sz w:val="21"/>
          <w:szCs w:val="21"/>
          <w:highlight w:val="none"/>
          <w:lang w:eastAsia="zh-CN"/>
        </w:rPr>
        <w:t>被</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签订合同的，</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提供授权</w:t>
      </w:r>
      <w:r>
        <w:rPr>
          <w:rFonts w:hint="eastAsia" w:ascii="宋体" w:hAnsi="宋体" w:eastAsia="宋体" w:cs="宋体"/>
          <w:color w:val="auto"/>
          <w:sz w:val="21"/>
          <w:szCs w:val="21"/>
          <w:highlight w:val="none"/>
          <w:lang w:eastAsia="zh-CN"/>
        </w:rPr>
        <w:t>委托</w:t>
      </w:r>
      <w:r>
        <w:rPr>
          <w:rFonts w:hint="eastAsia" w:ascii="宋体" w:hAnsi="宋体" w:eastAsia="宋体" w:cs="宋体"/>
          <w:color w:val="auto"/>
          <w:sz w:val="21"/>
          <w:szCs w:val="21"/>
          <w:highlight w:val="none"/>
        </w:rPr>
        <w:t>书和</w:t>
      </w:r>
      <w:r>
        <w:rPr>
          <w:rFonts w:hint="eastAsia" w:ascii="宋体" w:hAnsi="宋体" w:eastAsia="宋体" w:cs="宋体"/>
          <w:color w:val="auto"/>
          <w:sz w:val="21"/>
          <w:szCs w:val="21"/>
          <w:highlight w:val="none"/>
          <w:lang w:eastAsia="zh-CN"/>
        </w:rPr>
        <w:t>法定代表人及被</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身份证复印件。</w:t>
      </w:r>
    </w:p>
    <w:p>
      <w:pPr>
        <w:pStyle w:val="72"/>
        <w:keepNext w:val="0"/>
        <w:keepLines w:val="0"/>
        <w:pageBreakBefore w:val="0"/>
        <w:widowControl w:val="0"/>
        <w:numPr>
          <w:ilvl w:val="0"/>
          <w:numId w:val="0"/>
        </w:numPr>
        <w:tabs>
          <w:tab w:val="left" w:pos="840"/>
        </w:tabs>
        <w:kinsoku/>
        <w:wordWrap/>
        <w:overflowPunct/>
        <w:bidi w:val="0"/>
        <w:snapToGrid w:val="0"/>
        <w:spacing w:line="360" w:lineRule="auto"/>
        <w:ind w:firstLine="420" w:firstLineChars="200"/>
        <w:rPr>
          <w:rFonts w:hint="eastAsia" w:ascii="宋体" w:hAnsi="宋体" w:eastAsia="宋体" w:cs="宋体"/>
          <w:color w:val="auto"/>
          <w:sz w:val="21"/>
          <w:szCs w:val="21"/>
          <w:highlight w:val="none"/>
        </w:rPr>
      </w:pPr>
    </w:p>
    <w:p>
      <w:pPr>
        <w:keepNext w:val="0"/>
        <w:keepLines w:val="0"/>
        <w:pageBreakBefore w:val="0"/>
        <w:widowControl w:val="0"/>
        <w:tabs>
          <w:tab w:val="left" w:pos="700"/>
        </w:tabs>
        <w:kinsoku/>
        <w:wordWrap/>
        <w:overflowPunct/>
        <w:topLinePunct/>
        <w:autoSpaceDE w:val="0"/>
        <w:autoSpaceDN w:val="0"/>
        <w:bidi w:val="0"/>
        <w:spacing w:line="360" w:lineRule="auto"/>
        <w:rPr>
          <w:rFonts w:hint="eastAsia" w:ascii="宋体" w:hAnsi="宋体" w:eastAsia="宋体" w:cs="宋体"/>
          <w:color w:val="auto"/>
          <w:sz w:val="21"/>
          <w:szCs w:val="21"/>
          <w:highlight w:val="none"/>
        </w:rPr>
      </w:pP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国家税务总局仙游县税务局</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乙方：</w:t>
      </w: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                                 签字：</w:t>
      </w: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盖章：                                 盖章： </w:t>
      </w: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               日期：     年   月   日</w:t>
      </w:r>
    </w:p>
    <w:p>
      <w:pPr>
        <w:keepNext w:val="0"/>
        <w:keepLines w:val="0"/>
        <w:pageBreakBefore w:val="0"/>
        <w:widowControl w:val="0"/>
        <w:kinsoku/>
        <w:wordWrap/>
        <w:overflowPunct/>
        <w:topLinePunct/>
        <w:autoSpaceDE w:val="0"/>
        <w:autoSpaceDN w:val="0"/>
        <w:bidi w:val="0"/>
        <w:spacing w:line="360" w:lineRule="auto"/>
        <w:rPr>
          <w:rFonts w:hint="eastAsia" w:ascii="宋体" w:hAnsi="宋体" w:eastAsia="宋体" w:cs="宋体"/>
          <w:b/>
          <w:color w:val="auto"/>
          <w:sz w:val="21"/>
          <w:szCs w:val="21"/>
          <w:highlight w:val="none"/>
        </w:rPr>
      </w:pPr>
    </w:p>
    <w:p>
      <w:pPr>
        <w:topLinePunct/>
        <w:autoSpaceDE w:val="0"/>
        <w:autoSpaceDN w:val="0"/>
        <w:spacing w:line="360" w:lineRule="auto"/>
        <w:jc w:val="center"/>
        <w:rPr>
          <w:rFonts w:hint="eastAsia" w:ascii="宋体" w:hAnsi="宋体" w:eastAsia="宋体" w:cs="宋体"/>
          <w:b/>
          <w:color w:val="auto"/>
          <w:sz w:val="24"/>
          <w:highlight w:val="none"/>
          <w:lang w:eastAsia="zh-CN"/>
        </w:rPr>
      </w:pPr>
    </w:p>
    <w:p>
      <w:pPr>
        <w:topLinePunct/>
        <w:autoSpaceDE w:val="0"/>
        <w:autoSpaceDN w:val="0"/>
        <w:spacing w:line="360" w:lineRule="auto"/>
        <w:jc w:val="center"/>
        <w:rPr>
          <w:rFonts w:hint="eastAsia" w:ascii="宋体" w:hAnsi="宋体" w:eastAsia="宋体" w:cs="宋体"/>
          <w:b/>
          <w:color w:val="auto"/>
          <w:sz w:val="24"/>
          <w:highlight w:val="none"/>
          <w:lang w:eastAsia="zh-CN"/>
        </w:rPr>
      </w:pPr>
    </w:p>
    <w:p>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二   合 同 通 用 条 款</w:t>
      </w:r>
    </w:p>
    <w:p>
      <w:pPr>
        <w:keepNext w:val="0"/>
        <w:keepLines w:val="0"/>
        <w:pageBreakBefore w:val="0"/>
        <w:widowControl w:val="0"/>
        <w:kinsoku/>
        <w:wordWrap/>
        <w:overflowPunct/>
        <w:topLinePunct/>
        <w:autoSpaceDE w:val="0"/>
        <w:autoSpaceDN w:val="0"/>
        <w:bidi w:val="0"/>
        <w:adjustRightInd/>
        <w:snapToGrid/>
        <w:spacing w:line="360" w:lineRule="auto"/>
        <w:ind w:firstLine="421"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定义</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本合同下列术语应解释为：</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1.1“甲方”是指</w:t>
      </w:r>
      <w:r>
        <w:rPr>
          <w:rFonts w:hint="eastAsia" w:ascii="宋体" w:hAnsi="宋体" w:eastAsia="宋体" w:cs="宋体"/>
          <w:color w:val="auto"/>
          <w:sz w:val="21"/>
          <w:szCs w:val="21"/>
          <w:highlight w:val="none"/>
          <w:lang w:eastAsia="zh-CN"/>
        </w:rPr>
        <w:t>国家税务总局仙游县税务局</w:t>
      </w:r>
      <w:r>
        <w:rPr>
          <w:rFonts w:hint="eastAsia" w:ascii="宋体" w:hAnsi="宋体" w:eastAsia="宋体" w:cs="宋体"/>
          <w:color w:val="auto"/>
          <w:sz w:val="21"/>
          <w:szCs w:val="21"/>
          <w:highlight w:val="none"/>
        </w:rPr>
        <w:t>。</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1.1.1“甲方采购部门”见“合同条款前附表”第</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项“甲方采购部门”。</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1.1.2“甲方</w:t>
      </w:r>
      <w:r>
        <w:rPr>
          <w:rFonts w:hint="eastAsia" w:ascii="宋体" w:hAnsi="宋体" w:eastAsia="宋体" w:cs="宋体"/>
          <w:color w:val="auto"/>
          <w:sz w:val="21"/>
          <w:szCs w:val="21"/>
          <w:highlight w:val="none"/>
          <w:lang w:eastAsia="zh-CN"/>
        </w:rPr>
        <w:t>需求部门</w:t>
      </w:r>
      <w:r>
        <w:rPr>
          <w:rFonts w:hint="eastAsia" w:ascii="宋体" w:hAnsi="宋体" w:eastAsia="宋体" w:cs="宋体"/>
          <w:color w:val="auto"/>
          <w:sz w:val="21"/>
          <w:szCs w:val="21"/>
          <w:highlight w:val="none"/>
        </w:rPr>
        <w:t>”见“合同条款前附表”第</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项“甲方</w:t>
      </w:r>
      <w:r>
        <w:rPr>
          <w:rFonts w:hint="eastAsia" w:ascii="宋体" w:hAnsi="宋体" w:eastAsia="宋体" w:cs="宋体"/>
          <w:color w:val="auto"/>
          <w:sz w:val="21"/>
          <w:szCs w:val="21"/>
          <w:highlight w:val="none"/>
          <w:lang w:eastAsia="zh-CN"/>
        </w:rPr>
        <w:t>需求部门</w:t>
      </w:r>
      <w:r>
        <w:rPr>
          <w:rFonts w:hint="eastAsia" w:ascii="宋体" w:hAnsi="宋体" w:eastAsia="宋体" w:cs="宋体"/>
          <w:color w:val="auto"/>
          <w:sz w:val="21"/>
          <w:szCs w:val="21"/>
          <w:highlight w:val="none"/>
        </w:rPr>
        <w:t>”。</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1.2“乙方”见“合同条款前附表”第</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项“乙方名称”。</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“合同”系指甲乙双方签订的、合同格式中载明的甲乙双方所达成的协议，包括所有的附件、附录和上述文件所提到的构成合同的所有文件。</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“天”除非特别指出，“天”均为自然天。</w:t>
      </w:r>
    </w:p>
    <w:p>
      <w:pPr>
        <w:keepNext w:val="0"/>
        <w:keepLines w:val="0"/>
        <w:pageBreakBefore w:val="0"/>
        <w:widowControl w:val="0"/>
        <w:kinsoku/>
        <w:wordWrap/>
        <w:overflowPunct/>
        <w:topLinePunct/>
        <w:autoSpaceDE w:val="0"/>
        <w:autoSpaceDN w:val="0"/>
        <w:bidi w:val="0"/>
        <w:adjustRightInd/>
        <w:snapToGrid/>
        <w:spacing w:line="360" w:lineRule="auto"/>
        <w:ind w:firstLine="421"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标准</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乙方为甲方</w:t>
      </w:r>
      <w:r>
        <w:rPr>
          <w:rFonts w:hint="eastAsia" w:ascii="宋体" w:hAnsi="宋体" w:eastAsia="宋体" w:cs="宋体"/>
          <w:color w:val="auto"/>
          <w:sz w:val="21"/>
          <w:szCs w:val="21"/>
          <w:highlight w:val="none"/>
          <w:lang w:eastAsia="zh-CN"/>
        </w:rPr>
        <w:t>交付或</w:t>
      </w:r>
      <w:r>
        <w:rPr>
          <w:rFonts w:hint="eastAsia" w:ascii="宋体" w:hAnsi="宋体" w:eastAsia="宋体" w:cs="宋体"/>
          <w:color w:val="auto"/>
          <w:sz w:val="21"/>
          <w:szCs w:val="21"/>
          <w:highlight w:val="none"/>
        </w:rPr>
        <w:t>提供的服务应符合</w:t>
      </w:r>
      <w:r>
        <w:rPr>
          <w:rFonts w:hint="eastAsia" w:ascii="宋体" w:hAnsi="宋体" w:eastAsia="宋体" w:cs="宋体"/>
          <w:color w:val="auto"/>
          <w:sz w:val="21"/>
          <w:szCs w:val="21"/>
          <w:highlight w:val="none"/>
          <w:lang w:eastAsia="zh-CN"/>
        </w:rPr>
        <w:t>招标（采购）文件</w:t>
      </w:r>
      <w:r>
        <w:rPr>
          <w:rFonts w:hint="eastAsia" w:ascii="宋体" w:hAnsi="宋体" w:eastAsia="宋体" w:cs="宋体"/>
          <w:color w:val="auto"/>
          <w:sz w:val="21"/>
          <w:szCs w:val="21"/>
          <w:highlight w:val="none"/>
        </w:rPr>
        <w:t>所述的</w:t>
      </w:r>
      <w:r>
        <w:rPr>
          <w:rFonts w:hint="eastAsia" w:ascii="宋体" w:hAnsi="宋体" w:eastAsia="宋体" w:cs="宋体"/>
          <w:color w:val="auto"/>
          <w:sz w:val="21"/>
          <w:szCs w:val="21"/>
          <w:highlight w:val="none"/>
          <w:lang w:eastAsia="zh-CN"/>
        </w:rPr>
        <w:t>标准</w:t>
      </w:r>
      <w:r>
        <w:rPr>
          <w:rFonts w:hint="eastAsia" w:ascii="宋体" w:hAnsi="宋体" w:eastAsia="宋体" w:cs="宋体"/>
          <w:color w:val="auto"/>
          <w:sz w:val="21"/>
          <w:szCs w:val="21"/>
          <w:highlight w:val="none"/>
        </w:rPr>
        <w:t>，如果没有提及适用标准，则应符合相应的国家标准。这些标准必须是有关机构发布的最新版本的标准。</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除非技术要求中另有规定，计量单位均采用中华人民共和国法定计量单位。</w:t>
      </w:r>
    </w:p>
    <w:p>
      <w:pPr>
        <w:keepNext w:val="0"/>
        <w:keepLines w:val="0"/>
        <w:pageBreakBefore w:val="0"/>
        <w:widowControl w:val="0"/>
        <w:kinsoku/>
        <w:wordWrap/>
        <w:overflowPunct/>
        <w:bidi w:val="0"/>
        <w:adjustRightInd/>
        <w:snapToGrid/>
        <w:spacing w:line="360" w:lineRule="auto"/>
        <w:ind w:firstLine="421"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服务</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3.1 本项目的“服务”见“合同条款前附表”第</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项“服务内容”。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乙方应保证所提供的服务符合合同规定的要求。如不符时，乙方应负全责并尽快处理解决，由此造成的损失和相关费用由乙方负责，甲方保留终止合同及索赔的权利。</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乙方应保证通过执行合同中全部方案后，可以取得本合同</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的结果，达到本合同</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的预期目标。对任何情况下出现的问题，应尽快提出解决方案。</w:t>
      </w:r>
    </w:p>
    <w:p>
      <w:pPr>
        <w:keepNext w:val="0"/>
        <w:keepLines w:val="0"/>
        <w:pageBreakBefore w:val="0"/>
        <w:widowControl w:val="0"/>
        <w:tabs>
          <w:tab w:val="left" w:pos="0"/>
          <w:tab w:val="left" w:pos="540"/>
        </w:tabs>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 如果乙方提供的服务和解决方案不符合甲方要求，或在规定的时间内没有弥补缺陷，甲方有权采取一切必要的补救措施，由此产生的费用全部由乙方负责。</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 除合同条款另行规定外，伴随服务的费用应含在合同价中，不单独进行支付。</w:t>
      </w:r>
    </w:p>
    <w:p>
      <w:pPr>
        <w:keepNext w:val="0"/>
        <w:keepLines w:val="0"/>
        <w:pageBreakBefore w:val="0"/>
        <w:widowControl w:val="0"/>
        <w:tabs>
          <w:tab w:val="left" w:pos="0"/>
          <w:tab w:val="left" w:pos="540"/>
        </w:tabs>
        <w:kinsoku/>
        <w:wordWrap/>
        <w:overflowPunct/>
        <w:bidi w:val="0"/>
        <w:adjustRightInd/>
        <w:snapToGrid/>
        <w:spacing w:line="360" w:lineRule="auto"/>
        <w:ind w:firstLine="421"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 知识产权</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乙方应保证所提供</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服务免受第三方提出侵犯其知识产权（专利权、商标权、</w:t>
      </w:r>
      <w:r>
        <w:rPr>
          <w:rFonts w:hint="eastAsia" w:ascii="宋体" w:hAnsi="宋体" w:eastAsia="宋体" w:cs="宋体"/>
          <w:color w:val="auto"/>
          <w:sz w:val="21"/>
          <w:szCs w:val="21"/>
          <w:highlight w:val="none"/>
          <w:lang w:eastAsia="zh-CN"/>
        </w:rPr>
        <w:t>软件著作权、</w:t>
      </w:r>
      <w:r>
        <w:rPr>
          <w:rFonts w:hint="eastAsia" w:ascii="宋体" w:hAnsi="宋体" w:eastAsia="宋体" w:cs="宋体"/>
          <w:color w:val="auto"/>
          <w:sz w:val="21"/>
          <w:szCs w:val="21"/>
          <w:highlight w:val="none"/>
        </w:rPr>
        <w:t>版权等）的起诉。</w:t>
      </w:r>
    </w:p>
    <w:p>
      <w:pPr>
        <w:keepNext w:val="0"/>
        <w:keepLines w:val="0"/>
        <w:pageBreakBefore w:val="0"/>
        <w:widowControl w:val="0"/>
        <w:tabs>
          <w:tab w:val="left" w:pos="0"/>
          <w:tab w:val="left" w:pos="540"/>
        </w:tabs>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甲方对项目实施过程中所产生的所有成果（</w:t>
      </w:r>
      <w:r>
        <w:rPr>
          <w:rFonts w:hint="eastAsia" w:ascii="宋体" w:hAnsi="宋体" w:eastAsia="宋体" w:cs="宋体"/>
          <w:color w:val="auto"/>
          <w:sz w:val="21"/>
          <w:szCs w:val="21"/>
          <w:highlight w:val="none"/>
          <w:lang w:eastAsia="zh-CN"/>
        </w:rPr>
        <w:t>包括但不限于发明</w:t>
      </w:r>
      <w:r>
        <w:rPr>
          <w:rFonts w:hint="eastAsia" w:ascii="宋体" w:hAnsi="宋体" w:eastAsia="宋体" w:cs="宋体"/>
          <w:color w:val="auto"/>
          <w:sz w:val="21"/>
          <w:szCs w:val="21"/>
          <w:highlight w:val="none"/>
        </w:rPr>
        <w:t>、发现、可运行系统、源代码及相关技术资料、文档等）享有永久使用权、复制权和修改权，其专利申请权、专利权、软件著作权、技术秘密的所有权、使用权、转让权等知识产权归甲方所有。</w:t>
      </w:r>
    </w:p>
    <w:p>
      <w:pPr>
        <w:keepNext w:val="0"/>
        <w:keepLines w:val="0"/>
        <w:pageBreakBefore w:val="0"/>
        <w:widowControl w:val="0"/>
        <w:tabs>
          <w:tab w:val="left" w:pos="0"/>
          <w:tab w:val="left" w:pos="540"/>
        </w:tabs>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 乙方不得利用本项目实施过程中所产生的成果（</w:t>
      </w:r>
      <w:r>
        <w:rPr>
          <w:rFonts w:hint="eastAsia" w:ascii="宋体" w:hAnsi="宋体" w:eastAsia="宋体" w:cs="宋体"/>
          <w:color w:val="auto"/>
          <w:sz w:val="21"/>
          <w:szCs w:val="21"/>
          <w:highlight w:val="none"/>
          <w:lang w:eastAsia="zh-CN"/>
        </w:rPr>
        <w:t>包括但不限于发明</w:t>
      </w:r>
      <w:r>
        <w:rPr>
          <w:rFonts w:hint="eastAsia" w:ascii="宋体" w:hAnsi="宋体" w:eastAsia="宋体" w:cs="宋体"/>
          <w:color w:val="auto"/>
          <w:sz w:val="21"/>
          <w:szCs w:val="21"/>
          <w:highlight w:val="none"/>
        </w:rPr>
        <w:t>、发现、可运行系统、源代码及相关技术资料、文档等），另行自行开发本合同业务范围内供纳税人</w:t>
      </w:r>
      <w:r>
        <w:rPr>
          <w:rFonts w:hint="eastAsia" w:ascii="宋体" w:hAnsi="宋体" w:eastAsia="宋体" w:cs="宋体"/>
          <w:color w:val="auto"/>
          <w:sz w:val="21"/>
          <w:szCs w:val="21"/>
          <w:highlight w:val="none"/>
          <w:lang w:eastAsia="zh-CN"/>
        </w:rPr>
        <w:t>缴费人</w:t>
      </w:r>
      <w:r>
        <w:rPr>
          <w:rFonts w:hint="eastAsia" w:ascii="宋体" w:hAnsi="宋体" w:eastAsia="宋体" w:cs="宋体"/>
          <w:color w:val="auto"/>
          <w:sz w:val="21"/>
          <w:szCs w:val="21"/>
          <w:highlight w:val="none"/>
        </w:rPr>
        <w:t>使用的软件或产品，不得利用开发便利变相收费或搭车收费。</w:t>
      </w:r>
    </w:p>
    <w:p>
      <w:pPr>
        <w:keepNext w:val="0"/>
        <w:keepLines w:val="0"/>
        <w:pageBreakBefore w:val="0"/>
        <w:widowControl w:val="0"/>
        <w:kinsoku/>
        <w:wordWrap/>
        <w:overflowPunct/>
        <w:bidi w:val="0"/>
        <w:adjustRightInd/>
        <w:snapToGrid/>
        <w:spacing w:line="360" w:lineRule="auto"/>
        <w:ind w:firstLine="421"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 保密条款</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甲乙双方应对在本合同签订或履行过程中所接触的对方信息，包括但不限于知识产权、技术资料、技术诀窍、内部管理及其他相关信息，负有保密义务。</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应以审慎态度避免泄漏、公开或传播甲方的信息；</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在开发过程中对数据的处理方式应事先得到甲方的许可；</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未经甲方书面许可，不得对有关信息进行修改、补充、复制；</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未经甲方书面许可，不得将信息以任何方式（如E-mail）携带出甲方场所；</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 未经甲方书面许可，不得将信息透露给任何其他人； </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严禁在提交的软件</w:t>
      </w:r>
      <w:r>
        <w:rPr>
          <w:rFonts w:hint="eastAsia" w:ascii="宋体" w:hAnsi="宋体" w:eastAsia="宋体" w:cs="宋体"/>
          <w:color w:val="auto"/>
          <w:sz w:val="21"/>
          <w:szCs w:val="21"/>
          <w:highlight w:val="none"/>
          <w:lang w:eastAsia="zh-CN"/>
        </w:rPr>
        <w:t>产品</w:t>
      </w:r>
      <w:r>
        <w:rPr>
          <w:rFonts w:hint="eastAsia" w:ascii="宋体" w:hAnsi="宋体" w:eastAsia="宋体" w:cs="宋体"/>
          <w:color w:val="auto"/>
          <w:sz w:val="21"/>
          <w:szCs w:val="21"/>
          <w:highlight w:val="none"/>
        </w:rPr>
        <w:t>中设置远程维护接口和后门程序；</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不得进行系统软硬件设备的远程维护；</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甲方以书面形式提出的其他保密措施。</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保密期限不受合同有效期的限制，在合同有效期结束后，信息接受方仍应承担保密义务，直至该等信息成为公开信息。</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 甲乙双方如出现泄密行为，泄密方应承担相关的法律责任，包括但是不限于对由此给对方造成的经济损失进行赔偿。</w:t>
      </w:r>
    </w:p>
    <w:p>
      <w:pPr>
        <w:keepNext w:val="0"/>
        <w:keepLines w:val="0"/>
        <w:pageBreakBefore w:val="0"/>
        <w:widowControl w:val="0"/>
        <w:kinsoku/>
        <w:wordWrap/>
        <w:overflowPunct/>
        <w:topLinePunct/>
        <w:autoSpaceDE w:val="0"/>
        <w:autoSpaceDN w:val="0"/>
        <w:bidi w:val="0"/>
        <w:adjustRightInd/>
        <w:snapToGrid/>
        <w:spacing w:line="360" w:lineRule="auto"/>
        <w:ind w:firstLine="421"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eastAsia="zh-CN"/>
        </w:rPr>
        <w:t>履约</w:t>
      </w:r>
      <w:r>
        <w:rPr>
          <w:rFonts w:hint="eastAsia" w:ascii="宋体" w:hAnsi="宋体" w:eastAsia="宋体" w:cs="宋体"/>
          <w:b/>
          <w:color w:val="auto"/>
          <w:sz w:val="21"/>
          <w:szCs w:val="21"/>
          <w:highlight w:val="none"/>
        </w:rPr>
        <w:t>验收要求</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 甲方</w:t>
      </w:r>
      <w:r>
        <w:rPr>
          <w:rFonts w:hint="eastAsia" w:ascii="宋体" w:hAnsi="宋体" w:eastAsia="宋体" w:cs="宋体"/>
          <w:color w:val="auto"/>
          <w:sz w:val="21"/>
          <w:szCs w:val="21"/>
          <w:highlight w:val="none"/>
          <w:lang w:eastAsia="zh-CN"/>
        </w:rPr>
        <w:t>需求部门</w:t>
      </w:r>
      <w:r>
        <w:rPr>
          <w:rFonts w:hint="eastAsia" w:ascii="宋体" w:hAnsi="宋体" w:eastAsia="宋体" w:cs="宋体"/>
          <w:color w:val="auto"/>
          <w:sz w:val="21"/>
          <w:szCs w:val="21"/>
          <w:highlight w:val="none"/>
        </w:rPr>
        <w:t>严格按照采购合同开展履约验收。验收时,</w:t>
      </w:r>
      <w:r>
        <w:rPr>
          <w:rFonts w:hint="eastAsia" w:ascii="宋体" w:hAnsi="宋体" w:eastAsia="宋体" w:cs="宋体"/>
          <w:color w:val="auto"/>
          <w:sz w:val="21"/>
          <w:szCs w:val="21"/>
          <w:highlight w:val="none"/>
          <w:lang w:eastAsia="zh-CN"/>
        </w:rPr>
        <w:t>应当按照本合同约定的技术、服务和安全标准，对供应商各项义务履行情况进行验收确认。未约定相关标准的，应当按照国家强制性规定、政策要求、安全标准和行业有关标准进行验收确认。</w:t>
      </w:r>
      <w:r>
        <w:rPr>
          <w:rFonts w:hint="eastAsia" w:ascii="宋体" w:hAnsi="宋体" w:eastAsia="宋体" w:cs="宋体"/>
          <w:color w:val="auto"/>
          <w:sz w:val="21"/>
          <w:szCs w:val="21"/>
          <w:highlight w:val="none"/>
        </w:rPr>
        <w:t>验收结束后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应当出具验收意见，列明合同事项、验收标准及验收情况</w:t>
      </w:r>
      <w:r>
        <w:rPr>
          <w:rFonts w:hint="eastAsia" w:ascii="宋体" w:hAnsi="宋体" w:eastAsia="宋体" w:cs="宋体"/>
          <w:color w:val="auto"/>
          <w:sz w:val="21"/>
          <w:szCs w:val="21"/>
          <w:highlight w:val="none"/>
          <w:lang w:eastAsia="zh-CN"/>
        </w:rPr>
        <w:t>，由全体验收人员签字</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.2具体</w:t>
      </w:r>
      <w:r>
        <w:rPr>
          <w:rFonts w:hint="eastAsia" w:ascii="宋体" w:hAnsi="宋体" w:eastAsia="宋体" w:cs="宋体"/>
          <w:color w:val="auto"/>
          <w:sz w:val="21"/>
          <w:szCs w:val="21"/>
          <w:highlight w:val="none"/>
          <w:lang w:eastAsia="zh-CN"/>
        </w:rPr>
        <w:t>履约</w:t>
      </w:r>
      <w:r>
        <w:rPr>
          <w:rFonts w:hint="eastAsia" w:ascii="宋体" w:hAnsi="宋体" w:eastAsia="宋体" w:cs="宋体"/>
          <w:color w:val="auto"/>
          <w:sz w:val="21"/>
          <w:szCs w:val="21"/>
          <w:highlight w:val="none"/>
        </w:rPr>
        <w:t>验收要求详见</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文件。</w:t>
      </w:r>
    </w:p>
    <w:p>
      <w:pPr>
        <w:keepNext w:val="0"/>
        <w:keepLines w:val="0"/>
        <w:pageBreakBefore w:val="0"/>
        <w:widowControl w:val="0"/>
        <w:tabs>
          <w:tab w:val="left" w:pos="0"/>
          <w:tab w:val="left" w:pos="540"/>
        </w:tabs>
        <w:kinsoku/>
        <w:wordWrap/>
        <w:overflowPunct/>
        <w:bidi w:val="0"/>
        <w:adjustRightInd/>
        <w:snapToGrid/>
        <w:spacing w:line="360" w:lineRule="auto"/>
        <w:ind w:firstLine="421"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 履约保证金</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 需提交履约保证金的项目，乙方应按照“合同条款前附表”第 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 xml:space="preserve"> 项“履约保证金及返还”提交履约保证金。</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 履约保证金的金额</w:t>
      </w:r>
      <w:r>
        <w:rPr>
          <w:rFonts w:hint="eastAsia" w:ascii="宋体" w:hAnsi="宋体" w:eastAsia="宋体" w:cs="宋体"/>
          <w:color w:val="auto"/>
          <w:sz w:val="21"/>
          <w:szCs w:val="21"/>
          <w:highlight w:val="none"/>
          <w:lang w:eastAsia="zh-CN"/>
        </w:rPr>
        <w:t>可用于</w:t>
      </w:r>
      <w:r>
        <w:rPr>
          <w:rFonts w:hint="eastAsia" w:ascii="宋体" w:hAnsi="宋体" w:eastAsia="宋体" w:cs="宋体"/>
          <w:color w:val="auto"/>
          <w:sz w:val="21"/>
          <w:szCs w:val="21"/>
          <w:highlight w:val="none"/>
        </w:rPr>
        <w:t>补偿甲方因乙方不能完成其合同义务而蒙受的损失。</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.4 乙方不履行合同、或者履行合同义务不符合约定使得合同目的不能实现，履约保证金不予退还，并应按合同约定支付违约金、赔偿金等。</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.5 履约保证金在合同履行期满后，扣除相应款项（如有）且双方无争议后，凭返还申请等资料一次性无息返还，详见“合同条款前附表”第</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项“履约保证金及返还”。</w:t>
      </w:r>
    </w:p>
    <w:p>
      <w:pPr>
        <w:keepNext w:val="0"/>
        <w:keepLines w:val="0"/>
        <w:pageBreakBefore w:val="0"/>
        <w:widowControl w:val="0"/>
        <w:tabs>
          <w:tab w:val="left" w:pos="0"/>
          <w:tab w:val="left" w:pos="540"/>
        </w:tabs>
        <w:kinsoku/>
        <w:wordWrap/>
        <w:overflowPunct/>
        <w:bidi w:val="0"/>
        <w:adjustRightInd/>
        <w:snapToGrid/>
        <w:spacing w:line="360" w:lineRule="auto"/>
        <w:ind w:firstLine="421"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．履约延误</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 乙方应按照本合同的规定提供服务。</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 如乙方迟延履行合同义务，甲方将从应付合同金额中扣除误期违约金，每延误一天误期违约金按合同总金额的万分之三（0.03%）计收。乙方支付的误期违约金不足以弥补甲方损失的，应继续承担赔偿责任。本合同约定的损失，包括但不限于：直接损失、调查取证费、诉讼费、律师费等。</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w:t>
      </w:r>
      <w:r>
        <w:rPr>
          <w:rFonts w:hint="eastAsia" w:ascii="宋体" w:hAnsi="宋体" w:eastAsia="宋体" w:cs="宋体"/>
          <w:color w:val="auto"/>
          <w:sz w:val="21"/>
          <w:szCs w:val="21"/>
          <w:highlight w:val="none"/>
          <w:lang w:eastAsia="zh-CN"/>
        </w:rPr>
        <w:t>误期违约金</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.4 除不可抗力和根据合同规定延期取得甲方同意而不收取</w:t>
      </w:r>
      <w:r>
        <w:rPr>
          <w:rFonts w:hint="eastAsia" w:ascii="宋体" w:hAnsi="宋体" w:eastAsia="宋体" w:cs="宋体"/>
          <w:color w:val="auto"/>
          <w:sz w:val="21"/>
          <w:szCs w:val="21"/>
          <w:highlight w:val="none"/>
          <w:lang w:eastAsia="zh-CN"/>
        </w:rPr>
        <w:t>误期违约金</w:t>
      </w:r>
      <w:r>
        <w:rPr>
          <w:rFonts w:hint="eastAsia" w:ascii="宋体" w:hAnsi="宋体" w:eastAsia="宋体" w:cs="宋体"/>
          <w:color w:val="auto"/>
          <w:sz w:val="21"/>
          <w:szCs w:val="21"/>
          <w:highlight w:val="none"/>
        </w:rPr>
        <w:t>之外，乙方延误工期，将按合同规定被收取</w:t>
      </w:r>
      <w:r>
        <w:rPr>
          <w:rFonts w:hint="eastAsia" w:ascii="宋体" w:hAnsi="宋体" w:eastAsia="宋体" w:cs="宋体"/>
          <w:color w:val="auto"/>
          <w:sz w:val="21"/>
          <w:szCs w:val="21"/>
          <w:highlight w:val="none"/>
          <w:lang w:eastAsia="zh-CN"/>
        </w:rPr>
        <w:t>误期违约金</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.5 逾期退还履约保证金的违约责任。满足履约保证金返还条件的，甲方在收到返还相关信息等合同约定资料后，进行核实。对核实结果无异议的，应当自完成核实之日起30日内返还履约保证金。无特殊原因逾期退还履约保证金</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，乙方可要求</w:t>
      </w:r>
      <w:r>
        <w:rPr>
          <w:rFonts w:hint="eastAsia" w:ascii="宋体" w:hAnsi="宋体" w:eastAsia="宋体" w:cs="宋体"/>
          <w:color w:val="auto"/>
          <w:sz w:val="21"/>
          <w:szCs w:val="21"/>
          <w:highlight w:val="none"/>
          <w:lang w:eastAsia="zh-CN"/>
        </w:rPr>
        <w:t>甲方按</w:t>
      </w:r>
      <w:r>
        <w:rPr>
          <w:rFonts w:hint="eastAsia" w:ascii="宋体" w:hAnsi="宋体" w:eastAsia="宋体" w:cs="宋体"/>
          <w:color w:val="auto"/>
          <w:sz w:val="21"/>
          <w:szCs w:val="21"/>
          <w:highlight w:val="none"/>
        </w:rPr>
        <w:t>银行</w:t>
      </w:r>
      <w:r>
        <w:rPr>
          <w:rFonts w:hint="eastAsia" w:ascii="宋体" w:hAnsi="宋体" w:eastAsia="宋体" w:cs="宋体"/>
          <w:color w:val="auto"/>
          <w:sz w:val="21"/>
          <w:szCs w:val="21"/>
          <w:highlight w:val="none"/>
          <w:lang w:eastAsia="zh-CN"/>
        </w:rPr>
        <w:t>同期</w:t>
      </w:r>
      <w:r>
        <w:rPr>
          <w:rFonts w:hint="eastAsia" w:ascii="宋体" w:hAnsi="宋体" w:eastAsia="宋体" w:cs="宋体"/>
          <w:color w:val="auto"/>
          <w:sz w:val="21"/>
          <w:szCs w:val="21"/>
          <w:highlight w:val="none"/>
        </w:rPr>
        <w:t>活期存款</w:t>
      </w:r>
      <w:r>
        <w:rPr>
          <w:rFonts w:hint="eastAsia" w:ascii="宋体" w:hAnsi="宋体" w:eastAsia="宋体" w:cs="宋体"/>
          <w:color w:val="auto"/>
          <w:sz w:val="21"/>
          <w:szCs w:val="21"/>
          <w:highlight w:val="none"/>
          <w:lang w:eastAsia="zh-CN"/>
        </w:rPr>
        <w:t>利率支付逾期利息</w:t>
      </w:r>
      <w:r>
        <w:rPr>
          <w:rFonts w:hint="eastAsia" w:ascii="宋体" w:hAnsi="宋体" w:eastAsia="宋体" w:cs="宋体"/>
          <w:color w:val="auto"/>
          <w:sz w:val="21"/>
          <w:szCs w:val="21"/>
          <w:highlight w:val="none"/>
        </w:rPr>
        <w:t>。特殊原因逾期返还的，双方协商解决。</w:t>
      </w:r>
    </w:p>
    <w:p>
      <w:pPr>
        <w:keepNext w:val="0"/>
        <w:keepLines w:val="0"/>
        <w:pageBreakBefore w:val="0"/>
        <w:widowControl w:val="0"/>
        <w:kinsoku/>
        <w:wordWrap/>
        <w:overflowPunct/>
        <w:topLinePunct/>
        <w:autoSpaceDE w:val="0"/>
        <w:autoSpaceDN w:val="0"/>
        <w:bidi w:val="0"/>
        <w:adjustRightInd/>
        <w:snapToGrid/>
        <w:spacing w:line="360" w:lineRule="auto"/>
        <w:ind w:firstLine="421"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 违约责任</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 乙方没有按照时限要求提供服务，且在甲方指定的延长期限内没有采取补救措施，甲方有权自行采取其他方式进行补救，乙方除按合同第</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条约定向甲方支付误期违约金外，另外甲方所发生的一切费用和甲方损失，甲方有权从应付的乙方的合同款项中扣除，不足扣除的乙方应另行支付。</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.3 除应支付甲方违约金等外，甲方有权根据合同或有关部门出具的检验证书向乙方提出索赔。</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.4 如果乙方对差异负有责任而甲方提出索赔，乙方同意按照下列方式解决索赔事宜：</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在甲方发出索赔通知后5个工作日内，乙方未作书面答复，上述索赔应视为已被乙方接受。如乙方未能在甲方发出索赔通知后5个工作日内或甲方同意的延长期限内着手解决索赔事宜，甲方有权从应付乙方的合同款项中扣除索赔金额。</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对于本协议未约定的、招标（采购）文件（技术部分）中约定的违约处理条款，按招标（采购）文件（技术部分）相关约定执行；对本协议与招标（采购）文件（技术部分）约定不同的违约处理条款，以本协议约定为准。</w:t>
      </w:r>
    </w:p>
    <w:p>
      <w:pPr>
        <w:keepNext w:val="0"/>
        <w:keepLines w:val="0"/>
        <w:pageBreakBefore w:val="0"/>
        <w:widowControl w:val="0"/>
        <w:kinsoku/>
        <w:wordWrap/>
        <w:overflowPunct/>
        <w:bidi w:val="0"/>
        <w:adjustRightInd/>
        <w:snapToGrid/>
        <w:spacing w:line="360" w:lineRule="auto"/>
        <w:ind w:firstLine="421"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 不可抗力</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本条所述的“不可抗力”系指双方不可预见、不可避免、不可克服的客观情况，但不包括双方的违约或疏忽。这些事件包括但不限于：战争、严重火灾、洪水、台风、地震等。</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如果乙方因不可抗力而导致合同实施延误或不能履行合同义务，不应承担误期赔偿或终止合同的责任。</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keepNext w:val="0"/>
        <w:keepLines w:val="0"/>
        <w:pageBreakBefore w:val="0"/>
        <w:widowControl w:val="0"/>
        <w:kinsoku/>
        <w:wordWrap/>
        <w:overflowPunct/>
        <w:bidi w:val="0"/>
        <w:adjustRightInd/>
        <w:snapToGrid/>
        <w:spacing w:line="360" w:lineRule="auto"/>
        <w:ind w:firstLine="421"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 争端的解决</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 甲乙双方应</w:t>
      </w:r>
      <w:r>
        <w:rPr>
          <w:rFonts w:hint="eastAsia" w:ascii="宋体" w:hAnsi="宋体" w:eastAsia="宋体" w:cs="宋体"/>
          <w:color w:val="auto"/>
          <w:sz w:val="21"/>
          <w:szCs w:val="21"/>
          <w:highlight w:val="none"/>
          <w:lang w:eastAsia="zh-CN"/>
        </w:rPr>
        <w:t>首先</w:t>
      </w:r>
      <w:r>
        <w:rPr>
          <w:rFonts w:hint="eastAsia" w:ascii="宋体" w:hAnsi="宋体" w:eastAsia="宋体" w:cs="宋体"/>
          <w:color w:val="auto"/>
          <w:sz w:val="21"/>
          <w:szCs w:val="21"/>
          <w:highlight w:val="none"/>
        </w:rPr>
        <w:t>通过友好协商解决在执行本合同中所发生的或与本合同有关的一切争端。如从协商开始</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天内仍不能解决，</w:t>
      </w:r>
      <w:r>
        <w:rPr>
          <w:rFonts w:hint="eastAsia" w:ascii="宋体" w:hAnsi="宋体" w:eastAsia="宋体" w:cs="宋体"/>
          <w:color w:val="auto"/>
          <w:sz w:val="21"/>
          <w:szCs w:val="21"/>
          <w:highlight w:val="none"/>
          <w:lang w:eastAsia="zh-CN"/>
        </w:rPr>
        <w:t>可以按合同约定的方式提起仲裁或诉讼</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bidi w:val="0"/>
        <w:adjustRightInd/>
        <w:snapToGrid/>
        <w:spacing w:line="360" w:lineRule="auto"/>
        <w:ind w:left="239" w:leftChars="114"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仲裁应</w:t>
      </w:r>
      <w:r>
        <w:rPr>
          <w:rFonts w:hint="eastAsia" w:ascii="宋体" w:hAnsi="宋体" w:eastAsia="宋体" w:cs="宋体"/>
          <w:color w:val="auto"/>
          <w:sz w:val="21"/>
          <w:szCs w:val="21"/>
          <w:highlight w:val="none"/>
          <w:lang w:eastAsia="zh-CN"/>
        </w:rPr>
        <w:t>向</w:t>
      </w:r>
      <w:r>
        <w:rPr>
          <w:rFonts w:hint="eastAsia" w:ascii="宋体" w:hAnsi="宋体" w:eastAsia="宋体" w:cs="宋体"/>
          <w:color w:val="auto"/>
          <w:sz w:val="21"/>
          <w:szCs w:val="21"/>
          <w:highlight w:val="none"/>
        </w:rPr>
        <w:t>甲方所在地或</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仲裁委员会申请仲裁。</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 xml:space="preserve"> 仲裁裁决应为最终裁决，对双方均具有约束力。</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 xml:space="preserve"> 仲裁费除仲裁机关另有裁决外应由败诉方负担。</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在仲裁期间，除正在进行仲裁部分外，本合同的其它部分应继续执行。</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11.3.1诉讼应向甲方所在地或</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人民法院提起诉讼。</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11.3.2诉讼费除人民法院另有判决外，应由败诉方负担。</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11.3.3在诉讼期间，除正在进行诉讼部分外，本</w:t>
      </w:r>
      <w:r>
        <w:rPr>
          <w:rFonts w:hint="eastAsia" w:ascii="宋体" w:hAnsi="宋体" w:eastAsia="宋体" w:cs="宋体"/>
          <w:color w:val="auto"/>
          <w:sz w:val="21"/>
          <w:szCs w:val="21"/>
          <w:highlight w:val="none"/>
        </w:rPr>
        <w:t>合同的其它部分应继续执行。</w:t>
      </w:r>
    </w:p>
    <w:p>
      <w:pPr>
        <w:keepNext w:val="0"/>
        <w:keepLines w:val="0"/>
        <w:pageBreakBefore w:val="0"/>
        <w:widowControl w:val="0"/>
        <w:kinsoku/>
        <w:wordWrap/>
        <w:overflowPunct/>
        <w:bidi w:val="0"/>
        <w:adjustRightInd/>
        <w:snapToGrid/>
        <w:spacing w:line="360" w:lineRule="auto"/>
        <w:ind w:firstLine="421"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 违约终止合同</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12.1.1 </w:t>
      </w:r>
      <w:r>
        <w:rPr>
          <w:rFonts w:hint="eastAsia" w:ascii="宋体" w:hAnsi="宋体" w:eastAsia="宋体" w:cs="宋体"/>
          <w:color w:val="auto"/>
          <w:sz w:val="21"/>
          <w:szCs w:val="21"/>
          <w:highlight w:val="none"/>
          <w:lang w:eastAsia="zh-CN"/>
        </w:rPr>
        <w:t>乙方不履行合同义务或者履行合同义务不符合合同约定累计达两次的；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如果乙方未能在合同规定的期限或甲方同意延长的期限内提供服务</w:t>
      </w:r>
      <w:r>
        <w:rPr>
          <w:rFonts w:hint="eastAsia" w:ascii="宋体" w:hAnsi="宋体" w:eastAsia="宋体" w:cs="宋体"/>
          <w:color w:val="auto"/>
          <w:sz w:val="21"/>
          <w:szCs w:val="21"/>
          <w:highlight w:val="none"/>
          <w:lang w:eastAsia="zh-CN"/>
        </w:rPr>
        <w:t>，迟延累计达20日的；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因乙方人员自身技术能力、经验不足等问题造成甲方发生重大紧急故障，带来重大影响和损失的；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乙方对重大紧急故障没有及时响应，或不能在规定时间内解决处理故障、恢复正常运行的；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不能满足本项目技术需求的管理要求和规范，且经</w:t>
      </w:r>
      <w:r>
        <w:rPr>
          <w:rFonts w:hint="eastAsia" w:ascii="宋体" w:hAnsi="宋体" w:eastAsia="宋体" w:cs="宋体"/>
          <w:color w:val="auto"/>
          <w:sz w:val="21"/>
          <w:szCs w:val="21"/>
          <w:highlight w:val="none"/>
          <w:lang w:eastAsia="zh-CN"/>
        </w:rPr>
        <w:t>两</w:t>
      </w:r>
      <w:r>
        <w:rPr>
          <w:rFonts w:hint="eastAsia" w:ascii="宋体" w:hAnsi="宋体" w:eastAsia="宋体" w:cs="宋体"/>
          <w:color w:val="auto"/>
          <w:sz w:val="21"/>
          <w:szCs w:val="21"/>
          <w:highlight w:val="none"/>
        </w:rPr>
        <w:t>次整改无明显改进的</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12.1.6 </w:t>
      </w:r>
      <w:r>
        <w:rPr>
          <w:rFonts w:hint="eastAsia" w:ascii="宋体" w:hAnsi="宋体" w:eastAsia="宋体" w:cs="宋体"/>
          <w:color w:val="auto"/>
          <w:sz w:val="21"/>
          <w:szCs w:val="21"/>
          <w:highlight w:val="none"/>
        </w:rPr>
        <w:t>乙方利用本项目实施过程中所产生的成果（</w:t>
      </w:r>
      <w:r>
        <w:rPr>
          <w:rFonts w:hint="eastAsia" w:ascii="宋体" w:hAnsi="宋体" w:eastAsia="宋体" w:cs="宋体"/>
          <w:color w:val="auto"/>
          <w:sz w:val="21"/>
          <w:szCs w:val="21"/>
          <w:highlight w:val="none"/>
          <w:lang w:eastAsia="zh-CN"/>
        </w:rPr>
        <w:t>包括但不限于发明</w:t>
      </w:r>
      <w:r>
        <w:rPr>
          <w:rFonts w:hint="eastAsia" w:ascii="宋体" w:hAnsi="宋体" w:eastAsia="宋体" w:cs="宋体"/>
          <w:color w:val="auto"/>
          <w:sz w:val="21"/>
          <w:szCs w:val="21"/>
          <w:highlight w:val="none"/>
        </w:rPr>
        <w:t>、发现、可运行系统、源代码及相关技术资料、文档等），另行自行开发本合同业务范围内供纳税人</w:t>
      </w:r>
      <w:r>
        <w:rPr>
          <w:rFonts w:hint="eastAsia" w:ascii="宋体" w:hAnsi="宋体" w:eastAsia="宋体" w:cs="宋体"/>
          <w:color w:val="auto"/>
          <w:sz w:val="21"/>
          <w:szCs w:val="21"/>
          <w:highlight w:val="none"/>
          <w:lang w:eastAsia="zh-CN"/>
        </w:rPr>
        <w:t>缴费人</w:t>
      </w:r>
      <w:r>
        <w:rPr>
          <w:rFonts w:hint="eastAsia" w:ascii="宋体" w:hAnsi="宋体" w:eastAsia="宋体" w:cs="宋体"/>
          <w:color w:val="auto"/>
          <w:sz w:val="21"/>
          <w:szCs w:val="21"/>
          <w:highlight w:val="none"/>
        </w:rPr>
        <w:t>使用的软件或产品的，或利用</w:t>
      </w:r>
      <w:r>
        <w:rPr>
          <w:rFonts w:hint="eastAsia" w:ascii="宋体" w:hAnsi="宋体" w:eastAsia="宋体" w:cs="宋体"/>
          <w:color w:val="auto"/>
          <w:sz w:val="21"/>
          <w:szCs w:val="21"/>
          <w:highlight w:val="none"/>
          <w:lang w:eastAsia="zh-CN"/>
        </w:rPr>
        <w:t>为税务机关提供信息化服务的</w:t>
      </w:r>
      <w:r>
        <w:rPr>
          <w:rFonts w:hint="eastAsia" w:ascii="宋体" w:hAnsi="宋体" w:eastAsia="宋体" w:cs="宋体"/>
          <w:color w:val="auto"/>
          <w:sz w:val="21"/>
          <w:szCs w:val="21"/>
          <w:highlight w:val="none"/>
        </w:rPr>
        <w:t>便利</w:t>
      </w:r>
      <w:r>
        <w:rPr>
          <w:rFonts w:hint="eastAsia" w:ascii="宋体" w:hAnsi="宋体" w:eastAsia="宋体" w:cs="宋体"/>
          <w:color w:val="auto"/>
          <w:sz w:val="21"/>
          <w:szCs w:val="21"/>
          <w:highlight w:val="none"/>
          <w:lang w:eastAsia="zh-CN"/>
        </w:rPr>
        <w:t>，向纳税人缴费人</w:t>
      </w:r>
      <w:r>
        <w:rPr>
          <w:rFonts w:hint="eastAsia" w:ascii="宋体" w:hAnsi="宋体" w:eastAsia="宋体" w:cs="宋体"/>
          <w:color w:val="auto"/>
          <w:sz w:val="21"/>
          <w:szCs w:val="21"/>
          <w:highlight w:val="none"/>
        </w:rPr>
        <w:t>搭车收费或变相收费的，</w:t>
      </w:r>
      <w:r>
        <w:rPr>
          <w:rFonts w:hint="eastAsia" w:ascii="宋体" w:hAnsi="宋体" w:eastAsia="宋体" w:cs="宋体"/>
          <w:color w:val="auto"/>
          <w:sz w:val="21"/>
          <w:szCs w:val="21"/>
          <w:highlight w:val="none"/>
          <w:lang w:eastAsia="zh-CN"/>
        </w:rPr>
        <w:t>或有其他失信行为的；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12.1.7 乙方在本项目实施过程中发生违反网络安全规定行为造成不良后果的。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 乙方提供的服务侵犯甲方、第三方知识产权等合法权益的；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 xml:space="preserve"> 乙方或乙方人员造成甲方或第三方经济损失而拒不赔偿的；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 xml:space="preserve"> 乙方转让其应履行的合同义务，或未经甲方同意采取分包方式履行合同的；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乙方有其他严重违约行为的。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 如果甲方根据上述第1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.1条的规定，</w:t>
      </w:r>
      <w:r>
        <w:rPr>
          <w:rFonts w:hint="eastAsia" w:ascii="宋体" w:hAnsi="宋体" w:eastAsia="宋体" w:cs="宋体"/>
          <w:color w:val="auto"/>
          <w:sz w:val="21"/>
          <w:szCs w:val="21"/>
          <w:highlight w:val="none"/>
          <w:lang w:eastAsia="zh-CN"/>
        </w:rPr>
        <w:t>解除</w:t>
      </w:r>
      <w:r>
        <w:rPr>
          <w:rFonts w:hint="eastAsia" w:ascii="宋体" w:hAnsi="宋体" w:eastAsia="宋体" w:cs="宋体"/>
          <w:color w:val="auto"/>
          <w:sz w:val="21"/>
          <w:szCs w:val="21"/>
          <w:highlight w:val="none"/>
        </w:rPr>
        <w:t>了全部或部分合同，甲方可以适当的条件和方法购买乙方未能提供的服务，乙方应对甲方购买类似服务所超出的费用负责。同时，乙方应继续执行合同中未</w:t>
      </w:r>
      <w:r>
        <w:rPr>
          <w:rFonts w:hint="eastAsia" w:ascii="宋体" w:hAnsi="宋体" w:eastAsia="宋体" w:cs="宋体"/>
          <w:color w:val="auto"/>
          <w:sz w:val="21"/>
          <w:szCs w:val="21"/>
          <w:highlight w:val="none"/>
          <w:lang w:eastAsia="zh-CN"/>
        </w:rPr>
        <w:t>解除</w:t>
      </w:r>
      <w:r>
        <w:rPr>
          <w:rFonts w:hint="eastAsia" w:ascii="宋体" w:hAnsi="宋体" w:eastAsia="宋体" w:cs="宋体"/>
          <w:color w:val="auto"/>
          <w:sz w:val="21"/>
          <w:szCs w:val="21"/>
          <w:highlight w:val="none"/>
        </w:rPr>
        <w:t>的部分。</w:t>
      </w:r>
    </w:p>
    <w:p>
      <w:pPr>
        <w:keepNext w:val="0"/>
        <w:keepLines w:val="0"/>
        <w:pageBreakBefore w:val="0"/>
        <w:widowControl w:val="0"/>
        <w:kinsoku/>
        <w:wordWrap/>
        <w:overflowPunct/>
        <w:bidi w:val="0"/>
        <w:adjustRightInd/>
        <w:snapToGrid/>
        <w:spacing w:line="360" w:lineRule="auto"/>
        <w:ind w:firstLine="421"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 破产终止合同</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 如果乙方破产或无清偿能力，甲方可在任何时候以书面形式通知乙方终止合同而不给乙方补偿。</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.2该终止合同将不损害或影响甲方已经采取或将要采取的任何行动或补救措施的权</w:t>
      </w:r>
      <w:r>
        <w:rPr>
          <w:rFonts w:hint="eastAsia" w:ascii="宋体" w:hAnsi="宋体" w:eastAsia="宋体" w:cs="宋体"/>
          <w:color w:val="auto"/>
          <w:sz w:val="21"/>
          <w:szCs w:val="21"/>
          <w:highlight w:val="none"/>
          <w:lang w:eastAsia="zh-CN"/>
        </w:rPr>
        <w:t>利</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autoSpaceDE w:val="0"/>
        <w:autoSpaceDN w:val="0"/>
        <w:bidi w:val="0"/>
        <w:adjustRightInd/>
        <w:snapToGrid/>
        <w:spacing w:line="360" w:lineRule="auto"/>
        <w:ind w:firstLine="421"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 其他情况的终止合同</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 乙方在执行合同的过程中发生重大事故或变故，对履行合同有直接影响的，甲方可以提出终止合同而不给予乙方任何补偿。</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 在服务期内，由于甲方工作计划调整，推广使用新应用系统导致本项目相关服务停止的，甲方可以提出终止合同而不给予乙方任何补偿。</w:t>
      </w:r>
    </w:p>
    <w:p>
      <w:pPr>
        <w:keepNext w:val="0"/>
        <w:keepLines w:val="0"/>
        <w:pageBreakBefore w:val="0"/>
        <w:widowControl w:val="0"/>
        <w:tabs>
          <w:tab w:val="left" w:pos="700"/>
        </w:tabs>
        <w:kinsoku/>
        <w:wordWrap/>
        <w:overflowPunct/>
        <w:bidi w:val="0"/>
        <w:adjustRightInd/>
        <w:snapToGrid/>
        <w:spacing w:line="360" w:lineRule="auto"/>
        <w:ind w:firstLine="421"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15</w:t>
      </w:r>
      <w:r>
        <w:rPr>
          <w:rFonts w:hint="eastAsia" w:ascii="宋体" w:hAnsi="宋体" w:eastAsia="宋体" w:cs="宋体"/>
          <w:b/>
          <w:color w:val="auto"/>
          <w:sz w:val="21"/>
          <w:szCs w:val="21"/>
          <w:highlight w:val="none"/>
        </w:rPr>
        <w:t>. 合同修改或变更</w:t>
      </w:r>
    </w:p>
    <w:p>
      <w:pPr>
        <w:keepNext w:val="0"/>
        <w:keepLines w:val="0"/>
        <w:pageBreakBefore w:val="0"/>
        <w:widowControl w:val="0"/>
        <w:kinsoku/>
        <w:wordWrap/>
        <w:overflowPunct/>
        <w:bidi w:val="0"/>
        <w:adjustRightInd/>
        <w:snapToGrid/>
        <w:spacing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 合同如有未尽事宜，须经甲乙双方共同协商，做出补充约定，并签订书面补充合同或变更协议。补充合同或变更协议作为本合同的一部分，与本合同具有同等效力。</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 除了双方签署书面修改或变更协议，并成为本合同不可分割的一部分的情况之外，本合同的条款不得有任何变化或修改。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 由于采购人项目统一规划等原因导致本项目停止部分服务的，甲方将与乙方协商处理。</w:t>
      </w:r>
    </w:p>
    <w:p>
      <w:pPr>
        <w:keepNext w:val="0"/>
        <w:keepLines w:val="0"/>
        <w:pageBreakBefore w:val="0"/>
        <w:widowControl w:val="0"/>
        <w:kinsoku/>
        <w:wordWrap/>
        <w:overflowPunct/>
        <w:bidi w:val="0"/>
        <w:adjustRightInd/>
        <w:snapToGrid/>
        <w:spacing w:line="360" w:lineRule="auto"/>
        <w:ind w:firstLine="421"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 转让和分包</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 除甲方事先书面同意外，乙方不得部分转让或全部转让其应履行的合同义务。</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16.2 未经甲方同意，乙方不得采取分包方式履行合同。经甲方同意分包履行合同的，乙方就采购项目及分包项目向甲方负责，分包供应商就分包项目承担责任。</w:t>
      </w:r>
    </w:p>
    <w:p>
      <w:pPr>
        <w:keepNext w:val="0"/>
        <w:keepLines w:val="0"/>
        <w:pageBreakBefore w:val="0"/>
        <w:widowControl w:val="0"/>
        <w:kinsoku/>
        <w:wordWrap/>
        <w:overflowPunct/>
        <w:topLinePunct/>
        <w:autoSpaceDE w:val="0"/>
        <w:autoSpaceDN w:val="0"/>
        <w:bidi w:val="0"/>
        <w:adjustRightInd/>
        <w:snapToGrid/>
        <w:spacing w:line="360" w:lineRule="auto"/>
        <w:ind w:firstLine="421"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 合同语言</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 本合同语言为中文。</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 双方交换的与合同有关的信件和其他文件应用合同语言书写。</w:t>
      </w:r>
    </w:p>
    <w:p>
      <w:pPr>
        <w:keepNext w:val="0"/>
        <w:keepLines w:val="0"/>
        <w:pageBreakBefore w:val="0"/>
        <w:widowControl w:val="0"/>
        <w:kinsoku/>
        <w:wordWrap/>
        <w:overflowPunct/>
        <w:bidi w:val="0"/>
        <w:adjustRightInd/>
        <w:snapToGrid/>
        <w:spacing w:line="360" w:lineRule="auto"/>
        <w:ind w:firstLine="421"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18</w:t>
      </w:r>
      <w:r>
        <w:rPr>
          <w:rFonts w:hint="eastAsia" w:ascii="宋体" w:hAnsi="宋体" w:eastAsia="宋体" w:cs="宋体"/>
          <w:b/>
          <w:color w:val="auto"/>
          <w:sz w:val="21"/>
          <w:szCs w:val="21"/>
          <w:highlight w:val="none"/>
        </w:rPr>
        <w:t>. 适用法律</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.1 本合同按照中华人民共和国现行法律进行解释。</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.2 本合同的履行、违约责任和解决争议的方法等适用《中华人民共和国</w:t>
      </w:r>
      <w:r>
        <w:rPr>
          <w:rFonts w:hint="eastAsia" w:ascii="宋体" w:hAnsi="宋体" w:eastAsia="宋体" w:cs="宋体"/>
          <w:color w:val="auto"/>
          <w:sz w:val="21"/>
          <w:szCs w:val="21"/>
          <w:highlight w:val="none"/>
          <w:lang w:eastAsia="zh-CN"/>
        </w:rPr>
        <w:t>民法典（合同编）</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autoSpaceDE w:val="0"/>
        <w:autoSpaceDN w:val="0"/>
        <w:bidi w:val="0"/>
        <w:adjustRightInd/>
        <w:snapToGrid/>
        <w:spacing w:line="360" w:lineRule="auto"/>
        <w:ind w:firstLine="421"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19</w:t>
      </w:r>
      <w:r>
        <w:rPr>
          <w:rFonts w:hint="eastAsia" w:ascii="宋体" w:hAnsi="宋体" w:eastAsia="宋体" w:cs="宋体"/>
          <w:b/>
          <w:color w:val="auto"/>
          <w:sz w:val="21"/>
          <w:szCs w:val="21"/>
          <w:highlight w:val="none"/>
        </w:rPr>
        <w:t>. 税费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.1 乙方应依法缴纳的合同服务相关税费，均已包含于合同总金额中，甲方不再另行支付</w:t>
      </w:r>
      <w:r>
        <w:rPr>
          <w:rFonts w:hint="eastAsia" w:ascii="宋体" w:hAnsi="宋体" w:eastAsia="宋体" w:cs="宋体"/>
          <w:color w:val="auto"/>
          <w:sz w:val="21"/>
          <w:szCs w:val="21"/>
          <w:highlight w:val="none"/>
          <w:lang w:eastAsia="zh-CN"/>
        </w:rPr>
        <w:t>。</w:t>
      </w:r>
    </w:p>
    <w:p>
      <w:pPr>
        <w:keepNext w:val="0"/>
        <w:keepLines w:val="0"/>
        <w:pageBreakBefore w:val="0"/>
        <w:widowControl w:val="0"/>
        <w:tabs>
          <w:tab w:val="left" w:pos="700"/>
        </w:tabs>
        <w:kinsoku/>
        <w:wordWrap/>
        <w:overflowPunct/>
        <w:bidi w:val="0"/>
        <w:adjustRightInd/>
        <w:snapToGrid/>
        <w:spacing w:line="360" w:lineRule="auto"/>
        <w:ind w:firstLine="421"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 合同生效</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.1 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份，由甲乙双方法定代表人或被授权人签字并盖章后生效</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p>
    <w:p>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br w:type="page"/>
      </w:r>
    </w:p>
    <w:p>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outlineLvl w:val="1"/>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三</w:t>
      </w:r>
      <w:r>
        <w:rPr>
          <w:rFonts w:hint="eastAsia" w:ascii="宋体" w:hAnsi="宋体" w:eastAsia="宋体" w:cs="宋体"/>
          <w:b/>
          <w:color w:val="auto"/>
          <w:sz w:val="24"/>
          <w:highlight w:val="none"/>
          <w:lang w:val="en-US" w:eastAsia="zh-CN"/>
        </w:rPr>
        <w:t xml:space="preserve">   招标（采购）文件及投标（响应）文件</w:t>
      </w:r>
      <w:r>
        <w:rPr>
          <w:rFonts w:hint="eastAsia" w:ascii="宋体" w:hAnsi="宋体" w:eastAsia="宋体" w:cs="宋体"/>
          <w:b/>
          <w:color w:val="auto"/>
          <w:sz w:val="24"/>
          <w:highlight w:val="none"/>
          <w:lang w:eastAsia="zh-CN"/>
        </w:rPr>
        <w:t>（如需要，可另附）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sz w:val="24"/>
          <w:highlight w:val="none"/>
          <w:lang w:eastAsia="zh-CN"/>
        </w:rPr>
      </w:pP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lang w:eastAsia="zh-CN"/>
        </w:rPr>
        <w:t>四</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lang w:eastAsia="zh-CN"/>
        </w:rPr>
        <w:t>报价表（总报价表和分项报价表，如有需要可另附）</w:t>
      </w:r>
    </w:p>
    <w:p>
      <w:pPr>
        <w:pStyle w:val="43"/>
        <w:spacing w:line="360" w:lineRule="auto"/>
        <w:ind w:firstLine="420" w:firstLineChars="200"/>
        <w:outlineLvl w:val="9"/>
        <w:rPr>
          <w:rFonts w:hint="eastAsia" w:ascii="宋体" w:hAnsi="宋体" w:eastAsia="宋体" w:cs="宋体"/>
          <w:sz w:val="21"/>
          <w:szCs w:val="21"/>
        </w:rPr>
      </w:pPr>
    </w:p>
    <w:p>
      <w:pPr>
        <w:pStyle w:val="43"/>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br w:type="page"/>
      </w:r>
    </w:p>
    <w:p>
      <w:pPr>
        <w:spacing w:line="360" w:lineRule="auto"/>
        <w:jc w:val="center"/>
        <w:outlineLvl w:val="0"/>
        <w:rPr>
          <w:rFonts w:hint="eastAsia" w:ascii="宋体" w:hAnsi="宋体" w:eastAsia="宋体" w:cs="宋体"/>
          <w:b/>
          <w:bCs/>
          <w:sz w:val="28"/>
          <w:szCs w:val="28"/>
        </w:rPr>
      </w:pPr>
      <w:r>
        <w:rPr>
          <w:rFonts w:hint="eastAsia" w:ascii="宋体" w:hAnsi="宋体" w:eastAsia="宋体" w:cs="宋体"/>
          <w:b/>
          <w:bCs/>
          <w:sz w:val="28"/>
          <w:szCs w:val="28"/>
        </w:rPr>
        <w:t>第五章</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投标文件格式</w:t>
      </w:r>
      <w:bookmarkEnd w:id="69"/>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投标人必须按下列文本格式，如实提供具有法律效力的资格证明文件和真实有效的其他文件资料，任何不按下列文本格式提供或有实质性变更将由投标人承担风险。</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1.投标人应严格按照本章规定填写和提交全部格式文件以及其他有关资料，混乱的编排导致投标文件被误读或查找不到，后果由投标人承担。</w:t>
      </w:r>
    </w:p>
    <w:p>
      <w:pPr>
        <w:topLinePunct/>
        <w:autoSpaceDE w:val="0"/>
        <w:autoSpaceDN w:val="0"/>
        <w:adjustRightInd w:val="0"/>
        <w:snapToGrid w:val="0"/>
        <w:spacing w:line="360" w:lineRule="auto"/>
        <w:ind w:firstLine="420" w:firstLineChars="200"/>
        <w:outlineLvl w:val="9"/>
        <w:rPr>
          <w:rFonts w:hint="eastAsia" w:ascii="宋体" w:hAnsi="宋体" w:eastAsia="宋体" w:cs="宋体"/>
          <w:szCs w:val="21"/>
        </w:rPr>
      </w:pPr>
      <w:r>
        <w:rPr>
          <w:rFonts w:hint="eastAsia" w:ascii="宋体" w:hAnsi="宋体" w:eastAsia="宋体" w:cs="宋体"/>
          <w:szCs w:val="21"/>
        </w:rPr>
        <w:t>2.所附表格中要求回答的全部问题和信息都必须正面回答。</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3.资格声明文件的签字人应保证全部声明和问题的回答是真实的和准确的。</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4.评标委员会将应用投标人提交的资料并根据自己的判断，决定投标人履行合同的合格性及能力。</w:t>
      </w:r>
    </w:p>
    <w:p>
      <w:pPr>
        <w:topLinePunct/>
        <w:autoSpaceDE w:val="0"/>
        <w:autoSpaceDN w:val="0"/>
        <w:adjustRightInd w:val="0"/>
        <w:snapToGrid w:val="0"/>
        <w:spacing w:line="360" w:lineRule="auto"/>
        <w:ind w:firstLine="420" w:firstLineChars="200"/>
        <w:outlineLvl w:val="9"/>
        <w:rPr>
          <w:rFonts w:hint="eastAsia" w:ascii="宋体" w:hAnsi="宋体" w:eastAsia="宋体" w:cs="宋体"/>
          <w:szCs w:val="21"/>
        </w:rPr>
      </w:pPr>
      <w:r>
        <w:rPr>
          <w:rFonts w:hint="eastAsia" w:ascii="宋体" w:hAnsi="宋体" w:eastAsia="宋体" w:cs="宋体"/>
          <w:szCs w:val="21"/>
        </w:rPr>
        <w:t>5.全部文件应按投标人须知中规定的语言提交。</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6.以下格式文件为要求填写内容的固定格式，投标人不得擅自修改格式，其他未提供格式的文件和资料由投标人自行设计编制格式填写。</w:t>
      </w:r>
    </w:p>
    <w:p>
      <w:pPr>
        <w:adjustRightInd w:val="0"/>
        <w:snapToGrid w:val="0"/>
        <w:spacing w:beforeLines="20" w:after="4" w:line="360" w:lineRule="auto"/>
        <w:ind w:firstLine="421" w:firstLineChars="200"/>
        <w:jc w:val="center"/>
        <w:rPr>
          <w:rFonts w:hint="eastAsia" w:ascii="宋体" w:hAnsi="宋体" w:eastAsia="宋体" w:cs="宋体"/>
          <w:b/>
          <w:bCs/>
        </w:rPr>
      </w:pPr>
    </w:p>
    <w:p>
      <w:pPr>
        <w:spacing w:line="360" w:lineRule="auto"/>
        <w:ind w:firstLine="421" w:firstLineChars="200"/>
        <w:jc w:val="center"/>
        <w:rPr>
          <w:rFonts w:hint="eastAsia" w:ascii="宋体" w:hAnsi="宋体" w:eastAsia="宋体" w:cs="宋体"/>
          <w:b/>
          <w:bCs/>
        </w:rPr>
      </w:pPr>
    </w:p>
    <w:p>
      <w:pPr>
        <w:spacing w:line="360" w:lineRule="auto"/>
        <w:rPr>
          <w:rFonts w:hint="eastAsia" w:ascii="宋体" w:hAnsi="宋体" w:eastAsia="宋体" w:cs="宋体"/>
        </w:rPr>
      </w:pPr>
    </w:p>
    <w:p>
      <w:pPr>
        <w:spacing w:line="360" w:lineRule="auto"/>
        <w:rPr>
          <w:rFonts w:hint="eastAsia" w:ascii="宋体" w:hAnsi="宋体" w:eastAsia="宋体" w:cs="宋体"/>
          <w:b/>
          <w:bCs/>
        </w:rPr>
      </w:pPr>
    </w:p>
    <w:p>
      <w:pPr>
        <w:adjustRightInd w:val="0"/>
        <w:snapToGrid w:val="0"/>
        <w:spacing w:line="360" w:lineRule="auto"/>
        <w:jc w:val="center"/>
        <w:rPr>
          <w:rFonts w:hint="eastAsia" w:ascii="宋体" w:hAnsi="宋体" w:eastAsia="宋体" w:cs="宋体"/>
          <w:b/>
          <w:bCs/>
        </w:rPr>
      </w:pPr>
      <w:r>
        <w:rPr>
          <w:rFonts w:hint="eastAsia" w:ascii="宋体" w:hAnsi="宋体" w:eastAsia="宋体" w:cs="宋体"/>
          <w:b/>
          <w:bCs/>
        </w:rPr>
        <w:br w:type="page"/>
      </w:r>
    </w:p>
    <w:p>
      <w:pPr>
        <w:spacing w:line="360" w:lineRule="auto"/>
        <w:jc w:val="center"/>
        <w:rPr>
          <w:rFonts w:hint="eastAsia" w:ascii="宋体" w:hAnsi="宋体" w:eastAsia="宋体" w:cs="宋体"/>
          <w:b/>
          <w:kern w:val="0"/>
          <w:sz w:val="44"/>
          <w:szCs w:val="44"/>
        </w:rPr>
      </w:pPr>
    </w:p>
    <w:p>
      <w:pPr>
        <w:spacing w:line="360" w:lineRule="auto"/>
        <w:jc w:val="center"/>
        <w:rPr>
          <w:rFonts w:hint="eastAsia" w:ascii="宋体" w:hAnsi="宋体" w:eastAsia="宋体" w:cs="宋体"/>
          <w:bCs/>
          <w:kern w:val="0"/>
          <w:sz w:val="32"/>
          <w:szCs w:val="32"/>
        </w:rPr>
      </w:pPr>
    </w:p>
    <w:p>
      <w:pPr>
        <w:spacing w:line="360" w:lineRule="auto"/>
        <w:jc w:val="center"/>
        <w:rPr>
          <w:rFonts w:hint="eastAsia" w:ascii="宋体" w:hAnsi="宋体" w:eastAsia="宋体" w:cs="宋体"/>
          <w:bCs/>
          <w:kern w:val="0"/>
          <w:sz w:val="32"/>
          <w:szCs w:val="32"/>
        </w:rPr>
      </w:pPr>
      <w:r>
        <w:rPr>
          <w:rFonts w:hint="eastAsia" w:ascii="宋体" w:hAnsi="宋体" w:eastAsia="宋体" w:cs="宋体"/>
          <w:bCs/>
          <w:kern w:val="0"/>
          <w:sz w:val="32"/>
          <w:szCs w:val="32"/>
        </w:rPr>
        <w:t>投  标  文  件</w:t>
      </w:r>
    </w:p>
    <w:p>
      <w:pPr>
        <w:spacing w:line="360" w:lineRule="auto"/>
        <w:jc w:val="center"/>
        <w:rPr>
          <w:rFonts w:hint="eastAsia" w:ascii="宋体" w:hAnsi="宋体" w:eastAsia="宋体" w:cs="宋体"/>
          <w:bCs/>
          <w:kern w:val="0"/>
          <w:sz w:val="32"/>
          <w:szCs w:val="32"/>
        </w:rPr>
      </w:pPr>
      <w:r>
        <w:rPr>
          <w:rFonts w:hint="eastAsia" w:ascii="宋体" w:hAnsi="宋体" w:eastAsia="宋体" w:cs="宋体"/>
          <w:bCs/>
          <w:kern w:val="0"/>
          <w:sz w:val="32"/>
          <w:szCs w:val="32"/>
        </w:rPr>
        <w:t>商务部分</w:t>
      </w:r>
    </w:p>
    <w:p>
      <w:pPr>
        <w:spacing w:line="360" w:lineRule="auto"/>
        <w:ind w:firstLine="640" w:firstLineChars="200"/>
        <w:jc w:val="center"/>
        <w:rPr>
          <w:rFonts w:hint="eastAsia" w:ascii="宋体" w:hAnsi="宋体" w:eastAsia="宋体" w:cs="宋体"/>
          <w:kern w:val="0"/>
          <w:sz w:val="32"/>
          <w:szCs w:val="32"/>
        </w:rPr>
      </w:pPr>
    </w:p>
    <w:p>
      <w:pPr>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（填写正本或副本）</w:t>
      </w:r>
    </w:p>
    <w:p>
      <w:pPr>
        <w:spacing w:line="360" w:lineRule="auto"/>
        <w:ind w:firstLine="480" w:firstLineChars="200"/>
        <w:jc w:val="center"/>
        <w:rPr>
          <w:rFonts w:hint="eastAsia" w:ascii="宋体" w:hAnsi="宋体" w:eastAsia="宋体" w:cs="宋体"/>
          <w:bCs/>
          <w:kern w:val="0"/>
          <w:sz w:val="24"/>
          <w:szCs w:val="24"/>
        </w:rPr>
      </w:pPr>
    </w:p>
    <w:p>
      <w:pPr>
        <w:spacing w:line="360" w:lineRule="auto"/>
        <w:ind w:left="1470" w:leftChars="700" w:firstLine="1680" w:firstLineChars="700"/>
        <w:rPr>
          <w:rFonts w:hint="eastAsia" w:ascii="宋体" w:hAnsi="宋体" w:eastAsia="宋体" w:cs="宋体"/>
          <w:bCs/>
          <w:kern w:val="0"/>
          <w:sz w:val="24"/>
          <w:szCs w:val="24"/>
        </w:rPr>
      </w:pPr>
      <w:r>
        <w:rPr>
          <w:rFonts w:hint="eastAsia" w:ascii="宋体" w:hAnsi="宋体" w:eastAsia="宋体" w:cs="宋体"/>
          <w:bCs/>
          <w:kern w:val="0"/>
          <w:sz w:val="24"/>
          <w:szCs w:val="24"/>
        </w:rPr>
        <w:t>项目名称：</w:t>
      </w:r>
      <w:r>
        <w:rPr>
          <w:rFonts w:hint="eastAsia" w:ascii="宋体" w:hAnsi="宋体" w:eastAsia="宋体" w:cs="宋体"/>
          <w:bCs/>
          <w:kern w:val="0"/>
          <w:sz w:val="24"/>
          <w:szCs w:val="24"/>
          <w:u w:val="single"/>
        </w:rPr>
        <w:t xml:space="preserve">               </w:t>
      </w:r>
    </w:p>
    <w:p>
      <w:pPr>
        <w:spacing w:line="360" w:lineRule="auto"/>
        <w:ind w:left="1470" w:leftChars="700" w:firstLine="1680" w:firstLineChars="700"/>
        <w:rPr>
          <w:rFonts w:hint="eastAsia" w:ascii="宋体" w:hAnsi="宋体" w:eastAsia="宋体" w:cs="宋体"/>
          <w:bCs/>
          <w:kern w:val="0"/>
          <w:sz w:val="24"/>
          <w:szCs w:val="24"/>
        </w:rPr>
      </w:pPr>
      <w:r>
        <w:rPr>
          <w:rFonts w:hint="eastAsia" w:ascii="宋体" w:hAnsi="宋体" w:eastAsia="宋体" w:cs="宋体"/>
          <w:bCs/>
          <w:kern w:val="0"/>
          <w:sz w:val="24"/>
          <w:szCs w:val="24"/>
        </w:rPr>
        <w:t>项目编号：</w:t>
      </w:r>
      <w:r>
        <w:rPr>
          <w:rFonts w:hint="eastAsia" w:ascii="宋体" w:hAnsi="宋体" w:eastAsia="宋体" w:cs="宋体"/>
          <w:bCs/>
          <w:kern w:val="0"/>
          <w:sz w:val="24"/>
          <w:szCs w:val="24"/>
          <w:u w:val="single"/>
        </w:rPr>
        <w:t xml:space="preserve">               </w:t>
      </w:r>
    </w:p>
    <w:p>
      <w:pPr>
        <w:spacing w:line="360" w:lineRule="auto"/>
        <w:ind w:left="1470" w:leftChars="700" w:firstLine="1680" w:firstLineChars="700"/>
        <w:rPr>
          <w:rFonts w:hint="eastAsia" w:ascii="宋体" w:hAnsi="宋体" w:eastAsia="宋体" w:cs="宋体"/>
          <w:bCs/>
          <w:kern w:val="0"/>
          <w:sz w:val="24"/>
          <w:szCs w:val="24"/>
        </w:rPr>
      </w:pPr>
      <w:r>
        <w:rPr>
          <w:rFonts w:hint="eastAsia" w:ascii="宋体" w:hAnsi="宋体" w:eastAsia="宋体" w:cs="宋体"/>
          <w:bCs/>
          <w:kern w:val="0"/>
          <w:sz w:val="24"/>
          <w:szCs w:val="24"/>
        </w:rPr>
        <w:t>所投采购包：</w:t>
      </w:r>
      <w:r>
        <w:rPr>
          <w:rFonts w:hint="eastAsia" w:ascii="宋体" w:hAnsi="宋体" w:eastAsia="宋体" w:cs="宋体"/>
          <w:bCs/>
          <w:kern w:val="0"/>
          <w:sz w:val="24"/>
          <w:szCs w:val="24"/>
          <w:u w:val="single"/>
        </w:rPr>
        <w:t xml:space="preserve">             </w:t>
      </w:r>
    </w:p>
    <w:p>
      <w:pPr>
        <w:spacing w:line="360" w:lineRule="auto"/>
        <w:ind w:left="1470" w:leftChars="700" w:firstLine="480" w:firstLineChars="200"/>
        <w:jc w:val="center"/>
        <w:rPr>
          <w:rFonts w:hint="eastAsia" w:ascii="宋体" w:hAnsi="宋体" w:eastAsia="宋体" w:cs="宋体"/>
          <w:bCs/>
          <w:kern w:val="0"/>
          <w:sz w:val="24"/>
          <w:szCs w:val="24"/>
        </w:rPr>
      </w:pPr>
    </w:p>
    <w:p>
      <w:pPr>
        <w:spacing w:line="360" w:lineRule="auto"/>
        <w:ind w:left="1470" w:leftChars="700" w:firstLine="1680" w:firstLineChars="700"/>
        <w:rPr>
          <w:rFonts w:hint="eastAsia" w:ascii="宋体" w:hAnsi="宋体" w:eastAsia="宋体" w:cs="宋体"/>
          <w:bCs/>
          <w:kern w:val="0"/>
          <w:sz w:val="24"/>
          <w:szCs w:val="24"/>
        </w:rPr>
      </w:pPr>
      <w:r>
        <w:rPr>
          <w:rFonts w:hint="eastAsia" w:ascii="宋体" w:hAnsi="宋体" w:eastAsia="宋体" w:cs="宋体"/>
          <w:bCs/>
          <w:kern w:val="0"/>
          <w:sz w:val="24"/>
          <w:szCs w:val="24"/>
        </w:rPr>
        <w:t>投标人：</w:t>
      </w:r>
      <w:r>
        <w:rPr>
          <w:rFonts w:hint="eastAsia" w:ascii="宋体" w:hAnsi="宋体" w:eastAsia="宋体" w:cs="宋体"/>
          <w:bCs/>
          <w:kern w:val="0"/>
          <w:sz w:val="24"/>
          <w:szCs w:val="24"/>
          <w:u w:val="single"/>
        </w:rPr>
        <w:t xml:space="preserve">                 </w:t>
      </w:r>
    </w:p>
    <w:p>
      <w:pPr>
        <w:spacing w:line="360" w:lineRule="auto"/>
        <w:ind w:left="1470" w:leftChars="700" w:firstLine="1680" w:firstLineChars="700"/>
        <w:rPr>
          <w:rFonts w:hint="eastAsia" w:ascii="宋体" w:hAnsi="宋体" w:eastAsia="宋体" w:cs="宋体"/>
          <w:bCs/>
          <w:kern w:val="0"/>
          <w:sz w:val="24"/>
          <w:szCs w:val="24"/>
        </w:rPr>
      </w:pPr>
      <w:r>
        <w:rPr>
          <w:rFonts w:hint="eastAsia" w:ascii="宋体" w:hAnsi="宋体" w:eastAsia="宋体" w:cs="宋体"/>
          <w:bCs/>
          <w:kern w:val="0"/>
          <w:sz w:val="24"/>
          <w:szCs w:val="24"/>
        </w:rPr>
        <w:t>日  期：</w:t>
      </w:r>
      <w:r>
        <w:rPr>
          <w:rFonts w:hint="eastAsia" w:ascii="宋体" w:hAnsi="宋体" w:eastAsia="宋体" w:cs="宋体"/>
          <w:bCs/>
          <w:kern w:val="0"/>
          <w:sz w:val="24"/>
          <w:szCs w:val="24"/>
          <w:u w:val="single"/>
        </w:rPr>
        <w:t xml:space="preserve">                 </w:t>
      </w:r>
    </w:p>
    <w:p>
      <w:pPr>
        <w:widowControl/>
        <w:spacing w:line="360" w:lineRule="auto"/>
        <w:jc w:val="left"/>
        <w:rPr>
          <w:rFonts w:hint="eastAsia" w:ascii="宋体" w:hAnsi="宋体" w:eastAsia="宋体" w:cs="宋体"/>
          <w:b/>
          <w:bCs/>
          <w:sz w:val="36"/>
          <w:szCs w:val="36"/>
        </w:rPr>
      </w:pPr>
      <w:r>
        <w:rPr>
          <w:rFonts w:hint="eastAsia" w:ascii="宋体" w:hAnsi="宋体" w:eastAsia="宋体" w:cs="宋体"/>
          <w:b/>
          <w:bCs/>
          <w:sz w:val="36"/>
          <w:szCs w:val="36"/>
        </w:rPr>
        <w:br w:type="page"/>
      </w:r>
    </w:p>
    <w:p>
      <w:pPr>
        <w:adjustRightInd w:val="0"/>
        <w:snapToGrid w:val="0"/>
        <w:spacing w:line="360" w:lineRule="auto"/>
        <w:jc w:val="center"/>
        <w:outlineLvl w:val="1"/>
        <w:rPr>
          <w:rFonts w:hint="eastAsia" w:ascii="宋体" w:hAnsi="宋体" w:eastAsia="宋体" w:cs="宋体"/>
          <w:b/>
          <w:bCs/>
          <w:sz w:val="28"/>
          <w:szCs w:val="28"/>
        </w:rPr>
      </w:pPr>
      <w:bookmarkStart w:id="70" w:name="_Toc12196"/>
      <w:r>
        <w:rPr>
          <w:rFonts w:hint="eastAsia" w:ascii="宋体" w:hAnsi="宋体" w:eastAsia="宋体" w:cs="宋体"/>
          <w:b/>
          <w:bCs/>
          <w:sz w:val="28"/>
          <w:szCs w:val="28"/>
        </w:rPr>
        <w:t>格式1  授权委托书</w:t>
      </w:r>
      <w:bookmarkEnd w:id="70"/>
    </w:p>
    <w:p>
      <w:pPr>
        <w:adjustRightInd w:val="0"/>
        <w:snapToGrid w:val="0"/>
        <w:spacing w:line="360" w:lineRule="auto"/>
        <w:jc w:val="center"/>
        <w:outlineLvl w:val="2"/>
        <w:rPr>
          <w:rFonts w:hint="eastAsia" w:ascii="宋体" w:hAnsi="宋体" w:eastAsia="宋体" w:cs="宋体"/>
          <w:b/>
          <w:bCs/>
          <w:sz w:val="28"/>
          <w:szCs w:val="28"/>
        </w:rPr>
      </w:pPr>
      <w:bookmarkStart w:id="71" w:name="_Toc19392"/>
      <w:r>
        <w:rPr>
          <w:rFonts w:hint="eastAsia" w:ascii="宋体" w:hAnsi="宋体" w:eastAsia="宋体" w:cs="宋体"/>
          <w:b/>
          <w:bCs/>
          <w:sz w:val="28"/>
          <w:szCs w:val="28"/>
        </w:rPr>
        <w:t>1-1法定代表人授权委托书</w:t>
      </w:r>
      <w:bookmarkEnd w:id="71"/>
    </w:p>
    <w:p>
      <w:pPr>
        <w:adjustRightInd w:val="0"/>
        <w:snapToGrid w:val="0"/>
        <w:spacing w:line="360" w:lineRule="auto"/>
        <w:jc w:val="center"/>
        <w:rPr>
          <w:rFonts w:hint="eastAsia" w:ascii="宋体" w:hAnsi="宋体" w:eastAsia="宋体" w:cs="宋体"/>
          <w:b/>
          <w:bCs/>
          <w:sz w:val="24"/>
        </w:rPr>
      </w:pPr>
      <w:r>
        <w:rPr>
          <w:rFonts w:hint="eastAsia" w:ascii="宋体" w:hAnsi="宋体" w:eastAsia="宋体" w:cs="宋体"/>
          <w:szCs w:val="21"/>
        </w:rPr>
        <w:t>(适用于授权代表参加投标)</w:t>
      </w:r>
    </w:p>
    <w:p>
      <w:pPr>
        <w:pStyle w:val="18"/>
        <w:spacing w:line="360" w:lineRule="auto"/>
        <w:rPr>
          <w:rFonts w:hint="eastAsia" w:ascii="宋体" w:hAnsi="宋体" w:eastAsia="宋体" w:cs="宋体"/>
        </w:rPr>
      </w:pPr>
    </w:p>
    <w:p>
      <w:pPr>
        <w:spacing w:line="360" w:lineRule="auto"/>
        <w:rPr>
          <w:rFonts w:hint="eastAsia" w:ascii="宋体" w:hAnsi="宋体" w:eastAsia="宋体" w:cs="宋体"/>
        </w:rPr>
      </w:pPr>
      <w:r>
        <w:rPr>
          <w:rFonts w:hint="eastAsia" w:ascii="宋体" w:hAnsi="宋体" w:eastAsia="宋体" w:cs="宋体"/>
        </w:rPr>
        <w:t>致____________(采购人或采购代理机构)：</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本授权书声明：注册于___________（投标人住址）的___________（投标人名称）法定代表人_______（姓名、职务）代表本公司授权_______（被授权投标代表姓名、职务）为本公司的合法投标代表，就贵方组织的《</w:t>
      </w:r>
      <w:r>
        <w:rPr>
          <w:rFonts w:hint="eastAsia" w:ascii="宋体" w:hAnsi="宋体" w:eastAsia="宋体" w:cs="宋体"/>
          <w:szCs w:val="21"/>
          <w:u w:val="single"/>
        </w:rPr>
        <w:t xml:space="preserve">          项目</w:t>
      </w:r>
      <w:r>
        <w:rPr>
          <w:rFonts w:hint="eastAsia" w:ascii="宋体" w:hAnsi="宋体" w:eastAsia="宋体" w:cs="宋体"/>
          <w:szCs w:val="21"/>
        </w:rPr>
        <w:t>》（项目编号：_______）投标、合同的执行，以本公司名义处理一切与之有关的事务。</w:t>
      </w:r>
    </w:p>
    <w:p>
      <w:pPr>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本授权书于______年______月_____日生效，特此声明。</w:t>
      </w:r>
    </w:p>
    <w:p>
      <w:pPr>
        <w:pStyle w:val="18"/>
        <w:adjustRightInd w:val="0"/>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被授权投标代表无转委托权。</w:t>
      </w:r>
    </w:p>
    <w:p>
      <w:pPr>
        <w:pStyle w:val="18"/>
        <w:adjustRightInd w:val="0"/>
        <w:snapToGrid w:val="0"/>
        <w:spacing w:line="360" w:lineRule="auto"/>
        <w:rPr>
          <w:rFonts w:hint="eastAsia" w:ascii="宋体" w:hAnsi="宋体" w:eastAsia="宋体" w:cs="宋体"/>
        </w:rPr>
      </w:pPr>
    </w:p>
    <w:tbl>
      <w:tblPr>
        <w:tblStyle w:val="29"/>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pPr>
              <w:pStyle w:val="18"/>
              <w:adjustRightInd w:val="0"/>
              <w:snapToGrid w:val="0"/>
              <w:spacing w:line="360" w:lineRule="auto"/>
              <w:jc w:val="center"/>
              <w:rPr>
                <w:rFonts w:hint="eastAsia" w:ascii="宋体" w:hAnsi="宋体" w:eastAsia="宋体" w:cs="宋体"/>
                <w:kern w:val="2"/>
                <w:sz w:val="21"/>
                <w:lang w:val="en-US" w:eastAsia="zh-CN"/>
              </w:rPr>
            </w:pPr>
          </w:p>
          <w:p>
            <w:pPr>
              <w:pStyle w:val="18"/>
              <w:adjustRightInd w:val="0"/>
              <w:snapToGrid w:val="0"/>
              <w:spacing w:line="360" w:lineRule="auto"/>
              <w:jc w:val="center"/>
              <w:rPr>
                <w:rFonts w:hint="eastAsia" w:ascii="宋体" w:hAnsi="宋体" w:eastAsia="宋体" w:cs="宋体"/>
                <w:kern w:val="2"/>
                <w:sz w:val="21"/>
                <w:lang w:val="en-US" w:eastAsia="zh-CN"/>
              </w:rPr>
            </w:pPr>
          </w:p>
          <w:p>
            <w:pPr>
              <w:pStyle w:val="18"/>
              <w:adjustRightInd w:val="0"/>
              <w:snapToGrid w:val="0"/>
              <w:spacing w:line="360" w:lineRule="auto"/>
              <w:jc w:val="center"/>
              <w:rPr>
                <w:rFonts w:hint="eastAsia" w:ascii="宋体" w:hAnsi="宋体" w:eastAsia="宋体" w:cs="宋体"/>
                <w:kern w:val="2"/>
                <w:sz w:val="21"/>
                <w:lang w:val="en-US" w:eastAsia="zh-CN"/>
              </w:rPr>
            </w:pPr>
          </w:p>
          <w:p>
            <w:pPr>
              <w:pStyle w:val="18"/>
              <w:adjustRightInd w:val="0"/>
              <w:snapToGrid w:val="0"/>
              <w:spacing w:line="360" w:lineRule="auto"/>
              <w:jc w:val="center"/>
              <w:rPr>
                <w:rFonts w:hint="eastAsia" w:ascii="宋体" w:hAnsi="宋体" w:eastAsia="宋体" w:cs="宋体"/>
                <w:kern w:val="2"/>
                <w:sz w:val="21"/>
                <w:lang w:val="en-US" w:eastAsia="zh-CN"/>
              </w:rPr>
            </w:pPr>
            <w:r>
              <w:rPr>
                <w:rFonts w:hint="eastAsia" w:ascii="宋体" w:hAnsi="宋体" w:eastAsia="宋体" w:cs="宋体"/>
                <w:b/>
                <w:kern w:val="2"/>
                <w:sz w:val="21"/>
                <w:lang w:val="en-US" w:eastAsia="zh-CN"/>
              </w:rPr>
              <w:t>被授权投标代表</w:t>
            </w:r>
            <w:r>
              <w:rPr>
                <w:rFonts w:hint="eastAsia" w:ascii="宋体" w:hAnsi="宋体" w:eastAsia="宋体" w:cs="宋体"/>
                <w:kern w:val="2"/>
                <w:sz w:val="21"/>
                <w:lang w:val="en-US" w:eastAsia="zh-CN"/>
              </w:rPr>
              <w:t>身份证复印件</w:t>
            </w:r>
          </w:p>
          <w:p>
            <w:pPr>
              <w:pStyle w:val="18"/>
              <w:adjustRightInd w:val="0"/>
              <w:snapToGrid w:val="0"/>
              <w:spacing w:line="360" w:lineRule="auto"/>
              <w:jc w:val="center"/>
              <w:rPr>
                <w:rFonts w:hint="eastAsia" w:ascii="宋体" w:hAnsi="宋体" w:eastAsia="宋体" w:cs="宋体"/>
                <w:kern w:val="2"/>
                <w:sz w:val="21"/>
                <w:lang w:val="en-US" w:eastAsia="zh-CN"/>
              </w:rPr>
            </w:pPr>
          </w:p>
          <w:p>
            <w:pPr>
              <w:pStyle w:val="18"/>
              <w:adjustRightInd w:val="0"/>
              <w:snapToGrid w:val="0"/>
              <w:spacing w:line="360" w:lineRule="auto"/>
              <w:jc w:val="center"/>
              <w:rPr>
                <w:rFonts w:hint="eastAsia" w:ascii="宋体" w:hAnsi="宋体" w:eastAsia="宋体" w:cs="宋体"/>
                <w:kern w:val="2"/>
                <w:sz w:val="21"/>
                <w:lang w:val="en-US" w:eastAsia="zh-CN"/>
              </w:rPr>
            </w:pPr>
          </w:p>
          <w:p>
            <w:pPr>
              <w:pStyle w:val="18"/>
              <w:adjustRightInd w:val="0"/>
              <w:snapToGrid w:val="0"/>
              <w:spacing w:line="360" w:lineRule="auto"/>
              <w:jc w:val="center"/>
              <w:rPr>
                <w:rFonts w:hint="eastAsia" w:ascii="宋体" w:hAnsi="宋体" w:eastAsia="宋体" w:cs="宋体"/>
                <w:kern w:val="2"/>
                <w:sz w:val="21"/>
                <w:lang w:val="en-US" w:eastAsia="zh-CN"/>
              </w:rPr>
            </w:pPr>
          </w:p>
        </w:tc>
      </w:tr>
    </w:tbl>
    <w:p>
      <w:pPr>
        <w:pStyle w:val="18"/>
        <w:adjustRightInd w:val="0"/>
        <w:snapToGrid w:val="0"/>
        <w:spacing w:line="360" w:lineRule="auto"/>
        <w:jc w:val="left"/>
        <w:rPr>
          <w:rFonts w:hint="eastAsia" w:ascii="宋体" w:hAnsi="宋体" w:eastAsia="宋体" w:cs="宋体"/>
        </w:rPr>
      </w:pPr>
    </w:p>
    <w:p>
      <w:pPr>
        <w:tabs>
          <w:tab w:val="left" w:pos="1230"/>
        </w:tabs>
        <w:topLinePunct/>
        <w:autoSpaceDE w:val="0"/>
        <w:autoSpaceDN w:val="0"/>
        <w:adjustRightInd w:val="0"/>
        <w:snapToGrid w:val="0"/>
        <w:spacing w:line="360" w:lineRule="auto"/>
        <w:ind w:left="363"/>
        <w:rPr>
          <w:rFonts w:hint="eastAsia" w:ascii="宋体" w:hAnsi="宋体" w:eastAsia="宋体" w:cs="宋体"/>
          <w:szCs w:val="21"/>
        </w:rPr>
      </w:pPr>
      <w:r>
        <w:rPr>
          <w:rFonts w:hint="eastAsia" w:ascii="宋体" w:hAnsi="宋体" w:eastAsia="宋体" w:cs="宋体"/>
          <w:szCs w:val="21"/>
        </w:rPr>
        <w:t>投标人名称（公章）：________________</w:t>
      </w:r>
    </w:p>
    <w:p>
      <w:pPr>
        <w:tabs>
          <w:tab w:val="left" w:pos="1230"/>
        </w:tabs>
        <w:topLinePunct/>
        <w:autoSpaceDE w:val="0"/>
        <w:autoSpaceDN w:val="0"/>
        <w:adjustRightInd w:val="0"/>
        <w:snapToGrid w:val="0"/>
        <w:spacing w:line="360" w:lineRule="auto"/>
        <w:ind w:left="363"/>
        <w:rPr>
          <w:rFonts w:hint="eastAsia" w:ascii="宋体" w:hAnsi="宋体" w:eastAsia="宋体" w:cs="宋体"/>
          <w:szCs w:val="21"/>
        </w:rPr>
      </w:pPr>
      <w:r>
        <w:rPr>
          <w:rFonts w:hint="eastAsia" w:ascii="宋体" w:hAnsi="宋体" w:eastAsia="宋体" w:cs="宋体"/>
          <w:szCs w:val="21"/>
        </w:rPr>
        <w:t>法定代表人（签字或签章）：________________</w:t>
      </w:r>
    </w:p>
    <w:p>
      <w:pPr>
        <w:tabs>
          <w:tab w:val="left" w:pos="1230"/>
        </w:tabs>
        <w:topLinePunct/>
        <w:autoSpaceDE w:val="0"/>
        <w:autoSpaceDN w:val="0"/>
        <w:adjustRightInd w:val="0"/>
        <w:snapToGrid w:val="0"/>
        <w:spacing w:line="360" w:lineRule="auto"/>
        <w:ind w:left="363"/>
        <w:rPr>
          <w:rFonts w:hint="eastAsia" w:ascii="宋体" w:hAnsi="宋体" w:eastAsia="宋体" w:cs="宋体"/>
          <w:szCs w:val="21"/>
        </w:rPr>
      </w:pPr>
      <w:r>
        <w:rPr>
          <w:rFonts w:hint="eastAsia" w:ascii="宋体" w:hAnsi="宋体" w:eastAsia="宋体" w:cs="宋体"/>
          <w:szCs w:val="21"/>
        </w:rPr>
        <w:t>被授权投标代表（签字）：________________</w:t>
      </w:r>
    </w:p>
    <w:p>
      <w:pPr>
        <w:tabs>
          <w:tab w:val="left" w:pos="1230"/>
        </w:tabs>
        <w:topLinePunct/>
        <w:autoSpaceDE w:val="0"/>
        <w:autoSpaceDN w:val="0"/>
        <w:adjustRightInd w:val="0"/>
        <w:snapToGrid w:val="0"/>
        <w:spacing w:line="360" w:lineRule="auto"/>
        <w:ind w:left="363"/>
        <w:rPr>
          <w:rFonts w:hint="eastAsia" w:ascii="宋体" w:hAnsi="宋体" w:eastAsia="宋体" w:cs="宋体"/>
          <w:szCs w:val="21"/>
        </w:rPr>
      </w:pPr>
      <w:r>
        <w:rPr>
          <w:rFonts w:hint="eastAsia" w:ascii="宋体" w:hAnsi="宋体" w:eastAsia="宋体" w:cs="宋体"/>
          <w:szCs w:val="21"/>
        </w:rPr>
        <w:t>被授权投标代表联系电话：____________</w:t>
      </w:r>
    </w:p>
    <w:p>
      <w:pPr>
        <w:tabs>
          <w:tab w:val="left" w:pos="1230"/>
        </w:tabs>
        <w:topLinePunct/>
        <w:autoSpaceDE w:val="0"/>
        <w:autoSpaceDN w:val="0"/>
        <w:adjustRightInd w:val="0"/>
        <w:snapToGrid w:val="0"/>
        <w:spacing w:line="360" w:lineRule="auto"/>
        <w:ind w:left="363"/>
        <w:rPr>
          <w:rFonts w:hint="eastAsia" w:ascii="宋体" w:hAnsi="宋体" w:eastAsia="宋体" w:cs="宋体"/>
          <w:szCs w:val="21"/>
        </w:rPr>
      </w:pPr>
      <w:r>
        <w:rPr>
          <w:rFonts w:hint="eastAsia" w:ascii="宋体" w:hAnsi="宋体" w:eastAsia="宋体" w:cs="宋体"/>
          <w:szCs w:val="21"/>
        </w:rPr>
        <w:t>日期：____________</w:t>
      </w:r>
    </w:p>
    <w:p>
      <w:pPr>
        <w:topLinePunct/>
        <w:autoSpaceDE w:val="0"/>
        <w:autoSpaceDN w:val="0"/>
        <w:adjustRightInd w:val="0"/>
        <w:snapToGrid w:val="0"/>
        <w:spacing w:line="360" w:lineRule="auto"/>
        <w:jc w:val="left"/>
        <w:rPr>
          <w:rFonts w:hint="eastAsia" w:ascii="宋体" w:hAnsi="宋体" w:eastAsia="宋体" w:cs="宋体"/>
        </w:rPr>
      </w:pPr>
    </w:p>
    <w:p>
      <w:pPr>
        <w:topLinePunct/>
        <w:autoSpaceDE w:val="0"/>
        <w:autoSpaceDN w:val="0"/>
        <w:adjustRightInd w:val="0"/>
        <w:snapToGrid w:val="0"/>
        <w:spacing w:line="360" w:lineRule="auto"/>
        <w:jc w:val="left"/>
        <w:rPr>
          <w:rFonts w:hint="eastAsia" w:ascii="宋体" w:hAnsi="宋体" w:eastAsia="宋体" w:cs="宋体"/>
          <w:i/>
          <w:iCs/>
        </w:rPr>
      </w:pPr>
      <w:r>
        <w:rPr>
          <w:rFonts w:hint="eastAsia" w:ascii="宋体" w:hAnsi="宋体" w:eastAsia="宋体" w:cs="宋体"/>
        </w:rPr>
        <w:t>特别说明：</w:t>
      </w:r>
    </w:p>
    <w:p>
      <w:pPr>
        <w:tabs>
          <w:tab w:val="left" w:pos="312"/>
        </w:tabs>
        <w:topLinePunct/>
        <w:autoSpaceDE w:val="0"/>
        <w:autoSpaceDN w:val="0"/>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1.投标人如由被授权投标代表参与投标活动的，须同时提供《法定代表人授权委托书》和被授权投标代表身份证复印件</w:t>
      </w:r>
      <w:r>
        <w:rPr>
          <w:rFonts w:hint="eastAsia" w:ascii="宋体" w:hAnsi="宋体" w:eastAsia="宋体" w:cs="宋体"/>
          <w:bCs/>
          <w:szCs w:val="21"/>
        </w:rPr>
        <w:t>（线上采购项目提供扫描件，下同）</w:t>
      </w:r>
      <w:r>
        <w:rPr>
          <w:rFonts w:hint="eastAsia" w:ascii="宋体" w:hAnsi="宋体" w:eastAsia="宋体" w:cs="宋体"/>
        </w:rPr>
        <w:t>。《法定代表人授权委托书》应当按本格式要求加盖与投标人名称全称一致的标准公章，并签署法定代表人或被授权投标代表的全名或加盖名章</w:t>
      </w:r>
      <w:r>
        <w:rPr>
          <w:rFonts w:hint="eastAsia" w:ascii="宋体" w:hAnsi="宋体" w:eastAsia="宋体" w:cs="宋体"/>
          <w:szCs w:val="21"/>
        </w:rPr>
        <w:t>。(线上采购项目应上传扫描件)</w:t>
      </w:r>
      <w:r>
        <w:rPr>
          <w:rFonts w:hint="eastAsia" w:ascii="宋体" w:hAnsi="宋体" w:eastAsia="宋体" w:cs="宋体"/>
        </w:rPr>
        <w:t>。</w:t>
      </w:r>
    </w:p>
    <w:p>
      <w:pPr>
        <w:adjustRightInd w:val="0"/>
        <w:snapToGrid w:val="0"/>
        <w:spacing w:line="360" w:lineRule="auto"/>
        <w:jc w:val="center"/>
        <w:outlineLvl w:val="2"/>
        <w:rPr>
          <w:rFonts w:hint="eastAsia" w:ascii="宋体" w:hAnsi="宋体" w:eastAsia="宋体" w:cs="宋体"/>
          <w:b/>
          <w:bCs/>
          <w:sz w:val="28"/>
          <w:szCs w:val="28"/>
        </w:rPr>
      </w:pPr>
      <w:r>
        <w:rPr>
          <w:rFonts w:hint="eastAsia" w:ascii="宋体" w:hAnsi="宋体" w:eastAsia="宋体" w:cs="宋体"/>
          <w:b/>
          <w:bCs/>
          <w:sz w:val="36"/>
          <w:szCs w:val="36"/>
        </w:rPr>
        <w:br w:type="page"/>
      </w:r>
      <w:bookmarkStart w:id="72" w:name="_Toc3305"/>
      <w:r>
        <w:rPr>
          <w:rFonts w:hint="eastAsia" w:ascii="宋体" w:hAnsi="宋体" w:eastAsia="宋体" w:cs="宋体"/>
          <w:b/>
          <w:bCs/>
          <w:sz w:val="28"/>
          <w:szCs w:val="28"/>
        </w:rPr>
        <w:t>1-2法定代表人身份证明复印件</w:t>
      </w:r>
      <w:bookmarkEnd w:id="72"/>
    </w:p>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(适用于法定代表人参加投标)</w:t>
      </w:r>
    </w:p>
    <w:p>
      <w:pPr>
        <w:topLinePunct/>
        <w:autoSpaceDE w:val="0"/>
        <w:autoSpaceDN w:val="0"/>
        <w:adjustRightInd w:val="0"/>
        <w:snapToGrid w:val="0"/>
        <w:spacing w:line="360" w:lineRule="auto"/>
        <w:ind w:firstLine="420" w:firstLineChars="200"/>
        <w:rPr>
          <w:rFonts w:hint="eastAsia" w:ascii="宋体" w:hAnsi="宋体" w:eastAsia="宋体" w:cs="宋体"/>
        </w:rPr>
      </w:pPr>
    </w:p>
    <w:tbl>
      <w:tblPr>
        <w:tblStyle w:val="29"/>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pPr>
              <w:pStyle w:val="18"/>
              <w:adjustRightInd w:val="0"/>
              <w:snapToGrid w:val="0"/>
              <w:spacing w:line="360" w:lineRule="auto"/>
              <w:jc w:val="center"/>
              <w:rPr>
                <w:rFonts w:hint="eastAsia" w:ascii="宋体" w:hAnsi="宋体" w:eastAsia="宋体" w:cs="宋体"/>
                <w:kern w:val="2"/>
                <w:sz w:val="21"/>
                <w:lang w:val="en-US" w:eastAsia="zh-CN"/>
              </w:rPr>
            </w:pPr>
          </w:p>
          <w:p>
            <w:pPr>
              <w:pStyle w:val="18"/>
              <w:adjustRightInd w:val="0"/>
              <w:snapToGrid w:val="0"/>
              <w:spacing w:line="360" w:lineRule="auto"/>
              <w:jc w:val="center"/>
              <w:rPr>
                <w:rFonts w:hint="eastAsia" w:ascii="宋体" w:hAnsi="宋体" w:eastAsia="宋体" w:cs="宋体"/>
                <w:kern w:val="2"/>
                <w:sz w:val="21"/>
                <w:lang w:val="en-US" w:eastAsia="zh-CN"/>
              </w:rPr>
            </w:pPr>
          </w:p>
          <w:p>
            <w:pPr>
              <w:pStyle w:val="18"/>
              <w:adjustRightInd w:val="0"/>
              <w:snapToGrid w:val="0"/>
              <w:spacing w:line="360" w:lineRule="auto"/>
              <w:jc w:val="center"/>
              <w:rPr>
                <w:rFonts w:hint="eastAsia" w:ascii="宋体" w:hAnsi="宋体" w:eastAsia="宋体" w:cs="宋体"/>
                <w:kern w:val="2"/>
                <w:sz w:val="21"/>
                <w:lang w:val="en-US" w:eastAsia="zh-CN"/>
              </w:rPr>
            </w:pPr>
          </w:p>
          <w:p>
            <w:pPr>
              <w:pStyle w:val="18"/>
              <w:adjustRightInd w:val="0"/>
              <w:snapToGrid w:val="0"/>
              <w:spacing w:line="360" w:lineRule="auto"/>
              <w:jc w:val="center"/>
              <w:rPr>
                <w:rFonts w:hint="eastAsia" w:ascii="宋体" w:hAnsi="宋体" w:eastAsia="宋体" w:cs="宋体"/>
                <w:kern w:val="2"/>
                <w:sz w:val="21"/>
                <w:lang w:val="en-US" w:eastAsia="zh-CN"/>
              </w:rPr>
            </w:pPr>
          </w:p>
          <w:p>
            <w:pPr>
              <w:pStyle w:val="18"/>
              <w:adjustRightInd w:val="0"/>
              <w:snapToGrid w:val="0"/>
              <w:spacing w:line="360" w:lineRule="auto"/>
              <w:jc w:val="center"/>
              <w:rPr>
                <w:rFonts w:hint="eastAsia" w:ascii="宋体" w:hAnsi="宋体" w:eastAsia="宋体" w:cs="宋体"/>
                <w:kern w:val="2"/>
                <w:sz w:val="21"/>
                <w:lang w:val="en-US" w:eastAsia="zh-CN"/>
              </w:rPr>
            </w:pPr>
            <w:r>
              <w:rPr>
                <w:rFonts w:hint="eastAsia" w:ascii="宋体" w:hAnsi="宋体" w:eastAsia="宋体" w:cs="宋体"/>
                <w:kern w:val="2"/>
                <w:sz w:val="21"/>
                <w:lang w:val="en-US" w:eastAsia="zh-CN"/>
              </w:rPr>
              <w:t>法定代表人身份证明复印件</w:t>
            </w:r>
          </w:p>
          <w:p>
            <w:pPr>
              <w:pStyle w:val="18"/>
              <w:adjustRightInd w:val="0"/>
              <w:snapToGrid w:val="0"/>
              <w:spacing w:line="360" w:lineRule="auto"/>
              <w:jc w:val="center"/>
              <w:rPr>
                <w:rFonts w:hint="eastAsia" w:ascii="宋体" w:hAnsi="宋体" w:eastAsia="宋体" w:cs="宋体"/>
                <w:kern w:val="2"/>
                <w:sz w:val="21"/>
                <w:lang w:val="en-US" w:eastAsia="zh-CN"/>
              </w:rPr>
            </w:pPr>
          </w:p>
          <w:p>
            <w:pPr>
              <w:pStyle w:val="18"/>
              <w:adjustRightInd w:val="0"/>
              <w:snapToGrid w:val="0"/>
              <w:spacing w:line="360" w:lineRule="auto"/>
              <w:jc w:val="center"/>
              <w:rPr>
                <w:rFonts w:hint="eastAsia" w:ascii="宋体" w:hAnsi="宋体" w:eastAsia="宋体" w:cs="宋体"/>
                <w:kern w:val="2"/>
                <w:sz w:val="21"/>
                <w:lang w:val="en-US" w:eastAsia="zh-CN"/>
              </w:rPr>
            </w:pPr>
          </w:p>
          <w:p>
            <w:pPr>
              <w:pStyle w:val="18"/>
              <w:adjustRightInd w:val="0"/>
              <w:snapToGrid w:val="0"/>
              <w:spacing w:line="360" w:lineRule="auto"/>
              <w:jc w:val="center"/>
              <w:rPr>
                <w:rFonts w:hint="eastAsia" w:ascii="宋体" w:hAnsi="宋体" w:eastAsia="宋体" w:cs="宋体"/>
                <w:kern w:val="2"/>
                <w:sz w:val="21"/>
                <w:lang w:val="en-US" w:eastAsia="zh-CN"/>
              </w:rPr>
            </w:pPr>
          </w:p>
          <w:p>
            <w:pPr>
              <w:pStyle w:val="18"/>
              <w:adjustRightInd w:val="0"/>
              <w:snapToGrid w:val="0"/>
              <w:spacing w:line="360" w:lineRule="auto"/>
              <w:jc w:val="center"/>
              <w:rPr>
                <w:rFonts w:hint="eastAsia" w:ascii="宋体" w:hAnsi="宋体" w:eastAsia="宋体" w:cs="宋体"/>
                <w:kern w:val="2"/>
                <w:sz w:val="21"/>
                <w:lang w:val="en-US" w:eastAsia="zh-CN"/>
              </w:rPr>
            </w:pPr>
          </w:p>
        </w:tc>
      </w:tr>
    </w:tbl>
    <w:p>
      <w:pPr>
        <w:topLinePunct/>
        <w:autoSpaceDE w:val="0"/>
        <w:autoSpaceDN w:val="0"/>
        <w:adjustRightInd w:val="0"/>
        <w:snapToGrid w:val="0"/>
        <w:spacing w:line="360" w:lineRule="auto"/>
        <w:jc w:val="left"/>
        <w:rPr>
          <w:rFonts w:hint="eastAsia" w:ascii="宋体" w:hAnsi="宋体" w:eastAsia="宋体" w:cs="宋体"/>
        </w:rPr>
      </w:pPr>
    </w:p>
    <w:p>
      <w:pPr>
        <w:topLinePunct/>
        <w:autoSpaceDE w:val="0"/>
        <w:autoSpaceDN w:val="0"/>
        <w:adjustRightInd w:val="0"/>
        <w:snapToGrid w:val="0"/>
        <w:spacing w:line="360" w:lineRule="auto"/>
        <w:jc w:val="left"/>
        <w:rPr>
          <w:rFonts w:hint="eastAsia" w:ascii="宋体" w:hAnsi="宋体" w:eastAsia="宋体" w:cs="宋体"/>
          <w:i/>
          <w:iCs/>
        </w:rPr>
      </w:pPr>
      <w:r>
        <w:rPr>
          <w:rFonts w:hint="eastAsia" w:ascii="宋体" w:hAnsi="宋体" w:eastAsia="宋体" w:cs="宋体"/>
        </w:rPr>
        <w:t>特别说明：</w:t>
      </w:r>
    </w:p>
    <w:p>
      <w:pPr>
        <w:tabs>
          <w:tab w:val="left" w:pos="312"/>
        </w:tabs>
        <w:topLinePunct/>
        <w:autoSpaceDE w:val="0"/>
        <w:autoSpaceDN w:val="0"/>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投标人如由</w:t>
      </w:r>
      <w:r>
        <w:rPr>
          <w:rFonts w:hint="eastAsia" w:ascii="宋体" w:hAnsi="宋体" w:eastAsia="宋体" w:cs="宋体"/>
          <w:b/>
          <w:bCs/>
        </w:rPr>
        <w:t>法定代表人作为投标代表参与投标活动的，仅须提供法定代表人身份证复印件</w:t>
      </w:r>
      <w:r>
        <w:rPr>
          <w:rFonts w:hint="eastAsia" w:ascii="宋体" w:hAnsi="宋体" w:eastAsia="宋体" w:cs="宋体"/>
          <w:bCs/>
          <w:szCs w:val="21"/>
        </w:rPr>
        <w:t>（线上采购项目提供扫描件，下同）</w:t>
      </w:r>
      <w:r>
        <w:rPr>
          <w:rFonts w:hint="eastAsia" w:ascii="宋体" w:hAnsi="宋体" w:eastAsia="宋体" w:cs="宋体"/>
        </w:rPr>
        <w:t>。</w:t>
      </w:r>
    </w:p>
    <w:p>
      <w:pPr>
        <w:pStyle w:val="18"/>
        <w:spacing w:line="360" w:lineRule="auto"/>
        <w:ind w:firstLine="400" w:firstLineChars="200"/>
        <w:rPr>
          <w:rFonts w:hint="eastAsia" w:ascii="宋体" w:hAnsi="宋体" w:eastAsia="宋体" w:cs="宋体"/>
        </w:rPr>
      </w:pPr>
    </w:p>
    <w:p>
      <w:pPr>
        <w:rPr>
          <w:rFonts w:hint="eastAsia" w:ascii="宋体" w:hAnsi="宋体" w:eastAsia="宋体" w:cs="宋体"/>
          <w:b/>
          <w:bCs/>
          <w:sz w:val="36"/>
          <w:szCs w:val="36"/>
        </w:rPr>
      </w:pPr>
      <w:r>
        <w:rPr>
          <w:rFonts w:hint="eastAsia" w:ascii="宋体" w:hAnsi="宋体" w:eastAsia="宋体" w:cs="宋体"/>
          <w:b/>
          <w:bCs/>
          <w:sz w:val="36"/>
          <w:szCs w:val="36"/>
        </w:rPr>
        <w:br w:type="page"/>
      </w:r>
    </w:p>
    <w:p>
      <w:pPr>
        <w:adjustRightInd w:val="0"/>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1-3自然人授权委托书</w:t>
      </w:r>
    </w:p>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(适用于自然人投标)</w:t>
      </w:r>
    </w:p>
    <w:p>
      <w:pPr>
        <w:pStyle w:val="18"/>
        <w:spacing w:line="360" w:lineRule="auto"/>
        <w:rPr>
          <w:rFonts w:hint="eastAsia" w:ascii="宋体" w:hAnsi="宋体" w:eastAsia="宋体" w:cs="宋体"/>
        </w:rPr>
      </w:pPr>
    </w:p>
    <w:p>
      <w:pPr>
        <w:spacing w:line="360" w:lineRule="auto"/>
        <w:rPr>
          <w:rFonts w:hint="eastAsia" w:ascii="宋体" w:hAnsi="宋体" w:eastAsia="宋体" w:cs="宋体"/>
        </w:rPr>
      </w:pPr>
      <w:r>
        <w:rPr>
          <w:rFonts w:hint="eastAsia" w:ascii="宋体" w:hAnsi="宋体" w:eastAsia="宋体" w:cs="宋体"/>
        </w:rPr>
        <w:t>致____________(采购人或采购代理机构)：</w:t>
      </w:r>
    </w:p>
    <w:p>
      <w:pPr>
        <w:spacing w:line="360" w:lineRule="auto"/>
        <w:ind w:firstLine="420" w:firstLineChars="200"/>
        <w:rPr>
          <w:rFonts w:hint="eastAsia" w:ascii="宋体" w:hAnsi="宋体" w:eastAsia="宋体" w:cs="宋体"/>
        </w:rPr>
      </w:pPr>
      <w:r>
        <w:rPr>
          <w:rFonts w:hint="eastAsia" w:ascii="宋体" w:hAnsi="宋体" w:eastAsia="宋体" w:cs="宋体"/>
        </w:rPr>
        <w:t>本授权书声明：我________(姓名、身份证号码)系自然人，现授权委托____________(姓名、身份证号码)以本人名义参加《          项目》（项目编号：    ）的投标活动，并代表本人全权办理针对上述项目的投标、签约等具体事务和签署相关文件。</w:t>
      </w:r>
    </w:p>
    <w:p>
      <w:pPr>
        <w:spacing w:line="360" w:lineRule="auto"/>
        <w:ind w:firstLine="420" w:firstLineChars="200"/>
        <w:rPr>
          <w:rFonts w:hint="eastAsia" w:ascii="宋体" w:hAnsi="宋体" w:eastAsia="宋体" w:cs="宋体"/>
        </w:rPr>
      </w:pPr>
      <w:r>
        <w:rPr>
          <w:rFonts w:hint="eastAsia" w:ascii="宋体" w:hAnsi="宋体" w:eastAsia="宋体" w:cs="宋体"/>
        </w:rPr>
        <w:t>本人对被授权人的签字事项负全部责任。</w:t>
      </w:r>
    </w:p>
    <w:p>
      <w:pPr>
        <w:spacing w:line="360" w:lineRule="auto"/>
        <w:ind w:firstLine="420" w:firstLineChars="200"/>
        <w:rPr>
          <w:rFonts w:hint="eastAsia" w:ascii="宋体" w:hAnsi="宋体" w:eastAsia="宋体" w:cs="宋体"/>
        </w:rPr>
      </w:pPr>
      <w:r>
        <w:rPr>
          <w:rFonts w:hint="eastAsia" w:ascii="宋体" w:hAnsi="宋体" w:eastAsia="宋体" w:cs="宋体"/>
        </w:rPr>
        <w:t>授权委托代理期限：从　　年　　月　　日起至　　年　　月　　日止。</w:t>
      </w: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r>
        <w:rPr>
          <w:rFonts w:hint="eastAsia" w:ascii="宋体" w:hAnsi="宋体" w:eastAsia="宋体" w:cs="宋体"/>
        </w:rPr>
        <w:t>代理人无转委托权，特此委托。</w:t>
      </w: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r>
        <w:rPr>
          <w:rFonts w:hint="eastAsia" w:ascii="宋体" w:hAnsi="宋体" w:eastAsia="宋体" w:cs="宋体"/>
        </w:rPr>
        <w:t>我已在下面签字，以资证明。</w:t>
      </w: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r>
        <w:rPr>
          <w:rFonts w:hint="eastAsia" w:ascii="宋体" w:hAnsi="宋体" w:eastAsia="宋体" w:cs="宋体"/>
        </w:rPr>
        <w:t>自然人签字并在签名处加盖食指指印：　　　　年　　月　　日</w:t>
      </w:r>
    </w:p>
    <w:p>
      <w:pPr>
        <w:pStyle w:val="18"/>
        <w:spacing w:line="360" w:lineRule="auto"/>
        <w:ind w:firstLine="480" w:firstLineChars="200"/>
        <w:rPr>
          <w:rFonts w:hint="eastAsia" w:ascii="宋体" w:hAnsi="宋体" w:eastAsia="宋体" w:cs="宋体"/>
          <w:sz w:val="24"/>
          <w:szCs w:val="24"/>
        </w:rPr>
      </w:pPr>
    </w:p>
    <w:p>
      <w:pPr>
        <w:topLinePunct/>
        <w:autoSpaceDE w:val="0"/>
        <w:autoSpaceDN w:val="0"/>
        <w:adjustRightInd w:val="0"/>
        <w:snapToGrid w:val="0"/>
        <w:spacing w:line="360" w:lineRule="auto"/>
        <w:jc w:val="left"/>
        <w:rPr>
          <w:rFonts w:hint="eastAsia" w:ascii="宋体" w:hAnsi="宋体" w:eastAsia="宋体" w:cs="宋体"/>
        </w:rPr>
      </w:pPr>
    </w:p>
    <w:p>
      <w:pPr>
        <w:topLinePunct/>
        <w:autoSpaceDE w:val="0"/>
        <w:autoSpaceDN w:val="0"/>
        <w:adjustRightInd w:val="0"/>
        <w:snapToGrid w:val="0"/>
        <w:spacing w:line="360" w:lineRule="auto"/>
        <w:jc w:val="left"/>
        <w:rPr>
          <w:rFonts w:hint="eastAsia" w:ascii="宋体" w:hAnsi="宋体" w:eastAsia="宋体" w:cs="宋体"/>
          <w:i/>
          <w:iCs/>
        </w:rPr>
      </w:pPr>
      <w:r>
        <w:rPr>
          <w:rFonts w:hint="eastAsia" w:ascii="宋体" w:hAnsi="宋体" w:eastAsia="宋体" w:cs="宋体"/>
        </w:rPr>
        <w:t>特别说明：</w:t>
      </w:r>
    </w:p>
    <w:p>
      <w:pPr>
        <w:tabs>
          <w:tab w:val="left" w:pos="312"/>
        </w:tabs>
        <w:topLinePunct/>
        <w:autoSpaceDE w:val="0"/>
        <w:autoSpaceDN w:val="0"/>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投标人如由</w:t>
      </w:r>
      <w:r>
        <w:rPr>
          <w:rFonts w:hint="eastAsia" w:ascii="宋体" w:hAnsi="宋体" w:eastAsia="宋体" w:cs="宋体"/>
          <w:b/>
          <w:bCs/>
        </w:rPr>
        <w:t>被授权人参与投标活动的，</w:t>
      </w:r>
      <w:r>
        <w:rPr>
          <w:rFonts w:hint="eastAsia" w:ascii="宋体" w:hAnsi="宋体" w:eastAsia="宋体" w:cs="宋体"/>
        </w:rPr>
        <w:t>须提供《自然人授权委托书》，《自然人授权委托书》应当按本格式要求签字并由自然人在签名处加盖食指指印</w:t>
      </w:r>
      <w:r>
        <w:rPr>
          <w:rFonts w:hint="eastAsia" w:ascii="宋体" w:hAnsi="宋体" w:eastAsia="宋体" w:cs="宋体"/>
          <w:szCs w:val="21"/>
        </w:rPr>
        <w:t>。</w:t>
      </w:r>
    </w:p>
    <w:p>
      <w:pPr>
        <w:pStyle w:val="18"/>
        <w:spacing w:line="360" w:lineRule="auto"/>
        <w:ind w:firstLine="480" w:firstLineChars="200"/>
        <w:rPr>
          <w:rFonts w:hint="eastAsia" w:ascii="宋体" w:hAnsi="宋体" w:eastAsia="宋体" w:cs="宋体"/>
          <w:sz w:val="24"/>
          <w:szCs w:val="24"/>
        </w:rPr>
      </w:pPr>
    </w:p>
    <w:p>
      <w:pPr>
        <w:widowControl/>
        <w:spacing w:line="360" w:lineRule="auto"/>
        <w:jc w:val="left"/>
        <w:rPr>
          <w:rFonts w:hint="eastAsia" w:ascii="宋体" w:hAnsi="宋体" w:eastAsia="宋体" w:cs="宋体"/>
          <w:b/>
          <w:bCs/>
          <w:sz w:val="36"/>
          <w:szCs w:val="36"/>
        </w:rPr>
      </w:pPr>
      <w:r>
        <w:rPr>
          <w:rFonts w:hint="eastAsia" w:ascii="宋体" w:hAnsi="宋体" w:eastAsia="宋体" w:cs="宋体"/>
          <w:b/>
          <w:bCs/>
          <w:sz w:val="36"/>
          <w:szCs w:val="36"/>
        </w:rPr>
        <w:br w:type="page"/>
      </w:r>
    </w:p>
    <w:p>
      <w:pPr>
        <w:adjustRightInd w:val="0"/>
        <w:snapToGrid w:val="0"/>
        <w:spacing w:line="360" w:lineRule="auto"/>
        <w:jc w:val="center"/>
        <w:outlineLvl w:val="1"/>
        <w:rPr>
          <w:rFonts w:hint="eastAsia" w:ascii="宋体" w:hAnsi="宋体" w:eastAsia="宋体" w:cs="宋体"/>
          <w:b/>
          <w:bCs/>
          <w:sz w:val="28"/>
          <w:szCs w:val="28"/>
        </w:rPr>
      </w:pPr>
      <w:bookmarkStart w:id="73" w:name="_Toc26815"/>
      <w:r>
        <w:rPr>
          <w:rFonts w:hint="eastAsia" w:ascii="宋体" w:hAnsi="宋体" w:eastAsia="宋体" w:cs="宋体"/>
          <w:b/>
          <w:bCs/>
          <w:sz w:val="28"/>
          <w:szCs w:val="28"/>
        </w:rPr>
        <w:t>格式2  投标函</w:t>
      </w:r>
      <w:bookmarkEnd w:id="73"/>
    </w:p>
    <w:p>
      <w:pPr>
        <w:spacing w:line="360" w:lineRule="auto"/>
        <w:rPr>
          <w:rFonts w:hint="eastAsia" w:ascii="宋体" w:hAnsi="宋体" w:eastAsia="宋体" w:cs="宋体"/>
        </w:rPr>
      </w:pPr>
      <w:r>
        <w:rPr>
          <w:rFonts w:hint="eastAsia" w:ascii="宋体" w:hAnsi="宋体" w:eastAsia="宋体" w:cs="宋体"/>
        </w:rPr>
        <w:t>致________（采购人或采购代理机构）：</w:t>
      </w:r>
    </w:p>
    <w:p>
      <w:pPr>
        <w:spacing w:line="360" w:lineRule="auto"/>
        <w:ind w:firstLine="420" w:firstLineChars="200"/>
        <w:rPr>
          <w:rFonts w:hint="eastAsia" w:ascii="宋体" w:hAnsi="宋体" w:eastAsia="宋体" w:cs="宋体"/>
        </w:rPr>
      </w:pPr>
      <w:r>
        <w:rPr>
          <w:rFonts w:hint="eastAsia" w:ascii="宋体" w:hAnsi="宋体" w:eastAsia="宋体" w:cs="宋体"/>
        </w:rPr>
        <w:t>根据______（项目名称）（项目编号：______）的招标公告，______（姓名、职务）代表投标人______（投标人名称、地址）参加项目招标的有关活动。据此函，作如下承诺：</w:t>
      </w:r>
    </w:p>
    <w:p>
      <w:pPr>
        <w:spacing w:line="360" w:lineRule="auto"/>
        <w:ind w:firstLine="420" w:firstLineChars="200"/>
        <w:rPr>
          <w:rFonts w:hint="eastAsia" w:ascii="宋体" w:hAnsi="宋体" w:eastAsia="宋体" w:cs="宋体"/>
        </w:rPr>
      </w:pPr>
      <w:r>
        <w:rPr>
          <w:rFonts w:hint="eastAsia" w:ascii="宋体" w:hAnsi="宋体" w:eastAsia="宋体" w:cs="宋体"/>
        </w:rPr>
        <w:t>1.同意在本项目招标文件中规定的开标日起    天遵守本投标文件中的承诺，且在期满之前均具有约束力。</w:t>
      </w:r>
    </w:p>
    <w:p>
      <w:pPr>
        <w:spacing w:line="360" w:lineRule="auto"/>
        <w:ind w:firstLine="420" w:firstLineChars="200"/>
        <w:rPr>
          <w:rFonts w:hint="eastAsia" w:ascii="宋体" w:hAnsi="宋体" w:eastAsia="宋体" w:cs="宋体"/>
        </w:rPr>
      </w:pPr>
      <w:r>
        <w:rPr>
          <w:rFonts w:hint="eastAsia" w:ascii="宋体" w:hAnsi="宋体" w:eastAsia="宋体" w:cs="宋体"/>
        </w:rPr>
        <w:t>2.具备政府采购相关法律法规规定的参加政府采购活动的供应商应当具备的条件：</w:t>
      </w:r>
    </w:p>
    <w:p>
      <w:pPr>
        <w:spacing w:line="360" w:lineRule="auto"/>
        <w:ind w:firstLine="420" w:firstLineChars="200"/>
        <w:rPr>
          <w:rFonts w:hint="eastAsia" w:ascii="宋体" w:hAnsi="宋体" w:eastAsia="宋体" w:cs="宋体"/>
        </w:rPr>
      </w:pPr>
      <w:r>
        <w:rPr>
          <w:rFonts w:hint="eastAsia" w:ascii="宋体" w:hAnsi="宋体" w:eastAsia="宋体" w:cs="宋体"/>
        </w:rPr>
        <w:t>（1）具有独立承担民事责任的能力；</w:t>
      </w:r>
    </w:p>
    <w:p>
      <w:pPr>
        <w:spacing w:line="360" w:lineRule="auto"/>
        <w:ind w:firstLine="420" w:firstLineChars="200"/>
        <w:rPr>
          <w:rFonts w:hint="eastAsia" w:ascii="宋体" w:hAnsi="宋体" w:eastAsia="宋体" w:cs="宋体"/>
        </w:rPr>
      </w:pPr>
      <w:r>
        <w:rPr>
          <w:rFonts w:hint="eastAsia" w:ascii="宋体" w:hAnsi="宋体" w:eastAsia="宋体" w:cs="宋体"/>
        </w:rPr>
        <w:t>（2）具有良好的商业信誉和健全的财务会计制度；</w:t>
      </w:r>
    </w:p>
    <w:p>
      <w:pPr>
        <w:spacing w:line="360" w:lineRule="auto"/>
        <w:ind w:firstLine="420" w:firstLineChars="200"/>
        <w:rPr>
          <w:rFonts w:hint="eastAsia" w:ascii="宋体" w:hAnsi="宋体" w:eastAsia="宋体" w:cs="宋体"/>
        </w:rPr>
      </w:pPr>
      <w:r>
        <w:rPr>
          <w:rFonts w:hint="eastAsia" w:ascii="宋体" w:hAnsi="宋体" w:eastAsia="宋体" w:cs="宋体"/>
        </w:rPr>
        <w:t>（3）具有履行合同所必需的设备和专业技术能力；</w:t>
      </w:r>
    </w:p>
    <w:p>
      <w:pPr>
        <w:spacing w:line="360" w:lineRule="auto"/>
        <w:ind w:firstLine="420" w:firstLineChars="200"/>
        <w:rPr>
          <w:rFonts w:hint="eastAsia" w:ascii="宋体" w:hAnsi="宋体" w:eastAsia="宋体" w:cs="宋体"/>
        </w:rPr>
      </w:pPr>
      <w:r>
        <w:rPr>
          <w:rFonts w:hint="eastAsia" w:ascii="宋体" w:hAnsi="宋体" w:eastAsia="宋体" w:cs="宋体"/>
        </w:rPr>
        <w:t>（4）有依法缴纳税收和社会保障资金的良好记录；</w:t>
      </w:r>
    </w:p>
    <w:p>
      <w:pPr>
        <w:spacing w:line="360" w:lineRule="auto"/>
        <w:ind w:firstLine="420" w:firstLineChars="200"/>
        <w:rPr>
          <w:rFonts w:hint="eastAsia" w:ascii="宋体" w:hAnsi="宋体" w:eastAsia="宋体" w:cs="宋体"/>
        </w:rPr>
      </w:pPr>
      <w:r>
        <w:rPr>
          <w:rFonts w:hint="eastAsia" w:ascii="宋体" w:hAnsi="宋体" w:eastAsia="宋体" w:cs="宋体"/>
        </w:rPr>
        <w:t>（5）参加此项采购活动前三年内，在经营活动中没有重大违法记录。</w:t>
      </w:r>
    </w:p>
    <w:p>
      <w:pPr>
        <w:spacing w:line="360" w:lineRule="auto"/>
        <w:ind w:firstLine="420" w:firstLineChars="200"/>
        <w:outlineLvl w:val="9"/>
        <w:rPr>
          <w:rFonts w:hint="eastAsia" w:ascii="宋体" w:hAnsi="宋体" w:eastAsia="宋体" w:cs="宋体"/>
        </w:rPr>
      </w:pPr>
      <w:r>
        <w:rPr>
          <w:rFonts w:hint="eastAsia" w:ascii="宋体" w:hAnsi="宋体" w:eastAsia="宋体" w:cs="宋体"/>
        </w:rPr>
        <w:t xml:space="preserve">（6）法律、行政法规规定的其他条件。 </w:t>
      </w:r>
    </w:p>
    <w:p>
      <w:pPr>
        <w:spacing w:line="360" w:lineRule="auto"/>
        <w:ind w:firstLine="420" w:firstLineChars="200"/>
        <w:rPr>
          <w:rFonts w:hint="eastAsia" w:ascii="宋体" w:hAnsi="宋体" w:eastAsia="宋体" w:cs="宋体"/>
        </w:rPr>
      </w:pPr>
      <w:r>
        <w:rPr>
          <w:rFonts w:hint="eastAsia" w:ascii="宋体" w:hAnsi="宋体" w:eastAsia="宋体" w:cs="宋体"/>
        </w:rPr>
        <w:t>3.具备本项目招标文件中规定的其他要求和资质条件。</w:t>
      </w:r>
    </w:p>
    <w:p>
      <w:pPr>
        <w:spacing w:line="360" w:lineRule="auto"/>
        <w:ind w:firstLine="420" w:firstLineChars="200"/>
        <w:rPr>
          <w:rFonts w:hint="eastAsia" w:ascii="宋体" w:hAnsi="宋体" w:eastAsia="宋体" w:cs="宋体"/>
        </w:rPr>
      </w:pPr>
      <w:r>
        <w:rPr>
          <w:rFonts w:hint="eastAsia" w:ascii="宋体" w:hAnsi="宋体" w:eastAsia="宋体" w:cs="宋体"/>
        </w:rPr>
        <w:t>4.提供投标人须知规定的全部投标文件。</w:t>
      </w:r>
    </w:p>
    <w:p>
      <w:pPr>
        <w:spacing w:line="360" w:lineRule="auto"/>
        <w:ind w:firstLine="420" w:firstLineChars="200"/>
        <w:rPr>
          <w:rFonts w:hint="eastAsia" w:ascii="宋体" w:hAnsi="宋体" w:eastAsia="宋体" w:cs="宋体"/>
        </w:rPr>
      </w:pPr>
      <w:r>
        <w:rPr>
          <w:rFonts w:hint="eastAsia" w:ascii="宋体" w:hAnsi="宋体" w:eastAsia="宋体" w:cs="宋体"/>
        </w:rPr>
        <w:t>5.已详细审阅全部招标文件（包括招标文件澄清函），理解投标人须知的所有条款。</w:t>
      </w:r>
    </w:p>
    <w:p>
      <w:pPr>
        <w:spacing w:line="360" w:lineRule="auto"/>
        <w:ind w:firstLine="420" w:firstLineChars="200"/>
        <w:outlineLvl w:val="9"/>
        <w:rPr>
          <w:rFonts w:hint="eastAsia" w:ascii="宋体" w:hAnsi="宋体" w:eastAsia="宋体" w:cs="宋体"/>
        </w:rPr>
      </w:pPr>
      <w:r>
        <w:rPr>
          <w:rFonts w:hint="eastAsia" w:ascii="宋体" w:hAnsi="宋体" w:eastAsia="宋体" w:cs="宋体"/>
        </w:rPr>
        <w:t>6.完全理解贵方“最低报价不能作为中标的保证”的规定。</w:t>
      </w:r>
    </w:p>
    <w:p>
      <w:pPr>
        <w:spacing w:line="360" w:lineRule="auto"/>
        <w:ind w:firstLine="420" w:firstLineChars="200"/>
        <w:rPr>
          <w:rFonts w:hint="eastAsia" w:ascii="宋体" w:hAnsi="宋体" w:eastAsia="宋体" w:cs="宋体"/>
        </w:rPr>
      </w:pPr>
      <w:r>
        <w:rPr>
          <w:rFonts w:hint="eastAsia" w:ascii="宋体" w:hAnsi="宋体" w:eastAsia="宋体" w:cs="宋体"/>
        </w:rPr>
        <w:t>7.接受招标文件中全部合同条款，且无任何异议；保证忠实地执行双方所签订的合同，并承担合同规定的责任和义务。</w:t>
      </w:r>
    </w:p>
    <w:p>
      <w:pPr>
        <w:spacing w:line="360" w:lineRule="auto"/>
        <w:ind w:firstLine="420" w:firstLineChars="200"/>
        <w:rPr>
          <w:rFonts w:hint="eastAsia" w:ascii="宋体" w:hAnsi="宋体" w:eastAsia="宋体" w:cs="宋体"/>
        </w:rPr>
      </w:pPr>
      <w:r>
        <w:rPr>
          <w:rFonts w:hint="eastAsia" w:ascii="宋体" w:hAnsi="宋体" w:eastAsia="宋体" w:cs="宋体"/>
        </w:rPr>
        <w:t>8.完全满足和响应招标文件中的各项商务和技术要求，若有偏差，已在投标文件中明确说明。</w:t>
      </w:r>
    </w:p>
    <w:p>
      <w:pPr>
        <w:spacing w:line="360" w:lineRule="auto"/>
        <w:ind w:firstLine="420" w:firstLineChars="200"/>
        <w:rPr>
          <w:rFonts w:hint="eastAsia" w:ascii="宋体" w:hAnsi="宋体" w:eastAsia="宋体" w:cs="宋体"/>
        </w:rPr>
      </w:pPr>
      <w:r>
        <w:rPr>
          <w:rFonts w:hint="eastAsia" w:ascii="宋体" w:hAnsi="宋体" w:eastAsia="宋体" w:cs="宋体"/>
        </w:rPr>
        <w:t>9.愿意提供任何与投标有关的数据、情况和技术资料等。若贵方需要，愿意提供一切证明材料。</w:t>
      </w:r>
    </w:p>
    <w:p>
      <w:pPr>
        <w:spacing w:line="360" w:lineRule="auto"/>
        <w:ind w:firstLine="420" w:firstLineChars="200"/>
        <w:rPr>
          <w:rFonts w:hint="eastAsia" w:ascii="宋体" w:hAnsi="宋体" w:eastAsia="宋体" w:cs="宋体"/>
        </w:rPr>
      </w:pPr>
      <w:r>
        <w:rPr>
          <w:rFonts w:hint="eastAsia" w:ascii="宋体" w:hAnsi="宋体" w:eastAsia="宋体" w:cs="宋体"/>
        </w:rPr>
        <w:t>10.我方已详细审核全部投标文件、参考资料及有关附件，确认无误。</w:t>
      </w:r>
    </w:p>
    <w:p>
      <w:pPr>
        <w:spacing w:line="360" w:lineRule="auto"/>
        <w:ind w:firstLine="420" w:firstLineChars="200"/>
        <w:rPr>
          <w:rFonts w:hint="eastAsia" w:ascii="宋体" w:hAnsi="宋体" w:eastAsia="宋体" w:cs="宋体"/>
        </w:rPr>
      </w:pPr>
      <w:r>
        <w:rPr>
          <w:rFonts w:hint="eastAsia" w:ascii="宋体" w:hAnsi="宋体" w:eastAsia="宋体" w:cs="宋体"/>
        </w:rPr>
        <w:t>11.对本次招标内容及与本项目有关的知识产权、技术资料、商业秘密及相关信息保密。</w:t>
      </w:r>
    </w:p>
    <w:p>
      <w:pPr>
        <w:spacing w:line="360" w:lineRule="auto"/>
        <w:ind w:firstLine="420" w:firstLineChars="200"/>
        <w:rPr>
          <w:rFonts w:hint="eastAsia" w:ascii="宋体" w:hAnsi="宋体" w:eastAsia="宋体" w:cs="宋体"/>
        </w:rPr>
      </w:pPr>
      <w:r>
        <w:rPr>
          <w:rFonts w:hint="eastAsia" w:ascii="宋体" w:hAnsi="宋体" w:eastAsia="宋体" w:cs="宋体"/>
        </w:rPr>
        <w:t>12.已知悉并承诺遵守《税务系统信息化服务商失信行为记录名单制度(试行) 》关于失信行为进行记录和结果应用的相关规定，及对于违反网络安全规定行为造成不良后果、“围猎”税务人员、违法违规聘用离职税务人员、国家税务总局发票电子化改革领导小组办公室认定的失信行为，3年内限制参加税务系统政府采购活动的相关规定。</w:t>
      </w: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r>
        <w:rPr>
          <w:rFonts w:hint="eastAsia" w:ascii="宋体" w:hAnsi="宋体" w:eastAsia="宋体" w:cs="宋体"/>
        </w:rPr>
        <w:t>投标人名称（公章）：____________</w:t>
      </w:r>
    </w:p>
    <w:p>
      <w:pPr>
        <w:spacing w:line="360" w:lineRule="auto"/>
        <w:ind w:firstLine="420" w:firstLineChars="200"/>
        <w:rPr>
          <w:rFonts w:hint="eastAsia" w:ascii="宋体" w:hAnsi="宋体" w:eastAsia="宋体" w:cs="宋体"/>
        </w:rPr>
      </w:pPr>
      <w:r>
        <w:rPr>
          <w:rFonts w:hint="eastAsia" w:ascii="宋体" w:hAnsi="宋体" w:eastAsia="宋体" w:cs="宋体"/>
        </w:rPr>
        <w:t>法定代表人（签字或签章）/被授权投标代表（签字）：____________</w:t>
      </w:r>
    </w:p>
    <w:p>
      <w:pPr>
        <w:spacing w:line="360" w:lineRule="auto"/>
        <w:ind w:firstLine="420" w:firstLineChars="200"/>
        <w:rPr>
          <w:rFonts w:hint="eastAsia" w:ascii="宋体" w:hAnsi="宋体" w:eastAsia="宋体" w:cs="宋体"/>
        </w:rPr>
      </w:pPr>
      <w:r>
        <w:rPr>
          <w:rFonts w:hint="eastAsia" w:ascii="宋体" w:hAnsi="宋体" w:eastAsia="宋体" w:cs="宋体"/>
        </w:rPr>
        <w:t>投标人地址：____________</w:t>
      </w:r>
    </w:p>
    <w:p>
      <w:pPr>
        <w:spacing w:line="360" w:lineRule="auto"/>
        <w:ind w:firstLine="420" w:firstLineChars="200"/>
        <w:rPr>
          <w:rFonts w:hint="eastAsia" w:ascii="宋体" w:hAnsi="宋体" w:eastAsia="宋体" w:cs="宋体"/>
        </w:rPr>
      </w:pPr>
      <w:r>
        <w:rPr>
          <w:rFonts w:hint="eastAsia" w:ascii="宋体" w:hAnsi="宋体" w:eastAsia="宋体" w:cs="宋体"/>
        </w:rPr>
        <w:t>邮编：____________</w:t>
      </w:r>
    </w:p>
    <w:p>
      <w:pPr>
        <w:spacing w:line="360" w:lineRule="auto"/>
        <w:ind w:firstLine="420" w:firstLineChars="200"/>
        <w:rPr>
          <w:rFonts w:hint="eastAsia" w:ascii="宋体" w:hAnsi="宋体" w:eastAsia="宋体" w:cs="宋体"/>
        </w:rPr>
      </w:pPr>
      <w:r>
        <w:rPr>
          <w:rFonts w:hint="eastAsia" w:ascii="宋体" w:hAnsi="宋体" w:eastAsia="宋体" w:cs="宋体"/>
        </w:rPr>
        <w:t>电话：____________</w:t>
      </w:r>
    </w:p>
    <w:p>
      <w:pPr>
        <w:spacing w:line="360" w:lineRule="auto"/>
        <w:ind w:firstLine="420" w:firstLineChars="200"/>
        <w:rPr>
          <w:rFonts w:hint="eastAsia" w:ascii="宋体" w:hAnsi="宋体" w:eastAsia="宋体" w:cs="宋体"/>
        </w:rPr>
      </w:pPr>
      <w:r>
        <w:rPr>
          <w:rFonts w:hint="eastAsia" w:ascii="宋体" w:hAnsi="宋体" w:eastAsia="宋体" w:cs="宋体"/>
        </w:rPr>
        <w:t>传真：____________</w:t>
      </w:r>
    </w:p>
    <w:p>
      <w:pPr>
        <w:spacing w:line="360" w:lineRule="auto"/>
        <w:ind w:firstLine="420" w:firstLineChars="200"/>
        <w:rPr>
          <w:rFonts w:hint="eastAsia" w:ascii="宋体" w:hAnsi="宋体" w:eastAsia="宋体" w:cs="宋体"/>
        </w:rPr>
      </w:pPr>
      <w:r>
        <w:rPr>
          <w:rFonts w:hint="eastAsia" w:ascii="宋体" w:hAnsi="宋体" w:eastAsia="宋体" w:cs="宋体"/>
        </w:rPr>
        <w:t>日  期：____________</w:t>
      </w:r>
    </w:p>
    <w:p>
      <w:pPr>
        <w:spacing w:line="360" w:lineRule="auto"/>
        <w:ind w:firstLine="420" w:firstLineChars="200"/>
        <w:rPr>
          <w:rFonts w:hint="eastAsia" w:ascii="宋体" w:hAnsi="宋体" w:eastAsia="宋体" w:cs="宋体"/>
        </w:rPr>
      </w:pPr>
    </w:p>
    <w:p>
      <w:pPr>
        <w:spacing w:line="360" w:lineRule="auto"/>
        <w:ind w:firstLine="480" w:firstLineChars="200"/>
        <w:rPr>
          <w:rFonts w:hint="eastAsia" w:ascii="宋体" w:hAnsi="宋体" w:eastAsia="宋体" w:cs="宋体"/>
          <w:sz w:val="24"/>
        </w:rPr>
      </w:pPr>
    </w:p>
    <w:p>
      <w:pPr>
        <w:adjustRightInd w:val="0"/>
        <w:snapToGrid w:val="0"/>
        <w:spacing w:line="360" w:lineRule="auto"/>
        <w:rPr>
          <w:rFonts w:hint="eastAsia" w:ascii="宋体" w:hAnsi="宋体" w:eastAsia="宋体" w:cs="宋体"/>
        </w:rPr>
      </w:pPr>
      <w:r>
        <w:rPr>
          <w:rFonts w:hint="eastAsia" w:ascii="宋体" w:hAnsi="宋体" w:eastAsia="宋体" w:cs="宋体"/>
        </w:rPr>
        <w:t>特别说明：</w:t>
      </w:r>
    </w:p>
    <w:p>
      <w:pPr>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投标人应当按上述格式要求加盖与投标人名称全称一致的标准公章，并签署法定代表人或</w:t>
      </w:r>
      <w:r>
        <w:rPr>
          <w:rFonts w:hint="eastAsia" w:ascii="宋体" w:hAnsi="宋体" w:eastAsia="宋体" w:cs="宋体"/>
          <w:bCs/>
          <w:szCs w:val="21"/>
        </w:rPr>
        <w:t>被授权投标代表</w:t>
      </w:r>
      <w:r>
        <w:rPr>
          <w:rFonts w:hint="eastAsia" w:ascii="宋体" w:hAnsi="宋体" w:eastAsia="宋体" w:cs="宋体"/>
          <w:szCs w:val="21"/>
        </w:rPr>
        <w:t>的全名或加盖名章，线上采购项目应上传扫描件。</w:t>
      </w:r>
    </w:p>
    <w:p>
      <w:pPr>
        <w:adjustRightInd w:val="0"/>
        <w:snapToGrid w:val="0"/>
        <w:spacing w:line="360" w:lineRule="auto"/>
        <w:jc w:val="center"/>
        <w:outlineLvl w:val="1"/>
        <w:rPr>
          <w:rFonts w:hint="eastAsia" w:ascii="宋体" w:hAnsi="宋体" w:eastAsia="宋体" w:cs="宋体"/>
          <w:b/>
          <w:bCs/>
          <w:sz w:val="28"/>
          <w:szCs w:val="28"/>
        </w:rPr>
      </w:pPr>
      <w:r>
        <w:rPr>
          <w:rFonts w:hint="eastAsia" w:ascii="宋体" w:hAnsi="宋体" w:eastAsia="宋体" w:cs="宋体"/>
          <w:b/>
          <w:bCs/>
          <w:sz w:val="28"/>
          <w:szCs w:val="28"/>
        </w:rPr>
        <w:br w:type="page"/>
      </w:r>
      <w:bookmarkStart w:id="74" w:name="_Toc12219"/>
      <w:bookmarkStart w:id="75" w:name="_Toc8860"/>
      <w:bookmarkStart w:id="76" w:name="_Toc18153"/>
      <w:r>
        <w:rPr>
          <w:rFonts w:hint="eastAsia" w:ascii="宋体" w:hAnsi="宋体" w:eastAsia="宋体" w:cs="宋体"/>
          <w:b/>
          <w:bCs/>
          <w:sz w:val="28"/>
          <w:szCs w:val="28"/>
        </w:rPr>
        <w:t>格式3  投标报价表</w:t>
      </w:r>
      <w:bookmarkEnd w:id="74"/>
    </w:p>
    <w:bookmarkEnd w:id="75"/>
    <w:bookmarkEnd w:id="76"/>
    <w:p>
      <w:pPr>
        <w:tabs>
          <w:tab w:val="left" w:pos="1230"/>
        </w:tabs>
        <w:topLinePunct/>
        <w:autoSpaceDE w:val="0"/>
        <w:autoSpaceDN w:val="0"/>
        <w:adjustRightInd w:val="0"/>
        <w:snapToGrid w:val="0"/>
        <w:spacing w:line="360" w:lineRule="auto"/>
        <w:jc w:val="center"/>
        <w:outlineLvl w:val="2"/>
        <w:rPr>
          <w:rFonts w:hint="eastAsia" w:ascii="宋体" w:hAnsi="宋体" w:eastAsia="宋体" w:cs="宋体"/>
          <w:b/>
          <w:bCs/>
          <w:sz w:val="28"/>
          <w:szCs w:val="28"/>
        </w:rPr>
      </w:pPr>
      <w:bookmarkStart w:id="77" w:name="_Toc16717"/>
      <w:r>
        <w:rPr>
          <w:rFonts w:hint="eastAsia" w:ascii="宋体" w:hAnsi="宋体" w:eastAsia="宋体" w:cs="宋体"/>
          <w:b/>
          <w:bCs/>
          <w:sz w:val="28"/>
          <w:szCs w:val="28"/>
        </w:rPr>
        <w:t>1.开标一览表（总报价表）</w:t>
      </w:r>
      <w:bookmarkEnd w:id="77"/>
    </w:p>
    <w:p>
      <w:pPr>
        <w:pStyle w:val="18"/>
        <w:topLinePunct/>
        <w:autoSpaceDE w:val="0"/>
        <w:autoSpaceDN w:val="0"/>
        <w:adjustRightInd w:val="0"/>
        <w:snapToGrid w:val="0"/>
        <w:spacing w:line="360" w:lineRule="auto"/>
        <w:ind w:left="2"/>
        <w:jc w:val="center"/>
        <w:outlineLvl w:val="9"/>
        <w:rPr>
          <w:rFonts w:hint="eastAsia" w:ascii="宋体" w:hAnsi="宋体" w:eastAsia="宋体" w:cs="宋体"/>
          <w:b/>
          <w:bCs/>
          <w:kern w:val="2"/>
          <w:sz w:val="28"/>
          <w:szCs w:val="28"/>
          <w:lang w:val="en-US" w:eastAsia="zh-CN" w:bidi="ar-SA"/>
        </w:rPr>
      </w:pPr>
    </w:p>
    <w:p>
      <w:pPr>
        <w:topLinePunct/>
        <w:autoSpaceDE w:val="0"/>
        <w:autoSpaceDN w:val="0"/>
        <w:adjustRightInd w:val="0"/>
        <w:snapToGrid w:val="0"/>
        <w:spacing w:line="360" w:lineRule="auto"/>
        <w:jc w:val="left"/>
        <w:rPr>
          <w:rFonts w:hint="eastAsia" w:ascii="宋体" w:hAnsi="宋体" w:eastAsia="宋体" w:cs="宋体"/>
        </w:rPr>
      </w:pPr>
      <w:r>
        <w:rPr>
          <w:rFonts w:hint="eastAsia" w:ascii="宋体" w:hAnsi="宋体" w:eastAsia="宋体" w:cs="宋体"/>
        </w:rPr>
        <w:t>项目名称：</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rPr>
        <w:t xml:space="preserve"> </w:t>
      </w:r>
    </w:p>
    <w:p>
      <w:pPr>
        <w:adjustRightInd w:val="0"/>
        <w:snapToGrid w:val="0"/>
        <w:spacing w:line="360" w:lineRule="auto"/>
        <w:ind w:right="840"/>
        <w:rPr>
          <w:rFonts w:hint="eastAsia" w:ascii="宋体" w:hAnsi="宋体" w:eastAsia="宋体" w:cs="宋体"/>
          <w:bCs/>
          <w:w w:val="150"/>
          <w:szCs w:val="21"/>
        </w:rPr>
      </w:pPr>
      <w:r>
        <w:rPr>
          <w:rFonts w:hint="eastAsia" w:ascii="宋体" w:hAnsi="宋体" w:eastAsia="宋体" w:cs="宋体"/>
        </w:rPr>
        <w:t>采购包号：</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价格单位：人民币   元</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851"/>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noWrap w:val="0"/>
            <w:vAlign w:val="center"/>
          </w:tcPr>
          <w:p>
            <w:pPr>
              <w:pStyle w:val="18"/>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4443" w:type="pct"/>
            <w:gridSpan w:val="2"/>
            <w:noWrap w:val="0"/>
            <w:vAlign w:val="center"/>
          </w:tcPr>
          <w:p>
            <w:pPr>
              <w:pStyle w:val="18"/>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noWrap w:val="0"/>
            <w:vAlign w:val="center"/>
          </w:tcPr>
          <w:p>
            <w:pPr>
              <w:pStyle w:val="18"/>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074" w:type="pct"/>
            <w:noWrap w:val="0"/>
            <w:vAlign w:val="center"/>
          </w:tcPr>
          <w:p>
            <w:pPr>
              <w:pStyle w:val="18"/>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采购包</w:t>
            </w:r>
            <w:r>
              <w:rPr>
                <w:rFonts w:hint="eastAsia" w:ascii="宋体" w:hAnsi="宋体" w:eastAsia="宋体" w:cs="宋体"/>
                <w:sz w:val="21"/>
                <w:szCs w:val="21"/>
              </w:rPr>
              <w:t>号</w:t>
            </w:r>
          </w:p>
        </w:tc>
        <w:tc>
          <w:tcPr>
            <w:tcW w:w="3369" w:type="pct"/>
            <w:noWrap w:val="0"/>
            <w:vAlign w:val="center"/>
          </w:tcPr>
          <w:p>
            <w:pPr>
              <w:pStyle w:val="18"/>
              <w:spacing w:line="360" w:lineRule="auto"/>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noWrap w:val="0"/>
            <w:vAlign w:val="center"/>
          </w:tcPr>
          <w:p>
            <w:pPr>
              <w:pStyle w:val="18"/>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074" w:type="pct"/>
            <w:noWrap w:val="0"/>
            <w:vAlign w:val="center"/>
          </w:tcPr>
          <w:p>
            <w:pPr>
              <w:pStyle w:val="18"/>
              <w:spacing w:line="360" w:lineRule="auto"/>
              <w:jc w:val="center"/>
              <w:rPr>
                <w:rFonts w:hint="eastAsia" w:ascii="宋体" w:hAnsi="宋体" w:eastAsia="宋体" w:cs="宋体"/>
                <w:sz w:val="21"/>
                <w:szCs w:val="21"/>
              </w:rPr>
            </w:pPr>
            <w:r>
              <w:rPr>
                <w:rFonts w:hint="eastAsia" w:ascii="宋体" w:hAnsi="宋体" w:eastAsia="宋体" w:cs="宋体"/>
                <w:sz w:val="21"/>
                <w:szCs w:val="21"/>
              </w:rPr>
              <w:t>总报价人民币</w:t>
            </w:r>
          </w:p>
        </w:tc>
        <w:tc>
          <w:tcPr>
            <w:tcW w:w="3369" w:type="pct"/>
            <w:noWrap w:val="0"/>
            <w:vAlign w:val="center"/>
          </w:tcPr>
          <w:p>
            <w:pPr>
              <w:pStyle w:val="18"/>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大写：人民币______元</w:t>
            </w:r>
          </w:p>
          <w:p>
            <w:pPr>
              <w:pStyle w:val="18"/>
              <w:spacing w:line="360" w:lineRule="auto"/>
              <w:jc w:val="left"/>
              <w:rPr>
                <w:rFonts w:hint="eastAsia" w:ascii="宋体" w:hAnsi="宋体" w:eastAsia="宋体" w:cs="宋体"/>
                <w:sz w:val="21"/>
                <w:szCs w:val="21"/>
              </w:rPr>
            </w:pPr>
            <w:r>
              <w:rPr>
                <w:rFonts w:hint="eastAsia" w:ascii="宋体" w:hAnsi="宋体" w:eastAsia="宋体" w:cs="宋体"/>
                <w:sz w:val="21"/>
                <w:szCs w:val="21"/>
              </w:rPr>
              <w:t>小写：￥______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noWrap w:val="0"/>
            <w:vAlign w:val="center"/>
          </w:tcPr>
          <w:p>
            <w:pPr>
              <w:pStyle w:val="1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1074" w:type="pct"/>
            <w:noWrap w:val="0"/>
            <w:vAlign w:val="center"/>
          </w:tcPr>
          <w:p>
            <w:pPr>
              <w:pStyle w:val="18"/>
              <w:spacing w:line="360" w:lineRule="auto"/>
              <w:jc w:val="center"/>
              <w:rPr>
                <w:rFonts w:hint="eastAsia" w:ascii="宋体" w:hAnsi="宋体" w:eastAsia="宋体" w:cs="宋体"/>
                <w:sz w:val="21"/>
                <w:szCs w:val="21"/>
              </w:rPr>
            </w:pPr>
            <w:r>
              <w:rPr>
                <w:rFonts w:hint="eastAsia" w:ascii="宋体" w:hAnsi="宋体" w:eastAsia="宋体" w:cs="宋体"/>
                <w:sz w:val="21"/>
                <w:szCs w:val="21"/>
              </w:rPr>
              <w:t>服务的时间</w:t>
            </w:r>
          </w:p>
        </w:tc>
        <w:tc>
          <w:tcPr>
            <w:tcW w:w="3369" w:type="pct"/>
            <w:noWrap w:val="0"/>
            <w:vAlign w:val="center"/>
          </w:tcPr>
          <w:p>
            <w:pPr>
              <w:pStyle w:val="18"/>
              <w:spacing w:line="36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服务期为合同生效之日起2年（一年一签）。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noWrap w:val="0"/>
            <w:vAlign w:val="center"/>
          </w:tcPr>
          <w:p>
            <w:pPr>
              <w:pStyle w:val="18"/>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1074" w:type="pct"/>
            <w:noWrap w:val="0"/>
            <w:vAlign w:val="center"/>
          </w:tcPr>
          <w:p>
            <w:pPr>
              <w:pStyle w:val="18"/>
              <w:spacing w:line="360" w:lineRule="auto"/>
              <w:jc w:val="center"/>
              <w:rPr>
                <w:rFonts w:hint="eastAsia" w:ascii="宋体" w:hAnsi="宋体" w:eastAsia="宋体" w:cs="宋体"/>
                <w:sz w:val="21"/>
                <w:szCs w:val="21"/>
              </w:rPr>
            </w:pPr>
            <w:r>
              <w:rPr>
                <w:rFonts w:hint="eastAsia" w:ascii="宋体" w:hAnsi="宋体" w:eastAsia="宋体" w:cs="宋体"/>
                <w:sz w:val="21"/>
                <w:szCs w:val="21"/>
              </w:rPr>
              <w:t>服务地点</w:t>
            </w:r>
          </w:p>
        </w:tc>
        <w:tc>
          <w:tcPr>
            <w:tcW w:w="3369" w:type="pct"/>
            <w:noWrap w:val="0"/>
            <w:vAlign w:val="center"/>
          </w:tcPr>
          <w:p>
            <w:pPr>
              <w:pStyle w:val="18"/>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福建省仙游县鲤南镇城南东路268号（县局机关）；福建省仙游县鲤南镇八二五南街535号（第一税务分局、第二税务分局、鲤南税务分局）；福建省仙游县园滨西路39号（鲤城税务分局）；福建省仙游县榜头镇上乾村永昌西路117号（榜头税务分局）；福建省仙游县郊尾镇朝阳街33号（郊尾税务分局）；福建省仙游县枫亭镇枫亭西路508号(枫亭税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noWrap w:val="0"/>
            <w:vAlign w:val="center"/>
          </w:tcPr>
          <w:p>
            <w:pPr>
              <w:pStyle w:val="18"/>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074" w:type="pct"/>
            <w:noWrap w:val="0"/>
            <w:vAlign w:val="center"/>
          </w:tcPr>
          <w:p>
            <w:pPr>
              <w:pStyle w:val="18"/>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3369" w:type="pct"/>
            <w:noWrap w:val="0"/>
            <w:vAlign w:val="center"/>
          </w:tcPr>
          <w:p>
            <w:pPr>
              <w:pStyle w:val="18"/>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noWrap w:val="0"/>
            <w:vAlign w:val="center"/>
          </w:tcPr>
          <w:p>
            <w:pPr>
              <w:pStyle w:val="18"/>
              <w:spacing w:line="360" w:lineRule="auto"/>
              <w:jc w:val="center"/>
              <w:rPr>
                <w:rFonts w:hint="eastAsia" w:ascii="宋体" w:hAnsi="宋体" w:eastAsia="宋体" w:cs="宋体"/>
                <w:sz w:val="21"/>
                <w:szCs w:val="21"/>
              </w:rPr>
            </w:pPr>
          </w:p>
        </w:tc>
        <w:tc>
          <w:tcPr>
            <w:tcW w:w="1074" w:type="pct"/>
            <w:noWrap w:val="0"/>
            <w:vAlign w:val="center"/>
          </w:tcPr>
          <w:p>
            <w:pPr>
              <w:pStyle w:val="18"/>
              <w:spacing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c>
          <w:tcPr>
            <w:tcW w:w="3369" w:type="pct"/>
            <w:noWrap w:val="0"/>
            <w:vAlign w:val="center"/>
          </w:tcPr>
          <w:p>
            <w:pPr>
              <w:pStyle w:val="18"/>
              <w:spacing w:line="360" w:lineRule="auto"/>
              <w:jc w:val="center"/>
              <w:rPr>
                <w:rFonts w:hint="eastAsia" w:ascii="宋体" w:hAnsi="宋体" w:eastAsia="宋体" w:cs="宋体"/>
                <w:sz w:val="21"/>
                <w:szCs w:val="21"/>
              </w:rPr>
            </w:pPr>
          </w:p>
        </w:tc>
      </w:tr>
    </w:tbl>
    <w:p>
      <w:pPr>
        <w:topLinePunct/>
        <w:autoSpaceDE w:val="0"/>
        <w:autoSpaceDN w:val="0"/>
        <w:spacing w:line="360" w:lineRule="auto"/>
        <w:ind w:firstLine="420" w:firstLineChars="0"/>
        <w:rPr>
          <w:rFonts w:hint="eastAsia" w:ascii="宋体" w:hAnsi="宋体" w:eastAsia="宋体" w:cs="宋体"/>
          <w:szCs w:val="21"/>
        </w:rPr>
      </w:pPr>
      <w:r>
        <w:rPr>
          <w:rFonts w:hint="eastAsia" w:ascii="宋体" w:hAnsi="宋体" w:eastAsia="宋体" w:cs="宋体"/>
          <w:szCs w:val="21"/>
        </w:rPr>
        <w:t>特别说明：</w:t>
      </w:r>
    </w:p>
    <w:p>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1.本项目总价及分项报价均不接受任何形式的赠送、“零”报价和折扣报价。</w:t>
      </w:r>
    </w:p>
    <w:p>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2.本项目执行中所发生的所有费用均计入投标报价中，采购人不再另行支付其他任何费用。</w:t>
      </w:r>
    </w:p>
    <w:p>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3.投标人应根据《招标文件-技术部分》相关要求填报。</w:t>
      </w:r>
    </w:p>
    <w:p>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4.如报价不一致，按照投标人须知“19.核价原则”进行修正。</w:t>
      </w:r>
    </w:p>
    <w:p>
      <w:pPr>
        <w:topLinePunct/>
        <w:autoSpaceDE w:val="0"/>
        <w:autoSpaceDN w:val="0"/>
        <w:adjustRightInd w:val="0"/>
        <w:snapToGrid w:val="0"/>
        <w:spacing w:line="360" w:lineRule="auto"/>
        <w:ind w:firstLine="525" w:firstLineChars="250"/>
        <w:jc w:val="left"/>
        <w:rPr>
          <w:rFonts w:hint="eastAsia" w:ascii="宋体" w:hAnsi="宋体" w:eastAsia="宋体" w:cs="宋体"/>
        </w:rPr>
      </w:pPr>
    </w:p>
    <w:p>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kern w:val="0"/>
          <w:szCs w:val="21"/>
        </w:rPr>
        <w:t>（全称并加盖公章</w:t>
      </w:r>
      <w:r>
        <w:rPr>
          <w:rFonts w:hint="eastAsia" w:ascii="宋体" w:hAnsi="宋体" w:eastAsia="宋体" w:cs="宋体"/>
          <w:szCs w:val="21"/>
        </w:rPr>
        <w:t>）：</w:t>
      </w:r>
      <w:r>
        <w:rPr>
          <w:rFonts w:hint="eastAsia" w:ascii="宋体" w:hAnsi="宋体" w:eastAsia="宋体" w:cs="宋体"/>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kern w:val="0"/>
          <w:szCs w:val="21"/>
        </w:rPr>
        <w:t>投标人代表（签字或盖章）</w:t>
      </w:r>
      <w:r>
        <w:rPr>
          <w:rFonts w:hint="eastAsia" w:ascii="宋体" w:hAnsi="宋体" w:eastAsia="宋体" w:cs="宋体"/>
          <w:szCs w:val="21"/>
        </w:rPr>
        <w:t>：</w:t>
      </w:r>
      <w:r>
        <w:rPr>
          <w:rFonts w:hint="eastAsia" w:ascii="宋体" w:hAnsi="宋体" w:eastAsia="宋体" w:cs="宋体"/>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hint="eastAsia" w:ascii="宋体" w:hAnsi="宋体" w:eastAsia="宋体" w:cs="宋体"/>
          <w:szCs w:val="21"/>
        </w:rPr>
      </w:pPr>
      <w:r>
        <w:rPr>
          <w:rFonts w:hint="eastAsia" w:ascii="宋体" w:hAnsi="宋体" w:eastAsia="宋体" w:cs="宋体"/>
          <w:szCs w:val="21"/>
        </w:rPr>
        <w:br w:type="page"/>
      </w:r>
    </w:p>
    <w:p>
      <w:pPr>
        <w:pStyle w:val="18"/>
        <w:spacing w:line="360" w:lineRule="auto"/>
        <w:ind w:firstLine="562" w:firstLineChars="200"/>
        <w:jc w:val="center"/>
        <w:outlineLvl w:val="2"/>
        <w:rPr>
          <w:rFonts w:hint="eastAsia" w:ascii="宋体" w:hAnsi="宋体" w:eastAsia="宋体" w:cs="宋体"/>
          <w:b/>
          <w:sz w:val="28"/>
        </w:rPr>
      </w:pPr>
      <w:bookmarkStart w:id="78" w:name="_Toc1468"/>
      <w:r>
        <w:rPr>
          <w:rFonts w:hint="eastAsia" w:ascii="宋体" w:hAnsi="宋体" w:eastAsia="宋体" w:cs="宋体"/>
          <w:b/>
          <w:sz w:val="28"/>
        </w:rPr>
        <w:t>2.分项报价表</w:t>
      </w:r>
      <w:bookmarkEnd w:id="78"/>
    </w:p>
    <w:p>
      <w:pPr>
        <w:pStyle w:val="18"/>
        <w:topLinePunct/>
        <w:autoSpaceDE w:val="0"/>
        <w:autoSpaceDN w:val="0"/>
        <w:adjustRightInd w:val="0"/>
        <w:snapToGrid w:val="0"/>
        <w:spacing w:line="360" w:lineRule="auto"/>
        <w:ind w:left="2"/>
        <w:jc w:val="center"/>
        <w:rPr>
          <w:rFonts w:hint="eastAsia" w:ascii="宋体" w:hAnsi="宋体" w:eastAsia="宋体" w:cs="宋体"/>
          <w:b/>
          <w:bCs/>
          <w:kern w:val="2"/>
          <w:sz w:val="21"/>
        </w:rPr>
      </w:pPr>
    </w:p>
    <w:p>
      <w:pPr>
        <w:topLinePunct/>
        <w:autoSpaceDE w:val="0"/>
        <w:autoSpaceDN w:val="0"/>
        <w:adjustRightInd w:val="0"/>
        <w:snapToGrid w:val="0"/>
        <w:spacing w:line="360" w:lineRule="auto"/>
        <w:jc w:val="left"/>
        <w:rPr>
          <w:rFonts w:hint="eastAsia" w:ascii="宋体" w:hAnsi="宋体" w:eastAsia="宋体" w:cs="宋体"/>
        </w:rPr>
      </w:pPr>
      <w:r>
        <w:rPr>
          <w:rFonts w:hint="eastAsia" w:ascii="宋体" w:hAnsi="宋体" w:eastAsia="宋体" w:cs="宋体"/>
        </w:rPr>
        <w:t>项目名称：</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rPr>
        <w:t xml:space="preserve"> </w:t>
      </w:r>
    </w:p>
    <w:p>
      <w:pPr>
        <w:adjustRightInd w:val="0"/>
        <w:snapToGrid w:val="0"/>
        <w:spacing w:line="360" w:lineRule="auto"/>
        <w:ind w:right="840"/>
        <w:rPr>
          <w:rFonts w:hint="eastAsia" w:ascii="宋体" w:hAnsi="宋体" w:eastAsia="宋体" w:cs="宋体"/>
          <w:bCs/>
          <w:w w:val="150"/>
          <w:szCs w:val="21"/>
        </w:rPr>
      </w:pPr>
      <w:r>
        <w:rPr>
          <w:rFonts w:hint="eastAsia" w:ascii="宋体" w:hAnsi="宋体" w:eastAsia="宋体" w:cs="宋体"/>
        </w:rPr>
        <w:t>采购包号：</w:t>
      </w:r>
      <w:r>
        <w:rPr>
          <w:rFonts w:hint="eastAsia" w:ascii="宋体" w:hAnsi="宋体" w:eastAsia="宋体" w:cs="宋体"/>
          <w:u w:val="single"/>
        </w:rPr>
        <w:t xml:space="preserve">         </w:t>
      </w:r>
      <w:r>
        <w:rPr>
          <w:rFonts w:hint="eastAsia" w:ascii="宋体" w:hAnsi="宋体" w:eastAsia="宋体" w:cs="宋体"/>
        </w:rPr>
        <w:t xml:space="preserve">                                     价格单位：人民币   元</w:t>
      </w:r>
    </w:p>
    <w:tbl>
      <w:tblPr>
        <w:tblStyle w:val="29"/>
        <w:tblW w:w="9181" w:type="dxa"/>
        <w:jc w:val="center"/>
        <w:tblLayout w:type="fixed"/>
        <w:tblCellMar>
          <w:top w:w="0" w:type="dxa"/>
          <w:left w:w="108" w:type="dxa"/>
          <w:bottom w:w="0" w:type="dxa"/>
          <w:right w:w="108" w:type="dxa"/>
        </w:tblCellMar>
      </w:tblPr>
      <w:tblGrid>
        <w:gridCol w:w="644"/>
        <w:gridCol w:w="1691"/>
        <w:gridCol w:w="2331"/>
        <w:gridCol w:w="1271"/>
        <w:gridCol w:w="1259"/>
        <w:gridCol w:w="1342"/>
        <w:gridCol w:w="643"/>
      </w:tblGrid>
      <w:tr>
        <w:tblPrEx>
          <w:tblCellMar>
            <w:top w:w="0" w:type="dxa"/>
            <w:left w:w="108" w:type="dxa"/>
            <w:bottom w:w="0" w:type="dxa"/>
            <w:right w:w="108" w:type="dxa"/>
          </w:tblCellMar>
        </w:tblPrEx>
        <w:trPr>
          <w:trHeight w:val="409"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
                <w:szCs w:val="21"/>
              </w:rPr>
            </w:pPr>
            <w:r>
              <w:rPr>
                <w:rFonts w:hint="eastAsia" w:ascii="宋体" w:hAnsi="宋体" w:eastAsia="宋体" w:cs="宋体"/>
                <w:b/>
                <w:szCs w:val="21"/>
              </w:rPr>
              <w:t>序号</w:t>
            </w:r>
          </w:p>
        </w:tc>
        <w:tc>
          <w:tcPr>
            <w:tcW w:w="1692" w:type="dxa"/>
            <w:tcBorders>
              <w:top w:val="single" w:color="auto" w:sz="4" w:space="0"/>
              <w:left w:val="nil"/>
              <w:bottom w:val="single" w:color="auto" w:sz="4" w:space="0"/>
              <w:right w:val="single" w:color="auto" w:sz="4" w:space="0"/>
            </w:tcBorders>
            <w:vAlign w:val="center"/>
          </w:tcPr>
          <w:p>
            <w:pPr>
              <w:widowControl/>
              <w:spacing w:line="360" w:lineRule="auto"/>
              <w:ind w:left="-84" w:leftChars="-40" w:firstLine="82" w:firstLineChars="39"/>
              <w:jc w:val="center"/>
              <w:rPr>
                <w:rFonts w:hint="eastAsia" w:ascii="宋体" w:hAnsi="宋体" w:eastAsia="宋体" w:cs="宋体"/>
                <w:b/>
                <w:szCs w:val="21"/>
              </w:rPr>
            </w:pPr>
            <w:r>
              <w:rPr>
                <w:rFonts w:hint="eastAsia" w:ascii="宋体" w:hAnsi="宋体" w:eastAsia="宋体" w:cs="宋体"/>
                <w:b/>
                <w:szCs w:val="21"/>
              </w:rPr>
              <w:t>项目名称</w:t>
            </w:r>
          </w:p>
        </w:tc>
        <w:tc>
          <w:tcPr>
            <w:tcW w:w="233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
                <w:szCs w:val="21"/>
              </w:rPr>
            </w:pPr>
            <w:r>
              <w:rPr>
                <w:rFonts w:hint="eastAsia" w:ascii="宋体" w:hAnsi="宋体" w:eastAsia="宋体" w:cs="宋体"/>
                <w:b/>
                <w:szCs w:val="21"/>
              </w:rPr>
              <w:t>内容描述</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
                <w:szCs w:val="21"/>
              </w:rPr>
            </w:pPr>
            <w:r>
              <w:rPr>
                <w:rFonts w:hint="eastAsia" w:ascii="宋体" w:hAnsi="宋体" w:eastAsia="宋体" w:cs="宋体"/>
                <w:b/>
                <w:szCs w:val="21"/>
              </w:rPr>
              <w:t>…费用</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
                <w:szCs w:val="21"/>
              </w:rPr>
            </w:pPr>
            <w:r>
              <w:rPr>
                <w:rFonts w:hint="eastAsia" w:ascii="宋体" w:hAnsi="宋体" w:eastAsia="宋体" w:cs="宋体"/>
                <w:b/>
                <w:szCs w:val="21"/>
              </w:rPr>
              <w:t>…费用</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
                <w:szCs w:val="21"/>
              </w:rPr>
            </w:pPr>
            <w:r>
              <w:rPr>
                <w:rFonts w:hint="eastAsia" w:ascii="宋体" w:hAnsi="宋体" w:eastAsia="宋体" w:cs="宋体"/>
                <w:b/>
                <w:szCs w:val="21"/>
              </w:rPr>
              <w:t>小计</w:t>
            </w:r>
          </w:p>
          <w:p>
            <w:pPr>
              <w:widowControl/>
              <w:spacing w:line="360" w:lineRule="auto"/>
              <w:jc w:val="center"/>
              <w:rPr>
                <w:rFonts w:hint="eastAsia" w:ascii="宋体" w:hAnsi="宋体" w:eastAsia="宋体" w:cs="宋体"/>
                <w:b/>
                <w:szCs w:val="21"/>
              </w:rPr>
            </w:pPr>
            <w:r>
              <w:rPr>
                <w:rFonts w:hint="eastAsia" w:ascii="宋体" w:hAnsi="宋体" w:eastAsia="宋体" w:cs="宋体"/>
                <w:b/>
                <w:szCs w:val="21"/>
              </w:rPr>
              <w:t>（元）</w:t>
            </w:r>
          </w:p>
        </w:tc>
        <w:tc>
          <w:tcPr>
            <w:tcW w:w="64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备注</w:t>
            </w:r>
          </w:p>
        </w:tc>
      </w:tr>
      <w:tr>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6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p>
        </w:tc>
        <w:tc>
          <w:tcPr>
            <w:tcW w:w="2332" w:type="dxa"/>
            <w:tcBorders>
              <w:top w:val="single" w:color="auto" w:sz="4" w:space="0"/>
              <w:left w:val="nil"/>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643"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r>
      <w:tr>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16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p>
        </w:tc>
        <w:tc>
          <w:tcPr>
            <w:tcW w:w="2332" w:type="dxa"/>
            <w:tcBorders>
              <w:top w:val="single" w:color="auto" w:sz="4" w:space="0"/>
              <w:left w:val="nil"/>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643"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r>
      <w:tr>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16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p>
        </w:tc>
        <w:tc>
          <w:tcPr>
            <w:tcW w:w="2332" w:type="dxa"/>
            <w:tcBorders>
              <w:top w:val="single" w:color="auto" w:sz="4" w:space="0"/>
              <w:left w:val="nil"/>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643"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r>
      <w:tr>
        <w:tblPrEx>
          <w:tblCellMar>
            <w:top w:w="0" w:type="dxa"/>
            <w:left w:w="108" w:type="dxa"/>
            <w:bottom w:w="0" w:type="dxa"/>
            <w:right w:w="108" w:type="dxa"/>
          </w:tblCellMar>
        </w:tblPrEx>
        <w:trPr>
          <w:trHeight w:val="608" w:hRule="atLeast"/>
          <w:tblHeader/>
          <w:jc w:val="center"/>
        </w:trPr>
        <w:tc>
          <w:tcPr>
            <w:tcW w:w="644" w:type="dxa"/>
            <w:tcBorders>
              <w:top w:val="nil"/>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1692"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p>
        </w:tc>
        <w:tc>
          <w:tcPr>
            <w:tcW w:w="2332" w:type="dxa"/>
            <w:tcBorders>
              <w:top w:val="nil"/>
              <w:left w:val="nil"/>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1267" w:type="dxa"/>
            <w:tcBorders>
              <w:top w:val="nil"/>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1260" w:type="dxa"/>
            <w:tcBorders>
              <w:top w:val="nil"/>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1343" w:type="dxa"/>
            <w:tcBorders>
              <w:top w:val="nil"/>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643" w:type="dxa"/>
            <w:tcBorders>
              <w:top w:val="nil"/>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r>
      <w:tr>
        <w:tblPrEx>
          <w:tblCellMar>
            <w:top w:w="0" w:type="dxa"/>
            <w:left w:w="108" w:type="dxa"/>
            <w:bottom w:w="0" w:type="dxa"/>
            <w:right w:w="108" w:type="dxa"/>
          </w:tblCellMar>
        </w:tblPrEx>
        <w:trPr>
          <w:trHeight w:val="616"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1692" w:type="dxa"/>
            <w:tcBorders>
              <w:top w:val="single" w:color="auto" w:sz="4" w:space="0"/>
              <w:left w:val="nil"/>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2332" w:type="dxa"/>
            <w:tcBorders>
              <w:top w:val="single" w:color="auto" w:sz="4" w:space="0"/>
              <w:left w:val="nil"/>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643"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r>
      <w:tr>
        <w:tblPrEx>
          <w:tblCellMar>
            <w:top w:w="0" w:type="dxa"/>
            <w:left w:w="108" w:type="dxa"/>
            <w:bottom w:w="0" w:type="dxa"/>
            <w:right w:w="108" w:type="dxa"/>
          </w:tblCellMar>
        </w:tblPrEx>
        <w:trPr>
          <w:trHeight w:val="610"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1692" w:type="dxa"/>
            <w:tcBorders>
              <w:top w:val="single" w:color="auto" w:sz="4" w:space="0"/>
              <w:left w:val="nil"/>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2332" w:type="dxa"/>
            <w:tcBorders>
              <w:top w:val="single" w:color="auto" w:sz="4" w:space="0"/>
              <w:left w:val="nil"/>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643"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r>
      <w:tr>
        <w:tblPrEx>
          <w:tblCellMar>
            <w:top w:w="0" w:type="dxa"/>
            <w:left w:w="108" w:type="dxa"/>
            <w:bottom w:w="0" w:type="dxa"/>
            <w:right w:w="108" w:type="dxa"/>
          </w:tblCellMar>
        </w:tblPrEx>
        <w:trPr>
          <w:trHeight w:val="610"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r>
              <w:rPr>
                <w:rFonts w:hint="eastAsia" w:ascii="宋体" w:hAnsi="宋体" w:eastAsia="宋体" w:cs="宋体"/>
                <w:szCs w:val="21"/>
              </w:rPr>
              <w:t>……</w:t>
            </w:r>
          </w:p>
        </w:tc>
        <w:tc>
          <w:tcPr>
            <w:tcW w:w="1692" w:type="dxa"/>
            <w:tcBorders>
              <w:top w:val="single" w:color="auto" w:sz="4" w:space="0"/>
              <w:left w:val="nil"/>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2332" w:type="dxa"/>
            <w:tcBorders>
              <w:top w:val="single" w:color="auto" w:sz="4" w:space="0"/>
              <w:left w:val="nil"/>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1267"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643"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r>
      <w:tr>
        <w:tblPrEx>
          <w:tblCellMar>
            <w:top w:w="0" w:type="dxa"/>
            <w:left w:w="108" w:type="dxa"/>
            <w:bottom w:w="0" w:type="dxa"/>
            <w:right w:w="108" w:type="dxa"/>
          </w:tblCellMar>
        </w:tblPrEx>
        <w:trPr>
          <w:trHeight w:val="610" w:hRule="atLeast"/>
          <w:tblHeader/>
          <w:jc w:val="center"/>
        </w:trPr>
        <w:tc>
          <w:tcPr>
            <w:tcW w:w="4668" w:type="dxa"/>
            <w:gridSpan w:val="3"/>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b/>
                <w:szCs w:val="21"/>
              </w:rPr>
            </w:pPr>
            <w:r>
              <w:rPr>
                <w:rFonts w:hint="eastAsia" w:ascii="宋体" w:hAnsi="宋体" w:eastAsia="宋体" w:cs="宋体"/>
                <w:b/>
                <w:szCs w:val="21"/>
              </w:rPr>
              <w:t>合   计</w:t>
            </w:r>
          </w:p>
        </w:tc>
        <w:tc>
          <w:tcPr>
            <w:tcW w:w="1272"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1255"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1343"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c>
          <w:tcPr>
            <w:tcW w:w="643" w:type="dxa"/>
            <w:tcBorders>
              <w:top w:val="single" w:color="auto" w:sz="4" w:space="0"/>
              <w:left w:val="single" w:color="auto" w:sz="4" w:space="0"/>
              <w:bottom w:val="single" w:color="auto" w:sz="4" w:space="0"/>
              <w:right w:val="single" w:color="auto" w:sz="4" w:space="0"/>
            </w:tcBorders>
            <w:vAlign w:val="center"/>
          </w:tcPr>
          <w:p>
            <w:pPr>
              <w:tabs>
                <w:tab w:val="left" w:pos="425"/>
              </w:tabs>
              <w:snapToGrid w:val="0"/>
              <w:spacing w:line="360" w:lineRule="auto"/>
              <w:jc w:val="center"/>
              <w:rPr>
                <w:rFonts w:hint="eastAsia" w:ascii="宋体" w:hAnsi="宋体" w:eastAsia="宋体" w:cs="宋体"/>
                <w:szCs w:val="21"/>
              </w:rPr>
            </w:pPr>
          </w:p>
        </w:tc>
      </w:tr>
    </w:tbl>
    <w:p>
      <w:pPr>
        <w:topLinePunct/>
        <w:autoSpaceDE w:val="0"/>
        <w:autoSpaceDN w:val="0"/>
        <w:spacing w:line="360" w:lineRule="auto"/>
        <w:ind w:firstLine="420" w:firstLineChars="0"/>
        <w:rPr>
          <w:rFonts w:hint="eastAsia" w:ascii="宋体" w:hAnsi="宋体" w:eastAsia="宋体" w:cs="宋体"/>
          <w:szCs w:val="21"/>
        </w:rPr>
      </w:pPr>
      <w:r>
        <w:rPr>
          <w:rFonts w:hint="eastAsia" w:ascii="宋体" w:hAnsi="宋体" w:eastAsia="宋体" w:cs="宋体"/>
          <w:szCs w:val="21"/>
        </w:rPr>
        <w:t>特别说明：</w:t>
      </w:r>
    </w:p>
    <w:p>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1.本项目总价及分项报价均不接受任何形式的赠送、“零”报价和折扣报价。</w:t>
      </w:r>
    </w:p>
    <w:p>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2.如报价不一致，按照投标人须知“19.核价原则”进行修正。</w:t>
      </w:r>
    </w:p>
    <w:p>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3.本表中小计=    数量×单价。</w:t>
      </w:r>
    </w:p>
    <w:p>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4.本表仅供参考，可扩展。</w:t>
      </w:r>
    </w:p>
    <w:p>
      <w:pPr>
        <w:pStyle w:val="18"/>
        <w:spacing w:line="360" w:lineRule="auto"/>
        <w:ind w:firstLine="420" w:firstLineChars="200"/>
        <w:rPr>
          <w:rFonts w:hint="eastAsia" w:ascii="宋体" w:hAnsi="宋体" w:eastAsia="宋体" w:cs="宋体"/>
          <w:sz w:val="21"/>
        </w:rPr>
      </w:pPr>
    </w:p>
    <w:p>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kern w:val="0"/>
          <w:szCs w:val="21"/>
        </w:rPr>
        <w:t>（全称并加盖公章</w:t>
      </w:r>
      <w:r>
        <w:rPr>
          <w:rFonts w:hint="eastAsia" w:ascii="宋体" w:hAnsi="宋体" w:eastAsia="宋体" w:cs="宋体"/>
          <w:szCs w:val="21"/>
        </w:rPr>
        <w:t>）：</w:t>
      </w:r>
      <w:r>
        <w:rPr>
          <w:rFonts w:hint="eastAsia" w:ascii="宋体" w:hAnsi="宋体" w:eastAsia="宋体" w:cs="宋体"/>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kern w:val="0"/>
          <w:szCs w:val="21"/>
        </w:rPr>
        <w:t>投标人代表（签字或盖章）</w:t>
      </w:r>
      <w:r>
        <w:rPr>
          <w:rFonts w:hint="eastAsia" w:ascii="宋体" w:hAnsi="宋体" w:eastAsia="宋体" w:cs="宋体"/>
          <w:szCs w:val="21"/>
        </w:rPr>
        <w:t>：</w:t>
      </w:r>
      <w:r>
        <w:rPr>
          <w:rFonts w:hint="eastAsia" w:ascii="宋体" w:hAnsi="宋体" w:eastAsia="宋体" w:cs="宋体"/>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p>
    <w:p>
      <w:pPr>
        <w:widowControl/>
        <w:spacing w:line="360" w:lineRule="auto"/>
        <w:jc w:val="center"/>
        <w:outlineLvl w:val="1"/>
        <w:rPr>
          <w:rFonts w:hint="eastAsia" w:ascii="宋体" w:hAnsi="宋体" w:eastAsia="宋体" w:cs="宋体"/>
          <w:b/>
          <w:bCs/>
          <w:sz w:val="28"/>
          <w:szCs w:val="28"/>
        </w:rPr>
      </w:pPr>
      <w:r>
        <w:rPr>
          <w:rFonts w:hint="eastAsia" w:ascii="宋体" w:hAnsi="宋体" w:eastAsia="宋体" w:cs="宋体"/>
          <w:b/>
          <w:bCs/>
          <w:sz w:val="36"/>
          <w:szCs w:val="36"/>
        </w:rPr>
        <w:br w:type="page"/>
      </w:r>
      <w:bookmarkStart w:id="79" w:name="_Toc1773"/>
      <w:r>
        <w:rPr>
          <w:rFonts w:hint="eastAsia" w:ascii="宋体" w:hAnsi="宋体" w:eastAsia="宋体" w:cs="宋体"/>
          <w:b/>
          <w:bCs/>
          <w:sz w:val="28"/>
          <w:szCs w:val="28"/>
        </w:rPr>
        <w:t>格式4  商务条款偏离表</w:t>
      </w:r>
      <w:bookmarkEnd w:id="79"/>
    </w:p>
    <w:tbl>
      <w:tblPr>
        <w:tblStyle w:val="29"/>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798"/>
        <w:gridCol w:w="1545"/>
        <w:gridCol w:w="1530"/>
        <w:gridCol w:w="151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360" w:lineRule="auto"/>
              <w:jc w:val="center"/>
              <w:rPr>
                <w:rFonts w:hint="eastAsia" w:ascii="宋体" w:hAnsi="宋体" w:eastAsia="宋体" w:cs="宋体"/>
                <w:b/>
                <w:szCs w:val="21"/>
              </w:rPr>
            </w:pPr>
            <w:r>
              <w:rPr>
                <w:rFonts w:hint="eastAsia" w:ascii="宋体" w:hAnsi="宋体" w:eastAsia="宋体" w:cs="宋体"/>
                <w:b/>
                <w:szCs w:val="21"/>
              </w:rPr>
              <w:t>序号</w:t>
            </w:r>
          </w:p>
        </w:tc>
        <w:tc>
          <w:tcPr>
            <w:tcW w:w="1798"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360" w:lineRule="auto"/>
              <w:jc w:val="center"/>
              <w:rPr>
                <w:rFonts w:hint="eastAsia" w:ascii="宋体" w:hAnsi="宋体" w:eastAsia="宋体" w:cs="宋体"/>
                <w:b/>
                <w:szCs w:val="21"/>
              </w:rPr>
            </w:pPr>
            <w:r>
              <w:rPr>
                <w:rFonts w:hint="eastAsia" w:ascii="宋体" w:hAnsi="宋体" w:eastAsia="宋体" w:cs="宋体"/>
                <w:b/>
                <w:szCs w:val="21"/>
              </w:rPr>
              <w:t>招标文件条目号</w:t>
            </w:r>
          </w:p>
        </w:tc>
        <w:tc>
          <w:tcPr>
            <w:tcW w:w="154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360" w:lineRule="auto"/>
              <w:jc w:val="center"/>
              <w:rPr>
                <w:rFonts w:hint="eastAsia" w:ascii="宋体" w:hAnsi="宋体" w:eastAsia="宋体" w:cs="宋体"/>
                <w:b/>
                <w:szCs w:val="21"/>
              </w:rPr>
            </w:pPr>
            <w:r>
              <w:rPr>
                <w:rFonts w:hint="eastAsia" w:ascii="宋体" w:hAnsi="宋体" w:eastAsia="宋体" w:cs="宋体"/>
                <w:b/>
                <w:szCs w:val="21"/>
              </w:rPr>
              <w:t>招标文件</w:t>
            </w:r>
          </w:p>
          <w:p>
            <w:pPr>
              <w:topLinePunct/>
              <w:autoSpaceDE w:val="0"/>
              <w:autoSpaceDN w:val="0"/>
              <w:spacing w:beforeLines="20" w:after="4" w:line="360" w:lineRule="auto"/>
              <w:jc w:val="center"/>
              <w:rPr>
                <w:rFonts w:hint="eastAsia" w:ascii="宋体" w:hAnsi="宋体" w:eastAsia="宋体" w:cs="宋体"/>
                <w:b/>
                <w:szCs w:val="21"/>
              </w:rPr>
            </w:pPr>
            <w:r>
              <w:rPr>
                <w:rFonts w:hint="eastAsia" w:ascii="宋体" w:hAnsi="宋体" w:eastAsia="宋体" w:cs="宋体"/>
                <w:b/>
                <w:szCs w:val="21"/>
              </w:rPr>
              <w:t>商务条款</w:t>
            </w:r>
          </w:p>
        </w:tc>
        <w:tc>
          <w:tcPr>
            <w:tcW w:w="153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360" w:lineRule="auto"/>
              <w:jc w:val="center"/>
              <w:rPr>
                <w:rFonts w:hint="eastAsia" w:ascii="宋体" w:hAnsi="宋体" w:eastAsia="宋体" w:cs="宋体"/>
                <w:b/>
                <w:szCs w:val="21"/>
              </w:rPr>
            </w:pPr>
            <w:r>
              <w:rPr>
                <w:rFonts w:hint="eastAsia" w:ascii="宋体" w:hAnsi="宋体" w:eastAsia="宋体" w:cs="宋体"/>
                <w:b/>
                <w:szCs w:val="21"/>
              </w:rPr>
              <w:t>投标文件</w:t>
            </w:r>
          </w:p>
          <w:p>
            <w:pPr>
              <w:topLinePunct/>
              <w:autoSpaceDE w:val="0"/>
              <w:autoSpaceDN w:val="0"/>
              <w:spacing w:beforeLines="20" w:after="4" w:line="360" w:lineRule="auto"/>
              <w:jc w:val="center"/>
              <w:rPr>
                <w:rFonts w:hint="eastAsia" w:ascii="宋体" w:hAnsi="宋体" w:eastAsia="宋体" w:cs="宋体"/>
                <w:b/>
                <w:szCs w:val="21"/>
              </w:rPr>
            </w:pPr>
            <w:r>
              <w:rPr>
                <w:rFonts w:hint="eastAsia" w:ascii="宋体" w:hAnsi="宋体" w:eastAsia="宋体" w:cs="宋体"/>
                <w:b/>
                <w:szCs w:val="21"/>
              </w:rPr>
              <w:t>商务条款</w:t>
            </w:r>
          </w:p>
        </w:tc>
        <w:tc>
          <w:tcPr>
            <w:tcW w:w="151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360" w:lineRule="auto"/>
              <w:jc w:val="center"/>
              <w:rPr>
                <w:rFonts w:hint="eastAsia" w:ascii="宋体" w:hAnsi="宋体" w:eastAsia="宋体" w:cs="宋体"/>
                <w:b/>
                <w:szCs w:val="21"/>
              </w:rPr>
            </w:pPr>
            <w:r>
              <w:rPr>
                <w:rFonts w:hint="eastAsia" w:ascii="宋体" w:hAnsi="宋体" w:eastAsia="宋体" w:cs="宋体"/>
                <w:b/>
                <w:szCs w:val="21"/>
              </w:rPr>
              <w:t>偏离</w:t>
            </w:r>
          </w:p>
          <w:p>
            <w:pPr>
              <w:topLinePunct/>
              <w:autoSpaceDE w:val="0"/>
              <w:autoSpaceDN w:val="0"/>
              <w:spacing w:beforeLines="20" w:after="4" w:line="360" w:lineRule="auto"/>
              <w:jc w:val="center"/>
              <w:rPr>
                <w:rFonts w:hint="eastAsia" w:ascii="宋体" w:hAnsi="宋体" w:eastAsia="宋体" w:cs="宋体"/>
                <w:b/>
                <w:szCs w:val="21"/>
              </w:rPr>
            </w:pPr>
            <w:r>
              <w:rPr>
                <w:rFonts w:hint="eastAsia" w:ascii="宋体" w:hAnsi="宋体" w:eastAsia="宋体" w:cs="宋体"/>
                <w:b/>
                <w:szCs w:val="21"/>
              </w:rPr>
              <w:t>（无/正/负）</w:t>
            </w:r>
          </w:p>
        </w:tc>
        <w:tc>
          <w:tcPr>
            <w:tcW w:w="128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360" w:lineRule="auto"/>
              <w:jc w:val="center"/>
              <w:rPr>
                <w:rFonts w:hint="eastAsia" w:ascii="宋体" w:hAnsi="宋体" w:eastAsia="宋体" w:cs="宋体"/>
                <w:b/>
                <w:szCs w:val="21"/>
              </w:rPr>
            </w:pPr>
            <w:r>
              <w:rPr>
                <w:rFonts w:hint="eastAsia" w:ascii="宋体" w:hAnsi="宋体" w:eastAsia="宋体" w:cs="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360" w:lineRule="auto"/>
              <w:jc w:val="center"/>
              <w:rPr>
                <w:rFonts w:hint="eastAsia" w:ascii="宋体" w:hAnsi="宋体" w:eastAsia="宋体" w:cs="宋体"/>
                <w:szCs w:val="21"/>
              </w:rPr>
            </w:pPr>
            <w:r>
              <w:rPr>
                <w:rFonts w:hint="eastAsia" w:ascii="宋体" w:hAnsi="宋体" w:eastAsia="宋体" w:cs="宋体"/>
                <w:szCs w:val="21"/>
              </w:rPr>
              <w:t>1</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line="360" w:lineRule="auto"/>
              <w:jc w:val="center"/>
              <w:rPr>
                <w:rFonts w:hint="eastAsia" w:ascii="宋体" w:hAnsi="宋体" w:eastAsia="宋体" w:cs="宋体"/>
                <w:b/>
                <w:bCs/>
                <w:szCs w:val="21"/>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line="360" w:lineRule="auto"/>
              <w:jc w:val="center"/>
              <w:rPr>
                <w:rFonts w:hint="eastAsia" w:ascii="宋体" w:hAnsi="宋体" w:eastAsia="宋体" w:cs="宋体"/>
                <w:b/>
                <w:bCs/>
                <w:szCs w:val="21"/>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line="360" w:lineRule="auto"/>
              <w:jc w:val="center"/>
              <w:rPr>
                <w:rFonts w:hint="eastAsia" w:ascii="宋体" w:hAnsi="宋体" w:eastAsia="宋体" w:cs="宋体"/>
                <w:b/>
                <w:bCs/>
                <w:szCs w:val="21"/>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line="360" w:lineRule="auto"/>
              <w:jc w:val="center"/>
              <w:rPr>
                <w:rFonts w:hint="eastAsia" w:ascii="宋体" w:hAnsi="宋体" w:eastAsia="宋体" w:cs="宋体"/>
                <w:b/>
                <w:bCs/>
                <w:szCs w:val="21"/>
              </w:rPr>
            </w:pPr>
          </w:p>
        </w:tc>
        <w:tc>
          <w:tcPr>
            <w:tcW w:w="128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line="360" w:lineRule="auto"/>
              <w:jc w:val="center"/>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360" w:lineRule="auto"/>
              <w:jc w:val="center"/>
              <w:rPr>
                <w:rFonts w:hint="eastAsia" w:ascii="宋体" w:hAnsi="宋体" w:eastAsia="宋体" w:cs="宋体"/>
                <w:szCs w:val="21"/>
              </w:rPr>
            </w:pPr>
            <w:r>
              <w:rPr>
                <w:rFonts w:hint="eastAsia" w:ascii="宋体" w:hAnsi="宋体" w:eastAsia="宋体" w:cs="宋体"/>
                <w:szCs w:val="21"/>
              </w:rPr>
              <w:t>2</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line="360" w:lineRule="auto"/>
              <w:jc w:val="center"/>
              <w:rPr>
                <w:rFonts w:hint="eastAsia" w:ascii="宋体" w:hAnsi="宋体" w:eastAsia="宋体" w:cs="宋体"/>
                <w:b/>
                <w:bCs/>
                <w:szCs w:val="21"/>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line="360" w:lineRule="auto"/>
              <w:jc w:val="center"/>
              <w:rPr>
                <w:rFonts w:hint="eastAsia" w:ascii="宋体" w:hAnsi="宋体" w:eastAsia="宋体" w:cs="宋体"/>
                <w:b/>
                <w:bCs/>
                <w:szCs w:val="21"/>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line="360" w:lineRule="auto"/>
              <w:jc w:val="center"/>
              <w:rPr>
                <w:rFonts w:hint="eastAsia" w:ascii="宋体" w:hAnsi="宋体" w:eastAsia="宋体" w:cs="宋体"/>
                <w:b/>
                <w:bCs/>
                <w:szCs w:val="21"/>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line="360" w:lineRule="auto"/>
              <w:jc w:val="center"/>
              <w:rPr>
                <w:rFonts w:hint="eastAsia" w:ascii="宋体" w:hAnsi="宋体" w:eastAsia="宋体" w:cs="宋体"/>
                <w:b/>
                <w:bCs/>
                <w:szCs w:val="21"/>
              </w:rPr>
            </w:pPr>
          </w:p>
        </w:tc>
        <w:tc>
          <w:tcPr>
            <w:tcW w:w="128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line="360" w:lineRule="auto"/>
              <w:jc w:val="center"/>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360" w:lineRule="auto"/>
              <w:jc w:val="center"/>
              <w:rPr>
                <w:rFonts w:hint="eastAsia" w:ascii="宋体" w:hAnsi="宋体" w:eastAsia="宋体" w:cs="宋体"/>
                <w:szCs w:val="21"/>
              </w:rPr>
            </w:pPr>
            <w:r>
              <w:rPr>
                <w:rFonts w:hint="eastAsia" w:ascii="宋体" w:hAnsi="宋体" w:eastAsia="宋体" w:cs="宋体"/>
                <w:szCs w:val="21"/>
              </w:rPr>
              <w:t>3</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line="360" w:lineRule="auto"/>
              <w:jc w:val="center"/>
              <w:rPr>
                <w:rFonts w:hint="eastAsia" w:ascii="宋体" w:hAnsi="宋体" w:eastAsia="宋体" w:cs="宋体"/>
                <w:b/>
                <w:bCs/>
                <w:szCs w:val="21"/>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line="360" w:lineRule="auto"/>
              <w:jc w:val="center"/>
              <w:rPr>
                <w:rFonts w:hint="eastAsia" w:ascii="宋体" w:hAnsi="宋体" w:eastAsia="宋体" w:cs="宋体"/>
                <w:b/>
                <w:bCs/>
                <w:szCs w:val="21"/>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line="360" w:lineRule="auto"/>
              <w:jc w:val="center"/>
              <w:rPr>
                <w:rFonts w:hint="eastAsia" w:ascii="宋体" w:hAnsi="宋体" w:eastAsia="宋体" w:cs="宋体"/>
                <w:b/>
                <w:bCs/>
                <w:szCs w:val="21"/>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line="360" w:lineRule="auto"/>
              <w:jc w:val="center"/>
              <w:rPr>
                <w:rFonts w:hint="eastAsia" w:ascii="宋体" w:hAnsi="宋体" w:eastAsia="宋体" w:cs="宋体"/>
                <w:b/>
                <w:bCs/>
                <w:szCs w:val="21"/>
              </w:rPr>
            </w:pPr>
          </w:p>
        </w:tc>
        <w:tc>
          <w:tcPr>
            <w:tcW w:w="128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line="360" w:lineRule="auto"/>
              <w:jc w:val="center"/>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360" w:lineRule="auto"/>
              <w:jc w:val="center"/>
              <w:rPr>
                <w:rFonts w:hint="eastAsia" w:ascii="宋体" w:hAnsi="宋体" w:eastAsia="宋体" w:cs="宋体"/>
                <w:szCs w:val="21"/>
              </w:rPr>
            </w:pPr>
            <w:r>
              <w:rPr>
                <w:rFonts w:hint="eastAsia" w:ascii="宋体" w:hAnsi="宋体" w:eastAsia="宋体" w:cs="宋体"/>
                <w:szCs w:val="21"/>
              </w:rPr>
              <w:t>4</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line="360" w:lineRule="auto"/>
              <w:jc w:val="center"/>
              <w:rPr>
                <w:rFonts w:hint="eastAsia" w:ascii="宋体" w:hAnsi="宋体" w:eastAsia="宋体" w:cs="宋体"/>
                <w:b/>
                <w:bCs/>
                <w:szCs w:val="21"/>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line="360" w:lineRule="auto"/>
              <w:jc w:val="center"/>
              <w:rPr>
                <w:rFonts w:hint="eastAsia" w:ascii="宋体" w:hAnsi="宋体" w:eastAsia="宋体" w:cs="宋体"/>
                <w:b/>
                <w:bCs/>
                <w:szCs w:val="21"/>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line="360" w:lineRule="auto"/>
              <w:jc w:val="center"/>
              <w:rPr>
                <w:rFonts w:hint="eastAsia" w:ascii="宋体" w:hAnsi="宋体" w:eastAsia="宋体" w:cs="宋体"/>
                <w:b/>
                <w:bCs/>
                <w:szCs w:val="21"/>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line="360" w:lineRule="auto"/>
              <w:jc w:val="center"/>
              <w:rPr>
                <w:rFonts w:hint="eastAsia" w:ascii="宋体" w:hAnsi="宋体" w:eastAsia="宋体" w:cs="宋体"/>
                <w:b/>
                <w:bCs/>
                <w:szCs w:val="21"/>
              </w:rPr>
            </w:pPr>
          </w:p>
        </w:tc>
        <w:tc>
          <w:tcPr>
            <w:tcW w:w="128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line="360" w:lineRule="auto"/>
              <w:jc w:val="center"/>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360" w:lineRule="auto"/>
              <w:jc w:val="center"/>
              <w:rPr>
                <w:rFonts w:hint="eastAsia" w:ascii="宋体" w:hAnsi="宋体" w:eastAsia="宋体" w:cs="宋体"/>
                <w:szCs w:val="21"/>
              </w:rPr>
            </w:pPr>
            <w:r>
              <w:rPr>
                <w:rFonts w:hint="eastAsia" w:ascii="宋体" w:hAnsi="宋体" w:eastAsia="宋体" w:cs="宋体"/>
                <w:szCs w:val="21"/>
              </w:rPr>
              <w:t>……</w:t>
            </w:r>
          </w:p>
        </w:tc>
        <w:tc>
          <w:tcPr>
            <w:tcW w:w="1798"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line="360" w:lineRule="auto"/>
              <w:jc w:val="center"/>
              <w:rPr>
                <w:rFonts w:hint="eastAsia" w:ascii="宋体" w:hAnsi="宋体" w:eastAsia="宋体" w:cs="宋体"/>
                <w:b/>
                <w:bCs/>
                <w:szCs w:val="21"/>
              </w:rPr>
            </w:pPr>
          </w:p>
        </w:tc>
        <w:tc>
          <w:tcPr>
            <w:tcW w:w="154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line="360" w:lineRule="auto"/>
              <w:jc w:val="center"/>
              <w:rPr>
                <w:rFonts w:hint="eastAsia" w:ascii="宋体" w:hAnsi="宋体" w:eastAsia="宋体" w:cs="宋体"/>
                <w:b/>
                <w:bCs/>
                <w:szCs w:val="21"/>
              </w:rPr>
            </w:pPr>
          </w:p>
        </w:tc>
        <w:tc>
          <w:tcPr>
            <w:tcW w:w="1530"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line="360" w:lineRule="auto"/>
              <w:jc w:val="center"/>
              <w:rPr>
                <w:rFonts w:hint="eastAsia" w:ascii="宋体" w:hAnsi="宋体" w:eastAsia="宋体" w:cs="宋体"/>
                <w:b/>
                <w:bCs/>
                <w:szCs w:val="21"/>
              </w:rPr>
            </w:pPr>
          </w:p>
        </w:tc>
        <w:tc>
          <w:tcPr>
            <w:tcW w:w="151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line="360" w:lineRule="auto"/>
              <w:jc w:val="center"/>
              <w:rPr>
                <w:rFonts w:hint="eastAsia" w:ascii="宋体" w:hAnsi="宋体" w:eastAsia="宋体" w:cs="宋体"/>
                <w:b/>
                <w:bCs/>
                <w:szCs w:val="21"/>
              </w:rPr>
            </w:pPr>
          </w:p>
        </w:tc>
        <w:tc>
          <w:tcPr>
            <w:tcW w:w="1285" w:type="dxa"/>
            <w:tcBorders>
              <w:top w:val="single" w:color="auto" w:sz="4" w:space="0"/>
              <w:left w:val="single" w:color="auto" w:sz="4" w:space="0"/>
              <w:bottom w:val="single" w:color="auto" w:sz="4" w:space="0"/>
              <w:right w:val="single" w:color="auto" w:sz="4" w:space="0"/>
            </w:tcBorders>
            <w:noWrap/>
          </w:tcPr>
          <w:p>
            <w:pPr>
              <w:topLinePunct/>
              <w:autoSpaceDE w:val="0"/>
              <w:autoSpaceDN w:val="0"/>
              <w:spacing w:beforeLines="20" w:after="312" w:line="360" w:lineRule="auto"/>
              <w:jc w:val="center"/>
              <w:rPr>
                <w:rFonts w:hint="eastAsia" w:ascii="宋体" w:hAnsi="宋体" w:eastAsia="宋体" w:cs="宋体"/>
                <w:b/>
                <w:bCs/>
                <w:szCs w:val="21"/>
              </w:rPr>
            </w:pPr>
          </w:p>
        </w:tc>
      </w:tr>
    </w:tbl>
    <w:p>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特别说明：</w:t>
      </w:r>
    </w:p>
    <w:p>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1.商务条款无需条对条应答，如无偏离，请在此表中填写“无偏离”；如有偏离，请在此表中应答为“正/负偏离”并说明偏离情况。</w:t>
      </w:r>
    </w:p>
    <w:p>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2.如《招标文件-商务部分》中有标注★号的，则为实质性要求，必须满足，如应答为“负偏离”，将导致投标无效。</w:t>
      </w:r>
    </w:p>
    <w:p>
      <w:pPr>
        <w:topLinePunct/>
        <w:autoSpaceDE w:val="0"/>
        <w:autoSpaceDN w:val="0"/>
        <w:spacing w:line="360" w:lineRule="auto"/>
        <w:ind w:firstLine="420" w:firstLineChars="200"/>
        <w:outlineLvl w:val="9"/>
        <w:rPr>
          <w:rFonts w:hint="eastAsia" w:ascii="宋体" w:hAnsi="宋体" w:eastAsia="宋体" w:cs="宋体"/>
          <w:szCs w:val="21"/>
        </w:rPr>
      </w:pPr>
      <w:r>
        <w:rPr>
          <w:rFonts w:hint="eastAsia" w:ascii="宋体" w:hAnsi="宋体" w:eastAsia="宋体" w:cs="宋体"/>
          <w:szCs w:val="21"/>
        </w:rPr>
        <w:t>3.本表可扩展。</w:t>
      </w:r>
    </w:p>
    <w:p>
      <w:pPr>
        <w:topLinePunct/>
        <w:autoSpaceDE w:val="0"/>
        <w:autoSpaceDN w:val="0"/>
        <w:spacing w:line="360" w:lineRule="auto"/>
        <w:rPr>
          <w:rFonts w:hint="eastAsia" w:ascii="宋体" w:hAnsi="宋体" w:eastAsia="宋体" w:cs="宋体"/>
          <w:sz w:val="24"/>
        </w:rPr>
      </w:pPr>
    </w:p>
    <w:p>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kern w:val="0"/>
          <w:szCs w:val="21"/>
        </w:rPr>
        <w:t>（全称并加盖公章</w:t>
      </w:r>
      <w:r>
        <w:rPr>
          <w:rFonts w:hint="eastAsia" w:ascii="宋体" w:hAnsi="宋体" w:eastAsia="宋体" w:cs="宋体"/>
          <w:szCs w:val="21"/>
        </w:rPr>
        <w:t>）：</w:t>
      </w:r>
      <w:r>
        <w:rPr>
          <w:rFonts w:hint="eastAsia" w:ascii="宋体" w:hAnsi="宋体" w:eastAsia="宋体" w:cs="宋体"/>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kern w:val="0"/>
          <w:szCs w:val="21"/>
        </w:rPr>
        <w:t>投标人代表（签字或盖章）</w:t>
      </w:r>
      <w:r>
        <w:rPr>
          <w:rFonts w:hint="eastAsia" w:ascii="宋体" w:hAnsi="宋体" w:eastAsia="宋体" w:cs="宋体"/>
          <w:szCs w:val="21"/>
        </w:rPr>
        <w:t>：</w:t>
      </w:r>
      <w:r>
        <w:rPr>
          <w:rFonts w:hint="eastAsia" w:ascii="宋体" w:hAnsi="宋体" w:eastAsia="宋体" w:cs="宋体"/>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hint="eastAsia" w:ascii="宋体" w:hAnsi="宋体" w:eastAsia="宋体" w:cs="宋体"/>
          <w:b/>
          <w:bCs/>
          <w:sz w:val="28"/>
          <w:szCs w:val="28"/>
        </w:rPr>
      </w:pPr>
    </w:p>
    <w:p>
      <w:pPr>
        <w:snapToGrid w:val="0"/>
        <w:spacing w:line="360" w:lineRule="auto"/>
        <w:jc w:val="center"/>
        <w:outlineLvl w:val="1"/>
        <w:rPr>
          <w:rFonts w:hint="eastAsia" w:ascii="宋体" w:hAnsi="宋体" w:eastAsia="宋体" w:cs="宋体"/>
          <w:b/>
          <w:bCs/>
          <w:sz w:val="28"/>
          <w:szCs w:val="28"/>
        </w:rPr>
      </w:pPr>
      <w:r>
        <w:rPr>
          <w:rFonts w:hint="eastAsia" w:ascii="宋体" w:hAnsi="宋体" w:eastAsia="宋体" w:cs="宋体"/>
          <w:b/>
          <w:bCs/>
          <w:sz w:val="28"/>
          <w:szCs w:val="28"/>
        </w:rPr>
        <w:br w:type="page"/>
      </w:r>
      <w:bookmarkStart w:id="80" w:name="_Toc10764"/>
      <w:r>
        <w:rPr>
          <w:rFonts w:hint="eastAsia" w:ascii="宋体" w:hAnsi="宋体" w:eastAsia="宋体" w:cs="宋体"/>
          <w:b/>
          <w:bCs/>
          <w:sz w:val="28"/>
          <w:szCs w:val="28"/>
        </w:rPr>
        <w:t>格式5  投标人具备投标资格证明文件</w:t>
      </w:r>
      <w:bookmarkEnd w:id="80"/>
    </w:p>
    <w:p>
      <w:pPr>
        <w:adjustRightInd w:val="0"/>
        <w:snapToGrid w:val="0"/>
        <w:spacing w:line="360" w:lineRule="auto"/>
        <w:jc w:val="center"/>
        <w:outlineLvl w:val="2"/>
        <w:rPr>
          <w:rFonts w:hint="eastAsia" w:ascii="宋体" w:hAnsi="宋体" w:eastAsia="宋体" w:cs="宋体"/>
          <w:b/>
          <w:bCs/>
          <w:sz w:val="28"/>
          <w:szCs w:val="28"/>
        </w:rPr>
      </w:pPr>
      <w:bookmarkStart w:id="81" w:name="_Toc22020"/>
      <w:r>
        <w:rPr>
          <w:rFonts w:hint="eastAsia" w:ascii="宋体" w:hAnsi="宋体" w:eastAsia="宋体" w:cs="宋体"/>
          <w:b/>
          <w:bCs/>
          <w:sz w:val="28"/>
          <w:szCs w:val="28"/>
        </w:rPr>
        <w:t>5-1投标人基本情况</w:t>
      </w:r>
      <w:bookmarkEnd w:id="81"/>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567"/>
        <w:gridCol w:w="1560"/>
        <w:gridCol w:w="1701"/>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vAlign w:val="center"/>
          </w:tcPr>
          <w:p>
            <w:pPr>
              <w:pStyle w:val="18"/>
              <w:spacing w:line="360" w:lineRule="auto"/>
              <w:jc w:val="center"/>
              <w:rPr>
                <w:rFonts w:hint="eastAsia" w:ascii="宋体" w:hAnsi="宋体" w:eastAsia="宋体" w:cs="宋体"/>
                <w:kern w:val="2"/>
                <w:sz w:val="21"/>
                <w:lang w:val="en-US" w:eastAsia="zh-CN"/>
              </w:rPr>
            </w:pPr>
            <w:r>
              <w:rPr>
                <w:rFonts w:hint="eastAsia" w:ascii="宋体" w:hAnsi="宋体" w:eastAsia="宋体" w:cs="宋体"/>
                <w:kern w:val="2"/>
                <w:sz w:val="21"/>
                <w:lang w:val="en-US" w:eastAsia="zh-CN"/>
              </w:rPr>
              <w:t>供应商名称</w:t>
            </w:r>
          </w:p>
        </w:tc>
        <w:tc>
          <w:tcPr>
            <w:tcW w:w="1234" w:type="pct"/>
            <w:gridSpan w:val="2"/>
            <w:vAlign w:val="center"/>
          </w:tcPr>
          <w:p>
            <w:pPr>
              <w:pStyle w:val="18"/>
              <w:spacing w:line="360" w:lineRule="auto"/>
              <w:jc w:val="center"/>
              <w:rPr>
                <w:rFonts w:hint="eastAsia" w:ascii="宋体" w:hAnsi="宋体" w:eastAsia="宋体" w:cs="宋体"/>
                <w:kern w:val="2"/>
                <w:sz w:val="21"/>
                <w:lang w:val="en-US" w:eastAsia="zh-CN"/>
              </w:rPr>
            </w:pPr>
          </w:p>
        </w:tc>
        <w:tc>
          <w:tcPr>
            <w:tcW w:w="987" w:type="pct"/>
            <w:vAlign w:val="center"/>
          </w:tcPr>
          <w:p>
            <w:pPr>
              <w:pStyle w:val="18"/>
              <w:spacing w:line="360" w:lineRule="auto"/>
              <w:jc w:val="center"/>
              <w:rPr>
                <w:rFonts w:hint="eastAsia" w:ascii="宋体" w:hAnsi="宋体" w:eastAsia="宋体" w:cs="宋体"/>
                <w:kern w:val="2"/>
                <w:sz w:val="21"/>
                <w:lang w:val="en-US" w:eastAsia="zh-CN"/>
              </w:rPr>
            </w:pPr>
            <w:r>
              <w:rPr>
                <w:rFonts w:hint="eastAsia" w:ascii="宋体" w:hAnsi="宋体" w:eastAsia="宋体" w:cs="宋体"/>
                <w:kern w:val="2"/>
                <w:sz w:val="21"/>
                <w:lang w:val="en-US" w:eastAsia="zh-CN"/>
              </w:rPr>
              <w:t>法定代表人</w:t>
            </w:r>
          </w:p>
        </w:tc>
        <w:tc>
          <w:tcPr>
            <w:tcW w:w="1564" w:type="pct"/>
            <w:vAlign w:val="center"/>
          </w:tcPr>
          <w:p>
            <w:pPr>
              <w:pStyle w:val="18"/>
              <w:spacing w:line="360" w:lineRule="auto"/>
              <w:jc w:val="center"/>
              <w:rPr>
                <w:rFonts w:hint="eastAsia" w:ascii="宋体" w:hAnsi="宋体" w:eastAsia="宋体" w:cs="宋体"/>
                <w:kern w:val="2"/>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vAlign w:val="center"/>
          </w:tcPr>
          <w:p>
            <w:pPr>
              <w:pStyle w:val="18"/>
              <w:spacing w:line="360" w:lineRule="auto"/>
              <w:jc w:val="center"/>
              <w:rPr>
                <w:rFonts w:hint="eastAsia" w:ascii="宋体" w:hAnsi="宋体" w:eastAsia="宋体" w:cs="宋体"/>
                <w:kern w:val="2"/>
                <w:sz w:val="21"/>
                <w:lang w:val="en-US" w:eastAsia="zh-CN"/>
              </w:rPr>
            </w:pPr>
            <w:r>
              <w:rPr>
                <w:rFonts w:hint="eastAsia" w:ascii="宋体" w:hAnsi="宋体" w:eastAsia="宋体" w:cs="宋体"/>
                <w:kern w:val="2"/>
                <w:sz w:val="21"/>
                <w:lang w:val="en-US" w:eastAsia="zh-CN"/>
              </w:rPr>
              <w:t>统一社会信用代码</w:t>
            </w:r>
          </w:p>
        </w:tc>
        <w:tc>
          <w:tcPr>
            <w:tcW w:w="1234" w:type="pct"/>
            <w:gridSpan w:val="2"/>
            <w:vAlign w:val="center"/>
          </w:tcPr>
          <w:p>
            <w:pPr>
              <w:pStyle w:val="18"/>
              <w:spacing w:line="360" w:lineRule="auto"/>
              <w:jc w:val="center"/>
              <w:rPr>
                <w:rFonts w:hint="eastAsia" w:ascii="宋体" w:hAnsi="宋体" w:eastAsia="宋体" w:cs="宋体"/>
                <w:kern w:val="2"/>
                <w:sz w:val="21"/>
                <w:lang w:val="en-US" w:eastAsia="zh-CN"/>
              </w:rPr>
            </w:pPr>
          </w:p>
        </w:tc>
        <w:tc>
          <w:tcPr>
            <w:tcW w:w="987" w:type="pct"/>
            <w:vAlign w:val="center"/>
          </w:tcPr>
          <w:p>
            <w:pPr>
              <w:pStyle w:val="18"/>
              <w:spacing w:line="360" w:lineRule="auto"/>
              <w:jc w:val="center"/>
              <w:rPr>
                <w:rFonts w:hint="eastAsia" w:ascii="宋体" w:hAnsi="宋体" w:eastAsia="宋体" w:cs="宋体"/>
                <w:kern w:val="2"/>
                <w:sz w:val="21"/>
                <w:lang w:val="en-US" w:eastAsia="zh-CN"/>
              </w:rPr>
            </w:pPr>
            <w:r>
              <w:rPr>
                <w:rFonts w:hint="eastAsia" w:ascii="宋体" w:hAnsi="宋体" w:eastAsia="宋体" w:cs="宋体"/>
                <w:kern w:val="2"/>
                <w:sz w:val="21"/>
                <w:lang w:val="en-US" w:eastAsia="zh-CN"/>
              </w:rPr>
              <w:t>邮政编码</w:t>
            </w:r>
          </w:p>
        </w:tc>
        <w:tc>
          <w:tcPr>
            <w:tcW w:w="1564" w:type="pct"/>
            <w:vAlign w:val="center"/>
          </w:tcPr>
          <w:p>
            <w:pPr>
              <w:pStyle w:val="18"/>
              <w:spacing w:line="360" w:lineRule="auto"/>
              <w:jc w:val="center"/>
              <w:rPr>
                <w:rFonts w:hint="eastAsia" w:ascii="宋体" w:hAnsi="宋体" w:eastAsia="宋体" w:cs="宋体"/>
                <w:kern w:val="2"/>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vAlign w:val="center"/>
          </w:tcPr>
          <w:p>
            <w:pPr>
              <w:pStyle w:val="18"/>
              <w:spacing w:line="360" w:lineRule="auto"/>
              <w:jc w:val="center"/>
              <w:rPr>
                <w:rFonts w:hint="eastAsia" w:ascii="宋体" w:hAnsi="宋体" w:eastAsia="宋体" w:cs="宋体"/>
                <w:kern w:val="2"/>
                <w:sz w:val="21"/>
                <w:lang w:val="en-US" w:eastAsia="zh-CN"/>
              </w:rPr>
            </w:pPr>
            <w:r>
              <w:rPr>
                <w:rFonts w:hint="eastAsia" w:ascii="宋体" w:hAnsi="宋体" w:eastAsia="宋体" w:cs="宋体"/>
                <w:kern w:val="2"/>
                <w:sz w:val="21"/>
                <w:lang w:val="en-US" w:eastAsia="zh-CN"/>
              </w:rPr>
              <w:t>授权代表</w:t>
            </w:r>
          </w:p>
        </w:tc>
        <w:tc>
          <w:tcPr>
            <w:tcW w:w="1234" w:type="pct"/>
            <w:gridSpan w:val="2"/>
            <w:vAlign w:val="center"/>
          </w:tcPr>
          <w:p>
            <w:pPr>
              <w:pStyle w:val="18"/>
              <w:spacing w:line="360" w:lineRule="auto"/>
              <w:jc w:val="center"/>
              <w:rPr>
                <w:rFonts w:hint="eastAsia" w:ascii="宋体" w:hAnsi="宋体" w:eastAsia="宋体" w:cs="宋体"/>
                <w:kern w:val="2"/>
                <w:sz w:val="21"/>
                <w:lang w:val="en-US" w:eastAsia="zh-CN"/>
              </w:rPr>
            </w:pPr>
          </w:p>
        </w:tc>
        <w:tc>
          <w:tcPr>
            <w:tcW w:w="987" w:type="pct"/>
            <w:vAlign w:val="center"/>
          </w:tcPr>
          <w:p>
            <w:pPr>
              <w:pStyle w:val="18"/>
              <w:spacing w:line="360" w:lineRule="auto"/>
              <w:jc w:val="center"/>
              <w:rPr>
                <w:rFonts w:hint="eastAsia" w:ascii="宋体" w:hAnsi="宋体" w:eastAsia="宋体" w:cs="宋体"/>
                <w:kern w:val="2"/>
                <w:sz w:val="21"/>
                <w:lang w:val="en-US" w:eastAsia="zh-CN"/>
              </w:rPr>
            </w:pPr>
            <w:r>
              <w:rPr>
                <w:rFonts w:hint="eastAsia" w:ascii="宋体" w:hAnsi="宋体" w:eastAsia="宋体" w:cs="宋体"/>
                <w:kern w:val="2"/>
                <w:sz w:val="21"/>
                <w:lang w:val="en-US" w:eastAsia="zh-CN"/>
              </w:rPr>
              <w:t>联系电话</w:t>
            </w:r>
          </w:p>
        </w:tc>
        <w:tc>
          <w:tcPr>
            <w:tcW w:w="1564" w:type="pct"/>
            <w:vAlign w:val="center"/>
          </w:tcPr>
          <w:p>
            <w:pPr>
              <w:pStyle w:val="18"/>
              <w:spacing w:line="360" w:lineRule="auto"/>
              <w:jc w:val="center"/>
              <w:rPr>
                <w:rFonts w:hint="eastAsia" w:ascii="宋体" w:hAnsi="宋体" w:eastAsia="宋体" w:cs="宋体"/>
                <w:kern w:val="2"/>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5" w:type="pct"/>
            <w:vAlign w:val="center"/>
          </w:tcPr>
          <w:p>
            <w:pPr>
              <w:pStyle w:val="18"/>
              <w:spacing w:line="360" w:lineRule="auto"/>
              <w:jc w:val="center"/>
              <w:rPr>
                <w:rFonts w:hint="eastAsia" w:ascii="宋体" w:hAnsi="宋体" w:eastAsia="宋体" w:cs="宋体"/>
                <w:kern w:val="2"/>
                <w:sz w:val="21"/>
                <w:lang w:val="en-US" w:eastAsia="zh-CN"/>
              </w:rPr>
            </w:pPr>
            <w:r>
              <w:rPr>
                <w:rFonts w:hint="eastAsia" w:ascii="宋体" w:hAnsi="宋体" w:eastAsia="宋体" w:cs="宋体"/>
                <w:kern w:val="2"/>
                <w:sz w:val="21"/>
                <w:lang w:val="en-US" w:eastAsia="zh-CN"/>
              </w:rPr>
              <w:t>电子邮箱</w:t>
            </w:r>
          </w:p>
        </w:tc>
        <w:tc>
          <w:tcPr>
            <w:tcW w:w="1234" w:type="pct"/>
            <w:gridSpan w:val="2"/>
            <w:vAlign w:val="center"/>
          </w:tcPr>
          <w:p>
            <w:pPr>
              <w:pStyle w:val="18"/>
              <w:spacing w:line="360" w:lineRule="auto"/>
              <w:jc w:val="center"/>
              <w:rPr>
                <w:rFonts w:hint="eastAsia" w:ascii="宋体" w:hAnsi="宋体" w:eastAsia="宋体" w:cs="宋体"/>
                <w:kern w:val="2"/>
                <w:sz w:val="21"/>
                <w:lang w:val="en-US" w:eastAsia="zh-CN"/>
              </w:rPr>
            </w:pPr>
          </w:p>
        </w:tc>
        <w:tc>
          <w:tcPr>
            <w:tcW w:w="987" w:type="pct"/>
            <w:vAlign w:val="center"/>
          </w:tcPr>
          <w:p>
            <w:pPr>
              <w:pStyle w:val="18"/>
              <w:spacing w:line="360" w:lineRule="auto"/>
              <w:jc w:val="center"/>
              <w:rPr>
                <w:rFonts w:hint="eastAsia" w:ascii="宋体" w:hAnsi="宋体" w:eastAsia="宋体" w:cs="宋体"/>
                <w:kern w:val="2"/>
                <w:sz w:val="21"/>
                <w:lang w:val="en-US" w:eastAsia="zh-CN"/>
              </w:rPr>
            </w:pPr>
            <w:r>
              <w:rPr>
                <w:rFonts w:hint="eastAsia" w:ascii="宋体" w:hAnsi="宋体" w:eastAsia="宋体" w:cs="宋体"/>
                <w:kern w:val="2"/>
                <w:sz w:val="21"/>
                <w:lang w:val="en-US" w:eastAsia="zh-CN"/>
              </w:rPr>
              <w:t>传真</w:t>
            </w:r>
          </w:p>
        </w:tc>
        <w:tc>
          <w:tcPr>
            <w:tcW w:w="1564" w:type="pct"/>
            <w:vAlign w:val="center"/>
          </w:tcPr>
          <w:p>
            <w:pPr>
              <w:pStyle w:val="18"/>
              <w:spacing w:line="360" w:lineRule="auto"/>
              <w:jc w:val="center"/>
              <w:rPr>
                <w:rFonts w:hint="eastAsia" w:ascii="宋体" w:hAnsi="宋体" w:eastAsia="宋体" w:cs="宋体"/>
                <w:kern w:val="2"/>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vAlign w:val="center"/>
          </w:tcPr>
          <w:p>
            <w:pPr>
              <w:pStyle w:val="18"/>
              <w:spacing w:line="360" w:lineRule="auto"/>
              <w:jc w:val="center"/>
              <w:rPr>
                <w:rFonts w:hint="eastAsia" w:ascii="宋体" w:hAnsi="宋体" w:eastAsia="宋体" w:cs="宋体"/>
                <w:kern w:val="2"/>
                <w:sz w:val="21"/>
                <w:lang w:val="en-US" w:eastAsia="zh-CN"/>
              </w:rPr>
            </w:pPr>
            <w:r>
              <w:rPr>
                <w:rFonts w:hint="eastAsia" w:ascii="宋体" w:hAnsi="宋体" w:eastAsia="宋体" w:cs="宋体"/>
                <w:kern w:val="2"/>
                <w:sz w:val="21"/>
                <w:lang w:val="en-US" w:eastAsia="zh-CN"/>
              </w:rPr>
              <w:t>上年营业收入</w:t>
            </w:r>
          </w:p>
        </w:tc>
        <w:tc>
          <w:tcPr>
            <w:tcW w:w="1234" w:type="pct"/>
            <w:gridSpan w:val="2"/>
            <w:vAlign w:val="center"/>
          </w:tcPr>
          <w:p>
            <w:pPr>
              <w:pStyle w:val="18"/>
              <w:spacing w:line="360" w:lineRule="auto"/>
              <w:jc w:val="center"/>
              <w:rPr>
                <w:rFonts w:hint="eastAsia" w:ascii="宋体" w:hAnsi="宋体" w:eastAsia="宋体" w:cs="宋体"/>
                <w:kern w:val="2"/>
                <w:sz w:val="21"/>
                <w:lang w:val="en-US" w:eastAsia="zh-CN"/>
              </w:rPr>
            </w:pPr>
          </w:p>
        </w:tc>
        <w:tc>
          <w:tcPr>
            <w:tcW w:w="987" w:type="pct"/>
            <w:vAlign w:val="center"/>
          </w:tcPr>
          <w:p>
            <w:pPr>
              <w:pStyle w:val="18"/>
              <w:spacing w:line="360" w:lineRule="auto"/>
              <w:jc w:val="center"/>
              <w:rPr>
                <w:rFonts w:hint="eastAsia" w:ascii="宋体" w:hAnsi="宋体" w:eastAsia="宋体" w:cs="宋体"/>
                <w:kern w:val="2"/>
                <w:sz w:val="21"/>
                <w:lang w:val="en-US" w:eastAsia="zh-CN"/>
              </w:rPr>
            </w:pPr>
            <w:r>
              <w:rPr>
                <w:rFonts w:hint="eastAsia" w:ascii="宋体" w:hAnsi="宋体" w:eastAsia="宋体" w:cs="宋体"/>
                <w:kern w:val="2"/>
                <w:sz w:val="21"/>
                <w:lang w:val="en-US" w:eastAsia="zh-CN"/>
              </w:rPr>
              <w:t>员工总人数</w:t>
            </w:r>
          </w:p>
        </w:tc>
        <w:tc>
          <w:tcPr>
            <w:tcW w:w="1564" w:type="pct"/>
            <w:vAlign w:val="center"/>
          </w:tcPr>
          <w:p>
            <w:pPr>
              <w:pStyle w:val="18"/>
              <w:spacing w:line="360" w:lineRule="auto"/>
              <w:jc w:val="center"/>
              <w:rPr>
                <w:rFonts w:hint="eastAsia" w:ascii="宋体" w:hAnsi="宋体" w:eastAsia="宋体" w:cs="宋体"/>
                <w:kern w:val="2"/>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vAlign w:val="center"/>
          </w:tcPr>
          <w:p>
            <w:pPr>
              <w:pStyle w:val="18"/>
              <w:spacing w:line="360" w:lineRule="auto"/>
              <w:jc w:val="center"/>
              <w:rPr>
                <w:rFonts w:hint="eastAsia" w:ascii="宋体" w:hAnsi="宋体" w:eastAsia="宋体" w:cs="宋体"/>
                <w:kern w:val="2"/>
                <w:sz w:val="21"/>
                <w:lang w:val="en-US" w:eastAsia="zh-CN"/>
              </w:rPr>
            </w:pPr>
            <w:r>
              <w:rPr>
                <w:rFonts w:hint="eastAsia" w:ascii="宋体" w:hAnsi="宋体" w:eastAsia="宋体" w:cs="宋体"/>
                <w:kern w:val="2"/>
                <w:sz w:val="21"/>
                <w:lang w:val="en-US" w:eastAsia="zh-CN"/>
              </w:rPr>
              <w:t>基本账户开户行及账号</w:t>
            </w:r>
          </w:p>
        </w:tc>
        <w:tc>
          <w:tcPr>
            <w:tcW w:w="3456" w:type="pct"/>
            <w:gridSpan w:val="3"/>
            <w:vAlign w:val="center"/>
          </w:tcPr>
          <w:p>
            <w:pPr>
              <w:pStyle w:val="18"/>
              <w:spacing w:line="360" w:lineRule="auto"/>
              <w:jc w:val="center"/>
              <w:rPr>
                <w:rFonts w:hint="eastAsia" w:ascii="宋体" w:hAnsi="宋体" w:eastAsia="宋体" w:cs="宋体"/>
                <w:kern w:val="2"/>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vAlign w:val="center"/>
          </w:tcPr>
          <w:p>
            <w:pPr>
              <w:pStyle w:val="18"/>
              <w:spacing w:line="360" w:lineRule="auto"/>
              <w:jc w:val="center"/>
              <w:rPr>
                <w:rFonts w:hint="eastAsia" w:ascii="宋体" w:hAnsi="宋体" w:eastAsia="宋体" w:cs="宋体"/>
                <w:kern w:val="2"/>
                <w:sz w:val="21"/>
                <w:lang w:val="en-US" w:eastAsia="zh-CN"/>
              </w:rPr>
            </w:pPr>
            <w:r>
              <w:rPr>
                <w:rFonts w:hint="eastAsia" w:ascii="宋体" w:hAnsi="宋体" w:eastAsia="宋体" w:cs="宋体"/>
                <w:kern w:val="2"/>
                <w:sz w:val="21"/>
                <w:lang w:val="en-US" w:eastAsia="zh-CN"/>
              </w:rPr>
              <w:t>税务登记机关</w:t>
            </w:r>
          </w:p>
        </w:tc>
        <w:tc>
          <w:tcPr>
            <w:tcW w:w="3456" w:type="pct"/>
            <w:gridSpan w:val="3"/>
            <w:vAlign w:val="center"/>
          </w:tcPr>
          <w:p>
            <w:pPr>
              <w:pStyle w:val="18"/>
              <w:spacing w:line="360" w:lineRule="auto"/>
              <w:jc w:val="center"/>
              <w:rPr>
                <w:rFonts w:hint="eastAsia" w:ascii="宋体" w:hAnsi="宋体" w:eastAsia="宋体" w:cs="宋体"/>
                <w:kern w:val="2"/>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44" w:type="pct"/>
            <w:gridSpan w:val="2"/>
            <w:vAlign w:val="center"/>
          </w:tcPr>
          <w:p>
            <w:pPr>
              <w:pStyle w:val="18"/>
              <w:spacing w:line="360" w:lineRule="auto"/>
              <w:jc w:val="center"/>
              <w:rPr>
                <w:rFonts w:hint="eastAsia" w:ascii="宋体" w:hAnsi="宋体" w:eastAsia="宋体" w:cs="宋体"/>
                <w:kern w:val="2"/>
                <w:sz w:val="21"/>
                <w:lang w:val="en-US" w:eastAsia="zh-CN"/>
              </w:rPr>
            </w:pPr>
            <w:r>
              <w:rPr>
                <w:rFonts w:hint="eastAsia" w:ascii="宋体" w:hAnsi="宋体" w:eastAsia="宋体" w:cs="宋体"/>
                <w:kern w:val="2"/>
                <w:sz w:val="21"/>
                <w:lang w:val="en-US" w:eastAsia="zh-CN"/>
              </w:rPr>
              <w:t>资质名称</w:t>
            </w:r>
          </w:p>
        </w:tc>
        <w:tc>
          <w:tcPr>
            <w:tcW w:w="905" w:type="pct"/>
            <w:vAlign w:val="center"/>
          </w:tcPr>
          <w:p>
            <w:pPr>
              <w:pStyle w:val="18"/>
              <w:spacing w:line="360" w:lineRule="auto"/>
              <w:jc w:val="center"/>
              <w:rPr>
                <w:rFonts w:hint="eastAsia" w:ascii="宋体" w:hAnsi="宋体" w:eastAsia="宋体" w:cs="宋体"/>
                <w:kern w:val="2"/>
                <w:sz w:val="21"/>
                <w:lang w:val="en-US" w:eastAsia="zh-CN"/>
              </w:rPr>
            </w:pPr>
            <w:r>
              <w:rPr>
                <w:rFonts w:hint="eastAsia" w:ascii="宋体" w:hAnsi="宋体" w:eastAsia="宋体" w:cs="宋体"/>
                <w:kern w:val="2"/>
                <w:sz w:val="21"/>
                <w:lang w:val="en-US" w:eastAsia="zh-CN"/>
              </w:rPr>
              <w:t>等级</w:t>
            </w:r>
          </w:p>
        </w:tc>
        <w:tc>
          <w:tcPr>
            <w:tcW w:w="987" w:type="pct"/>
            <w:vAlign w:val="center"/>
          </w:tcPr>
          <w:p>
            <w:pPr>
              <w:pStyle w:val="18"/>
              <w:spacing w:line="360" w:lineRule="auto"/>
              <w:jc w:val="center"/>
              <w:rPr>
                <w:rFonts w:hint="eastAsia" w:ascii="宋体" w:hAnsi="宋体" w:eastAsia="宋体" w:cs="宋体"/>
                <w:kern w:val="2"/>
                <w:sz w:val="21"/>
                <w:lang w:val="en-US" w:eastAsia="zh-CN"/>
              </w:rPr>
            </w:pPr>
            <w:r>
              <w:rPr>
                <w:rFonts w:hint="eastAsia" w:ascii="宋体" w:hAnsi="宋体" w:eastAsia="宋体" w:cs="宋体"/>
                <w:kern w:val="2"/>
                <w:sz w:val="21"/>
                <w:lang w:val="en-US" w:eastAsia="zh-CN"/>
              </w:rPr>
              <w:t>发证机关</w:t>
            </w:r>
          </w:p>
        </w:tc>
        <w:tc>
          <w:tcPr>
            <w:tcW w:w="1564" w:type="pct"/>
            <w:vAlign w:val="center"/>
          </w:tcPr>
          <w:p>
            <w:pPr>
              <w:pStyle w:val="18"/>
              <w:spacing w:line="360" w:lineRule="auto"/>
              <w:jc w:val="center"/>
              <w:rPr>
                <w:rFonts w:hint="eastAsia" w:ascii="宋体" w:hAnsi="宋体" w:eastAsia="宋体" w:cs="宋体"/>
                <w:kern w:val="2"/>
                <w:sz w:val="21"/>
                <w:lang w:val="en-US" w:eastAsia="zh-CN"/>
              </w:rPr>
            </w:pPr>
            <w:r>
              <w:rPr>
                <w:rFonts w:hint="eastAsia" w:ascii="宋体" w:hAnsi="宋体" w:eastAsia="宋体" w:cs="宋体"/>
                <w:kern w:val="2"/>
                <w:sz w:val="21"/>
                <w:lang w:val="en-US" w:eastAsia="zh-C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vAlign w:val="center"/>
          </w:tcPr>
          <w:p>
            <w:pPr>
              <w:pStyle w:val="18"/>
              <w:spacing w:line="360" w:lineRule="auto"/>
              <w:jc w:val="center"/>
              <w:rPr>
                <w:rFonts w:hint="eastAsia" w:ascii="宋体" w:hAnsi="宋体" w:eastAsia="宋体" w:cs="宋体"/>
                <w:kern w:val="2"/>
                <w:sz w:val="21"/>
                <w:lang w:val="en-US" w:eastAsia="zh-CN"/>
              </w:rPr>
            </w:pPr>
          </w:p>
        </w:tc>
        <w:tc>
          <w:tcPr>
            <w:tcW w:w="905" w:type="pct"/>
            <w:vAlign w:val="center"/>
          </w:tcPr>
          <w:p>
            <w:pPr>
              <w:pStyle w:val="18"/>
              <w:spacing w:line="360" w:lineRule="auto"/>
              <w:jc w:val="center"/>
              <w:rPr>
                <w:rFonts w:hint="eastAsia" w:ascii="宋体" w:hAnsi="宋体" w:eastAsia="宋体" w:cs="宋体"/>
                <w:kern w:val="2"/>
                <w:sz w:val="21"/>
                <w:lang w:val="en-US" w:eastAsia="zh-CN"/>
              </w:rPr>
            </w:pPr>
          </w:p>
        </w:tc>
        <w:tc>
          <w:tcPr>
            <w:tcW w:w="987" w:type="pct"/>
            <w:vAlign w:val="center"/>
          </w:tcPr>
          <w:p>
            <w:pPr>
              <w:pStyle w:val="18"/>
              <w:spacing w:line="360" w:lineRule="auto"/>
              <w:jc w:val="center"/>
              <w:rPr>
                <w:rFonts w:hint="eastAsia" w:ascii="宋体" w:hAnsi="宋体" w:eastAsia="宋体" w:cs="宋体"/>
                <w:kern w:val="2"/>
                <w:sz w:val="21"/>
                <w:lang w:val="en-US" w:eastAsia="zh-CN"/>
              </w:rPr>
            </w:pPr>
          </w:p>
        </w:tc>
        <w:tc>
          <w:tcPr>
            <w:tcW w:w="1564" w:type="pct"/>
            <w:vAlign w:val="center"/>
          </w:tcPr>
          <w:p>
            <w:pPr>
              <w:pStyle w:val="18"/>
              <w:spacing w:line="360" w:lineRule="auto"/>
              <w:jc w:val="center"/>
              <w:rPr>
                <w:rFonts w:hint="eastAsia" w:ascii="宋体" w:hAnsi="宋体" w:eastAsia="宋体" w:cs="宋体"/>
                <w:kern w:val="2"/>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vAlign w:val="center"/>
          </w:tcPr>
          <w:p>
            <w:pPr>
              <w:pStyle w:val="18"/>
              <w:spacing w:line="360" w:lineRule="auto"/>
              <w:jc w:val="center"/>
              <w:rPr>
                <w:rFonts w:hint="eastAsia" w:ascii="宋体" w:hAnsi="宋体" w:eastAsia="宋体" w:cs="宋体"/>
                <w:kern w:val="2"/>
                <w:sz w:val="21"/>
                <w:lang w:val="en-US" w:eastAsia="zh-CN"/>
              </w:rPr>
            </w:pPr>
          </w:p>
        </w:tc>
        <w:tc>
          <w:tcPr>
            <w:tcW w:w="905" w:type="pct"/>
            <w:vAlign w:val="center"/>
          </w:tcPr>
          <w:p>
            <w:pPr>
              <w:pStyle w:val="18"/>
              <w:spacing w:line="360" w:lineRule="auto"/>
              <w:jc w:val="center"/>
              <w:rPr>
                <w:rFonts w:hint="eastAsia" w:ascii="宋体" w:hAnsi="宋体" w:eastAsia="宋体" w:cs="宋体"/>
                <w:kern w:val="2"/>
                <w:sz w:val="21"/>
                <w:lang w:val="en-US" w:eastAsia="zh-CN"/>
              </w:rPr>
            </w:pPr>
          </w:p>
        </w:tc>
        <w:tc>
          <w:tcPr>
            <w:tcW w:w="987" w:type="pct"/>
            <w:vAlign w:val="center"/>
          </w:tcPr>
          <w:p>
            <w:pPr>
              <w:pStyle w:val="18"/>
              <w:spacing w:line="360" w:lineRule="auto"/>
              <w:jc w:val="center"/>
              <w:rPr>
                <w:rFonts w:hint="eastAsia" w:ascii="宋体" w:hAnsi="宋体" w:eastAsia="宋体" w:cs="宋体"/>
                <w:kern w:val="2"/>
                <w:sz w:val="21"/>
                <w:lang w:val="en-US" w:eastAsia="zh-CN"/>
              </w:rPr>
            </w:pPr>
          </w:p>
        </w:tc>
        <w:tc>
          <w:tcPr>
            <w:tcW w:w="1564" w:type="pct"/>
            <w:vAlign w:val="center"/>
          </w:tcPr>
          <w:p>
            <w:pPr>
              <w:pStyle w:val="18"/>
              <w:spacing w:line="360" w:lineRule="auto"/>
              <w:jc w:val="center"/>
              <w:rPr>
                <w:rFonts w:hint="eastAsia" w:ascii="宋体" w:hAnsi="宋体" w:eastAsia="宋体" w:cs="宋体"/>
                <w:kern w:val="2"/>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vAlign w:val="center"/>
          </w:tcPr>
          <w:p>
            <w:pPr>
              <w:pStyle w:val="18"/>
              <w:spacing w:line="360" w:lineRule="auto"/>
              <w:jc w:val="center"/>
              <w:rPr>
                <w:rFonts w:hint="eastAsia" w:ascii="宋体" w:hAnsi="宋体" w:eastAsia="宋体" w:cs="宋体"/>
                <w:kern w:val="2"/>
                <w:sz w:val="21"/>
                <w:lang w:val="en-US" w:eastAsia="zh-CN"/>
              </w:rPr>
            </w:pPr>
            <w:r>
              <w:rPr>
                <w:rFonts w:hint="eastAsia" w:ascii="宋体" w:hAnsi="宋体" w:eastAsia="宋体" w:cs="宋体"/>
                <w:kern w:val="2"/>
                <w:sz w:val="21"/>
                <w:lang w:val="en-US" w:eastAsia="zh-CN"/>
              </w:rPr>
              <w:t>备注</w:t>
            </w:r>
          </w:p>
        </w:tc>
        <w:tc>
          <w:tcPr>
            <w:tcW w:w="3785" w:type="pct"/>
            <w:gridSpan w:val="4"/>
            <w:vAlign w:val="center"/>
          </w:tcPr>
          <w:p>
            <w:pPr>
              <w:pStyle w:val="18"/>
              <w:spacing w:line="360" w:lineRule="auto"/>
              <w:jc w:val="center"/>
              <w:rPr>
                <w:rFonts w:hint="eastAsia" w:ascii="宋体" w:hAnsi="宋体" w:eastAsia="宋体" w:cs="宋体"/>
                <w:kern w:val="2"/>
                <w:sz w:val="21"/>
                <w:lang w:val="en-US" w:eastAsia="zh-CN"/>
              </w:rPr>
            </w:pPr>
          </w:p>
        </w:tc>
      </w:tr>
    </w:tbl>
    <w:p>
      <w:pPr>
        <w:topLinePunct/>
        <w:autoSpaceDE w:val="0"/>
        <w:autoSpaceDN w:val="0"/>
        <w:spacing w:line="360" w:lineRule="auto"/>
        <w:rPr>
          <w:rFonts w:hint="eastAsia" w:ascii="宋体" w:hAnsi="宋体" w:eastAsia="宋体" w:cs="宋体"/>
          <w:sz w:val="24"/>
        </w:rPr>
      </w:pPr>
    </w:p>
    <w:p>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kern w:val="0"/>
          <w:szCs w:val="21"/>
        </w:rPr>
        <w:t>（全称并加盖公章</w:t>
      </w:r>
      <w:r>
        <w:rPr>
          <w:rFonts w:hint="eastAsia" w:ascii="宋体" w:hAnsi="宋体" w:eastAsia="宋体" w:cs="宋体"/>
          <w:szCs w:val="21"/>
        </w:rPr>
        <w:t>）：</w:t>
      </w:r>
      <w:r>
        <w:rPr>
          <w:rFonts w:hint="eastAsia" w:ascii="宋体" w:hAnsi="宋体" w:eastAsia="宋体" w:cs="宋体"/>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kern w:val="0"/>
          <w:szCs w:val="21"/>
        </w:rPr>
        <w:t>投标人代表（签字或盖章）</w:t>
      </w:r>
      <w:r>
        <w:rPr>
          <w:rFonts w:hint="eastAsia" w:ascii="宋体" w:hAnsi="宋体" w:eastAsia="宋体" w:cs="宋体"/>
          <w:szCs w:val="21"/>
        </w:rPr>
        <w:t>：</w:t>
      </w:r>
      <w:r>
        <w:rPr>
          <w:rFonts w:hint="eastAsia" w:ascii="宋体" w:hAnsi="宋体" w:eastAsia="宋体" w:cs="宋体"/>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p>
    <w:p>
      <w:pPr>
        <w:pStyle w:val="18"/>
        <w:spacing w:line="360" w:lineRule="auto"/>
        <w:ind w:firstLine="420" w:firstLineChars="200"/>
        <w:rPr>
          <w:rFonts w:hint="eastAsia" w:ascii="宋体" w:hAnsi="宋体" w:eastAsia="宋体" w:cs="宋体"/>
          <w:sz w:val="21"/>
        </w:rPr>
      </w:pPr>
    </w:p>
    <w:p>
      <w:pPr>
        <w:widowControl/>
        <w:spacing w:line="360" w:lineRule="auto"/>
        <w:jc w:val="center"/>
        <w:outlineLvl w:val="2"/>
        <w:rPr>
          <w:rFonts w:hint="eastAsia" w:ascii="宋体" w:hAnsi="宋体" w:eastAsia="宋体" w:cs="宋体"/>
          <w:b/>
          <w:bCs/>
          <w:sz w:val="28"/>
          <w:szCs w:val="28"/>
        </w:rPr>
      </w:pPr>
      <w:r>
        <w:rPr>
          <w:rFonts w:hint="eastAsia" w:ascii="宋体" w:hAnsi="宋体" w:eastAsia="宋体" w:cs="宋体"/>
          <w:b/>
          <w:bCs/>
          <w:sz w:val="36"/>
          <w:szCs w:val="36"/>
        </w:rPr>
        <w:br w:type="page"/>
      </w:r>
      <w:bookmarkStart w:id="82" w:name="_Toc13773"/>
      <w:r>
        <w:rPr>
          <w:rFonts w:hint="eastAsia" w:ascii="宋体" w:hAnsi="宋体" w:eastAsia="宋体" w:cs="宋体"/>
          <w:b/>
          <w:bCs/>
          <w:sz w:val="28"/>
          <w:szCs w:val="28"/>
        </w:rPr>
        <w:t xml:space="preserve">5-2 </w:t>
      </w:r>
      <w:r>
        <w:rPr>
          <w:rFonts w:hint="eastAsia" w:ascii="宋体" w:hAnsi="宋体" w:eastAsia="宋体" w:cs="宋体"/>
          <w:b/>
          <w:bCs/>
          <w:sz w:val="28"/>
          <w:szCs w:val="28"/>
          <w:lang w:val="en-US" w:eastAsia="zh-CN"/>
        </w:rPr>
        <w:t>营业执照</w:t>
      </w:r>
    </w:p>
    <w:p>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根据资格条件要求提供相应材料。</w:t>
      </w:r>
    </w:p>
    <w:p>
      <w:pPr>
        <w:spacing w:line="360" w:lineRule="auto"/>
        <w:ind w:firstLine="480" w:firstLineChars="200"/>
        <w:jc w:val="left"/>
        <w:rPr>
          <w:rFonts w:hint="eastAsia" w:ascii="宋体" w:hAnsi="宋体" w:eastAsia="宋体" w:cs="宋体"/>
          <w:kern w:val="0"/>
          <w:sz w:val="24"/>
        </w:rPr>
      </w:pPr>
    </w:p>
    <w:p>
      <w:pPr>
        <w:spacing w:line="360" w:lineRule="auto"/>
        <w:ind w:firstLine="480" w:firstLineChars="200"/>
        <w:jc w:val="left"/>
        <w:rPr>
          <w:rFonts w:hint="eastAsia" w:ascii="宋体" w:hAnsi="宋体" w:eastAsia="宋体" w:cs="宋体"/>
          <w:kern w:val="0"/>
          <w:sz w:val="24"/>
        </w:rPr>
      </w:pPr>
    </w:p>
    <w:p>
      <w:pPr>
        <w:widowControl/>
        <w:spacing w:line="360" w:lineRule="auto"/>
        <w:jc w:val="center"/>
        <w:outlineLvl w:val="2"/>
        <w:rPr>
          <w:rFonts w:hint="eastAsia" w:ascii="宋体" w:hAnsi="宋体" w:eastAsia="宋体" w:cs="宋体"/>
          <w:b/>
          <w:bCs/>
          <w:sz w:val="28"/>
          <w:szCs w:val="28"/>
        </w:rPr>
      </w:pPr>
      <w:r>
        <w:rPr>
          <w:rFonts w:hint="eastAsia" w:ascii="宋体" w:hAnsi="宋体" w:eastAsia="宋体" w:cs="宋体"/>
          <w:b/>
          <w:bCs/>
          <w:sz w:val="28"/>
          <w:szCs w:val="28"/>
        </w:rPr>
        <w:t>5-</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 xml:space="preserve"> 财务状况报告</w:t>
      </w:r>
      <w:bookmarkEnd w:id="82"/>
    </w:p>
    <w:p>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根据资格条件要求提供相应材料。</w:t>
      </w:r>
    </w:p>
    <w:p>
      <w:pPr>
        <w:spacing w:line="360" w:lineRule="auto"/>
        <w:ind w:firstLine="480" w:firstLineChars="200"/>
        <w:jc w:val="left"/>
        <w:rPr>
          <w:rFonts w:hint="eastAsia" w:ascii="宋体" w:hAnsi="宋体" w:eastAsia="宋体" w:cs="宋体"/>
          <w:kern w:val="0"/>
          <w:sz w:val="24"/>
        </w:rPr>
      </w:pPr>
    </w:p>
    <w:p>
      <w:pPr>
        <w:spacing w:line="360" w:lineRule="auto"/>
        <w:ind w:firstLine="480" w:firstLineChars="200"/>
        <w:jc w:val="left"/>
        <w:rPr>
          <w:rFonts w:hint="eastAsia" w:ascii="宋体" w:hAnsi="宋体" w:eastAsia="宋体" w:cs="宋体"/>
          <w:kern w:val="0"/>
          <w:sz w:val="24"/>
        </w:rPr>
      </w:pPr>
    </w:p>
    <w:p>
      <w:pPr>
        <w:spacing w:line="360" w:lineRule="auto"/>
        <w:jc w:val="center"/>
        <w:outlineLvl w:val="2"/>
        <w:rPr>
          <w:rFonts w:hint="eastAsia" w:ascii="宋体" w:hAnsi="宋体" w:eastAsia="宋体" w:cs="宋体"/>
          <w:b/>
          <w:bCs/>
          <w:sz w:val="28"/>
          <w:szCs w:val="28"/>
        </w:rPr>
      </w:pPr>
      <w:bookmarkStart w:id="83" w:name="_Toc16465"/>
      <w:r>
        <w:rPr>
          <w:rFonts w:hint="eastAsia" w:ascii="宋体" w:hAnsi="宋体" w:eastAsia="宋体" w:cs="宋体"/>
          <w:b/>
          <w:bCs/>
          <w:sz w:val="28"/>
          <w:szCs w:val="28"/>
        </w:rPr>
        <w:t>5-</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依法缴纳税收的相关材料</w:t>
      </w:r>
      <w:bookmarkEnd w:id="83"/>
    </w:p>
    <w:p>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根据资格条件要求提供相应材料。</w:t>
      </w:r>
    </w:p>
    <w:p>
      <w:pPr>
        <w:spacing w:line="360" w:lineRule="auto"/>
        <w:ind w:firstLine="480" w:firstLineChars="200"/>
        <w:jc w:val="left"/>
        <w:rPr>
          <w:rFonts w:hint="eastAsia" w:ascii="宋体" w:hAnsi="宋体" w:eastAsia="宋体" w:cs="宋体"/>
          <w:kern w:val="0"/>
          <w:sz w:val="24"/>
        </w:rPr>
      </w:pPr>
    </w:p>
    <w:p>
      <w:pPr>
        <w:spacing w:line="360" w:lineRule="auto"/>
        <w:ind w:firstLine="480" w:firstLineChars="200"/>
        <w:jc w:val="left"/>
        <w:rPr>
          <w:rFonts w:hint="eastAsia" w:ascii="宋体" w:hAnsi="宋体" w:eastAsia="宋体" w:cs="宋体"/>
          <w:kern w:val="0"/>
          <w:sz w:val="24"/>
        </w:rPr>
      </w:pPr>
    </w:p>
    <w:p>
      <w:pPr>
        <w:spacing w:line="360" w:lineRule="auto"/>
        <w:jc w:val="center"/>
        <w:outlineLvl w:val="2"/>
        <w:rPr>
          <w:rFonts w:hint="eastAsia" w:ascii="宋体" w:hAnsi="宋体" w:eastAsia="宋体" w:cs="宋体"/>
          <w:b/>
          <w:bCs/>
          <w:sz w:val="28"/>
          <w:szCs w:val="28"/>
        </w:rPr>
      </w:pPr>
      <w:bookmarkStart w:id="84" w:name="_Toc25690"/>
      <w:r>
        <w:rPr>
          <w:rFonts w:hint="eastAsia" w:ascii="宋体" w:hAnsi="宋体" w:eastAsia="宋体" w:cs="宋体"/>
          <w:b/>
          <w:bCs/>
          <w:sz w:val="28"/>
          <w:szCs w:val="28"/>
        </w:rPr>
        <w:t>5-</w:t>
      </w: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依法缴纳社会保障资金的相关材料</w:t>
      </w:r>
      <w:bookmarkEnd w:id="84"/>
    </w:p>
    <w:p>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根据资格条件要求提供相应材料。</w:t>
      </w:r>
    </w:p>
    <w:p>
      <w:pPr>
        <w:spacing w:line="360" w:lineRule="auto"/>
        <w:ind w:firstLine="480" w:firstLineChars="200"/>
        <w:jc w:val="left"/>
        <w:rPr>
          <w:rFonts w:hint="eastAsia" w:ascii="宋体" w:hAnsi="宋体" w:eastAsia="宋体" w:cs="宋体"/>
          <w:kern w:val="0"/>
          <w:sz w:val="24"/>
        </w:rPr>
      </w:pPr>
    </w:p>
    <w:p>
      <w:pPr>
        <w:spacing w:line="360" w:lineRule="auto"/>
        <w:ind w:firstLine="480" w:firstLineChars="200"/>
        <w:jc w:val="left"/>
        <w:rPr>
          <w:rFonts w:hint="eastAsia" w:ascii="宋体" w:hAnsi="宋体" w:eastAsia="宋体" w:cs="宋体"/>
          <w:kern w:val="0"/>
          <w:sz w:val="24"/>
        </w:rPr>
      </w:pPr>
    </w:p>
    <w:p>
      <w:pPr>
        <w:spacing w:line="360" w:lineRule="auto"/>
        <w:jc w:val="center"/>
        <w:outlineLvl w:val="2"/>
        <w:rPr>
          <w:rFonts w:hint="eastAsia" w:ascii="宋体" w:hAnsi="宋体" w:eastAsia="宋体" w:cs="宋体"/>
          <w:b/>
          <w:bCs/>
          <w:sz w:val="28"/>
          <w:szCs w:val="28"/>
          <w:lang w:val="en-US" w:eastAsia="zh-CN"/>
        </w:rPr>
      </w:pPr>
      <w:bookmarkStart w:id="85" w:name="_Toc10738"/>
      <w:r>
        <w:rPr>
          <w:rFonts w:hint="eastAsia" w:ascii="宋体" w:hAnsi="宋体" w:eastAsia="宋体" w:cs="宋体"/>
          <w:b/>
          <w:bCs/>
          <w:sz w:val="28"/>
          <w:szCs w:val="28"/>
        </w:rPr>
        <w:t>5-</w:t>
      </w:r>
      <w:r>
        <w:rPr>
          <w:rFonts w:hint="eastAsia" w:ascii="宋体" w:hAnsi="宋体" w:eastAsia="宋体" w:cs="宋体"/>
          <w:b/>
          <w:bCs/>
          <w:sz w:val="28"/>
          <w:szCs w:val="28"/>
          <w:lang w:val="en-US" w:eastAsia="zh-CN"/>
        </w:rPr>
        <w:t>6</w:t>
      </w:r>
      <w:r>
        <w:rPr>
          <w:rFonts w:hint="eastAsia" w:ascii="宋体" w:hAnsi="宋体" w:eastAsia="宋体" w:cs="宋体"/>
          <w:b/>
          <w:bCs/>
          <w:sz w:val="28"/>
          <w:szCs w:val="28"/>
        </w:rPr>
        <w:t>具备履行合同所必需的设备和专业技术能力的</w:t>
      </w:r>
      <w:bookmarkEnd w:id="85"/>
      <w:r>
        <w:rPr>
          <w:rFonts w:hint="eastAsia" w:ascii="宋体" w:hAnsi="宋体" w:eastAsia="宋体" w:cs="宋体"/>
          <w:b/>
          <w:bCs/>
          <w:sz w:val="28"/>
          <w:szCs w:val="28"/>
          <w:lang w:val="en-US" w:eastAsia="zh-CN"/>
        </w:rPr>
        <w:t>声明函</w:t>
      </w:r>
    </w:p>
    <w:p>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根据资格条件要求提供相应材料。</w:t>
      </w:r>
    </w:p>
    <w:p>
      <w:pPr>
        <w:adjustRightInd w:val="0"/>
        <w:snapToGrid w:val="0"/>
        <w:spacing w:line="360" w:lineRule="auto"/>
        <w:jc w:val="center"/>
        <w:outlineLvl w:val="2"/>
        <w:rPr>
          <w:rFonts w:hint="eastAsia" w:ascii="宋体" w:hAnsi="宋体" w:eastAsia="宋体" w:cs="宋体"/>
          <w:b/>
          <w:bCs/>
          <w:sz w:val="28"/>
          <w:szCs w:val="28"/>
        </w:rPr>
      </w:pPr>
      <w:r>
        <w:rPr>
          <w:rFonts w:hint="eastAsia" w:ascii="宋体" w:hAnsi="宋体" w:eastAsia="宋体" w:cs="宋体"/>
          <w:b/>
          <w:bCs/>
          <w:sz w:val="36"/>
          <w:szCs w:val="36"/>
        </w:rPr>
        <w:br w:type="page"/>
      </w:r>
      <w:bookmarkStart w:id="86" w:name="_Toc3778"/>
      <w:r>
        <w:rPr>
          <w:rFonts w:hint="eastAsia" w:ascii="宋体" w:hAnsi="宋体" w:eastAsia="宋体" w:cs="宋体"/>
          <w:b/>
          <w:bCs/>
          <w:sz w:val="28"/>
          <w:szCs w:val="28"/>
        </w:rPr>
        <w:t>5-</w:t>
      </w:r>
      <w:r>
        <w:rPr>
          <w:rFonts w:hint="eastAsia" w:ascii="宋体" w:hAnsi="宋体" w:eastAsia="宋体" w:cs="宋体"/>
          <w:b/>
          <w:bCs/>
          <w:sz w:val="28"/>
          <w:szCs w:val="28"/>
          <w:lang w:val="en-US" w:eastAsia="zh-CN"/>
        </w:rPr>
        <w:t>7</w:t>
      </w:r>
      <w:r>
        <w:rPr>
          <w:rFonts w:hint="eastAsia" w:ascii="宋体" w:hAnsi="宋体" w:eastAsia="宋体" w:cs="宋体"/>
          <w:b/>
          <w:bCs/>
          <w:sz w:val="28"/>
          <w:szCs w:val="28"/>
        </w:rPr>
        <w:t>参加本次政府采购活动前三年内在经营活动中</w:t>
      </w:r>
      <w:bookmarkEnd w:id="86"/>
    </w:p>
    <w:p>
      <w:pPr>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没有重大违法记录的书面声明</w:t>
      </w:r>
    </w:p>
    <w:p>
      <w:pPr>
        <w:spacing w:line="360" w:lineRule="auto"/>
        <w:ind w:firstLine="420" w:firstLineChars="200"/>
        <w:rPr>
          <w:rFonts w:hint="eastAsia" w:ascii="宋体" w:hAnsi="宋体" w:eastAsia="宋体" w:cs="宋体"/>
        </w:rPr>
      </w:pPr>
    </w:p>
    <w:p>
      <w:pPr>
        <w:spacing w:line="360" w:lineRule="auto"/>
        <w:rPr>
          <w:rFonts w:hint="eastAsia" w:ascii="宋体" w:hAnsi="宋体" w:eastAsia="宋体" w:cs="宋体"/>
        </w:rPr>
      </w:pPr>
      <w:r>
        <w:rPr>
          <w:rFonts w:hint="eastAsia" w:ascii="宋体" w:hAnsi="宋体" w:eastAsia="宋体" w:cs="宋体"/>
        </w:rPr>
        <w:t>致________（采购人或采购代理机构）：</w:t>
      </w:r>
    </w:p>
    <w:p>
      <w:pPr>
        <w:spacing w:line="360" w:lineRule="auto"/>
        <w:ind w:firstLine="420" w:firstLineChars="200"/>
        <w:rPr>
          <w:rFonts w:hint="eastAsia" w:ascii="宋体" w:hAnsi="宋体" w:eastAsia="宋体" w:cs="宋体"/>
        </w:rPr>
      </w:pPr>
      <w:r>
        <w:rPr>
          <w:rFonts w:hint="eastAsia" w:ascii="宋体" w:hAnsi="宋体" w:eastAsia="宋体" w:cs="宋体"/>
        </w:rPr>
        <w:t>我单位在参加本次采购活动前三年内在经营活动中没有《政府采购法》第二十二条第一款第（五）项所称重大违法记录，包括：</w:t>
      </w:r>
    </w:p>
    <w:p>
      <w:pPr>
        <w:spacing w:line="360" w:lineRule="auto"/>
        <w:ind w:firstLine="420" w:firstLineChars="200"/>
        <w:rPr>
          <w:rFonts w:hint="eastAsia" w:ascii="宋体" w:hAnsi="宋体" w:eastAsia="宋体" w:cs="宋体"/>
        </w:rPr>
      </w:pPr>
      <w:r>
        <w:rPr>
          <w:rFonts w:hint="eastAsia" w:ascii="宋体" w:hAnsi="宋体" w:eastAsia="宋体" w:cs="宋体"/>
        </w:rPr>
        <w:t>我单位未因经营活动中的违法行为受到刑事处罚或者责令停产停业、吊销许可证或者执照、较大数额罚款等行政处罚。</w:t>
      </w:r>
    </w:p>
    <w:p>
      <w:pPr>
        <w:spacing w:line="360" w:lineRule="auto"/>
        <w:ind w:firstLine="420" w:firstLineChars="200"/>
        <w:rPr>
          <w:rFonts w:hint="eastAsia" w:ascii="宋体" w:hAnsi="宋体" w:eastAsia="宋体" w:cs="宋体"/>
        </w:rPr>
      </w:pPr>
      <w:r>
        <w:rPr>
          <w:rFonts w:hint="eastAsia" w:ascii="宋体" w:hAnsi="宋体" w:eastAsia="宋体" w:cs="宋体"/>
        </w:rPr>
        <w:t>特此声明！</w:t>
      </w: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r>
        <w:rPr>
          <w:rFonts w:hint="eastAsia" w:ascii="宋体" w:hAnsi="宋体" w:eastAsia="宋体" w:cs="宋体"/>
        </w:rPr>
        <w:t>（请投标人根据实际情况如实声明，否则视为提供虚假材料。）</w:t>
      </w: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r>
        <w:rPr>
          <w:rFonts w:hint="eastAsia" w:ascii="宋体" w:hAnsi="宋体" w:eastAsia="宋体" w:cs="宋体"/>
        </w:rPr>
        <w:t xml:space="preserve">投标人（全称并加盖公章）：             </w:t>
      </w:r>
    </w:p>
    <w:p>
      <w:pPr>
        <w:spacing w:line="360" w:lineRule="auto"/>
        <w:ind w:firstLine="420" w:firstLineChars="200"/>
        <w:rPr>
          <w:rFonts w:hint="eastAsia" w:ascii="宋体" w:hAnsi="宋体" w:eastAsia="宋体" w:cs="宋体"/>
        </w:rPr>
      </w:pPr>
      <w:r>
        <w:rPr>
          <w:rFonts w:hint="eastAsia" w:ascii="宋体" w:hAnsi="宋体" w:eastAsia="宋体" w:cs="宋体"/>
        </w:rPr>
        <w:t xml:space="preserve">投标人代表（签字或盖章）：             </w:t>
      </w:r>
    </w:p>
    <w:p>
      <w:pPr>
        <w:spacing w:line="360" w:lineRule="auto"/>
        <w:ind w:firstLine="420" w:firstLineChars="200"/>
        <w:rPr>
          <w:rFonts w:hint="eastAsia" w:ascii="宋体" w:hAnsi="宋体" w:eastAsia="宋体" w:cs="宋体"/>
        </w:rPr>
      </w:pPr>
      <w:r>
        <w:rPr>
          <w:rFonts w:hint="eastAsia" w:ascii="宋体" w:hAnsi="宋体" w:eastAsia="宋体" w:cs="宋体"/>
        </w:rPr>
        <w:t xml:space="preserve">日期：                                 </w:t>
      </w:r>
    </w:p>
    <w:p>
      <w:pPr>
        <w:spacing w:line="360" w:lineRule="auto"/>
        <w:jc w:val="center"/>
        <w:outlineLvl w:val="2"/>
        <w:rPr>
          <w:rFonts w:hint="eastAsia" w:ascii="宋体" w:hAnsi="宋体" w:eastAsia="宋体" w:cs="宋体"/>
          <w:b/>
          <w:bCs/>
          <w:sz w:val="28"/>
          <w:szCs w:val="28"/>
          <w:lang w:val="en-US" w:eastAsia="zh-CN"/>
        </w:rPr>
      </w:pPr>
      <w:r>
        <w:rPr>
          <w:rFonts w:hint="eastAsia" w:ascii="宋体" w:hAnsi="宋体" w:eastAsia="宋体" w:cs="宋体"/>
          <w:szCs w:val="21"/>
        </w:rPr>
        <w:br w:type="page"/>
      </w:r>
      <w:r>
        <w:rPr>
          <w:rFonts w:hint="eastAsia" w:ascii="宋体" w:hAnsi="宋体" w:eastAsia="宋体" w:cs="宋体"/>
          <w:b/>
          <w:bCs/>
          <w:sz w:val="28"/>
          <w:szCs w:val="28"/>
        </w:rPr>
        <w:t>5-</w:t>
      </w:r>
      <w:r>
        <w:rPr>
          <w:rFonts w:hint="eastAsia" w:ascii="宋体" w:hAnsi="宋体" w:eastAsia="宋体" w:cs="宋体"/>
          <w:b/>
          <w:bCs/>
          <w:sz w:val="28"/>
          <w:szCs w:val="28"/>
          <w:lang w:val="en-US" w:eastAsia="zh-CN"/>
        </w:rPr>
        <w:t>8</w:t>
      </w:r>
      <w:r>
        <w:rPr>
          <w:rFonts w:hint="eastAsia" w:ascii="宋体" w:hAnsi="宋体" w:eastAsia="宋体" w:cs="宋体"/>
          <w:b/>
          <w:bCs/>
          <w:sz w:val="28"/>
          <w:szCs w:val="28"/>
        </w:rPr>
        <w:t>具备法律、行政法规规定的其他条件的证明材料</w:t>
      </w:r>
    </w:p>
    <w:p>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根据资格条件要求提供相应材料。</w:t>
      </w:r>
    </w:p>
    <w:p>
      <w:pPr>
        <w:widowControl/>
        <w:spacing w:line="360" w:lineRule="auto"/>
        <w:jc w:val="center"/>
        <w:outlineLvl w:val="2"/>
        <w:rPr>
          <w:rFonts w:hint="eastAsia" w:ascii="宋体" w:hAnsi="宋体" w:eastAsia="宋体" w:cs="宋体"/>
          <w:b/>
          <w:bCs/>
          <w:sz w:val="28"/>
          <w:szCs w:val="28"/>
        </w:rPr>
      </w:pPr>
      <w:r>
        <w:rPr>
          <w:rFonts w:hint="eastAsia" w:ascii="宋体" w:hAnsi="宋体" w:eastAsia="宋体" w:cs="宋体"/>
          <w:b/>
          <w:bCs/>
          <w:sz w:val="36"/>
          <w:szCs w:val="36"/>
        </w:rPr>
        <w:br w:type="page"/>
      </w:r>
      <w:bookmarkStart w:id="87" w:name="_Toc20480"/>
      <w:r>
        <w:rPr>
          <w:rFonts w:hint="eastAsia" w:ascii="宋体" w:hAnsi="宋体" w:eastAsia="宋体" w:cs="宋体"/>
          <w:b/>
          <w:bCs/>
          <w:sz w:val="28"/>
          <w:szCs w:val="28"/>
        </w:rPr>
        <w:t>5-</w:t>
      </w:r>
      <w:r>
        <w:rPr>
          <w:rFonts w:hint="eastAsia" w:ascii="宋体" w:hAnsi="宋体" w:eastAsia="宋体" w:cs="宋体"/>
          <w:b/>
          <w:bCs/>
          <w:sz w:val="28"/>
          <w:szCs w:val="28"/>
          <w:lang w:val="en-US" w:eastAsia="zh-CN"/>
        </w:rPr>
        <w:t>9</w:t>
      </w:r>
      <w:r>
        <w:rPr>
          <w:rFonts w:hint="eastAsia" w:ascii="宋体" w:hAnsi="宋体" w:eastAsia="宋体" w:cs="宋体"/>
          <w:b/>
          <w:bCs/>
          <w:sz w:val="28"/>
          <w:szCs w:val="28"/>
        </w:rPr>
        <w:t>联合体协议（若有）</w:t>
      </w:r>
      <w:bookmarkEnd w:id="87"/>
    </w:p>
    <w:p>
      <w:pPr>
        <w:pStyle w:val="18"/>
        <w:topLinePunct/>
        <w:autoSpaceDE w:val="0"/>
        <w:autoSpaceDN w:val="0"/>
        <w:snapToGrid w:val="0"/>
        <w:spacing w:line="360" w:lineRule="auto"/>
        <w:jc w:val="center"/>
        <w:rPr>
          <w:rFonts w:hint="eastAsia" w:ascii="宋体" w:hAnsi="宋体" w:eastAsia="宋体" w:cs="宋体"/>
          <w:b/>
          <w:w w:val="150"/>
          <w:sz w:val="24"/>
        </w:rPr>
      </w:pPr>
    </w:p>
    <w:p>
      <w:pPr>
        <w:spacing w:line="360" w:lineRule="auto"/>
        <w:rPr>
          <w:rFonts w:hint="eastAsia" w:ascii="宋体" w:hAnsi="宋体" w:eastAsia="宋体" w:cs="宋体"/>
        </w:rPr>
      </w:pPr>
      <w:r>
        <w:rPr>
          <w:rFonts w:hint="eastAsia" w:ascii="宋体" w:hAnsi="宋体" w:eastAsia="宋体" w:cs="宋体"/>
        </w:rPr>
        <w:t>致________（采购人或采购代理机构）：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经研究，我方决定自愿组成联合体共同参加____________(项目名称、项目编号)项目的投标。现就联合体投标事宜订立如下协议：</w:t>
      </w:r>
    </w:p>
    <w:p>
      <w:pPr>
        <w:spacing w:line="360" w:lineRule="auto"/>
        <w:ind w:firstLine="420" w:firstLineChars="200"/>
        <w:outlineLvl w:val="9"/>
        <w:rPr>
          <w:rFonts w:hint="eastAsia" w:ascii="宋体" w:hAnsi="宋体" w:eastAsia="宋体" w:cs="宋体"/>
          <w:szCs w:val="21"/>
        </w:rPr>
      </w:pPr>
      <w:r>
        <w:rPr>
          <w:rFonts w:hint="eastAsia" w:ascii="宋体" w:hAnsi="宋体" w:eastAsia="宋体" w:cs="宋体"/>
          <w:szCs w:val="21"/>
        </w:rPr>
        <w:t>一、联合体成员：</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1.____________________</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2.____________________</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3.____________________</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二、____________(某成员单位名称)为____________(联合体名称)牵头人。</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四、联合体将严格按照招标文件的各项要求，递交投标文件，参加投标，履行中标义务和中标后的合同，并向采购人承担连带责任。</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五、联合体各成员单位内部的职责分工如下：____________。按照本条上述分工，联合体成员单位各自所承担的合同工作量比例如下：____________。</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六、本协议书自签署之日起生效，合同履行完毕后自动失效。</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七、本协议书一式______份，联合体成员和采购人各执一份。</w:t>
      </w:r>
    </w:p>
    <w:p>
      <w:pPr>
        <w:spacing w:line="360" w:lineRule="auto"/>
        <w:ind w:firstLine="420" w:firstLineChars="200"/>
        <w:rPr>
          <w:rFonts w:hint="eastAsia" w:ascii="宋体" w:hAnsi="宋体" w:eastAsia="宋体" w:cs="宋体"/>
          <w:szCs w:val="21"/>
        </w:rPr>
      </w:pP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牵头人名称(公章)：____________</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法定代表人或其授权代表(签字或盖章)：____________</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成员名称(公章)：____________</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法定代表人或其授权代表(签字或盖章)：____________</w:t>
      </w:r>
    </w:p>
    <w:p>
      <w:pPr>
        <w:spacing w:line="360" w:lineRule="auto"/>
        <w:ind w:firstLine="420" w:firstLineChars="200"/>
        <w:rPr>
          <w:rFonts w:hint="eastAsia" w:ascii="宋体" w:hAnsi="宋体" w:eastAsia="宋体" w:cs="宋体"/>
          <w:szCs w:val="21"/>
        </w:rPr>
      </w:pPr>
    </w:p>
    <w:p>
      <w:pPr>
        <w:spacing w:line="360" w:lineRule="auto"/>
        <w:ind w:firstLine="420" w:firstLineChars="200"/>
        <w:jc w:val="right"/>
        <w:rPr>
          <w:rFonts w:hint="eastAsia" w:ascii="宋体" w:hAnsi="宋体" w:eastAsia="宋体" w:cs="宋体"/>
          <w:szCs w:val="21"/>
        </w:rPr>
      </w:pPr>
      <w:r>
        <w:rPr>
          <w:rFonts w:hint="eastAsia" w:ascii="宋体" w:hAnsi="宋体" w:eastAsia="宋体" w:cs="宋体"/>
          <w:szCs w:val="21"/>
        </w:rPr>
        <w:t>______年____月____日</w:t>
      </w:r>
    </w:p>
    <w:p>
      <w:pPr>
        <w:spacing w:line="360" w:lineRule="auto"/>
        <w:ind w:firstLine="420" w:firstLineChars="200"/>
        <w:rPr>
          <w:rFonts w:hint="eastAsia" w:ascii="宋体" w:hAnsi="宋体" w:eastAsia="宋体" w:cs="宋体"/>
          <w:szCs w:val="21"/>
        </w:rPr>
      </w:pP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备注：本协议书由授权代表签字的，应附法定代表人签字的授权委托书。</w:t>
      </w:r>
    </w:p>
    <w:p>
      <w:pPr>
        <w:widowControl/>
        <w:spacing w:line="360" w:lineRule="auto"/>
        <w:jc w:val="center"/>
        <w:outlineLvl w:val="2"/>
        <w:rPr>
          <w:rFonts w:hint="eastAsia" w:ascii="宋体" w:hAnsi="宋体" w:eastAsia="宋体" w:cs="宋体"/>
          <w:b/>
          <w:bCs/>
          <w:sz w:val="28"/>
          <w:szCs w:val="28"/>
        </w:rPr>
      </w:pPr>
      <w:r>
        <w:rPr>
          <w:rFonts w:hint="eastAsia" w:ascii="宋体" w:hAnsi="宋体" w:eastAsia="宋体" w:cs="宋体"/>
          <w:szCs w:val="21"/>
        </w:rPr>
        <w:br w:type="page"/>
      </w:r>
      <w:bookmarkStart w:id="88" w:name="_Toc30158"/>
      <w:r>
        <w:rPr>
          <w:rFonts w:hint="eastAsia" w:ascii="宋体" w:hAnsi="宋体" w:eastAsia="宋体" w:cs="宋体"/>
          <w:b/>
          <w:bCs/>
          <w:sz w:val="28"/>
          <w:szCs w:val="28"/>
        </w:rPr>
        <w:t>5-</w:t>
      </w:r>
      <w:r>
        <w:rPr>
          <w:rFonts w:hint="eastAsia" w:ascii="宋体" w:hAnsi="宋体" w:eastAsia="宋体" w:cs="宋体"/>
          <w:b/>
          <w:bCs/>
          <w:sz w:val="28"/>
          <w:szCs w:val="28"/>
          <w:lang w:val="en-US" w:eastAsia="zh-CN"/>
        </w:rPr>
        <w:t>10</w:t>
      </w:r>
      <w:r>
        <w:rPr>
          <w:rFonts w:hint="eastAsia" w:ascii="宋体" w:hAnsi="宋体" w:eastAsia="宋体" w:cs="宋体"/>
          <w:b/>
          <w:bCs/>
          <w:sz w:val="28"/>
          <w:szCs w:val="28"/>
        </w:rPr>
        <w:t>其他资格证明文件（若有）</w:t>
      </w:r>
      <w:bookmarkEnd w:id="88"/>
    </w:p>
    <w:p>
      <w:pPr>
        <w:spacing w:line="360" w:lineRule="auto"/>
        <w:rPr>
          <w:rFonts w:hint="eastAsia" w:ascii="宋体" w:hAnsi="宋体" w:eastAsia="宋体" w:cs="宋体"/>
        </w:rPr>
      </w:pPr>
    </w:p>
    <w:p>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根据资格条件要求提供相应材料。</w:t>
      </w:r>
    </w:p>
    <w:p>
      <w:pPr>
        <w:spacing w:line="360" w:lineRule="auto"/>
        <w:rPr>
          <w:rFonts w:hint="eastAsia" w:ascii="宋体" w:hAnsi="宋体" w:eastAsia="宋体" w:cs="宋体"/>
          <w:sz w:val="24"/>
        </w:rPr>
      </w:pPr>
    </w:p>
    <w:p>
      <w:pPr>
        <w:snapToGrid w:val="0"/>
        <w:spacing w:line="360" w:lineRule="auto"/>
        <w:jc w:val="center"/>
        <w:outlineLvl w:val="1"/>
        <w:rPr>
          <w:rFonts w:hint="eastAsia" w:ascii="宋体" w:hAnsi="宋体" w:eastAsia="宋体" w:cs="宋体"/>
          <w:b/>
          <w:bCs/>
          <w:sz w:val="28"/>
          <w:szCs w:val="28"/>
        </w:rPr>
      </w:pPr>
      <w:r>
        <w:rPr>
          <w:rFonts w:hint="eastAsia" w:ascii="宋体" w:hAnsi="宋体" w:eastAsia="宋体" w:cs="宋体"/>
          <w:b/>
          <w:bCs/>
          <w:sz w:val="36"/>
          <w:szCs w:val="36"/>
        </w:rPr>
        <w:br w:type="page"/>
      </w:r>
      <w:bookmarkStart w:id="89" w:name="_Toc32767"/>
      <w:r>
        <w:rPr>
          <w:rFonts w:hint="eastAsia" w:ascii="宋体" w:hAnsi="宋体" w:eastAsia="宋体" w:cs="宋体"/>
          <w:b/>
          <w:bCs/>
          <w:sz w:val="28"/>
          <w:szCs w:val="28"/>
        </w:rPr>
        <w:t>格式6  中小企业声明函</w:t>
      </w:r>
      <w:bookmarkEnd w:id="89"/>
    </w:p>
    <w:p>
      <w:pPr>
        <w:widowControl/>
        <w:spacing w:line="360" w:lineRule="auto"/>
        <w:jc w:val="center"/>
        <w:outlineLvl w:val="2"/>
        <w:rPr>
          <w:rFonts w:hint="eastAsia" w:ascii="宋体" w:hAnsi="宋体" w:eastAsia="宋体" w:cs="宋体"/>
          <w:b/>
          <w:bCs/>
          <w:sz w:val="28"/>
          <w:szCs w:val="28"/>
        </w:rPr>
      </w:pPr>
      <w:bookmarkStart w:id="90" w:name="_Toc18831"/>
      <w:r>
        <w:rPr>
          <w:rFonts w:hint="eastAsia" w:ascii="宋体" w:hAnsi="宋体" w:eastAsia="宋体" w:cs="宋体"/>
          <w:b/>
          <w:bCs/>
          <w:sz w:val="28"/>
          <w:szCs w:val="28"/>
        </w:rPr>
        <w:t>中小企业声明函</w:t>
      </w:r>
      <w:bookmarkEnd w:id="90"/>
    </w:p>
    <w:p>
      <w:pPr>
        <w:widowControl/>
        <w:spacing w:line="360" w:lineRule="auto"/>
        <w:ind w:firstLine="480" w:firstLineChars="200"/>
        <w:jc w:val="left"/>
        <w:rPr>
          <w:rFonts w:hint="eastAsia" w:ascii="宋体" w:hAnsi="宋体" w:eastAsia="宋体" w:cs="宋体"/>
          <w:kern w:val="0"/>
          <w:sz w:val="24"/>
        </w:rPr>
      </w:pPr>
    </w:p>
    <w:p>
      <w:pPr>
        <w:pStyle w:val="18"/>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本公司（联合体）郑重声明，根据《政府采购促进中小企业发展管理办法》（财库﹝2020﹞46 号）的规定，本公司（联合体）参加</w:t>
      </w:r>
      <w:r>
        <w:rPr>
          <w:rFonts w:hint="eastAsia" w:ascii="宋体" w:hAnsi="宋体" w:eastAsia="宋体" w:cs="宋体"/>
          <w:i/>
          <w:iCs/>
          <w:sz w:val="21"/>
          <w:u w:val="single"/>
        </w:rPr>
        <w:t>（单位名称）</w:t>
      </w:r>
      <w:r>
        <w:rPr>
          <w:rFonts w:hint="eastAsia" w:ascii="宋体" w:hAnsi="宋体" w:eastAsia="宋体" w:cs="宋体"/>
          <w:sz w:val="21"/>
        </w:rPr>
        <w:t>的</w:t>
      </w:r>
      <w:r>
        <w:rPr>
          <w:rFonts w:hint="eastAsia" w:ascii="宋体" w:hAnsi="宋体" w:eastAsia="宋体" w:cs="宋体"/>
          <w:i/>
          <w:iCs/>
          <w:sz w:val="21"/>
          <w:u w:val="single"/>
        </w:rPr>
        <w:t>（项目名称）</w:t>
      </w:r>
      <w:r>
        <w:rPr>
          <w:rFonts w:hint="eastAsia" w:ascii="宋体" w:hAnsi="宋体" w:eastAsia="宋体" w:cs="宋体"/>
          <w:sz w:val="21"/>
        </w:rPr>
        <w:t>采购活动，服务全部由符合政策要求的中小企业承接。相关企业（含联合体中的中小企业、签订分包意向协议的中小企业）的具体情况如下：</w:t>
      </w:r>
    </w:p>
    <w:p>
      <w:pPr>
        <w:pStyle w:val="18"/>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1.</w:t>
      </w:r>
      <w:r>
        <w:rPr>
          <w:rFonts w:hint="eastAsia" w:ascii="宋体" w:hAnsi="宋体" w:eastAsia="宋体" w:cs="宋体"/>
          <w:i/>
          <w:iCs/>
          <w:sz w:val="21"/>
          <w:u w:val="single"/>
        </w:rPr>
        <w:t xml:space="preserve"> （标的名称） </w:t>
      </w:r>
      <w:r>
        <w:rPr>
          <w:rFonts w:hint="eastAsia" w:ascii="宋体" w:hAnsi="宋体" w:eastAsia="宋体" w:cs="宋体"/>
          <w:sz w:val="21"/>
        </w:rPr>
        <w:t>，属于</w:t>
      </w:r>
      <w:r>
        <w:rPr>
          <w:rFonts w:hint="eastAsia" w:ascii="宋体" w:hAnsi="宋体" w:eastAsia="宋体" w:cs="宋体"/>
          <w:i/>
          <w:iCs/>
          <w:sz w:val="21"/>
          <w:u w:val="single"/>
        </w:rPr>
        <w:t>（采购文件中明确的所属行业）</w:t>
      </w:r>
      <w:r>
        <w:rPr>
          <w:rFonts w:hint="eastAsia" w:ascii="宋体" w:hAnsi="宋体" w:eastAsia="宋体" w:cs="宋体"/>
          <w:sz w:val="21"/>
        </w:rPr>
        <w:t>；承建（承接）企业为</w:t>
      </w:r>
      <w:r>
        <w:rPr>
          <w:rFonts w:hint="eastAsia" w:ascii="宋体" w:hAnsi="宋体" w:eastAsia="宋体" w:cs="宋体"/>
          <w:i/>
          <w:iCs/>
          <w:sz w:val="21"/>
          <w:u w:val="single"/>
        </w:rPr>
        <w:t>（企业名称）</w:t>
      </w:r>
      <w:r>
        <w:rPr>
          <w:rFonts w:hint="eastAsia" w:ascii="宋体" w:hAnsi="宋体" w:eastAsia="宋体" w:cs="宋体"/>
          <w:sz w:val="21"/>
        </w:rPr>
        <w:t>，从业人员</w:t>
      </w:r>
      <w:r>
        <w:rPr>
          <w:rFonts w:hint="eastAsia" w:ascii="宋体" w:hAnsi="宋体" w:eastAsia="宋体" w:cs="宋体"/>
          <w:sz w:val="21"/>
          <w:u w:val="single"/>
        </w:rPr>
        <w:tab/>
      </w:r>
      <w:r>
        <w:rPr>
          <w:rFonts w:hint="eastAsia" w:ascii="宋体" w:hAnsi="宋体" w:eastAsia="宋体" w:cs="宋体"/>
          <w:sz w:val="21"/>
          <w:u w:val="single"/>
        </w:rPr>
        <w:t xml:space="preserve">   </w:t>
      </w:r>
      <w:r>
        <w:rPr>
          <w:rFonts w:hint="eastAsia" w:ascii="宋体" w:hAnsi="宋体" w:eastAsia="宋体" w:cs="宋体"/>
          <w:sz w:val="21"/>
        </w:rPr>
        <w:t>人，营业收入为</w:t>
      </w:r>
      <w:r>
        <w:rPr>
          <w:rFonts w:hint="eastAsia" w:ascii="宋体" w:hAnsi="宋体" w:eastAsia="宋体" w:cs="宋体"/>
          <w:sz w:val="21"/>
          <w:u w:val="single"/>
        </w:rPr>
        <w:tab/>
      </w:r>
      <w:r>
        <w:rPr>
          <w:rFonts w:hint="eastAsia" w:ascii="宋体" w:hAnsi="宋体" w:eastAsia="宋体" w:cs="宋体"/>
          <w:sz w:val="21"/>
          <w:u w:val="single"/>
        </w:rPr>
        <w:t xml:space="preserve">   </w:t>
      </w:r>
      <w:r>
        <w:rPr>
          <w:rFonts w:hint="eastAsia" w:ascii="宋体" w:hAnsi="宋体" w:eastAsia="宋体" w:cs="宋体"/>
          <w:sz w:val="21"/>
        </w:rPr>
        <w:t>万元，资产总额为</w:t>
      </w:r>
      <w:r>
        <w:rPr>
          <w:rFonts w:hint="eastAsia" w:ascii="宋体" w:hAnsi="宋体" w:eastAsia="宋体" w:cs="宋体"/>
          <w:sz w:val="21"/>
          <w:u w:val="single"/>
        </w:rPr>
        <w:tab/>
      </w:r>
      <w:r>
        <w:rPr>
          <w:rFonts w:hint="eastAsia" w:ascii="宋体" w:hAnsi="宋体" w:eastAsia="宋体" w:cs="宋体"/>
          <w:sz w:val="21"/>
          <w:u w:val="single"/>
        </w:rPr>
        <w:t xml:space="preserve">   </w:t>
      </w:r>
      <w:r>
        <w:rPr>
          <w:rFonts w:hint="eastAsia" w:ascii="宋体" w:hAnsi="宋体" w:eastAsia="宋体" w:cs="宋体"/>
          <w:sz w:val="21"/>
        </w:rPr>
        <w:t>万元</w:t>
      </w:r>
      <w:r>
        <w:rPr>
          <w:rFonts w:hint="eastAsia" w:ascii="宋体" w:hAnsi="宋体" w:eastAsia="宋体" w:cs="宋体"/>
          <w:sz w:val="21"/>
          <w:vertAlign w:val="superscript"/>
        </w:rPr>
        <w:t>1</w:t>
      </w:r>
      <w:r>
        <w:rPr>
          <w:rFonts w:hint="eastAsia" w:ascii="宋体" w:hAnsi="宋体" w:eastAsia="宋体" w:cs="宋体"/>
          <w:sz w:val="21"/>
        </w:rPr>
        <w:t>，属于</w:t>
      </w:r>
      <w:r>
        <w:rPr>
          <w:rFonts w:hint="eastAsia" w:ascii="宋体" w:hAnsi="宋体" w:eastAsia="宋体" w:cs="宋体"/>
          <w:i/>
          <w:iCs/>
          <w:sz w:val="21"/>
          <w:u w:val="single"/>
        </w:rPr>
        <w:t>（中型企业、小型企业、微型企业）</w:t>
      </w:r>
      <w:r>
        <w:rPr>
          <w:rFonts w:hint="eastAsia" w:ascii="宋体" w:hAnsi="宋体" w:eastAsia="宋体" w:cs="宋体"/>
          <w:sz w:val="21"/>
        </w:rPr>
        <w:t xml:space="preserve">； </w:t>
      </w:r>
    </w:p>
    <w:p>
      <w:pPr>
        <w:pStyle w:val="18"/>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i/>
          <w:iCs/>
          <w:sz w:val="21"/>
          <w:u w:val="single"/>
        </w:rPr>
        <w:t xml:space="preserve"> （标的名称） </w:t>
      </w:r>
      <w:r>
        <w:rPr>
          <w:rFonts w:hint="eastAsia" w:ascii="宋体" w:hAnsi="宋体" w:eastAsia="宋体" w:cs="宋体"/>
          <w:sz w:val="21"/>
        </w:rPr>
        <w:t>，属于</w:t>
      </w:r>
      <w:r>
        <w:rPr>
          <w:rFonts w:hint="eastAsia" w:ascii="宋体" w:hAnsi="宋体" w:eastAsia="宋体" w:cs="宋体"/>
          <w:i/>
          <w:iCs/>
          <w:sz w:val="21"/>
          <w:u w:val="single"/>
        </w:rPr>
        <w:t>（采购文件中明确的所属行业）</w:t>
      </w:r>
      <w:r>
        <w:rPr>
          <w:rFonts w:hint="eastAsia" w:ascii="宋体" w:hAnsi="宋体" w:eastAsia="宋体" w:cs="宋体"/>
          <w:sz w:val="21"/>
        </w:rPr>
        <w:t>；承建（承接）企业为</w:t>
      </w:r>
      <w:r>
        <w:rPr>
          <w:rFonts w:hint="eastAsia" w:ascii="宋体" w:hAnsi="宋体" w:eastAsia="宋体" w:cs="宋体"/>
          <w:i/>
          <w:iCs/>
          <w:sz w:val="21"/>
          <w:u w:val="single"/>
        </w:rPr>
        <w:t>（企业名称）</w:t>
      </w:r>
      <w:r>
        <w:rPr>
          <w:rFonts w:hint="eastAsia" w:ascii="宋体" w:hAnsi="宋体" w:eastAsia="宋体" w:cs="宋体"/>
          <w:sz w:val="21"/>
        </w:rPr>
        <w:t>，从业人员</w:t>
      </w:r>
      <w:r>
        <w:rPr>
          <w:rFonts w:hint="eastAsia" w:ascii="宋体" w:hAnsi="宋体" w:eastAsia="宋体" w:cs="宋体"/>
          <w:sz w:val="21"/>
          <w:u w:val="single"/>
        </w:rPr>
        <w:tab/>
      </w:r>
      <w:r>
        <w:rPr>
          <w:rFonts w:hint="eastAsia" w:ascii="宋体" w:hAnsi="宋体" w:eastAsia="宋体" w:cs="宋体"/>
          <w:sz w:val="21"/>
          <w:u w:val="single"/>
        </w:rPr>
        <w:t xml:space="preserve">   </w:t>
      </w:r>
      <w:r>
        <w:rPr>
          <w:rFonts w:hint="eastAsia" w:ascii="宋体" w:hAnsi="宋体" w:eastAsia="宋体" w:cs="宋体"/>
          <w:sz w:val="21"/>
        </w:rPr>
        <w:t>人，营业收入为</w:t>
      </w:r>
      <w:r>
        <w:rPr>
          <w:rFonts w:hint="eastAsia" w:ascii="宋体" w:hAnsi="宋体" w:eastAsia="宋体" w:cs="宋体"/>
          <w:sz w:val="21"/>
          <w:u w:val="single"/>
        </w:rPr>
        <w:tab/>
      </w:r>
      <w:r>
        <w:rPr>
          <w:rFonts w:hint="eastAsia" w:ascii="宋体" w:hAnsi="宋体" w:eastAsia="宋体" w:cs="宋体"/>
          <w:sz w:val="21"/>
          <w:u w:val="single"/>
        </w:rPr>
        <w:t xml:space="preserve">   </w:t>
      </w:r>
      <w:r>
        <w:rPr>
          <w:rFonts w:hint="eastAsia" w:ascii="宋体" w:hAnsi="宋体" w:eastAsia="宋体" w:cs="宋体"/>
          <w:sz w:val="21"/>
        </w:rPr>
        <w:t>万元，资产总额为</w:t>
      </w:r>
      <w:r>
        <w:rPr>
          <w:rFonts w:hint="eastAsia" w:ascii="宋体" w:hAnsi="宋体" w:eastAsia="宋体" w:cs="宋体"/>
          <w:sz w:val="21"/>
          <w:u w:val="single"/>
        </w:rPr>
        <w:tab/>
      </w:r>
      <w:r>
        <w:rPr>
          <w:rFonts w:hint="eastAsia" w:ascii="宋体" w:hAnsi="宋体" w:eastAsia="宋体" w:cs="宋体"/>
          <w:sz w:val="21"/>
          <w:u w:val="single"/>
        </w:rPr>
        <w:t xml:space="preserve">   </w:t>
      </w:r>
      <w:r>
        <w:rPr>
          <w:rFonts w:hint="eastAsia" w:ascii="宋体" w:hAnsi="宋体" w:eastAsia="宋体" w:cs="宋体"/>
          <w:sz w:val="21"/>
        </w:rPr>
        <w:t>万元</w:t>
      </w:r>
      <w:r>
        <w:rPr>
          <w:rFonts w:hint="eastAsia" w:ascii="宋体" w:hAnsi="宋体" w:eastAsia="宋体" w:cs="宋体"/>
          <w:sz w:val="21"/>
          <w:vertAlign w:val="superscript"/>
        </w:rPr>
        <w:t>1</w:t>
      </w:r>
      <w:r>
        <w:rPr>
          <w:rFonts w:hint="eastAsia" w:ascii="宋体" w:hAnsi="宋体" w:eastAsia="宋体" w:cs="宋体"/>
          <w:sz w:val="21"/>
        </w:rPr>
        <w:t>，属于</w:t>
      </w:r>
      <w:r>
        <w:rPr>
          <w:rFonts w:hint="eastAsia" w:ascii="宋体" w:hAnsi="宋体" w:eastAsia="宋体" w:cs="宋体"/>
          <w:i/>
          <w:iCs/>
          <w:sz w:val="21"/>
          <w:u w:val="single"/>
        </w:rPr>
        <w:t>（中型企业、小型企业、微型企业）</w:t>
      </w:r>
      <w:r>
        <w:rPr>
          <w:rFonts w:hint="eastAsia" w:ascii="宋体" w:hAnsi="宋体" w:eastAsia="宋体" w:cs="宋体"/>
          <w:sz w:val="21"/>
        </w:rPr>
        <w:t xml:space="preserve">； </w:t>
      </w:r>
    </w:p>
    <w:p>
      <w:pPr>
        <w:pStyle w:val="18"/>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w:t>
      </w:r>
    </w:p>
    <w:p>
      <w:pPr>
        <w:pStyle w:val="18"/>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以上企业，不属于大企业的分支机构，不存在控股股东为大企业的情形，也不存在与大企业的负责人为同一人的情形。</w:t>
      </w:r>
    </w:p>
    <w:p>
      <w:pPr>
        <w:pStyle w:val="18"/>
        <w:snapToGrid w:val="0"/>
        <w:spacing w:line="360" w:lineRule="auto"/>
        <w:ind w:firstLine="420" w:firstLineChars="200"/>
        <w:rPr>
          <w:rFonts w:hint="eastAsia" w:ascii="宋体" w:hAnsi="宋体" w:eastAsia="宋体" w:cs="宋体"/>
          <w:sz w:val="21"/>
        </w:rPr>
      </w:pPr>
      <w:r>
        <w:rPr>
          <w:rFonts w:hint="eastAsia" w:ascii="宋体" w:hAnsi="宋体" w:eastAsia="宋体" w:cs="宋体"/>
          <w:sz w:val="21"/>
        </w:rPr>
        <w:t xml:space="preserve">本企业对上述声明内容的真实性负责。如有虚假，将依法承担相应责任。 </w:t>
      </w:r>
    </w:p>
    <w:p>
      <w:pPr>
        <w:pStyle w:val="18"/>
        <w:snapToGrid w:val="0"/>
        <w:spacing w:line="360" w:lineRule="auto"/>
        <w:ind w:firstLine="420" w:firstLineChars="200"/>
        <w:rPr>
          <w:rFonts w:hint="eastAsia" w:ascii="宋体" w:hAnsi="宋体" w:eastAsia="宋体" w:cs="宋体"/>
          <w:sz w:val="21"/>
        </w:rPr>
      </w:pPr>
    </w:p>
    <w:p>
      <w:pPr>
        <w:pStyle w:val="18"/>
        <w:snapToGrid w:val="0"/>
        <w:spacing w:line="360" w:lineRule="auto"/>
        <w:ind w:firstLine="420" w:firstLineChars="200"/>
        <w:rPr>
          <w:rFonts w:hint="eastAsia" w:ascii="宋体" w:hAnsi="宋体" w:eastAsia="宋体" w:cs="宋体"/>
          <w:sz w:val="21"/>
        </w:rPr>
      </w:pPr>
    </w:p>
    <w:p>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kern w:val="0"/>
          <w:szCs w:val="21"/>
        </w:rPr>
        <w:t>（全称并加盖公章</w:t>
      </w:r>
      <w:r>
        <w:rPr>
          <w:rFonts w:hint="eastAsia" w:ascii="宋体" w:hAnsi="宋体" w:eastAsia="宋体" w:cs="宋体"/>
          <w:szCs w:val="21"/>
        </w:rPr>
        <w:t>）：</w:t>
      </w:r>
      <w:r>
        <w:rPr>
          <w:rFonts w:hint="eastAsia" w:ascii="宋体" w:hAnsi="宋体" w:eastAsia="宋体" w:cs="宋体"/>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p>
    <w:p>
      <w:pPr>
        <w:pStyle w:val="18"/>
        <w:snapToGrid w:val="0"/>
        <w:spacing w:line="360" w:lineRule="auto"/>
        <w:ind w:firstLine="480" w:firstLineChars="200"/>
        <w:rPr>
          <w:rFonts w:hint="eastAsia" w:ascii="宋体" w:hAnsi="宋体" w:eastAsia="宋体" w:cs="宋体"/>
          <w:sz w:val="24"/>
          <w:szCs w:val="24"/>
        </w:rPr>
      </w:pPr>
    </w:p>
    <w:p>
      <w:pPr>
        <w:pStyle w:val="18"/>
        <w:snapToGrid w:val="0"/>
        <w:spacing w:line="360" w:lineRule="auto"/>
        <w:ind w:firstLine="480" w:firstLineChars="200"/>
        <w:rPr>
          <w:rFonts w:hint="eastAsia" w:ascii="宋体" w:hAnsi="宋体" w:eastAsia="宋体" w:cs="宋体"/>
          <w:sz w:val="24"/>
          <w:szCs w:val="24"/>
        </w:rPr>
      </w:pPr>
    </w:p>
    <w:p>
      <w:pPr>
        <w:widowControl/>
        <w:spacing w:line="360" w:lineRule="auto"/>
        <w:rPr>
          <w:rFonts w:hint="eastAsia" w:ascii="宋体" w:hAnsi="宋体" w:eastAsia="宋体" w:cs="宋体"/>
        </w:rPr>
      </w:pPr>
    </w:p>
    <w:p>
      <w:pPr>
        <w:widowControl/>
        <w:spacing w:line="360" w:lineRule="auto"/>
        <w:jc w:val="left"/>
        <w:rPr>
          <w:rFonts w:hint="eastAsia" w:ascii="宋体" w:hAnsi="宋体" w:eastAsia="宋体" w:cs="宋体"/>
        </w:rPr>
      </w:pPr>
      <w:r>
        <w:rPr>
          <w:rFonts w:hint="eastAsia" w:ascii="宋体" w:hAnsi="宋体" w:eastAsia="宋体" w:cs="宋体"/>
          <w:kern w:val="0"/>
          <w:sz w:val="18"/>
          <w:szCs w:val="18"/>
        </w:rPr>
        <w:t>1从业人员、营业收入、资产总额填报上一年度数据，无上一年度数据的新成立企业可不填报。</w:t>
      </w:r>
    </w:p>
    <w:p>
      <w:pPr>
        <w:pStyle w:val="18"/>
        <w:snapToGrid w:val="0"/>
        <w:spacing w:line="360" w:lineRule="auto"/>
        <w:ind w:firstLine="480" w:firstLineChars="200"/>
        <w:rPr>
          <w:rFonts w:hint="eastAsia" w:ascii="宋体" w:hAnsi="宋体" w:eastAsia="宋体" w:cs="宋体"/>
          <w:sz w:val="24"/>
          <w:szCs w:val="24"/>
        </w:rPr>
      </w:pPr>
    </w:p>
    <w:p>
      <w:pPr>
        <w:pStyle w:val="18"/>
        <w:topLinePunct/>
        <w:autoSpaceDE w:val="0"/>
        <w:autoSpaceDN w:val="0"/>
        <w:spacing w:line="360" w:lineRule="auto"/>
        <w:jc w:val="center"/>
        <w:outlineLvl w:val="1"/>
        <w:rPr>
          <w:rFonts w:hint="eastAsia" w:ascii="宋体" w:hAnsi="宋体" w:eastAsia="宋体" w:cs="宋体"/>
          <w:b/>
          <w:bCs/>
          <w:sz w:val="28"/>
          <w:szCs w:val="28"/>
        </w:rPr>
      </w:pPr>
      <w:r>
        <w:rPr>
          <w:rFonts w:hint="eastAsia" w:ascii="宋体" w:hAnsi="宋体" w:eastAsia="宋体" w:cs="宋体"/>
          <w:sz w:val="24"/>
        </w:rPr>
        <w:br w:type="page"/>
      </w:r>
      <w:bookmarkStart w:id="91" w:name="_Toc25513"/>
      <w:r>
        <w:rPr>
          <w:rFonts w:hint="eastAsia" w:ascii="宋体" w:hAnsi="宋体" w:eastAsia="宋体" w:cs="宋体"/>
          <w:b/>
          <w:bCs/>
          <w:sz w:val="28"/>
          <w:szCs w:val="28"/>
        </w:rPr>
        <w:t>格式7  残疾人福利性单位声明函</w:t>
      </w:r>
      <w:bookmarkEnd w:id="91"/>
    </w:p>
    <w:p>
      <w:pPr>
        <w:spacing w:line="360" w:lineRule="auto"/>
        <w:ind w:firstLine="444" w:firstLineChars="200"/>
        <w:rPr>
          <w:rFonts w:hint="eastAsia" w:ascii="宋体" w:hAnsi="宋体" w:eastAsia="宋体" w:cs="宋体"/>
          <w:spacing w:val="6"/>
          <w:szCs w:val="21"/>
        </w:rPr>
      </w:pPr>
      <w:r>
        <w:rPr>
          <w:rFonts w:hint="eastAsia" w:ascii="宋体" w:hAnsi="宋体" w:eastAsia="宋体" w:cs="宋体"/>
          <w:spacing w:val="6"/>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hint="eastAsia" w:ascii="宋体" w:hAnsi="宋体" w:eastAsia="宋体" w:cs="宋体"/>
          <w:spacing w:val="6"/>
          <w:szCs w:val="21"/>
        </w:rPr>
      </w:pPr>
      <w:r>
        <w:rPr>
          <w:rFonts w:hint="eastAsia" w:ascii="宋体" w:hAnsi="宋体" w:eastAsia="宋体" w:cs="宋体"/>
          <w:spacing w:val="6"/>
          <w:szCs w:val="21"/>
        </w:rPr>
        <w:t>本单位对上述声明的真实性负责。如有虚假，将依法承担相应责任。</w:t>
      </w:r>
    </w:p>
    <w:p>
      <w:pPr>
        <w:spacing w:line="360" w:lineRule="auto"/>
        <w:ind w:firstLine="444" w:firstLineChars="200"/>
        <w:rPr>
          <w:rFonts w:hint="eastAsia" w:ascii="宋体" w:hAnsi="宋体" w:eastAsia="宋体" w:cs="宋体"/>
          <w:spacing w:val="6"/>
          <w:szCs w:val="21"/>
        </w:rPr>
      </w:pPr>
    </w:p>
    <w:p>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kern w:val="0"/>
          <w:szCs w:val="21"/>
        </w:rPr>
        <w:t>（全称并加盖公章</w:t>
      </w:r>
      <w:r>
        <w:rPr>
          <w:rFonts w:hint="eastAsia" w:ascii="宋体" w:hAnsi="宋体" w:eastAsia="宋体" w:cs="宋体"/>
          <w:szCs w:val="21"/>
        </w:rPr>
        <w:t>）：</w:t>
      </w:r>
      <w:r>
        <w:rPr>
          <w:rFonts w:hint="eastAsia" w:ascii="宋体" w:hAnsi="宋体" w:eastAsia="宋体" w:cs="宋体"/>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p>
    <w:p>
      <w:pPr>
        <w:topLinePunct/>
        <w:autoSpaceDE w:val="0"/>
        <w:autoSpaceDN w:val="0"/>
        <w:spacing w:line="360" w:lineRule="auto"/>
        <w:jc w:val="center"/>
        <w:rPr>
          <w:rFonts w:hint="eastAsia" w:ascii="宋体" w:hAnsi="宋体" w:eastAsia="宋体" w:cs="宋体"/>
          <w:spacing w:val="6"/>
          <w:szCs w:val="21"/>
        </w:rPr>
      </w:pPr>
    </w:p>
    <w:p>
      <w:pPr>
        <w:spacing w:line="360" w:lineRule="auto"/>
        <w:rPr>
          <w:rFonts w:hint="eastAsia" w:ascii="宋体" w:hAnsi="宋体" w:eastAsia="宋体" w:cs="宋体"/>
          <w:b/>
          <w:bCs/>
          <w:sz w:val="28"/>
          <w:szCs w:val="28"/>
        </w:rPr>
      </w:pPr>
    </w:p>
    <w:p>
      <w:pPr>
        <w:pStyle w:val="72"/>
        <w:tabs>
          <w:tab w:val="left" w:pos="420"/>
        </w:tabs>
        <w:snapToGrid w:val="0"/>
        <w:spacing w:line="360" w:lineRule="auto"/>
        <w:outlineLvl w:val="1"/>
        <w:rPr>
          <w:rFonts w:hint="eastAsia" w:ascii="宋体" w:hAnsi="宋体" w:eastAsia="宋体" w:cs="宋体"/>
          <w:b/>
          <w:bCs/>
          <w:sz w:val="28"/>
          <w:szCs w:val="28"/>
        </w:rPr>
      </w:pPr>
      <w:bookmarkStart w:id="92" w:name="_Toc113393336"/>
      <w:bookmarkStart w:id="93" w:name="_Toc38030071"/>
      <w:bookmarkStart w:id="94" w:name="_Toc38030154"/>
      <w:bookmarkStart w:id="95" w:name="_Toc1652355655"/>
      <w:bookmarkStart w:id="96" w:name="_Toc1403531177"/>
      <w:bookmarkStart w:id="97" w:name="_Toc386861148"/>
      <w:r>
        <w:rPr>
          <w:rFonts w:hint="eastAsia" w:ascii="宋体" w:hAnsi="宋体" w:eastAsia="宋体" w:cs="宋体"/>
          <w:sz w:val="28"/>
          <w:szCs w:val="28"/>
        </w:rPr>
        <w:br w:type="page"/>
      </w:r>
      <w:bookmarkStart w:id="98" w:name="_Toc78504842"/>
      <w:bookmarkStart w:id="99" w:name="_Toc220361175"/>
      <w:bookmarkStart w:id="100" w:name="_Toc598152851"/>
      <w:bookmarkStart w:id="101" w:name="_Toc1615545750"/>
      <w:bookmarkStart w:id="102" w:name="_Toc25454"/>
      <w:bookmarkStart w:id="103" w:name="_Toc1097421187"/>
      <w:bookmarkStart w:id="104" w:name="_Toc1749127877"/>
      <w:bookmarkStart w:id="105" w:name="_Toc681730266"/>
      <w:bookmarkStart w:id="106" w:name="_Toc680706022"/>
      <w:bookmarkStart w:id="107" w:name="_Toc1381122819"/>
      <w:r>
        <w:rPr>
          <w:rFonts w:hint="eastAsia" w:ascii="宋体" w:hAnsi="宋体" w:eastAsia="宋体" w:cs="宋体"/>
          <w:b/>
          <w:bCs/>
          <w:sz w:val="28"/>
          <w:szCs w:val="28"/>
        </w:rPr>
        <w:t xml:space="preserve">格式8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成功案例一览表</w:t>
      </w:r>
      <w:bookmarkEnd w:id="98"/>
      <w:bookmarkEnd w:id="99"/>
      <w:bookmarkEnd w:id="100"/>
      <w:bookmarkEnd w:id="101"/>
      <w:bookmarkEnd w:id="102"/>
      <w:bookmarkEnd w:id="103"/>
      <w:bookmarkEnd w:id="104"/>
      <w:bookmarkEnd w:id="105"/>
      <w:bookmarkEnd w:id="106"/>
      <w:bookmarkEnd w:id="107"/>
    </w:p>
    <w:p>
      <w:pPr>
        <w:spacing w:line="360" w:lineRule="auto"/>
        <w:jc w:val="center"/>
        <w:rPr>
          <w:rFonts w:hint="eastAsia" w:ascii="宋体" w:hAnsi="宋体" w:eastAsia="宋体" w:cs="宋体"/>
        </w:rPr>
      </w:pPr>
      <w:r>
        <w:rPr>
          <w:rFonts w:hint="eastAsia" w:ascii="宋体" w:hAnsi="宋体" w:eastAsia="宋体" w:cs="宋体"/>
        </w:rPr>
        <w:t>（根据招标文件要求调整）</w:t>
      </w:r>
    </w:p>
    <w:tbl>
      <w:tblPr>
        <w:tblStyle w:val="29"/>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19"/>
        <w:gridCol w:w="864"/>
        <w:gridCol w:w="707"/>
        <w:gridCol w:w="744"/>
        <w:gridCol w:w="1221"/>
        <w:gridCol w:w="1161"/>
        <w:gridCol w:w="1065"/>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序号</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合同</w:t>
            </w:r>
          </w:p>
          <w:p>
            <w:pPr>
              <w:topLinePunct/>
              <w:autoSpaceDE w:val="0"/>
              <w:autoSpaceDN w:val="0"/>
              <w:adjustRightInd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名称</w:t>
            </w: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合同</w:t>
            </w:r>
          </w:p>
          <w:p>
            <w:pPr>
              <w:topLinePunct/>
              <w:autoSpaceDE w:val="0"/>
              <w:autoSpaceDN w:val="0"/>
              <w:adjustRightInd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甲方</w:t>
            </w:r>
          </w:p>
        </w:tc>
        <w:tc>
          <w:tcPr>
            <w:tcW w:w="70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合同时间</w:t>
            </w: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合同</w:t>
            </w:r>
          </w:p>
          <w:p>
            <w:pPr>
              <w:topLinePunct/>
              <w:autoSpaceDE w:val="0"/>
              <w:autoSpaceDN w:val="0"/>
              <w:adjustRightInd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金额</w:t>
            </w: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合同主要</w:t>
            </w:r>
          </w:p>
          <w:p>
            <w:pPr>
              <w:topLinePunct/>
              <w:autoSpaceDE w:val="0"/>
              <w:autoSpaceDN w:val="0"/>
              <w:adjustRightInd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内容</w:t>
            </w: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用  户</w:t>
            </w:r>
          </w:p>
          <w:p>
            <w:pPr>
              <w:topLinePunct/>
              <w:autoSpaceDE w:val="0"/>
              <w:autoSpaceDN w:val="0"/>
              <w:adjustRightInd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联系人</w:t>
            </w: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用户联</w:t>
            </w:r>
          </w:p>
          <w:p>
            <w:pPr>
              <w:topLinePunct/>
              <w:autoSpaceDE w:val="0"/>
              <w:autoSpaceDN w:val="0"/>
              <w:adjustRightInd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系电话</w:t>
            </w: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707" w:type="dxa"/>
            <w:tcBorders>
              <w:top w:val="single" w:color="auto" w:sz="4" w:space="0"/>
              <w:left w:val="single" w:color="auto" w:sz="4" w:space="0"/>
              <w:bottom w:val="single" w:color="auto" w:sz="4" w:space="0"/>
              <w:right w:val="single" w:color="auto" w:sz="4" w:space="0"/>
            </w:tcBorders>
            <w:noWrap/>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line="360" w:lineRule="auto"/>
              <w:jc w:val="center"/>
              <w:rPr>
                <w:rFonts w:hint="eastAsia" w:ascii="宋体" w:hAnsi="宋体" w:eastAsia="宋体" w:cs="宋体"/>
                <w:szCs w:val="21"/>
              </w:rPr>
            </w:pPr>
          </w:p>
        </w:tc>
      </w:tr>
    </w:tbl>
    <w:p>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特别说明：</w:t>
      </w:r>
    </w:p>
    <w:p>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1.提供20XX年1月1日以来（以合同签订日期为准），投标人独立承担的XXXX的项目案例。</w:t>
      </w:r>
    </w:p>
    <w:bookmarkEnd w:id="92"/>
    <w:bookmarkEnd w:id="93"/>
    <w:bookmarkEnd w:id="94"/>
    <w:bookmarkEnd w:id="95"/>
    <w:bookmarkEnd w:id="96"/>
    <w:bookmarkEnd w:id="97"/>
    <w:p>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2.应提供合同复印件（线上采购项目提供扫描件，下同）。合同复印件应能清晰体现合同甲乙双方、合同时间、合同金额、合同主要内容等，并提供对方联系人及联系方式，否则不能获得相应分值。</w:t>
      </w:r>
    </w:p>
    <w:p>
      <w:pPr>
        <w:pStyle w:val="18"/>
        <w:topLinePunct/>
        <w:autoSpaceDE w:val="0"/>
        <w:autoSpaceDN w:val="0"/>
        <w:spacing w:line="360" w:lineRule="auto"/>
        <w:jc w:val="center"/>
        <w:rPr>
          <w:rFonts w:hint="eastAsia" w:ascii="宋体" w:hAnsi="宋体" w:eastAsia="宋体" w:cs="宋体"/>
          <w:b/>
          <w:bCs/>
          <w:sz w:val="36"/>
          <w:szCs w:val="36"/>
        </w:rPr>
      </w:pPr>
    </w:p>
    <w:p>
      <w:pPr>
        <w:spacing w:line="360" w:lineRule="auto"/>
        <w:rPr>
          <w:rFonts w:hint="eastAsia" w:ascii="宋体" w:hAnsi="宋体" w:eastAsia="宋体" w:cs="宋体"/>
          <w:b/>
          <w:bCs/>
          <w:sz w:val="36"/>
          <w:szCs w:val="36"/>
        </w:rPr>
      </w:pPr>
      <w:r>
        <w:rPr>
          <w:rFonts w:hint="eastAsia" w:ascii="宋体" w:hAnsi="宋体" w:eastAsia="宋体" w:cs="宋体"/>
          <w:b/>
          <w:bCs/>
          <w:sz w:val="36"/>
          <w:szCs w:val="36"/>
        </w:rPr>
        <w:br w:type="page"/>
      </w:r>
    </w:p>
    <w:p>
      <w:pPr>
        <w:spacing w:line="360" w:lineRule="auto"/>
        <w:jc w:val="center"/>
        <w:rPr>
          <w:rFonts w:hint="eastAsia" w:ascii="宋体" w:hAnsi="宋体" w:eastAsia="宋体" w:cs="宋体"/>
          <w:b/>
          <w:kern w:val="0"/>
          <w:sz w:val="44"/>
          <w:szCs w:val="44"/>
        </w:rPr>
      </w:pPr>
    </w:p>
    <w:p>
      <w:pPr>
        <w:spacing w:line="360" w:lineRule="auto"/>
        <w:jc w:val="center"/>
        <w:rPr>
          <w:rFonts w:hint="eastAsia" w:ascii="宋体" w:hAnsi="宋体" w:eastAsia="宋体" w:cs="宋体"/>
          <w:bCs/>
          <w:kern w:val="0"/>
          <w:sz w:val="32"/>
          <w:szCs w:val="32"/>
        </w:rPr>
      </w:pPr>
      <w:r>
        <w:rPr>
          <w:rFonts w:hint="eastAsia" w:ascii="宋体" w:hAnsi="宋体" w:eastAsia="宋体" w:cs="宋体"/>
          <w:bCs/>
          <w:kern w:val="0"/>
          <w:sz w:val="32"/>
          <w:szCs w:val="32"/>
        </w:rPr>
        <w:t>投  标  文  件</w:t>
      </w:r>
    </w:p>
    <w:p>
      <w:pPr>
        <w:spacing w:line="360" w:lineRule="auto"/>
        <w:jc w:val="center"/>
        <w:rPr>
          <w:rFonts w:hint="eastAsia" w:ascii="宋体" w:hAnsi="宋体" w:eastAsia="宋体" w:cs="宋体"/>
          <w:bCs/>
          <w:kern w:val="0"/>
          <w:sz w:val="32"/>
          <w:szCs w:val="32"/>
        </w:rPr>
      </w:pPr>
      <w:r>
        <w:rPr>
          <w:rFonts w:hint="eastAsia" w:ascii="宋体" w:hAnsi="宋体" w:eastAsia="宋体" w:cs="宋体"/>
          <w:bCs/>
          <w:kern w:val="0"/>
          <w:sz w:val="32"/>
          <w:szCs w:val="32"/>
        </w:rPr>
        <w:t>技术部分</w:t>
      </w:r>
    </w:p>
    <w:p>
      <w:pPr>
        <w:spacing w:line="360" w:lineRule="auto"/>
        <w:jc w:val="center"/>
        <w:rPr>
          <w:rFonts w:hint="eastAsia" w:ascii="宋体" w:hAnsi="宋体" w:eastAsia="宋体" w:cs="宋体"/>
          <w:kern w:val="0"/>
          <w:sz w:val="32"/>
          <w:szCs w:val="32"/>
        </w:rPr>
      </w:pPr>
    </w:p>
    <w:p>
      <w:pPr>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（填写正本或副本）</w:t>
      </w:r>
    </w:p>
    <w:p>
      <w:pPr>
        <w:spacing w:line="360" w:lineRule="auto"/>
        <w:ind w:firstLine="480" w:firstLineChars="200"/>
        <w:jc w:val="center"/>
        <w:rPr>
          <w:rFonts w:hint="eastAsia" w:ascii="宋体" w:hAnsi="宋体" w:eastAsia="宋体" w:cs="宋体"/>
          <w:bCs/>
          <w:kern w:val="0"/>
          <w:sz w:val="24"/>
          <w:szCs w:val="24"/>
        </w:rPr>
      </w:pPr>
    </w:p>
    <w:p>
      <w:pPr>
        <w:pStyle w:val="15"/>
        <w:spacing w:line="360" w:lineRule="auto"/>
        <w:rPr>
          <w:rFonts w:hint="eastAsia" w:ascii="宋体" w:hAnsi="宋体" w:eastAsia="宋体" w:cs="宋体"/>
          <w:b w:val="0"/>
          <w:bCs/>
          <w:sz w:val="24"/>
        </w:rPr>
      </w:pPr>
    </w:p>
    <w:p>
      <w:pPr>
        <w:spacing w:line="360" w:lineRule="auto"/>
        <w:rPr>
          <w:rFonts w:hint="eastAsia" w:ascii="宋体" w:hAnsi="宋体" w:eastAsia="宋体" w:cs="宋体"/>
        </w:rPr>
      </w:pPr>
    </w:p>
    <w:p>
      <w:pPr>
        <w:spacing w:line="360" w:lineRule="auto"/>
        <w:ind w:left="1470" w:leftChars="700" w:firstLine="1680" w:firstLineChars="700"/>
        <w:rPr>
          <w:rFonts w:hint="eastAsia" w:ascii="宋体" w:hAnsi="宋体" w:eastAsia="宋体" w:cs="宋体"/>
          <w:bCs/>
          <w:kern w:val="0"/>
          <w:sz w:val="24"/>
          <w:szCs w:val="24"/>
        </w:rPr>
      </w:pPr>
      <w:r>
        <w:rPr>
          <w:rFonts w:hint="eastAsia" w:ascii="宋体" w:hAnsi="宋体" w:eastAsia="宋体" w:cs="宋体"/>
          <w:bCs/>
          <w:kern w:val="0"/>
          <w:sz w:val="24"/>
          <w:szCs w:val="24"/>
        </w:rPr>
        <w:t>项目名称：</w:t>
      </w:r>
      <w:r>
        <w:rPr>
          <w:rFonts w:hint="eastAsia" w:ascii="宋体" w:hAnsi="宋体" w:eastAsia="宋体" w:cs="宋体"/>
          <w:bCs/>
          <w:kern w:val="0"/>
          <w:sz w:val="24"/>
          <w:szCs w:val="24"/>
          <w:u w:val="single"/>
        </w:rPr>
        <w:t xml:space="preserve">               </w:t>
      </w:r>
    </w:p>
    <w:p>
      <w:pPr>
        <w:spacing w:line="360" w:lineRule="auto"/>
        <w:ind w:left="1470" w:leftChars="700" w:firstLine="1680" w:firstLineChars="700"/>
        <w:rPr>
          <w:rFonts w:hint="eastAsia" w:ascii="宋体" w:hAnsi="宋体" w:eastAsia="宋体" w:cs="宋体"/>
          <w:bCs/>
          <w:kern w:val="0"/>
          <w:sz w:val="24"/>
          <w:szCs w:val="24"/>
        </w:rPr>
      </w:pPr>
      <w:r>
        <w:rPr>
          <w:rFonts w:hint="eastAsia" w:ascii="宋体" w:hAnsi="宋体" w:eastAsia="宋体" w:cs="宋体"/>
          <w:bCs/>
          <w:kern w:val="0"/>
          <w:sz w:val="24"/>
          <w:szCs w:val="24"/>
        </w:rPr>
        <w:t>项目编号：</w:t>
      </w:r>
      <w:r>
        <w:rPr>
          <w:rFonts w:hint="eastAsia" w:ascii="宋体" w:hAnsi="宋体" w:eastAsia="宋体" w:cs="宋体"/>
          <w:bCs/>
          <w:kern w:val="0"/>
          <w:sz w:val="24"/>
          <w:szCs w:val="24"/>
          <w:u w:val="single"/>
        </w:rPr>
        <w:t xml:space="preserve">               </w:t>
      </w:r>
    </w:p>
    <w:p>
      <w:pPr>
        <w:spacing w:line="360" w:lineRule="auto"/>
        <w:ind w:left="1470" w:leftChars="700" w:firstLine="1680" w:firstLineChars="700"/>
        <w:rPr>
          <w:rFonts w:hint="eastAsia" w:ascii="宋体" w:hAnsi="宋体" w:eastAsia="宋体" w:cs="宋体"/>
          <w:bCs/>
          <w:kern w:val="0"/>
          <w:sz w:val="24"/>
          <w:szCs w:val="24"/>
        </w:rPr>
      </w:pPr>
      <w:r>
        <w:rPr>
          <w:rFonts w:hint="eastAsia" w:ascii="宋体" w:hAnsi="宋体" w:eastAsia="宋体" w:cs="宋体"/>
          <w:bCs/>
          <w:kern w:val="0"/>
          <w:sz w:val="24"/>
          <w:szCs w:val="24"/>
        </w:rPr>
        <w:t>所投采购包：</w:t>
      </w:r>
      <w:r>
        <w:rPr>
          <w:rFonts w:hint="eastAsia" w:ascii="宋体" w:hAnsi="宋体" w:eastAsia="宋体" w:cs="宋体"/>
          <w:bCs/>
          <w:kern w:val="0"/>
          <w:sz w:val="24"/>
          <w:szCs w:val="24"/>
          <w:u w:val="single"/>
        </w:rPr>
        <w:t xml:space="preserve">             </w:t>
      </w:r>
    </w:p>
    <w:p>
      <w:pPr>
        <w:spacing w:line="360" w:lineRule="auto"/>
        <w:ind w:left="1470" w:leftChars="700" w:firstLine="480" w:firstLineChars="200"/>
        <w:jc w:val="center"/>
        <w:rPr>
          <w:rFonts w:hint="eastAsia" w:ascii="宋体" w:hAnsi="宋体" w:eastAsia="宋体" w:cs="宋体"/>
          <w:bCs/>
          <w:kern w:val="0"/>
          <w:sz w:val="24"/>
          <w:szCs w:val="24"/>
        </w:rPr>
      </w:pPr>
    </w:p>
    <w:p>
      <w:pPr>
        <w:spacing w:line="360" w:lineRule="auto"/>
        <w:ind w:left="1470" w:leftChars="700" w:firstLine="1680" w:firstLineChars="700"/>
        <w:rPr>
          <w:rFonts w:hint="eastAsia" w:ascii="宋体" w:hAnsi="宋体" w:eastAsia="宋体" w:cs="宋体"/>
          <w:bCs/>
          <w:kern w:val="0"/>
          <w:sz w:val="24"/>
          <w:szCs w:val="24"/>
        </w:rPr>
      </w:pPr>
      <w:r>
        <w:rPr>
          <w:rFonts w:hint="eastAsia" w:ascii="宋体" w:hAnsi="宋体" w:eastAsia="宋体" w:cs="宋体"/>
          <w:bCs/>
          <w:kern w:val="0"/>
          <w:sz w:val="24"/>
          <w:szCs w:val="24"/>
        </w:rPr>
        <w:t>投标人：</w:t>
      </w:r>
      <w:r>
        <w:rPr>
          <w:rFonts w:hint="eastAsia" w:ascii="宋体" w:hAnsi="宋体" w:eastAsia="宋体" w:cs="宋体"/>
          <w:bCs/>
          <w:kern w:val="0"/>
          <w:sz w:val="24"/>
          <w:szCs w:val="24"/>
          <w:u w:val="single"/>
        </w:rPr>
        <w:t xml:space="preserve">                 </w:t>
      </w:r>
    </w:p>
    <w:p>
      <w:pPr>
        <w:spacing w:line="360" w:lineRule="auto"/>
        <w:ind w:left="1470" w:leftChars="700" w:firstLine="1680" w:firstLineChars="700"/>
        <w:rPr>
          <w:rFonts w:hint="eastAsia" w:ascii="宋体" w:hAnsi="宋体" w:eastAsia="宋体" w:cs="宋体"/>
          <w:bCs/>
          <w:kern w:val="0"/>
          <w:sz w:val="24"/>
          <w:szCs w:val="24"/>
        </w:rPr>
      </w:pPr>
      <w:r>
        <w:rPr>
          <w:rFonts w:hint="eastAsia" w:ascii="宋体" w:hAnsi="宋体" w:eastAsia="宋体" w:cs="宋体"/>
          <w:bCs/>
          <w:kern w:val="0"/>
          <w:sz w:val="24"/>
          <w:szCs w:val="24"/>
        </w:rPr>
        <w:t>日  期：</w:t>
      </w:r>
      <w:r>
        <w:rPr>
          <w:rFonts w:hint="eastAsia" w:ascii="宋体" w:hAnsi="宋体" w:eastAsia="宋体" w:cs="宋体"/>
          <w:bCs/>
          <w:kern w:val="0"/>
          <w:sz w:val="24"/>
          <w:szCs w:val="24"/>
          <w:u w:val="single"/>
        </w:rPr>
        <w:t xml:space="preserve">                 </w:t>
      </w:r>
    </w:p>
    <w:p>
      <w:pPr>
        <w:widowControl/>
        <w:spacing w:line="360" w:lineRule="auto"/>
        <w:jc w:val="center"/>
        <w:outlineLvl w:val="1"/>
        <w:rPr>
          <w:rFonts w:hint="eastAsia" w:ascii="宋体" w:hAnsi="宋体" w:eastAsia="宋体" w:cs="宋体"/>
          <w:b/>
          <w:bCs/>
          <w:sz w:val="28"/>
          <w:szCs w:val="28"/>
        </w:rPr>
      </w:pPr>
      <w:r>
        <w:rPr>
          <w:rFonts w:hint="eastAsia" w:ascii="宋体" w:hAnsi="宋体" w:eastAsia="宋体" w:cs="宋体"/>
          <w:b/>
          <w:bCs/>
          <w:sz w:val="36"/>
          <w:szCs w:val="36"/>
        </w:rPr>
        <w:br w:type="page"/>
      </w:r>
      <w:bookmarkStart w:id="108" w:name="_Toc8854"/>
      <w:r>
        <w:rPr>
          <w:rFonts w:hint="eastAsia" w:ascii="宋体" w:hAnsi="宋体" w:eastAsia="宋体" w:cs="宋体"/>
          <w:b/>
          <w:bCs/>
          <w:sz w:val="28"/>
          <w:szCs w:val="28"/>
        </w:rPr>
        <w:t xml:space="preserve">格式9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技术条款偏离表</w:t>
      </w:r>
      <w:bookmarkEnd w:id="108"/>
    </w:p>
    <w:tbl>
      <w:tblPr>
        <w:tblStyle w:val="29"/>
        <w:tblW w:w="89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8"/>
        <w:gridCol w:w="1516"/>
        <w:gridCol w:w="2116"/>
        <w:gridCol w:w="1684"/>
        <w:gridCol w:w="2090"/>
        <w:gridCol w:w="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序号</w:t>
            </w:r>
          </w:p>
        </w:tc>
        <w:tc>
          <w:tcPr>
            <w:tcW w:w="1516" w:type="dxa"/>
            <w:noWrap/>
          </w:tcPr>
          <w:p>
            <w:pPr>
              <w:adjustRightInd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招标文件</w:t>
            </w:r>
          </w:p>
          <w:p>
            <w:pPr>
              <w:adjustRightInd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技术部分序号</w:t>
            </w:r>
          </w:p>
        </w:tc>
        <w:tc>
          <w:tcPr>
            <w:tcW w:w="2116" w:type="dxa"/>
            <w:noWrap/>
            <w:vAlign w:val="center"/>
          </w:tcPr>
          <w:p>
            <w:pPr>
              <w:adjustRightInd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招标文件</w:t>
            </w:r>
          </w:p>
          <w:p>
            <w:pPr>
              <w:adjustRightInd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技术部分内容要求</w:t>
            </w:r>
          </w:p>
        </w:tc>
        <w:tc>
          <w:tcPr>
            <w:tcW w:w="1684" w:type="dxa"/>
            <w:noWrap/>
            <w:vAlign w:val="center"/>
          </w:tcPr>
          <w:p>
            <w:pPr>
              <w:adjustRightInd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投标文件</w:t>
            </w:r>
          </w:p>
          <w:p>
            <w:pPr>
              <w:adjustRightInd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应答情况</w:t>
            </w:r>
          </w:p>
        </w:tc>
        <w:tc>
          <w:tcPr>
            <w:tcW w:w="2090" w:type="dxa"/>
            <w:noWrap/>
            <w:vAlign w:val="center"/>
          </w:tcPr>
          <w:p>
            <w:pPr>
              <w:adjustRightInd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偏离（无/正/负）</w:t>
            </w:r>
          </w:p>
        </w:tc>
        <w:tc>
          <w:tcPr>
            <w:tcW w:w="639" w:type="dxa"/>
            <w:noWrap/>
            <w:vAlign w:val="center"/>
          </w:tcPr>
          <w:p>
            <w:pPr>
              <w:adjustRightInd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516" w:type="dxa"/>
            <w:noWrap/>
            <w:vAlign w:val="center"/>
          </w:tcPr>
          <w:p>
            <w:pPr>
              <w:adjustRightInd w:val="0"/>
              <w:snapToGrid w:val="0"/>
              <w:spacing w:line="360" w:lineRule="auto"/>
              <w:ind w:left="50" w:leftChars="24" w:right="55" w:rightChars="26"/>
              <w:jc w:val="center"/>
              <w:rPr>
                <w:rFonts w:hint="eastAsia" w:ascii="宋体" w:hAnsi="宋体" w:eastAsia="宋体" w:cs="宋体"/>
                <w:szCs w:val="21"/>
              </w:rPr>
            </w:pPr>
          </w:p>
        </w:tc>
        <w:tc>
          <w:tcPr>
            <w:tcW w:w="2116" w:type="dxa"/>
            <w:noWrap/>
            <w:vAlign w:val="center"/>
          </w:tcPr>
          <w:p>
            <w:pPr>
              <w:adjustRightInd w:val="0"/>
              <w:snapToGrid w:val="0"/>
              <w:spacing w:line="360" w:lineRule="auto"/>
              <w:ind w:left="50" w:leftChars="24" w:right="55" w:rightChars="26"/>
              <w:jc w:val="center"/>
              <w:rPr>
                <w:rFonts w:hint="eastAsia" w:ascii="宋体" w:hAnsi="宋体" w:eastAsia="宋体" w:cs="宋体"/>
                <w:szCs w:val="21"/>
              </w:rPr>
            </w:pPr>
          </w:p>
        </w:tc>
        <w:tc>
          <w:tcPr>
            <w:tcW w:w="1684" w:type="dxa"/>
            <w:noWrap/>
            <w:vAlign w:val="center"/>
          </w:tcPr>
          <w:p>
            <w:pPr>
              <w:adjustRightInd w:val="0"/>
              <w:snapToGrid w:val="0"/>
              <w:spacing w:line="360" w:lineRule="auto"/>
              <w:jc w:val="center"/>
              <w:rPr>
                <w:rFonts w:hint="eastAsia" w:ascii="宋体" w:hAnsi="宋体" w:eastAsia="宋体" w:cs="宋体"/>
                <w:szCs w:val="21"/>
              </w:rPr>
            </w:pPr>
          </w:p>
        </w:tc>
        <w:tc>
          <w:tcPr>
            <w:tcW w:w="2090" w:type="dxa"/>
            <w:noWrap/>
            <w:vAlign w:val="center"/>
          </w:tcPr>
          <w:p>
            <w:pPr>
              <w:adjustRightInd w:val="0"/>
              <w:snapToGrid w:val="0"/>
              <w:spacing w:line="360" w:lineRule="auto"/>
              <w:jc w:val="center"/>
              <w:rPr>
                <w:rFonts w:hint="eastAsia" w:ascii="宋体" w:hAnsi="宋体" w:eastAsia="宋体" w:cs="宋体"/>
                <w:szCs w:val="21"/>
              </w:rPr>
            </w:pPr>
          </w:p>
        </w:tc>
        <w:tc>
          <w:tcPr>
            <w:tcW w:w="639" w:type="dxa"/>
            <w:noWrap/>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1516" w:type="dxa"/>
            <w:noWrap/>
            <w:vAlign w:val="center"/>
          </w:tcPr>
          <w:p>
            <w:pPr>
              <w:adjustRightInd w:val="0"/>
              <w:snapToGrid w:val="0"/>
              <w:spacing w:line="360" w:lineRule="auto"/>
              <w:ind w:left="50" w:leftChars="24" w:right="55" w:rightChars="26"/>
              <w:jc w:val="center"/>
              <w:rPr>
                <w:rFonts w:hint="eastAsia" w:ascii="宋体" w:hAnsi="宋体" w:eastAsia="宋体" w:cs="宋体"/>
                <w:szCs w:val="21"/>
              </w:rPr>
            </w:pPr>
          </w:p>
        </w:tc>
        <w:tc>
          <w:tcPr>
            <w:tcW w:w="2116" w:type="dxa"/>
            <w:noWrap/>
            <w:vAlign w:val="center"/>
          </w:tcPr>
          <w:p>
            <w:pPr>
              <w:adjustRightInd w:val="0"/>
              <w:snapToGrid w:val="0"/>
              <w:spacing w:line="360" w:lineRule="auto"/>
              <w:ind w:left="50" w:leftChars="24" w:right="55" w:rightChars="26"/>
              <w:jc w:val="center"/>
              <w:rPr>
                <w:rFonts w:hint="eastAsia" w:ascii="宋体" w:hAnsi="宋体" w:eastAsia="宋体" w:cs="宋体"/>
                <w:szCs w:val="21"/>
              </w:rPr>
            </w:pPr>
          </w:p>
        </w:tc>
        <w:tc>
          <w:tcPr>
            <w:tcW w:w="1684" w:type="dxa"/>
            <w:noWrap/>
            <w:vAlign w:val="center"/>
          </w:tcPr>
          <w:p>
            <w:pPr>
              <w:adjustRightInd w:val="0"/>
              <w:snapToGrid w:val="0"/>
              <w:spacing w:line="360" w:lineRule="auto"/>
              <w:jc w:val="center"/>
              <w:rPr>
                <w:rFonts w:hint="eastAsia" w:ascii="宋体" w:hAnsi="宋体" w:eastAsia="宋体" w:cs="宋体"/>
                <w:szCs w:val="21"/>
              </w:rPr>
            </w:pPr>
          </w:p>
        </w:tc>
        <w:tc>
          <w:tcPr>
            <w:tcW w:w="2090" w:type="dxa"/>
            <w:noWrap/>
            <w:vAlign w:val="center"/>
          </w:tcPr>
          <w:p>
            <w:pPr>
              <w:adjustRightInd w:val="0"/>
              <w:snapToGrid w:val="0"/>
              <w:spacing w:line="360" w:lineRule="auto"/>
              <w:jc w:val="center"/>
              <w:rPr>
                <w:rFonts w:hint="eastAsia" w:ascii="宋体" w:hAnsi="宋体" w:eastAsia="宋体" w:cs="宋体"/>
                <w:szCs w:val="21"/>
              </w:rPr>
            </w:pPr>
          </w:p>
        </w:tc>
        <w:tc>
          <w:tcPr>
            <w:tcW w:w="639" w:type="dxa"/>
            <w:noWrap/>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1516" w:type="dxa"/>
            <w:noWrap/>
            <w:vAlign w:val="center"/>
          </w:tcPr>
          <w:p>
            <w:pPr>
              <w:adjustRightInd w:val="0"/>
              <w:snapToGrid w:val="0"/>
              <w:spacing w:line="360" w:lineRule="auto"/>
              <w:ind w:left="50" w:leftChars="24" w:right="55" w:rightChars="26"/>
              <w:jc w:val="center"/>
              <w:rPr>
                <w:rFonts w:hint="eastAsia" w:ascii="宋体" w:hAnsi="宋体" w:eastAsia="宋体" w:cs="宋体"/>
                <w:szCs w:val="21"/>
              </w:rPr>
            </w:pPr>
          </w:p>
        </w:tc>
        <w:tc>
          <w:tcPr>
            <w:tcW w:w="2116" w:type="dxa"/>
            <w:noWrap/>
            <w:vAlign w:val="center"/>
          </w:tcPr>
          <w:p>
            <w:pPr>
              <w:adjustRightInd w:val="0"/>
              <w:snapToGrid w:val="0"/>
              <w:spacing w:line="360" w:lineRule="auto"/>
              <w:ind w:left="50" w:leftChars="24" w:right="55" w:rightChars="26"/>
              <w:jc w:val="center"/>
              <w:rPr>
                <w:rFonts w:hint="eastAsia" w:ascii="宋体" w:hAnsi="宋体" w:eastAsia="宋体" w:cs="宋体"/>
                <w:szCs w:val="21"/>
              </w:rPr>
            </w:pPr>
          </w:p>
        </w:tc>
        <w:tc>
          <w:tcPr>
            <w:tcW w:w="1684" w:type="dxa"/>
            <w:noWrap/>
            <w:vAlign w:val="center"/>
          </w:tcPr>
          <w:p>
            <w:pPr>
              <w:adjustRightInd w:val="0"/>
              <w:snapToGrid w:val="0"/>
              <w:spacing w:line="360" w:lineRule="auto"/>
              <w:jc w:val="center"/>
              <w:rPr>
                <w:rFonts w:hint="eastAsia" w:ascii="宋体" w:hAnsi="宋体" w:eastAsia="宋体" w:cs="宋体"/>
                <w:szCs w:val="21"/>
              </w:rPr>
            </w:pPr>
          </w:p>
        </w:tc>
        <w:tc>
          <w:tcPr>
            <w:tcW w:w="2090" w:type="dxa"/>
            <w:noWrap/>
            <w:vAlign w:val="center"/>
          </w:tcPr>
          <w:p>
            <w:pPr>
              <w:adjustRightInd w:val="0"/>
              <w:snapToGrid w:val="0"/>
              <w:spacing w:line="360" w:lineRule="auto"/>
              <w:jc w:val="center"/>
              <w:rPr>
                <w:rFonts w:hint="eastAsia" w:ascii="宋体" w:hAnsi="宋体" w:eastAsia="宋体" w:cs="宋体"/>
                <w:szCs w:val="21"/>
              </w:rPr>
            </w:pPr>
          </w:p>
        </w:tc>
        <w:tc>
          <w:tcPr>
            <w:tcW w:w="639" w:type="dxa"/>
            <w:noWrap/>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1516" w:type="dxa"/>
            <w:noWrap/>
            <w:vAlign w:val="center"/>
          </w:tcPr>
          <w:p>
            <w:pPr>
              <w:adjustRightInd w:val="0"/>
              <w:snapToGrid w:val="0"/>
              <w:spacing w:line="360" w:lineRule="auto"/>
              <w:ind w:left="50" w:leftChars="24" w:right="55" w:rightChars="26"/>
              <w:jc w:val="center"/>
              <w:rPr>
                <w:rFonts w:hint="eastAsia" w:ascii="宋体" w:hAnsi="宋体" w:eastAsia="宋体" w:cs="宋体"/>
                <w:szCs w:val="21"/>
              </w:rPr>
            </w:pPr>
          </w:p>
        </w:tc>
        <w:tc>
          <w:tcPr>
            <w:tcW w:w="2116" w:type="dxa"/>
            <w:noWrap/>
            <w:vAlign w:val="center"/>
          </w:tcPr>
          <w:p>
            <w:pPr>
              <w:adjustRightInd w:val="0"/>
              <w:snapToGrid w:val="0"/>
              <w:spacing w:line="360" w:lineRule="auto"/>
              <w:ind w:left="50" w:leftChars="24" w:right="55" w:rightChars="26"/>
              <w:jc w:val="center"/>
              <w:rPr>
                <w:rFonts w:hint="eastAsia" w:ascii="宋体" w:hAnsi="宋体" w:eastAsia="宋体" w:cs="宋体"/>
                <w:szCs w:val="21"/>
              </w:rPr>
            </w:pPr>
          </w:p>
        </w:tc>
        <w:tc>
          <w:tcPr>
            <w:tcW w:w="1684" w:type="dxa"/>
            <w:noWrap/>
            <w:vAlign w:val="center"/>
          </w:tcPr>
          <w:p>
            <w:pPr>
              <w:adjustRightInd w:val="0"/>
              <w:snapToGrid w:val="0"/>
              <w:spacing w:line="360" w:lineRule="auto"/>
              <w:jc w:val="center"/>
              <w:rPr>
                <w:rFonts w:hint="eastAsia" w:ascii="宋体" w:hAnsi="宋体" w:eastAsia="宋体" w:cs="宋体"/>
                <w:szCs w:val="21"/>
              </w:rPr>
            </w:pPr>
          </w:p>
        </w:tc>
        <w:tc>
          <w:tcPr>
            <w:tcW w:w="2090" w:type="dxa"/>
            <w:noWrap/>
            <w:vAlign w:val="center"/>
          </w:tcPr>
          <w:p>
            <w:pPr>
              <w:adjustRightInd w:val="0"/>
              <w:snapToGrid w:val="0"/>
              <w:spacing w:line="360" w:lineRule="auto"/>
              <w:jc w:val="center"/>
              <w:rPr>
                <w:rFonts w:hint="eastAsia" w:ascii="宋体" w:hAnsi="宋体" w:eastAsia="宋体" w:cs="宋体"/>
                <w:szCs w:val="21"/>
              </w:rPr>
            </w:pPr>
          </w:p>
        </w:tc>
        <w:tc>
          <w:tcPr>
            <w:tcW w:w="639" w:type="dxa"/>
            <w:noWrap/>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1516" w:type="dxa"/>
            <w:noWrap/>
            <w:vAlign w:val="center"/>
          </w:tcPr>
          <w:p>
            <w:pPr>
              <w:adjustRightInd w:val="0"/>
              <w:snapToGrid w:val="0"/>
              <w:spacing w:line="360" w:lineRule="auto"/>
              <w:jc w:val="center"/>
              <w:rPr>
                <w:rFonts w:hint="eastAsia" w:ascii="宋体" w:hAnsi="宋体" w:eastAsia="宋体" w:cs="宋体"/>
                <w:szCs w:val="21"/>
              </w:rPr>
            </w:pPr>
          </w:p>
        </w:tc>
        <w:tc>
          <w:tcPr>
            <w:tcW w:w="2116" w:type="dxa"/>
            <w:noWrap/>
            <w:vAlign w:val="center"/>
          </w:tcPr>
          <w:p>
            <w:pPr>
              <w:adjustRightInd w:val="0"/>
              <w:snapToGrid w:val="0"/>
              <w:spacing w:line="360" w:lineRule="auto"/>
              <w:jc w:val="center"/>
              <w:rPr>
                <w:rFonts w:hint="eastAsia" w:ascii="宋体" w:hAnsi="宋体" w:eastAsia="宋体" w:cs="宋体"/>
                <w:szCs w:val="21"/>
              </w:rPr>
            </w:pPr>
          </w:p>
        </w:tc>
        <w:tc>
          <w:tcPr>
            <w:tcW w:w="1684" w:type="dxa"/>
            <w:noWrap/>
            <w:vAlign w:val="center"/>
          </w:tcPr>
          <w:p>
            <w:pPr>
              <w:adjustRightInd w:val="0"/>
              <w:snapToGrid w:val="0"/>
              <w:spacing w:line="360" w:lineRule="auto"/>
              <w:jc w:val="center"/>
              <w:rPr>
                <w:rFonts w:hint="eastAsia" w:ascii="宋体" w:hAnsi="宋体" w:eastAsia="宋体" w:cs="宋体"/>
                <w:szCs w:val="21"/>
              </w:rPr>
            </w:pPr>
          </w:p>
        </w:tc>
        <w:tc>
          <w:tcPr>
            <w:tcW w:w="2090" w:type="dxa"/>
            <w:noWrap/>
            <w:vAlign w:val="center"/>
          </w:tcPr>
          <w:p>
            <w:pPr>
              <w:adjustRightInd w:val="0"/>
              <w:snapToGrid w:val="0"/>
              <w:spacing w:line="360" w:lineRule="auto"/>
              <w:jc w:val="center"/>
              <w:rPr>
                <w:rFonts w:hint="eastAsia" w:ascii="宋体" w:hAnsi="宋体" w:eastAsia="宋体" w:cs="宋体"/>
                <w:szCs w:val="21"/>
              </w:rPr>
            </w:pPr>
          </w:p>
        </w:tc>
        <w:tc>
          <w:tcPr>
            <w:tcW w:w="639" w:type="dxa"/>
            <w:noWrap/>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w:t>
            </w:r>
          </w:p>
        </w:tc>
        <w:tc>
          <w:tcPr>
            <w:tcW w:w="1516" w:type="dxa"/>
            <w:noWrap/>
            <w:vAlign w:val="center"/>
          </w:tcPr>
          <w:p>
            <w:pPr>
              <w:adjustRightInd w:val="0"/>
              <w:snapToGrid w:val="0"/>
              <w:spacing w:line="360" w:lineRule="auto"/>
              <w:jc w:val="center"/>
              <w:rPr>
                <w:rFonts w:hint="eastAsia" w:ascii="宋体" w:hAnsi="宋体" w:eastAsia="宋体" w:cs="宋体"/>
                <w:szCs w:val="21"/>
              </w:rPr>
            </w:pPr>
          </w:p>
        </w:tc>
        <w:tc>
          <w:tcPr>
            <w:tcW w:w="2116" w:type="dxa"/>
            <w:noWrap/>
            <w:vAlign w:val="center"/>
          </w:tcPr>
          <w:p>
            <w:pPr>
              <w:adjustRightInd w:val="0"/>
              <w:snapToGrid w:val="0"/>
              <w:spacing w:line="360" w:lineRule="auto"/>
              <w:jc w:val="center"/>
              <w:rPr>
                <w:rFonts w:hint="eastAsia" w:ascii="宋体" w:hAnsi="宋体" w:eastAsia="宋体" w:cs="宋体"/>
                <w:szCs w:val="21"/>
              </w:rPr>
            </w:pPr>
          </w:p>
        </w:tc>
        <w:tc>
          <w:tcPr>
            <w:tcW w:w="1684" w:type="dxa"/>
            <w:noWrap/>
            <w:vAlign w:val="center"/>
          </w:tcPr>
          <w:p>
            <w:pPr>
              <w:adjustRightInd w:val="0"/>
              <w:snapToGrid w:val="0"/>
              <w:spacing w:line="360" w:lineRule="auto"/>
              <w:jc w:val="center"/>
              <w:rPr>
                <w:rFonts w:hint="eastAsia" w:ascii="宋体" w:hAnsi="宋体" w:eastAsia="宋体" w:cs="宋体"/>
                <w:szCs w:val="21"/>
              </w:rPr>
            </w:pPr>
          </w:p>
        </w:tc>
        <w:tc>
          <w:tcPr>
            <w:tcW w:w="2090" w:type="dxa"/>
            <w:noWrap/>
            <w:vAlign w:val="center"/>
          </w:tcPr>
          <w:p>
            <w:pPr>
              <w:adjustRightInd w:val="0"/>
              <w:snapToGrid w:val="0"/>
              <w:spacing w:line="360" w:lineRule="auto"/>
              <w:jc w:val="center"/>
              <w:rPr>
                <w:rFonts w:hint="eastAsia" w:ascii="宋体" w:hAnsi="宋体" w:eastAsia="宋体" w:cs="宋体"/>
                <w:szCs w:val="21"/>
              </w:rPr>
            </w:pPr>
          </w:p>
        </w:tc>
        <w:tc>
          <w:tcPr>
            <w:tcW w:w="639" w:type="dxa"/>
            <w:noWrap/>
            <w:vAlign w:val="center"/>
          </w:tcPr>
          <w:p>
            <w:pPr>
              <w:adjustRightInd w:val="0"/>
              <w:snapToGrid w:val="0"/>
              <w:spacing w:line="360" w:lineRule="auto"/>
              <w:jc w:val="center"/>
              <w:rPr>
                <w:rFonts w:hint="eastAsia" w:ascii="宋体" w:hAnsi="宋体" w:eastAsia="宋体" w:cs="宋体"/>
                <w:szCs w:val="21"/>
              </w:rPr>
            </w:pPr>
          </w:p>
        </w:tc>
      </w:tr>
    </w:tbl>
    <w:p>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特别说明：</w:t>
      </w:r>
    </w:p>
    <w:p>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1.按照《招标文件-技术部分》内容要求，一一对应填写。如果对《招标文件-技术部分》内容不做一一响应，而将“投标文件应答情况”简单笼统描述为“无偏离”，则视为无效应答。</w:t>
      </w:r>
    </w:p>
    <w:p>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2.《招标文件-技术部分》内容须条对条应答，不得遗漏；如有遗漏，则视为无效应答。如无偏离，请在此表中填写“无偏离”。如有偏离，请在此表中应答为“正/负偏离”并说明偏离情况；</w:t>
      </w:r>
    </w:p>
    <w:p>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3.如《招标文件-技术部分》中有标注★号的，则为实质性要求，必须满足，如应答为“负偏离”，将导致投标无效。</w:t>
      </w:r>
    </w:p>
    <w:p>
      <w:pPr>
        <w:topLinePunct/>
        <w:autoSpaceDE w:val="0"/>
        <w:autoSpaceDN w:val="0"/>
        <w:spacing w:line="360" w:lineRule="auto"/>
        <w:ind w:firstLine="420" w:firstLineChars="200"/>
        <w:rPr>
          <w:rFonts w:hint="eastAsia" w:ascii="宋体" w:hAnsi="宋体" w:eastAsia="宋体" w:cs="宋体"/>
          <w:szCs w:val="21"/>
        </w:rPr>
      </w:pPr>
    </w:p>
    <w:p>
      <w:pPr>
        <w:pStyle w:val="60"/>
        <w:spacing w:after="156" w:line="360" w:lineRule="auto"/>
        <w:rPr>
          <w:rFonts w:hint="eastAsia" w:ascii="宋体" w:hAnsi="宋体" w:eastAsia="宋体" w:cs="宋体"/>
          <w:sz w:val="21"/>
          <w:szCs w:val="21"/>
        </w:rPr>
      </w:pPr>
    </w:p>
    <w:p>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kern w:val="0"/>
          <w:szCs w:val="21"/>
        </w:rPr>
        <w:t>（全称并加盖公章</w:t>
      </w:r>
      <w:r>
        <w:rPr>
          <w:rFonts w:hint="eastAsia" w:ascii="宋体" w:hAnsi="宋体" w:eastAsia="宋体" w:cs="宋体"/>
          <w:szCs w:val="21"/>
        </w:rPr>
        <w:t>）：</w:t>
      </w:r>
      <w:r>
        <w:rPr>
          <w:rFonts w:hint="eastAsia" w:ascii="宋体" w:hAnsi="宋体" w:eastAsia="宋体" w:cs="宋体"/>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kern w:val="0"/>
          <w:szCs w:val="21"/>
        </w:rPr>
        <w:t>投标人代表（签字或盖章）</w:t>
      </w:r>
      <w:r>
        <w:rPr>
          <w:rFonts w:hint="eastAsia" w:ascii="宋体" w:hAnsi="宋体" w:eastAsia="宋体" w:cs="宋体"/>
          <w:szCs w:val="21"/>
        </w:rPr>
        <w:t>：</w:t>
      </w:r>
      <w:r>
        <w:rPr>
          <w:rFonts w:hint="eastAsia" w:ascii="宋体" w:hAnsi="宋体" w:eastAsia="宋体" w:cs="宋体"/>
          <w:szCs w:val="21"/>
          <w:u w:val="single"/>
        </w:rPr>
        <w:t xml:space="preserve">             </w:t>
      </w:r>
    </w:p>
    <w:p>
      <w:pPr>
        <w:tabs>
          <w:tab w:val="left" w:pos="1230"/>
        </w:tabs>
        <w:topLinePunct/>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jc w:val="center"/>
        <w:outlineLvl w:val="1"/>
        <w:rPr>
          <w:rFonts w:hint="eastAsia" w:ascii="宋体" w:hAnsi="宋体" w:eastAsia="宋体" w:cs="宋体"/>
          <w:b/>
          <w:bCs/>
          <w:sz w:val="36"/>
          <w:szCs w:val="36"/>
        </w:rPr>
      </w:pPr>
      <w:r>
        <w:rPr>
          <w:rFonts w:hint="eastAsia" w:ascii="宋体" w:hAnsi="宋体" w:eastAsia="宋体" w:cs="宋体"/>
          <w:sz w:val="24"/>
        </w:rPr>
        <w:br w:type="page"/>
      </w:r>
      <w:bookmarkStart w:id="109" w:name="_Toc28579"/>
      <w:r>
        <w:rPr>
          <w:rFonts w:hint="eastAsia" w:ascii="宋体" w:hAnsi="宋体" w:eastAsia="宋体" w:cs="宋体"/>
          <w:b/>
          <w:bCs/>
          <w:sz w:val="28"/>
          <w:szCs w:val="28"/>
        </w:rPr>
        <w:t>格式10</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服务方案、实施方案及技术方案</w:t>
      </w:r>
      <w:bookmarkEnd w:id="109"/>
    </w:p>
    <w:p>
      <w:pPr>
        <w:spacing w:line="360" w:lineRule="auto"/>
        <w:ind w:firstLine="420" w:firstLineChars="200"/>
        <w:rPr>
          <w:rFonts w:hint="eastAsia" w:ascii="宋体" w:hAnsi="宋体" w:eastAsia="宋体" w:cs="宋体"/>
          <w:szCs w:val="21"/>
        </w:rPr>
      </w:pPr>
    </w:p>
    <w:p>
      <w:pPr>
        <w:adjustRightInd w:val="0"/>
        <w:snapToGrid w:val="0"/>
        <w:spacing w:line="360" w:lineRule="auto"/>
        <w:jc w:val="center"/>
        <w:rPr>
          <w:rFonts w:hint="eastAsia" w:ascii="宋体" w:hAnsi="宋体" w:eastAsia="宋体" w:cs="宋体"/>
          <w:sz w:val="28"/>
          <w:szCs w:val="28"/>
        </w:rPr>
      </w:pPr>
      <w:r>
        <w:rPr>
          <w:rFonts w:hint="eastAsia" w:ascii="宋体" w:hAnsi="宋体" w:eastAsia="宋体" w:cs="宋体"/>
          <w:b/>
          <w:bCs/>
          <w:sz w:val="28"/>
          <w:szCs w:val="28"/>
        </w:rPr>
        <w:t>服务方案说明</w:t>
      </w:r>
    </w:p>
    <w:p>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服务类项目供应商应根据第六章规定编写服务方案说明。服务方案说明包括但不限于：</w:t>
      </w:r>
    </w:p>
    <w:p>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lang w:eastAsia="zh-CN"/>
        </w:rPr>
        <w:t>（1）</w:t>
      </w:r>
      <w:r>
        <w:rPr>
          <w:rFonts w:hint="eastAsia" w:ascii="宋体" w:hAnsi="宋体" w:eastAsia="宋体" w:cs="宋体"/>
          <w:kern w:val="0"/>
          <w:szCs w:val="21"/>
        </w:rPr>
        <w:t>服务目标、范围和任务；</w:t>
      </w:r>
    </w:p>
    <w:p>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lang w:eastAsia="zh-CN"/>
        </w:rPr>
        <w:t>（2）</w:t>
      </w:r>
      <w:r>
        <w:rPr>
          <w:rFonts w:hint="eastAsia" w:ascii="宋体" w:hAnsi="宋体" w:eastAsia="宋体" w:cs="宋体"/>
          <w:kern w:val="0"/>
          <w:szCs w:val="21"/>
        </w:rPr>
        <w:t>服务方案；</w:t>
      </w:r>
    </w:p>
    <w:p>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lang w:eastAsia="zh-CN"/>
        </w:rPr>
        <w:t>（3）</w:t>
      </w:r>
      <w:r>
        <w:rPr>
          <w:rFonts w:hint="eastAsia" w:ascii="宋体" w:hAnsi="宋体" w:eastAsia="宋体" w:cs="宋体"/>
          <w:kern w:val="0"/>
          <w:szCs w:val="21"/>
        </w:rPr>
        <w:t>服务团队组织安排计划；</w:t>
      </w:r>
    </w:p>
    <w:p>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lang w:eastAsia="zh-CN"/>
        </w:rPr>
        <w:t>（4）</w:t>
      </w:r>
      <w:r>
        <w:rPr>
          <w:rFonts w:hint="eastAsia" w:ascii="宋体" w:hAnsi="宋体" w:eastAsia="宋体" w:cs="宋体"/>
          <w:kern w:val="0"/>
          <w:szCs w:val="21"/>
        </w:rPr>
        <w:t>工作流程；</w:t>
      </w:r>
    </w:p>
    <w:p>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lang w:eastAsia="zh-CN"/>
        </w:rPr>
        <w:t>（5）</w:t>
      </w:r>
      <w:r>
        <w:rPr>
          <w:rFonts w:hint="eastAsia" w:ascii="宋体" w:hAnsi="宋体" w:eastAsia="宋体" w:cs="宋体"/>
          <w:kern w:val="0"/>
          <w:szCs w:val="21"/>
        </w:rPr>
        <w:t>进度计划及保证措施；</w:t>
      </w:r>
    </w:p>
    <w:p>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lang w:eastAsia="zh-CN"/>
        </w:rPr>
        <w:t>（6）</w:t>
      </w:r>
      <w:r>
        <w:rPr>
          <w:rFonts w:hint="eastAsia" w:ascii="宋体" w:hAnsi="宋体" w:eastAsia="宋体" w:cs="宋体"/>
          <w:kern w:val="0"/>
          <w:szCs w:val="21"/>
        </w:rPr>
        <w:t>质量保证措施；</w:t>
      </w:r>
    </w:p>
    <w:p>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lang w:eastAsia="zh-CN"/>
        </w:rPr>
        <w:t>（7）</w:t>
      </w:r>
      <w:r>
        <w:rPr>
          <w:rFonts w:hint="eastAsia" w:ascii="宋体" w:hAnsi="宋体" w:eastAsia="宋体" w:cs="宋体"/>
          <w:kern w:val="0"/>
          <w:szCs w:val="21"/>
        </w:rPr>
        <w:t>合理化建议；</w:t>
      </w:r>
    </w:p>
    <w:p>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lang w:eastAsia="zh-CN"/>
        </w:rPr>
        <w:t>（8）</w:t>
      </w:r>
      <w:r>
        <w:rPr>
          <w:rFonts w:hint="eastAsia" w:ascii="宋体" w:hAnsi="宋体" w:eastAsia="宋体" w:cs="宋体"/>
          <w:kern w:val="0"/>
          <w:szCs w:val="21"/>
        </w:rPr>
        <w:t>其他。</w:t>
      </w:r>
    </w:p>
    <w:p>
      <w:pPr>
        <w:spacing w:line="360" w:lineRule="auto"/>
        <w:ind w:firstLine="420" w:firstLineChars="200"/>
        <w:rPr>
          <w:rFonts w:hint="eastAsia" w:ascii="宋体" w:hAnsi="宋体" w:eastAsia="宋体" w:cs="宋体"/>
          <w:szCs w:val="21"/>
        </w:rPr>
      </w:pPr>
    </w:p>
    <w:p>
      <w:pPr>
        <w:adjustRightInd w:val="0"/>
        <w:snapToGrid w:val="0"/>
        <w:spacing w:line="360" w:lineRule="auto"/>
        <w:ind w:firstLine="723"/>
        <w:jc w:val="center"/>
        <w:rPr>
          <w:rFonts w:hint="eastAsia" w:ascii="宋体" w:hAnsi="宋体" w:eastAsia="宋体" w:cs="宋体"/>
          <w:b/>
          <w:bCs/>
          <w:sz w:val="28"/>
          <w:szCs w:val="28"/>
        </w:rPr>
      </w:pPr>
      <w:r>
        <w:rPr>
          <w:rFonts w:hint="eastAsia" w:ascii="宋体" w:hAnsi="宋体" w:eastAsia="宋体" w:cs="宋体"/>
          <w:b/>
          <w:bCs/>
          <w:sz w:val="28"/>
          <w:szCs w:val="28"/>
        </w:rPr>
        <w:t>实施方案</w:t>
      </w:r>
    </w:p>
    <w:p>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(示例略)</w:t>
      </w:r>
    </w:p>
    <w:p>
      <w:pPr>
        <w:spacing w:line="360" w:lineRule="auto"/>
        <w:ind w:firstLine="420" w:firstLineChars="200"/>
        <w:rPr>
          <w:rFonts w:hint="eastAsia" w:ascii="宋体" w:hAnsi="宋体" w:eastAsia="宋体" w:cs="宋体"/>
          <w:szCs w:val="21"/>
        </w:rPr>
      </w:pPr>
    </w:p>
    <w:p>
      <w:pPr>
        <w:adjustRightInd w:val="0"/>
        <w:snapToGrid w:val="0"/>
        <w:spacing w:line="360" w:lineRule="auto"/>
        <w:ind w:firstLine="723"/>
        <w:jc w:val="center"/>
        <w:rPr>
          <w:rFonts w:hint="eastAsia" w:ascii="宋体" w:hAnsi="宋体" w:eastAsia="宋体" w:cs="宋体"/>
          <w:b/>
          <w:bCs/>
          <w:sz w:val="28"/>
          <w:szCs w:val="28"/>
        </w:rPr>
      </w:pPr>
      <w:r>
        <w:rPr>
          <w:rFonts w:hint="eastAsia" w:ascii="宋体" w:hAnsi="宋体" w:eastAsia="宋体" w:cs="宋体"/>
          <w:b/>
          <w:bCs/>
          <w:sz w:val="28"/>
          <w:szCs w:val="28"/>
        </w:rPr>
        <w:t>技术方案</w:t>
      </w:r>
    </w:p>
    <w:p>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(示例略)</w:t>
      </w:r>
    </w:p>
    <w:p>
      <w:pPr>
        <w:spacing w:line="360" w:lineRule="auto"/>
        <w:jc w:val="center"/>
        <w:outlineLvl w:val="1"/>
        <w:rPr>
          <w:rFonts w:hint="eastAsia" w:ascii="宋体" w:hAnsi="宋体" w:eastAsia="宋体" w:cs="宋体"/>
          <w:b/>
          <w:bCs/>
          <w:sz w:val="28"/>
          <w:szCs w:val="28"/>
        </w:rPr>
      </w:pPr>
      <w:r>
        <w:rPr>
          <w:rFonts w:hint="eastAsia" w:ascii="宋体" w:hAnsi="宋体" w:eastAsia="宋体" w:cs="宋体"/>
          <w:kern w:val="0"/>
          <w:sz w:val="24"/>
        </w:rPr>
        <w:br w:type="page"/>
      </w:r>
      <w:bookmarkStart w:id="110" w:name="_Toc22300"/>
      <w:r>
        <w:rPr>
          <w:rFonts w:hint="eastAsia" w:ascii="宋体" w:hAnsi="宋体" w:eastAsia="宋体" w:cs="宋体"/>
          <w:b/>
          <w:bCs/>
          <w:sz w:val="28"/>
          <w:szCs w:val="28"/>
        </w:rPr>
        <w:t>格式</w:t>
      </w:r>
      <w:bookmarkStart w:id="111" w:name="_Toc231801039"/>
      <w:r>
        <w:rPr>
          <w:rFonts w:hint="eastAsia" w:ascii="宋体" w:hAnsi="宋体" w:eastAsia="宋体" w:cs="宋体"/>
          <w:b/>
          <w:bCs/>
          <w:sz w:val="28"/>
          <w:szCs w:val="28"/>
        </w:rPr>
        <w:t xml:space="preserve">11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技术力量一览表</w:t>
      </w:r>
      <w:bookmarkEnd w:id="110"/>
    </w:p>
    <w:tbl>
      <w:tblPr>
        <w:tblStyle w:val="29"/>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356"/>
        <w:gridCol w:w="1187"/>
        <w:gridCol w:w="1189"/>
        <w:gridCol w:w="1275"/>
        <w:gridCol w:w="124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b/>
                <w:szCs w:val="21"/>
              </w:rPr>
            </w:pPr>
            <w:r>
              <w:rPr>
                <w:rFonts w:hint="eastAsia" w:ascii="宋体" w:hAnsi="宋体" w:eastAsia="宋体" w:cs="宋体"/>
                <w:b/>
                <w:szCs w:val="21"/>
              </w:rPr>
              <w:t>序号</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b/>
                <w:szCs w:val="21"/>
              </w:rPr>
            </w:pPr>
            <w:r>
              <w:rPr>
                <w:rFonts w:hint="eastAsia" w:ascii="宋体" w:hAnsi="宋体" w:eastAsia="宋体" w:cs="宋体"/>
                <w:b/>
                <w:szCs w:val="21"/>
              </w:rPr>
              <w:t>姓 名</w:t>
            </w: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b/>
                <w:szCs w:val="21"/>
              </w:rPr>
            </w:pPr>
            <w:r>
              <w:rPr>
                <w:rFonts w:hint="eastAsia" w:ascii="宋体" w:hAnsi="宋体" w:eastAsia="宋体" w:cs="宋体"/>
                <w:b/>
                <w:szCs w:val="21"/>
              </w:rPr>
              <w:t>技术职称</w:t>
            </w: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b/>
                <w:szCs w:val="21"/>
              </w:rPr>
            </w:pPr>
            <w:r>
              <w:rPr>
                <w:rFonts w:hint="eastAsia" w:ascii="宋体" w:hAnsi="宋体" w:eastAsia="宋体" w:cs="宋体"/>
                <w:b/>
                <w:szCs w:val="21"/>
              </w:rPr>
              <w:t>人员级别</w:t>
            </w: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b/>
                <w:szCs w:val="21"/>
              </w:rPr>
            </w:pPr>
            <w:r>
              <w:rPr>
                <w:rFonts w:hint="eastAsia" w:ascii="宋体" w:hAnsi="宋体" w:eastAsia="宋体" w:cs="宋体"/>
                <w:b/>
                <w:szCs w:val="21"/>
              </w:rPr>
              <w:t>工作年限</w:t>
            </w: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b/>
                <w:szCs w:val="21"/>
              </w:rPr>
            </w:pPr>
            <w:r>
              <w:rPr>
                <w:rFonts w:hint="eastAsia" w:ascii="宋体" w:hAnsi="宋体" w:eastAsia="宋体" w:cs="宋体"/>
                <w:b/>
                <w:szCs w:val="21"/>
              </w:rPr>
              <w:t>本项目中担任职务</w:t>
            </w: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b/>
                <w:szCs w:val="21"/>
              </w:rPr>
            </w:pPr>
            <w:r>
              <w:rPr>
                <w:rFonts w:hint="eastAsia" w:ascii="宋体" w:hAnsi="宋体" w:eastAsia="宋体" w:cs="宋体"/>
                <w:b/>
                <w:szCs w:val="21"/>
              </w:rPr>
              <w:t>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left"/>
              <w:rPr>
                <w:rFonts w:hint="eastAsia" w:ascii="宋体" w:hAnsi="宋体" w:eastAsia="宋体" w:cs="宋体"/>
                <w:szCs w:val="21"/>
              </w:rPr>
            </w:pPr>
            <w:r>
              <w:rPr>
                <w:rFonts w:hint="eastAsia" w:ascii="宋体" w:hAnsi="宋体" w:eastAsia="宋体" w:cs="宋体"/>
                <w:szCs w:val="21"/>
              </w:rPr>
              <w:t>项目管理人员</w:t>
            </w:r>
          </w:p>
          <w:p>
            <w:pPr>
              <w:adjustRightInd w:val="0"/>
              <w:spacing w:line="360" w:lineRule="auto"/>
              <w:jc w:val="left"/>
              <w:rPr>
                <w:rFonts w:hint="eastAsia" w:ascii="宋体" w:hAnsi="宋体" w:eastAsia="宋体" w:cs="宋体"/>
                <w:szCs w:val="21"/>
              </w:rPr>
            </w:pPr>
            <w:r>
              <w:rPr>
                <w:rFonts w:hint="eastAsia" w:ascii="宋体" w:hAnsi="宋体" w:eastAsia="宋体" w:cs="宋体"/>
                <w:szCs w:val="21"/>
              </w:rPr>
              <w:t>（一）项目负责人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r>
              <w:rPr>
                <w:rFonts w:hint="eastAsia" w:ascii="宋体" w:hAnsi="宋体" w:eastAsia="宋体" w:cs="宋体"/>
                <w:szCs w:val="21"/>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left"/>
              <w:rPr>
                <w:rFonts w:hint="eastAsia" w:ascii="宋体" w:hAnsi="宋体" w:eastAsia="宋体" w:cs="宋体"/>
                <w:szCs w:val="21"/>
              </w:rPr>
            </w:pPr>
            <w:r>
              <w:rPr>
                <w:rFonts w:hint="eastAsia" w:ascii="宋体" w:hAnsi="宋体" w:eastAsia="宋体" w:cs="宋体"/>
                <w:szCs w:val="21"/>
              </w:rPr>
              <w:t>（二）技术负责人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r>
              <w:rPr>
                <w:rFonts w:hint="eastAsia" w:ascii="宋体" w:hAnsi="宋体" w:eastAsia="宋体" w:cs="宋体"/>
                <w:szCs w:val="21"/>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left"/>
              <w:rPr>
                <w:rFonts w:hint="eastAsia" w:ascii="宋体" w:hAnsi="宋体" w:eastAsia="宋体" w:cs="宋体"/>
                <w:szCs w:val="21"/>
              </w:rPr>
            </w:pPr>
            <w:r>
              <w:rPr>
                <w:rFonts w:hint="eastAsia" w:ascii="宋体" w:hAnsi="宋体" w:eastAsia="宋体" w:cs="宋体"/>
                <w:szCs w:val="21"/>
              </w:rPr>
              <w:t>二、XX人员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r>
              <w:rPr>
                <w:rFonts w:hint="eastAsia" w:ascii="宋体" w:hAnsi="宋体" w:eastAsia="宋体" w:cs="宋体"/>
                <w:szCs w:val="21"/>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c>
          <w:tcPr>
            <w:tcW w:w="1916"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left"/>
              <w:rPr>
                <w:rFonts w:hint="eastAsia" w:ascii="宋体" w:hAnsi="宋体" w:eastAsia="宋体" w:cs="宋体"/>
                <w:szCs w:val="21"/>
              </w:rPr>
            </w:pPr>
            <w:r>
              <w:rPr>
                <w:rFonts w:hint="eastAsia" w:ascii="宋体" w:hAnsi="宋体" w:eastAsia="宋体" w:cs="宋体"/>
                <w:szCs w:val="21"/>
              </w:rPr>
              <w:t>三、XX人员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adjustRightInd w:val="0"/>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356" w:type="dxa"/>
            <w:vAlign w:val="center"/>
          </w:tcPr>
          <w:p>
            <w:pPr>
              <w:adjustRightInd w:val="0"/>
              <w:spacing w:line="360" w:lineRule="auto"/>
              <w:jc w:val="center"/>
              <w:rPr>
                <w:rFonts w:hint="eastAsia" w:ascii="宋体" w:hAnsi="宋体" w:eastAsia="宋体" w:cs="宋体"/>
                <w:szCs w:val="21"/>
              </w:rPr>
            </w:pPr>
          </w:p>
        </w:tc>
        <w:tc>
          <w:tcPr>
            <w:tcW w:w="1187" w:type="dxa"/>
            <w:vAlign w:val="center"/>
          </w:tcPr>
          <w:p>
            <w:pPr>
              <w:adjustRightInd w:val="0"/>
              <w:spacing w:line="360" w:lineRule="auto"/>
              <w:jc w:val="center"/>
              <w:rPr>
                <w:rFonts w:hint="eastAsia" w:ascii="宋体" w:hAnsi="宋体" w:eastAsia="宋体" w:cs="宋体"/>
                <w:szCs w:val="21"/>
              </w:rPr>
            </w:pPr>
          </w:p>
        </w:tc>
        <w:tc>
          <w:tcPr>
            <w:tcW w:w="1189" w:type="dxa"/>
            <w:vAlign w:val="center"/>
          </w:tcPr>
          <w:p>
            <w:pPr>
              <w:adjustRightInd w:val="0"/>
              <w:spacing w:line="360" w:lineRule="auto"/>
              <w:jc w:val="center"/>
              <w:rPr>
                <w:rFonts w:hint="eastAsia" w:ascii="宋体" w:hAnsi="宋体" w:eastAsia="宋体" w:cs="宋体"/>
                <w:szCs w:val="21"/>
              </w:rPr>
            </w:pPr>
          </w:p>
        </w:tc>
        <w:tc>
          <w:tcPr>
            <w:tcW w:w="1275" w:type="dxa"/>
            <w:vAlign w:val="center"/>
          </w:tcPr>
          <w:p>
            <w:pPr>
              <w:adjustRightInd w:val="0"/>
              <w:spacing w:line="360" w:lineRule="auto"/>
              <w:jc w:val="center"/>
              <w:rPr>
                <w:rFonts w:hint="eastAsia" w:ascii="宋体" w:hAnsi="宋体" w:eastAsia="宋体" w:cs="宋体"/>
                <w:szCs w:val="21"/>
              </w:rPr>
            </w:pPr>
          </w:p>
        </w:tc>
        <w:tc>
          <w:tcPr>
            <w:tcW w:w="1243" w:type="dxa"/>
            <w:vAlign w:val="center"/>
          </w:tcPr>
          <w:p>
            <w:pPr>
              <w:adjustRightInd w:val="0"/>
              <w:spacing w:line="360" w:lineRule="auto"/>
              <w:jc w:val="center"/>
              <w:rPr>
                <w:rFonts w:hint="eastAsia" w:ascii="宋体" w:hAnsi="宋体" w:eastAsia="宋体" w:cs="宋体"/>
                <w:szCs w:val="21"/>
              </w:rPr>
            </w:pPr>
          </w:p>
        </w:tc>
        <w:tc>
          <w:tcPr>
            <w:tcW w:w="1916" w:type="dxa"/>
            <w:vAlign w:val="center"/>
          </w:tcPr>
          <w:p>
            <w:pPr>
              <w:adjustRightIn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adjustRightInd w:val="0"/>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1356" w:type="dxa"/>
            <w:vAlign w:val="center"/>
          </w:tcPr>
          <w:p>
            <w:pPr>
              <w:adjustRightInd w:val="0"/>
              <w:spacing w:line="360" w:lineRule="auto"/>
              <w:jc w:val="center"/>
              <w:rPr>
                <w:rFonts w:hint="eastAsia" w:ascii="宋体" w:hAnsi="宋体" w:eastAsia="宋体" w:cs="宋体"/>
                <w:szCs w:val="21"/>
              </w:rPr>
            </w:pPr>
          </w:p>
        </w:tc>
        <w:tc>
          <w:tcPr>
            <w:tcW w:w="1187" w:type="dxa"/>
            <w:vAlign w:val="center"/>
          </w:tcPr>
          <w:p>
            <w:pPr>
              <w:adjustRightInd w:val="0"/>
              <w:spacing w:line="360" w:lineRule="auto"/>
              <w:jc w:val="center"/>
              <w:rPr>
                <w:rFonts w:hint="eastAsia" w:ascii="宋体" w:hAnsi="宋体" w:eastAsia="宋体" w:cs="宋体"/>
                <w:szCs w:val="21"/>
              </w:rPr>
            </w:pPr>
          </w:p>
        </w:tc>
        <w:tc>
          <w:tcPr>
            <w:tcW w:w="1189" w:type="dxa"/>
            <w:vAlign w:val="center"/>
          </w:tcPr>
          <w:p>
            <w:pPr>
              <w:adjustRightInd w:val="0"/>
              <w:spacing w:line="360" w:lineRule="auto"/>
              <w:jc w:val="center"/>
              <w:rPr>
                <w:rFonts w:hint="eastAsia" w:ascii="宋体" w:hAnsi="宋体" w:eastAsia="宋体" w:cs="宋体"/>
                <w:szCs w:val="21"/>
              </w:rPr>
            </w:pPr>
          </w:p>
        </w:tc>
        <w:tc>
          <w:tcPr>
            <w:tcW w:w="1275" w:type="dxa"/>
            <w:vAlign w:val="center"/>
          </w:tcPr>
          <w:p>
            <w:pPr>
              <w:adjustRightInd w:val="0"/>
              <w:spacing w:line="360" w:lineRule="auto"/>
              <w:jc w:val="center"/>
              <w:rPr>
                <w:rFonts w:hint="eastAsia" w:ascii="宋体" w:hAnsi="宋体" w:eastAsia="宋体" w:cs="宋体"/>
                <w:szCs w:val="21"/>
              </w:rPr>
            </w:pPr>
          </w:p>
        </w:tc>
        <w:tc>
          <w:tcPr>
            <w:tcW w:w="1243" w:type="dxa"/>
            <w:vAlign w:val="center"/>
          </w:tcPr>
          <w:p>
            <w:pPr>
              <w:adjustRightInd w:val="0"/>
              <w:spacing w:line="360" w:lineRule="auto"/>
              <w:jc w:val="center"/>
              <w:rPr>
                <w:rFonts w:hint="eastAsia" w:ascii="宋体" w:hAnsi="宋体" w:eastAsia="宋体" w:cs="宋体"/>
                <w:szCs w:val="21"/>
              </w:rPr>
            </w:pPr>
          </w:p>
        </w:tc>
        <w:tc>
          <w:tcPr>
            <w:tcW w:w="1916" w:type="dxa"/>
            <w:vAlign w:val="center"/>
          </w:tcPr>
          <w:p>
            <w:pPr>
              <w:adjustRightIn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adjustRightInd w:val="0"/>
              <w:spacing w:line="360" w:lineRule="auto"/>
              <w:jc w:val="center"/>
              <w:rPr>
                <w:rFonts w:hint="eastAsia" w:ascii="宋体" w:hAnsi="宋体" w:eastAsia="宋体" w:cs="宋体"/>
                <w:szCs w:val="21"/>
              </w:rPr>
            </w:pPr>
            <w:r>
              <w:rPr>
                <w:rFonts w:hint="eastAsia" w:ascii="宋体" w:hAnsi="宋体" w:eastAsia="宋体" w:cs="宋体"/>
                <w:szCs w:val="21"/>
              </w:rPr>
              <w:t>……</w:t>
            </w:r>
          </w:p>
        </w:tc>
        <w:tc>
          <w:tcPr>
            <w:tcW w:w="1356" w:type="dxa"/>
            <w:vAlign w:val="center"/>
          </w:tcPr>
          <w:p>
            <w:pPr>
              <w:adjustRightInd w:val="0"/>
              <w:spacing w:line="360" w:lineRule="auto"/>
              <w:jc w:val="center"/>
              <w:rPr>
                <w:rFonts w:hint="eastAsia" w:ascii="宋体" w:hAnsi="宋体" w:eastAsia="宋体" w:cs="宋体"/>
                <w:szCs w:val="21"/>
              </w:rPr>
            </w:pPr>
          </w:p>
        </w:tc>
        <w:tc>
          <w:tcPr>
            <w:tcW w:w="1187" w:type="dxa"/>
            <w:vAlign w:val="center"/>
          </w:tcPr>
          <w:p>
            <w:pPr>
              <w:adjustRightInd w:val="0"/>
              <w:spacing w:line="360" w:lineRule="auto"/>
              <w:jc w:val="center"/>
              <w:rPr>
                <w:rFonts w:hint="eastAsia" w:ascii="宋体" w:hAnsi="宋体" w:eastAsia="宋体" w:cs="宋体"/>
                <w:szCs w:val="21"/>
              </w:rPr>
            </w:pPr>
          </w:p>
        </w:tc>
        <w:tc>
          <w:tcPr>
            <w:tcW w:w="1189" w:type="dxa"/>
            <w:vAlign w:val="center"/>
          </w:tcPr>
          <w:p>
            <w:pPr>
              <w:adjustRightInd w:val="0"/>
              <w:spacing w:line="360" w:lineRule="auto"/>
              <w:jc w:val="center"/>
              <w:rPr>
                <w:rFonts w:hint="eastAsia" w:ascii="宋体" w:hAnsi="宋体" w:eastAsia="宋体" w:cs="宋体"/>
                <w:szCs w:val="21"/>
              </w:rPr>
            </w:pPr>
          </w:p>
        </w:tc>
        <w:tc>
          <w:tcPr>
            <w:tcW w:w="1275" w:type="dxa"/>
            <w:vAlign w:val="center"/>
          </w:tcPr>
          <w:p>
            <w:pPr>
              <w:adjustRightInd w:val="0"/>
              <w:spacing w:line="360" w:lineRule="auto"/>
              <w:jc w:val="center"/>
              <w:rPr>
                <w:rFonts w:hint="eastAsia" w:ascii="宋体" w:hAnsi="宋体" w:eastAsia="宋体" w:cs="宋体"/>
                <w:szCs w:val="21"/>
              </w:rPr>
            </w:pPr>
          </w:p>
        </w:tc>
        <w:tc>
          <w:tcPr>
            <w:tcW w:w="1243" w:type="dxa"/>
            <w:vAlign w:val="center"/>
          </w:tcPr>
          <w:p>
            <w:pPr>
              <w:adjustRightInd w:val="0"/>
              <w:spacing w:line="360" w:lineRule="auto"/>
              <w:jc w:val="center"/>
              <w:rPr>
                <w:rFonts w:hint="eastAsia" w:ascii="宋体" w:hAnsi="宋体" w:eastAsia="宋体" w:cs="宋体"/>
                <w:szCs w:val="21"/>
              </w:rPr>
            </w:pPr>
          </w:p>
        </w:tc>
        <w:tc>
          <w:tcPr>
            <w:tcW w:w="1916" w:type="dxa"/>
            <w:vAlign w:val="center"/>
          </w:tcPr>
          <w:p>
            <w:pPr>
              <w:adjustRightInd w:val="0"/>
              <w:spacing w:line="360" w:lineRule="auto"/>
              <w:jc w:val="center"/>
              <w:rPr>
                <w:rFonts w:hint="eastAsia" w:ascii="宋体" w:hAnsi="宋体" w:eastAsia="宋体" w:cs="宋体"/>
                <w:szCs w:val="21"/>
              </w:rPr>
            </w:pPr>
          </w:p>
        </w:tc>
      </w:tr>
      <w:bookmarkEnd w:id="111"/>
    </w:tbl>
    <w:p>
      <w:pPr>
        <w:topLinePunct/>
        <w:autoSpaceDE w:val="0"/>
        <w:autoSpaceDN w:val="0"/>
        <w:spacing w:line="360" w:lineRule="auto"/>
        <w:rPr>
          <w:rFonts w:hint="eastAsia" w:ascii="宋体" w:hAnsi="宋体" w:eastAsia="宋体" w:cs="宋体"/>
          <w:szCs w:val="21"/>
        </w:rPr>
      </w:pPr>
      <w:r>
        <w:rPr>
          <w:rFonts w:hint="eastAsia" w:ascii="宋体" w:hAnsi="宋体" w:eastAsia="宋体" w:cs="宋体"/>
          <w:szCs w:val="21"/>
        </w:rPr>
        <w:t>特别说明：</w:t>
      </w:r>
    </w:p>
    <w:p>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投标人须按照上述格式填写投入本项目所有人员的相关信息。</w:t>
      </w:r>
    </w:p>
    <w:p>
      <w:pPr>
        <w:topLinePunct/>
        <w:autoSpaceDE w:val="0"/>
        <w:autoSpaceDN w:val="0"/>
        <w:spacing w:line="360" w:lineRule="auto"/>
        <w:rPr>
          <w:rFonts w:hint="eastAsia" w:ascii="宋体" w:hAnsi="宋体" w:eastAsia="宋体" w:cs="宋体"/>
          <w:bCs/>
          <w:w w:val="150"/>
          <w:sz w:val="24"/>
          <w:shd w:val="clear" w:color="auto" w:fill="FFFF00"/>
        </w:rPr>
      </w:pPr>
    </w:p>
    <w:p>
      <w:pPr>
        <w:topLinePunct/>
        <w:autoSpaceDE w:val="0"/>
        <w:autoSpaceDN w:val="0"/>
        <w:spacing w:line="360" w:lineRule="auto"/>
        <w:jc w:val="center"/>
        <w:outlineLvl w:val="1"/>
        <w:rPr>
          <w:rFonts w:hint="eastAsia" w:ascii="宋体" w:hAnsi="宋体" w:eastAsia="宋体" w:cs="宋体"/>
          <w:b/>
          <w:bCs/>
          <w:sz w:val="28"/>
          <w:szCs w:val="28"/>
        </w:rPr>
      </w:pPr>
      <w:r>
        <w:rPr>
          <w:rFonts w:hint="eastAsia" w:ascii="宋体" w:hAnsi="宋体" w:eastAsia="宋体" w:cs="宋体"/>
          <w:b/>
          <w:sz w:val="30"/>
          <w:szCs w:val="30"/>
        </w:rPr>
        <w:br w:type="page"/>
      </w:r>
      <w:bookmarkStart w:id="112" w:name="_Toc10821"/>
      <w:r>
        <w:rPr>
          <w:rFonts w:hint="eastAsia" w:ascii="宋体" w:hAnsi="宋体" w:eastAsia="宋体" w:cs="宋体"/>
          <w:b/>
          <w:bCs/>
          <w:sz w:val="28"/>
          <w:szCs w:val="28"/>
        </w:rPr>
        <w:t>格式12</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 xml:space="preserve"> 技术人员简历表</w:t>
      </w:r>
      <w:bookmarkEnd w:id="112"/>
    </w:p>
    <w:tbl>
      <w:tblPr>
        <w:tblStyle w:val="2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713"/>
        <w:gridCol w:w="1505"/>
        <w:gridCol w:w="1388"/>
        <w:gridCol w:w="1796"/>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Cs w:val="21"/>
              </w:rPr>
            </w:pPr>
            <w:r>
              <w:rPr>
                <w:rFonts w:hint="eastAsia" w:ascii="宋体" w:hAnsi="宋体" w:eastAsia="宋体" w:cs="宋体"/>
                <w:szCs w:val="21"/>
              </w:rPr>
              <w:t>姓   名</w:t>
            </w:r>
          </w:p>
        </w:tc>
        <w:tc>
          <w:tcPr>
            <w:tcW w:w="171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Cs w:val="21"/>
              </w:rPr>
            </w:pPr>
            <w:r>
              <w:rPr>
                <w:rFonts w:hint="eastAsia" w:ascii="宋体" w:hAnsi="宋体" w:eastAsia="宋体" w:cs="宋体"/>
                <w:szCs w:val="21"/>
              </w:rPr>
              <w:t>性    别</w:t>
            </w:r>
          </w:p>
        </w:tc>
        <w:tc>
          <w:tcPr>
            <w:tcW w:w="138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Cs w:val="21"/>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Cs w:val="21"/>
              </w:rPr>
            </w:pPr>
            <w:r>
              <w:rPr>
                <w:rFonts w:hint="eastAsia" w:ascii="宋体" w:hAnsi="宋体" w:eastAsia="宋体" w:cs="宋体"/>
                <w:szCs w:val="21"/>
              </w:rPr>
              <w:t>出生日期</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Cs w:val="21"/>
              </w:rPr>
            </w:pPr>
            <w:r>
              <w:rPr>
                <w:rFonts w:hint="eastAsia" w:ascii="宋体" w:hAnsi="宋体" w:eastAsia="宋体" w:cs="宋体"/>
                <w:szCs w:val="21"/>
              </w:rPr>
              <w:t>学   历</w:t>
            </w:r>
          </w:p>
        </w:tc>
        <w:tc>
          <w:tcPr>
            <w:tcW w:w="171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Cs w:val="21"/>
              </w:rPr>
            </w:pPr>
            <w:r>
              <w:rPr>
                <w:rFonts w:hint="eastAsia" w:ascii="宋体" w:hAnsi="宋体" w:eastAsia="宋体" w:cs="宋体"/>
                <w:szCs w:val="21"/>
              </w:rPr>
              <w:t>毕业学校</w:t>
            </w:r>
          </w:p>
        </w:tc>
        <w:tc>
          <w:tcPr>
            <w:tcW w:w="138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Cs w:val="21"/>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Cs w:val="21"/>
              </w:rPr>
            </w:pPr>
            <w:r>
              <w:rPr>
                <w:rFonts w:hint="eastAsia" w:ascii="宋体" w:hAnsi="宋体" w:eastAsia="宋体" w:cs="宋体"/>
                <w:szCs w:val="21"/>
              </w:rPr>
              <w:t>技术职称</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Cs w:val="21"/>
              </w:rPr>
            </w:pPr>
            <w:r>
              <w:rPr>
                <w:rFonts w:hint="eastAsia" w:ascii="宋体" w:hAnsi="宋体" w:eastAsia="宋体" w:cs="宋体"/>
                <w:szCs w:val="21"/>
              </w:rPr>
              <w:t>公司职务</w:t>
            </w:r>
          </w:p>
        </w:tc>
        <w:tc>
          <w:tcPr>
            <w:tcW w:w="171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Cs w:val="21"/>
              </w:rPr>
            </w:pPr>
            <w:r>
              <w:rPr>
                <w:rFonts w:hint="eastAsia" w:ascii="宋体" w:hAnsi="宋体" w:eastAsia="宋体" w:cs="宋体"/>
                <w:szCs w:val="21"/>
              </w:rPr>
              <w:t>任职时间</w:t>
            </w:r>
          </w:p>
        </w:tc>
        <w:tc>
          <w:tcPr>
            <w:tcW w:w="138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Cs w:val="21"/>
              </w:rPr>
            </w:pPr>
          </w:p>
        </w:tc>
        <w:tc>
          <w:tcPr>
            <w:tcW w:w="179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Cs w:val="21"/>
              </w:rPr>
            </w:pPr>
            <w:r>
              <w:rPr>
                <w:rFonts w:hint="eastAsia" w:ascii="宋体" w:hAnsi="宋体" w:eastAsia="宋体" w:cs="宋体"/>
                <w:szCs w:val="21"/>
              </w:rPr>
              <w:t>本项目任职</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Cs w:val="21"/>
              </w:rPr>
            </w:pPr>
            <w:r>
              <w:rPr>
                <w:rFonts w:hint="eastAsia" w:ascii="宋体" w:hAnsi="宋体" w:eastAsia="宋体" w:cs="宋体"/>
                <w:szCs w:val="21"/>
              </w:rPr>
              <w:t>人员级别</w:t>
            </w:r>
          </w:p>
        </w:tc>
        <w:tc>
          <w:tcPr>
            <w:tcW w:w="171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Cs w:val="21"/>
              </w:rPr>
            </w:pPr>
            <w:r>
              <w:rPr>
                <w:rFonts w:hint="eastAsia" w:ascii="宋体" w:hAnsi="宋体" w:eastAsia="宋体" w:cs="宋体"/>
                <w:szCs w:val="21"/>
              </w:rPr>
              <w:t>从事XXX工作年限</w:t>
            </w:r>
          </w:p>
        </w:tc>
        <w:tc>
          <w:tcPr>
            <w:tcW w:w="13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Cs w:val="21"/>
              </w:rPr>
            </w:pPr>
            <w:r>
              <w:rPr>
                <w:rFonts w:hint="eastAsia" w:ascii="宋体" w:hAnsi="宋体" w:eastAsia="宋体" w:cs="宋体"/>
                <w:szCs w:val="21"/>
              </w:rPr>
              <w:t>从事XXXX年限</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Cs w:val="21"/>
              </w:rPr>
            </w:pPr>
            <w:r>
              <w:rPr>
                <w:rFonts w:hint="eastAsia" w:ascii="宋体" w:hAnsi="宋体" w:eastAsia="宋体" w:cs="宋体"/>
                <w:szCs w:val="21"/>
              </w:rPr>
              <w:t>认证证书</w:t>
            </w:r>
          </w:p>
        </w:tc>
        <w:tc>
          <w:tcPr>
            <w:tcW w:w="7665" w:type="dxa"/>
            <w:gridSpan w:val="5"/>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trPr>
        <w:tc>
          <w:tcPr>
            <w:tcW w:w="8928" w:type="dxa"/>
            <w:gridSpan w:val="6"/>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Cs w:val="21"/>
              </w:rPr>
            </w:pPr>
            <w:r>
              <w:rPr>
                <w:rFonts w:hint="eastAsia" w:ascii="宋体" w:hAnsi="宋体" w:eastAsia="宋体" w:cs="宋体"/>
                <w:szCs w:val="21"/>
              </w:rPr>
              <w:t>工作简历及主要业绩</w:t>
            </w:r>
          </w:p>
          <w:p>
            <w:pPr>
              <w:adjustRightInd w:val="0"/>
              <w:spacing w:line="360" w:lineRule="auto"/>
              <w:rPr>
                <w:rFonts w:hint="eastAsia" w:ascii="宋体" w:hAnsi="宋体" w:eastAsia="宋体" w:cs="宋体"/>
                <w:szCs w:val="21"/>
              </w:rPr>
            </w:pPr>
          </w:p>
        </w:tc>
      </w:tr>
    </w:tbl>
    <w:p>
      <w:pPr>
        <w:topLinePunct/>
        <w:autoSpaceDE w:val="0"/>
        <w:autoSpaceDN w:val="0"/>
        <w:spacing w:line="360" w:lineRule="auto"/>
        <w:rPr>
          <w:rFonts w:hint="eastAsia" w:ascii="宋体" w:hAnsi="宋体" w:eastAsia="宋体" w:cs="宋体"/>
          <w:szCs w:val="21"/>
        </w:rPr>
      </w:pPr>
      <w:r>
        <w:rPr>
          <w:rFonts w:hint="eastAsia" w:ascii="宋体" w:hAnsi="宋体" w:eastAsia="宋体" w:cs="宋体"/>
          <w:szCs w:val="21"/>
        </w:rPr>
        <w:t>特别说明：</w:t>
      </w:r>
    </w:p>
    <w:p>
      <w:pPr>
        <w:topLinePunct/>
        <w:autoSpaceDE w:val="0"/>
        <w:autoSpaceDN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1.投标人应提供投入本项目所有人员的简历。</w:t>
      </w:r>
    </w:p>
    <w:p>
      <w:pPr>
        <w:topLinePunct/>
        <w:autoSpaceDE w:val="0"/>
        <w:autoSpaceDN w:val="0"/>
        <w:spacing w:line="360" w:lineRule="auto"/>
        <w:ind w:firstLine="420" w:firstLineChars="200"/>
        <w:rPr>
          <w:rFonts w:hint="eastAsia" w:ascii="宋体" w:hAnsi="宋体" w:eastAsia="宋体" w:cs="宋体"/>
        </w:rPr>
      </w:pPr>
      <w:r>
        <w:rPr>
          <w:rFonts w:hint="eastAsia" w:ascii="宋体" w:hAnsi="宋体" w:eastAsia="宋体" w:cs="宋体"/>
          <w:szCs w:val="21"/>
        </w:rPr>
        <w:t>2.</w:t>
      </w:r>
      <w:r>
        <w:rPr>
          <w:rFonts w:hint="eastAsia" w:ascii="宋体" w:hAnsi="宋体" w:eastAsia="宋体" w:cs="宋体"/>
          <w:szCs w:val="21"/>
          <w:u w:val="single"/>
        </w:rPr>
        <w:t xml:space="preserve">    </w:t>
      </w:r>
      <w:r>
        <w:rPr>
          <w:rFonts w:hint="eastAsia" w:ascii="宋体" w:hAnsi="宋体" w:eastAsia="宋体" w:cs="宋体"/>
          <w:szCs w:val="21"/>
        </w:rPr>
        <w:t>等人员应提供</w:t>
      </w:r>
      <w:r>
        <w:rPr>
          <w:rFonts w:hint="eastAsia" w:ascii="宋体" w:hAnsi="宋体" w:eastAsia="宋体" w:cs="宋体"/>
          <w:szCs w:val="21"/>
          <w:u w:val="single"/>
        </w:rPr>
        <w:t xml:space="preserve">       </w:t>
      </w:r>
      <w:r>
        <w:rPr>
          <w:rFonts w:hint="eastAsia" w:ascii="宋体" w:hAnsi="宋体" w:eastAsia="宋体" w:cs="宋体"/>
          <w:szCs w:val="21"/>
        </w:rPr>
        <w:t xml:space="preserve">复印件。 </w:t>
      </w:r>
    </w:p>
    <w:p>
      <w:pPr>
        <w:widowControl/>
        <w:spacing w:line="360" w:lineRule="auto"/>
        <w:jc w:val="left"/>
        <w:rPr>
          <w:rFonts w:hint="eastAsia" w:ascii="宋体" w:hAnsi="宋体" w:eastAsia="宋体" w:cs="宋体"/>
        </w:rPr>
      </w:pPr>
    </w:p>
    <w:p>
      <w:pPr>
        <w:widowControl/>
        <w:spacing w:line="360" w:lineRule="auto"/>
        <w:jc w:val="center"/>
        <w:outlineLvl w:val="1"/>
        <w:rPr>
          <w:rFonts w:hint="eastAsia" w:ascii="宋体" w:hAnsi="宋体" w:eastAsia="宋体" w:cs="宋体"/>
          <w:b/>
          <w:bCs/>
          <w:sz w:val="36"/>
          <w:szCs w:val="36"/>
        </w:rPr>
      </w:pPr>
      <w:r>
        <w:rPr>
          <w:rFonts w:hint="eastAsia" w:ascii="宋体" w:hAnsi="宋体" w:eastAsia="宋体" w:cs="宋体"/>
          <w:b/>
          <w:bCs/>
          <w:sz w:val="36"/>
          <w:szCs w:val="36"/>
        </w:rPr>
        <w:br w:type="page"/>
      </w:r>
      <w:bookmarkStart w:id="113" w:name="_Toc29630"/>
      <w:r>
        <w:rPr>
          <w:rFonts w:hint="eastAsia" w:ascii="宋体" w:hAnsi="宋体" w:eastAsia="宋体" w:cs="宋体"/>
          <w:b/>
          <w:bCs/>
          <w:sz w:val="28"/>
          <w:szCs w:val="28"/>
        </w:rPr>
        <w:t xml:space="preserve">格式13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投标人售后服务承诺</w:t>
      </w:r>
      <w:bookmarkEnd w:id="113"/>
    </w:p>
    <w:p>
      <w:pPr>
        <w:spacing w:line="360" w:lineRule="auto"/>
        <w:ind w:firstLine="420" w:firstLineChars="200"/>
        <w:rPr>
          <w:rFonts w:hint="eastAsia" w:ascii="宋体" w:hAnsi="宋体" w:eastAsia="宋体" w:cs="宋体"/>
          <w:szCs w:val="21"/>
        </w:rPr>
      </w:pPr>
    </w:p>
    <w:p>
      <w:pPr>
        <w:spacing w:line="36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(示例略)</w:t>
      </w:r>
    </w:p>
    <w:p>
      <w:pPr>
        <w:spacing w:line="360" w:lineRule="auto"/>
        <w:rPr>
          <w:rFonts w:hint="eastAsia" w:ascii="宋体" w:hAnsi="宋体" w:eastAsia="宋体" w:cs="宋体"/>
          <w:szCs w:val="21"/>
        </w:rPr>
        <w:sectPr>
          <w:pgSz w:w="11906" w:h="16838"/>
          <w:pgMar w:top="1440" w:right="1752" w:bottom="1440" w:left="1752" w:header="851" w:footer="992" w:gutter="0"/>
          <w:pgNumType w:fmt="decimal"/>
          <w:cols w:space="720" w:num="1"/>
          <w:titlePg/>
          <w:docGrid w:type="lines" w:linePitch="312" w:charSpace="0"/>
        </w:sectPr>
      </w:pPr>
    </w:p>
    <w:p>
      <w:pPr>
        <w:topLinePunct/>
        <w:autoSpaceDE w:val="0"/>
        <w:autoSpaceDN w:val="0"/>
        <w:spacing w:line="360" w:lineRule="auto"/>
        <w:jc w:val="center"/>
        <w:rPr>
          <w:rFonts w:hint="eastAsia" w:ascii="宋体" w:hAnsi="宋体" w:eastAsia="宋体" w:cs="宋体"/>
          <w:bCs/>
          <w:sz w:val="32"/>
          <w:szCs w:val="32"/>
        </w:rPr>
      </w:pPr>
    </w:p>
    <w:p>
      <w:pPr>
        <w:topLinePunct/>
        <w:autoSpaceDE w:val="0"/>
        <w:autoSpaceDN w:val="0"/>
        <w:spacing w:line="360" w:lineRule="auto"/>
        <w:jc w:val="center"/>
        <w:rPr>
          <w:rFonts w:hint="eastAsia" w:ascii="宋体" w:hAnsi="宋体" w:eastAsia="宋体" w:cs="宋体"/>
          <w:bCs/>
          <w:sz w:val="32"/>
          <w:szCs w:val="32"/>
        </w:rPr>
      </w:pPr>
    </w:p>
    <w:p>
      <w:pPr>
        <w:topLinePunct/>
        <w:autoSpaceDE w:val="0"/>
        <w:autoSpaceDN w:val="0"/>
        <w:spacing w:line="360" w:lineRule="auto"/>
        <w:jc w:val="center"/>
        <w:outlineLvl w:val="9"/>
        <w:rPr>
          <w:rFonts w:hint="eastAsia" w:ascii="宋体" w:hAnsi="宋体" w:eastAsia="宋体" w:cs="宋体"/>
          <w:bCs/>
          <w:sz w:val="84"/>
          <w:szCs w:val="84"/>
        </w:rPr>
      </w:pPr>
      <w:r>
        <w:rPr>
          <w:rFonts w:hint="eastAsia" w:ascii="宋体" w:hAnsi="宋体" w:eastAsia="宋体" w:cs="宋体"/>
          <w:bCs/>
          <w:sz w:val="84"/>
          <w:szCs w:val="84"/>
        </w:rPr>
        <w:t>招 标 文 件</w:t>
      </w:r>
    </w:p>
    <w:p>
      <w:pPr>
        <w:topLinePunct/>
        <w:autoSpaceDE w:val="0"/>
        <w:autoSpaceDN w:val="0"/>
        <w:spacing w:line="360" w:lineRule="auto"/>
        <w:jc w:val="center"/>
        <w:rPr>
          <w:rFonts w:hint="eastAsia" w:ascii="宋体" w:hAnsi="宋体" w:eastAsia="宋体" w:cs="宋体"/>
          <w:bCs/>
          <w:sz w:val="84"/>
          <w:szCs w:val="84"/>
        </w:rPr>
      </w:pPr>
    </w:p>
    <w:p>
      <w:pPr>
        <w:topLinePunct/>
        <w:autoSpaceDE w:val="0"/>
        <w:autoSpaceDN w:val="0"/>
        <w:snapToGrid w:val="0"/>
        <w:spacing w:line="360" w:lineRule="auto"/>
        <w:jc w:val="center"/>
        <w:rPr>
          <w:rFonts w:hint="eastAsia" w:ascii="宋体" w:hAnsi="宋体" w:eastAsia="宋体" w:cs="宋体"/>
          <w:bCs/>
          <w:sz w:val="84"/>
          <w:szCs w:val="84"/>
        </w:rPr>
      </w:pPr>
      <w:r>
        <w:rPr>
          <w:rFonts w:hint="eastAsia" w:ascii="宋体" w:hAnsi="宋体" w:eastAsia="宋体" w:cs="宋体"/>
          <w:bCs/>
          <w:sz w:val="84"/>
          <w:szCs w:val="84"/>
        </w:rPr>
        <w:t>（技术部分）</w:t>
      </w:r>
    </w:p>
    <w:p>
      <w:pPr>
        <w:spacing w:line="360" w:lineRule="auto"/>
        <w:rPr>
          <w:rFonts w:hint="eastAsia" w:ascii="宋体" w:hAnsi="宋体" w:eastAsia="宋体" w:cs="宋体"/>
          <w:sz w:val="32"/>
          <w:szCs w:val="32"/>
        </w:rPr>
      </w:pPr>
    </w:p>
    <w:p>
      <w:pPr>
        <w:pStyle w:val="15"/>
        <w:spacing w:line="360" w:lineRule="auto"/>
        <w:rPr>
          <w:rFonts w:hint="eastAsia" w:ascii="宋体" w:hAnsi="宋体" w:eastAsia="宋体" w:cs="宋体"/>
          <w:sz w:val="32"/>
          <w:szCs w:val="32"/>
        </w:rPr>
      </w:pPr>
    </w:p>
    <w:p>
      <w:pPr>
        <w:pStyle w:val="15"/>
        <w:spacing w:line="360" w:lineRule="auto"/>
        <w:rPr>
          <w:rFonts w:hint="eastAsia" w:ascii="宋体" w:hAnsi="宋体" w:eastAsia="宋体" w:cs="宋体"/>
          <w:sz w:val="32"/>
          <w:szCs w:val="32"/>
        </w:rPr>
      </w:pPr>
    </w:p>
    <w:p>
      <w:pPr>
        <w:spacing w:line="360" w:lineRule="auto"/>
        <w:jc w:val="center"/>
        <w:rPr>
          <w:rFonts w:hint="eastAsia" w:ascii="宋体" w:hAnsi="宋体" w:eastAsia="宋体" w:cs="宋体"/>
          <w:sz w:val="32"/>
          <w:szCs w:val="32"/>
          <w:highlight w:val="none"/>
          <w:lang w:eastAsia="zh-CN"/>
        </w:rPr>
      </w:pPr>
      <w:r>
        <w:rPr>
          <w:rFonts w:hint="eastAsia" w:ascii="宋体" w:hAnsi="宋体" w:eastAsia="宋体" w:cs="宋体"/>
          <w:sz w:val="32"/>
          <w:szCs w:val="32"/>
        </w:rPr>
        <w:t>项目名称：</w:t>
      </w:r>
      <w:r>
        <w:rPr>
          <w:rFonts w:hint="eastAsia" w:ascii="宋体" w:hAnsi="宋体" w:eastAsia="宋体" w:cs="宋体"/>
          <w:sz w:val="32"/>
          <w:szCs w:val="32"/>
          <w:u w:val="single"/>
          <w:lang w:eastAsia="zh-CN"/>
        </w:rPr>
        <w:t>国</w:t>
      </w:r>
      <w:r>
        <w:rPr>
          <w:rFonts w:hint="eastAsia" w:ascii="宋体" w:hAnsi="宋体" w:eastAsia="宋体" w:cs="宋体"/>
          <w:sz w:val="32"/>
          <w:szCs w:val="32"/>
          <w:highlight w:val="none"/>
          <w:u w:val="single"/>
          <w:lang w:eastAsia="zh-CN"/>
        </w:rPr>
        <w:t>家税务总局仙游县税务局物业管理项目（重新招标）</w:t>
      </w:r>
    </w:p>
    <w:p>
      <w:pPr>
        <w:spacing w:line="360" w:lineRule="auto"/>
        <w:jc w:val="center"/>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t>项目编号：</w:t>
      </w:r>
      <w:r>
        <w:rPr>
          <w:rFonts w:hint="eastAsia" w:ascii="宋体" w:hAnsi="宋体" w:eastAsia="宋体" w:cs="宋体"/>
          <w:sz w:val="32"/>
          <w:szCs w:val="32"/>
          <w:highlight w:val="none"/>
          <w:u w:val="single"/>
          <w:lang w:val="en-US" w:eastAsia="zh-CN"/>
        </w:rPr>
        <w:t>FJ2024-DLGK-C0078-B00</w:t>
      </w:r>
    </w:p>
    <w:p>
      <w:pPr>
        <w:spacing w:line="360" w:lineRule="auto"/>
        <w:jc w:val="cente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采 购 人：</w:t>
      </w:r>
      <w:r>
        <w:rPr>
          <w:rFonts w:hint="eastAsia" w:ascii="宋体" w:hAnsi="宋体" w:eastAsia="宋体" w:cs="宋体"/>
          <w:sz w:val="32"/>
          <w:szCs w:val="32"/>
          <w:highlight w:val="none"/>
          <w:u w:val="single"/>
          <w:lang w:eastAsia="zh-CN"/>
        </w:rPr>
        <w:t>国家税务总局仙游县税务局</w:t>
      </w:r>
    </w:p>
    <w:p>
      <w:pPr>
        <w:spacing w:line="360" w:lineRule="auto"/>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采购代理机构：</w:t>
      </w:r>
      <w:r>
        <w:rPr>
          <w:rFonts w:hint="eastAsia" w:ascii="宋体" w:hAnsi="宋体" w:eastAsia="宋体" w:cs="宋体"/>
          <w:sz w:val="32"/>
          <w:szCs w:val="32"/>
          <w:highlight w:val="none"/>
          <w:u w:val="single"/>
        </w:rPr>
        <w:t>福建省中通通信物流有限公司</w:t>
      </w:r>
    </w:p>
    <w:p>
      <w:pPr>
        <w:topLinePunct/>
        <w:autoSpaceDE w:val="0"/>
        <w:autoSpaceDN w:val="0"/>
        <w:spacing w:line="360" w:lineRule="auto"/>
        <w:rPr>
          <w:rFonts w:hint="eastAsia" w:ascii="宋体" w:hAnsi="宋体" w:eastAsia="宋体" w:cs="宋体"/>
          <w:b/>
          <w:bCs/>
          <w:sz w:val="32"/>
          <w:szCs w:val="32"/>
          <w:highlight w:val="none"/>
        </w:rPr>
      </w:pPr>
    </w:p>
    <w:p>
      <w:pPr>
        <w:topLinePunct/>
        <w:autoSpaceDE w:val="0"/>
        <w:autoSpaceDN w:val="0"/>
        <w:spacing w:line="360" w:lineRule="auto"/>
        <w:rPr>
          <w:rFonts w:hint="eastAsia" w:ascii="宋体" w:hAnsi="宋体" w:eastAsia="宋体" w:cs="宋体"/>
          <w:b/>
          <w:sz w:val="32"/>
          <w:szCs w:val="32"/>
          <w:highlight w:val="none"/>
        </w:rPr>
      </w:pPr>
    </w:p>
    <w:p>
      <w:pPr>
        <w:topLinePunct/>
        <w:autoSpaceDE w:val="0"/>
        <w:autoSpaceDN w:val="0"/>
        <w:spacing w:line="360" w:lineRule="auto"/>
        <w:jc w:val="cente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国家税务总局仙游县税务局</w:t>
      </w:r>
    </w:p>
    <w:p>
      <w:pPr>
        <w:topLinePunct/>
        <w:autoSpaceDE w:val="0"/>
        <w:autoSpaceDN w:val="0"/>
        <w:spacing w:line="360" w:lineRule="auto"/>
        <w:rPr>
          <w:rFonts w:hint="eastAsia" w:ascii="宋体" w:hAnsi="宋体" w:eastAsia="宋体" w:cs="宋体"/>
          <w:b/>
          <w:sz w:val="32"/>
          <w:szCs w:val="32"/>
          <w:highlight w:val="none"/>
        </w:rPr>
      </w:pPr>
    </w:p>
    <w:p>
      <w:pPr>
        <w:topLinePunct/>
        <w:autoSpaceDE w:val="0"/>
        <w:autoSpaceDN w:val="0"/>
        <w:spacing w:line="360" w:lineRule="auto"/>
        <w:jc w:val="center"/>
        <w:rPr>
          <w:rFonts w:hint="eastAsia" w:ascii="宋体" w:hAnsi="宋体" w:eastAsia="宋体" w:cs="宋体"/>
          <w:sz w:val="32"/>
          <w:szCs w:val="32"/>
          <w:highlight w:val="none"/>
        </w:rPr>
      </w:pPr>
      <w:r>
        <w:rPr>
          <w:rFonts w:hint="eastAsia" w:ascii="宋体" w:hAnsi="宋体" w:eastAsia="宋体" w:cs="宋体"/>
          <w:sz w:val="32"/>
          <w:szCs w:val="32"/>
          <w:highlight w:val="none"/>
          <w:u w:val="single"/>
          <w:lang w:val="en-US" w:eastAsia="zh-CN"/>
        </w:rPr>
        <w:t>2024</w:t>
      </w:r>
      <w:r>
        <w:rPr>
          <w:rFonts w:hint="eastAsia" w:ascii="宋体" w:hAnsi="宋体" w:eastAsia="宋体" w:cs="宋体"/>
          <w:sz w:val="32"/>
          <w:szCs w:val="32"/>
          <w:highlight w:val="none"/>
        </w:rPr>
        <w:t>年</w:t>
      </w:r>
      <w:r>
        <w:rPr>
          <w:rFonts w:hint="eastAsia" w:ascii="宋体" w:hAnsi="宋体" w:eastAsia="宋体" w:cs="宋体"/>
          <w:sz w:val="32"/>
          <w:szCs w:val="32"/>
          <w:highlight w:val="none"/>
          <w:u w:val="single"/>
          <w:lang w:val="en-US" w:eastAsia="zh-CN"/>
        </w:rPr>
        <w:t>09</w:t>
      </w:r>
      <w:r>
        <w:rPr>
          <w:rFonts w:hint="eastAsia" w:ascii="宋体" w:hAnsi="宋体" w:eastAsia="宋体" w:cs="宋体"/>
          <w:sz w:val="32"/>
          <w:szCs w:val="32"/>
          <w:highlight w:val="none"/>
        </w:rPr>
        <w:t>月</w:t>
      </w:r>
      <w:r>
        <w:rPr>
          <w:rFonts w:hint="eastAsia" w:ascii="宋体" w:hAnsi="宋体" w:eastAsia="宋体" w:cs="宋体"/>
          <w:sz w:val="32"/>
          <w:szCs w:val="32"/>
          <w:highlight w:val="none"/>
          <w:u w:val="single"/>
          <w:lang w:val="en-US" w:eastAsia="zh-CN"/>
        </w:rPr>
        <w:t>03</w:t>
      </w:r>
      <w:r>
        <w:rPr>
          <w:rFonts w:hint="eastAsia" w:ascii="宋体" w:hAnsi="宋体" w:eastAsia="宋体" w:cs="宋体"/>
          <w:sz w:val="32"/>
          <w:szCs w:val="32"/>
          <w:highlight w:val="none"/>
        </w:rPr>
        <w:t>日</w:t>
      </w:r>
    </w:p>
    <w:p>
      <w:pPr>
        <w:widowControl/>
        <w:numPr>
          <w:ilvl w:val="0"/>
          <w:numId w:val="0"/>
        </w:numPr>
        <w:spacing w:line="360" w:lineRule="auto"/>
        <w:jc w:val="center"/>
        <w:outlineLvl w:val="0"/>
        <w:rPr>
          <w:rFonts w:hint="eastAsia" w:ascii="宋体" w:hAnsi="宋体" w:eastAsia="宋体" w:cs="宋体"/>
          <w:b/>
          <w:bCs/>
        </w:rPr>
      </w:pPr>
      <w:r>
        <w:rPr>
          <w:rFonts w:hint="eastAsia" w:ascii="宋体" w:hAnsi="宋体" w:eastAsia="宋体" w:cs="宋体"/>
          <w:sz w:val="24"/>
          <w:szCs w:val="24"/>
        </w:rPr>
        <w:br w:type="page"/>
      </w:r>
      <w:bookmarkStart w:id="114" w:name="_Toc28520"/>
      <w:r>
        <w:rPr>
          <w:rFonts w:hint="eastAsia" w:ascii="宋体" w:hAnsi="宋体" w:eastAsia="宋体" w:cs="宋体"/>
          <w:b/>
          <w:bCs/>
          <w:sz w:val="28"/>
          <w:szCs w:val="28"/>
          <w:lang w:val="en-US" w:eastAsia="zh-CN"/>
        </w:rPr>
        <w:t xml:space="preserve">第六章 </w:t>
      </w:r>
      <w:r>
        <w:rPr>
          <w:rFonts w:hint="eastAsia" w:ascii="宋体" w:hAnsi="宋体" w:eastAsia="宋体" w:cs="宋体"/>
          <w:b/>
          <w:bCs/>
          <w:sz w:val="28"/>
          <w:szCs w:val="28"/>
        </w:rPr>
        <w:t xml:space="preserve"> 项目采购需求</w:t>
      </w:r>
      <w:bookmarkEnd w:id="114"/>
    </w:p>
    <w:p>
      <w:pPr>
        <w:keepNext w:val="0"/>
        <w:keepLines w:val="0"/>
        <w:pageBreakBefore w:val="0"/>
        <w:widowControl/>
        <w:numPr>
          <w:ilvl w:val="0"/>
          <w:numId w:val="0"/>
        </w:numPr>
        <w:kinsoku/>
        <w:wordWrap/>
        <w:overflowPunct/>
        <w:topLinePunct w:val="0"/>
        <w:autoSpaceDN/>
        <w:bidi w:val="0"/>
        <w:spacing w:beforeAutospacing="0" w:afterAutospacing="0" w:line="360" w:lineRule="auto"/>
        <w:ind w:firstLine="420" w:firstLineChars="200"/>
        <w:jc w:val="both"/>
        <w:textAlignment w:val="auto"/>
        <w:outlineLvl w:val="9"/>
        <w:rPr>
          <w:rFonts w:hint="eastAsia" w:ascii="宋体" w:hAnsi="宋体" w:eastAsia="宋体" w:cs="宋体"/>
          <w:b w:val="0"/>
          <w:bCs w:val="0"/>
          <w:color w:val="auto"/>
          <w:kern w:val="0"/>
          <w:sz w:val="21"/>
          <w:szCs w:val="21"/>
          <w:lang w:val="en-US" w:eastAsia="zh-CN" w:bidi="ar-SA"/>
        </w:rPr>
      </w:pPr>
    </w:p>
    <w:p>
      <w:pPr>
        <w:keepNext w:val="0"/>
        <w:keepLines w:val="0"/>
        <w:pageBreakBefore w:val="0"/>
        <w:widowControl/>
        <w:numPr>
          <w:ilvl w:val="0"/>
          <w:numId w:val="0"/>
        </w:numPr>
        <w:kinsoku/>
        <w:wordWrap/>
        <w:overflowPunct/>
        <w:topLinePunct w:val="0"/>
        <w:autoSpaceDN/>
        <w:bidi w:val="0"/>
        <w:spacing w:beforeAutospacing="0" w:afterAutospacing="0" w:line="360" w:lineRule="auto"/>
        <w:ind w:firstLine="421" w:firstLineChars="200"/>
        <w:jc w:val="both"/>
        <w:textAlignment w:val="auto"/>
        <w:outlineLvl w:val="9"/>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注：本章内容为不允许负偏离的实质性要求。</w:t>
      </w:r>
    </w:p>
    <w:p>
      <w:pPr>
        <w:keepNext w:val="0"/>
        <w:keepLines w:val="0"/>
        <w:pageBreakBefore w:val="0"/>
        <w:widowControl/>
        <w:numPr>
          <w:ilvl w:val="0"/>
          <w:numId w:val="0"/>
        </w:numPr>
        <w:kinsoku/>
        <w:wordWrap/>
        <w:overflowPunct/>
        <w:topLinePunct w:val="0"/>
        <w:autoSpaceDN/>
        <w:bidi w:val="0"/>
        <w:spacing w:beforeAutospacing="0" w:afterAutospacing="0" w:line="360" w:lineRule="auto"/>
        <w:ind w:firstLine="420" w:firstLineChars="200"/>
        <w:jc w:val="both"/>
        <w:textAlignment w:val="auto"/>
        <w:outlineLvl w:val="9"/>
        <w:rPr>
          <w:rFonts w:hint="eastAsia" w:ascii="宋体" w:hAnsi="宋体" w:eastAsia="宋体" w:cs="宋体"/>
          <w:b w:val="0"/>
          <w:bCs w:val="0"/>
          <w:color w:val="auto"/>
          <w:kern w:val="0"/>
          <w:sz w:val="21"/>
          <w:szCs w:val="21"/>
          <w:lang w:val="en-US" w:eastAsia="zh-CN" w:bidi="ar-SA"/>
        </w:rPr>
      </w:pPr>
    </w:p>
    <w:p>
      <w:pPr>
        <w:pStyle w:val="61"/>
        <w:keepNext w:val="0"/>
        <w:keepLines w:val="0"/>
        <w:pageBreakBefore w:val="0"/>
        <w:kinsoku/>
        <w:wordWrap/>
        <w:overflowPunct/>
        <w:topLinePunct w:val="0"/>
        <w:autoSpaceDN/>
        <w:bidi w:val="0"/>
        <w:spacing w:beforeAutospacing="0" w:afterAutospacing="0" w:line="360" w:lineRule="auto"/>
        <w:ind w:firstLine="560"/>
        <w:textAlignment w:val="auto"/>
        <w:outlineLvl w:val="1"/>
        <w:rPr>
          <w:rFonts w:hint="eastAsia" w:ascii="宋体" w:hAnsi="宋体" w:eastAsia="宋体" w:cs="宋体"/>
          <w:b/>
          <w:bCs/>
          <w:sz w:val="21"/>
          <w:szCs w:val="21"/>
        </w:rPr>
      </w:pP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、项目需求</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2"/>
        <w:rPr>
          <w:rFonts w:hint="eastAsia" w:ascii="宋体" w:hAnsi="宋体" w:eastAsia="宋体" w:cs="宋体"/>
          <w:b/>
          <w:bCs/>
          <w:sz w:val="21"/>
          <w:szCs w:val="21"/>
        </w:rPr>
      </w:pPr>
      <w:r>
        <w:rPr>
          <w:rFonts w:hint="eastAsia" w:ascii="宋体" w:hAnsi="宋体" w:eastAsia="宋体" w:cs="宋体"/>
          <w:b/>
          <w:bCs/>
          <w:sz w:val="21"/>
          <w:szCs w:val="21"/>
        </w:rPr>
        <w:t>（一）业务需求</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3"/>
        <w:rPr>
          <w:rFonts w:hint="eastAsia" w:ascii="宋体" w:hAnsi="宋体" w:eastAsia="宋体" w:cs="宋体"/>
          <w:b/>
          <w:sz w:val="21"/>
          <w:szCs w:val="21"/>
        </w:rPr>
      </w:pPr>
      <w:r>
        <w:rPr>
          <w:rFonts w:hint="eastAsia" w:ascii="宋体" w:hAnsi="宋体" w:eastAsia="宋体" w:cs="宋体"/>
          <w:b/>
          <w:sz w:val="21"/>
          <w:szCs w:val="21"/>
        </w:rPr>
        <w:t>1.服务范围</w:t>
      </w:r>
    </w:p>
    <w:p>
      <w:pPr>
        <w:pStyle w:val="60"/>
        <w:keepNext w:val="0"/>
        <w:keepLines w:val="0"/>
        <w:pageBreakBefore w:val="0"/>
        <w:kinsoku/>
        <w:wordWrap/>
        <w:overflowPunct/>
        <w:topLinePunct w:val="0"/>
        <w:autoSpaceDN/>
        <w:bidi w:val="0"/>
        <w:spacing w:beforeAutospacing="0" w:afterLines="0" w:afterAutospacing="0" w:line="360" w:lineRule="auto"/>
        <w:ind w:firstLine="560"/>
        <w:textAlignment w:val="auto"/>
        <w:rPr>
          <w:rFonts w:hint="eastAsia" w:ascii="宋体" w:hAnsi="宋体" w:eastAsia="宋体" w:cs="宋体"/>
          <w:snapToGrid w:val="0"/>
          <w:sz w:val="21"/>
          <w:szCs w:val="21"/>
        </w:rPr>
      </w:pPr>
      <w:r>
        <w:rPr>
          <w:rFonts w:hint="eastAsia" w:ascii="宋体" w:hAnsi="宋体" w:eastAsia="宋体" w:cs="宋体"/>
          <w:sz w:val="21"/>
          <w:szCs w:val="21"/>
        </w:rPr>
        <w:t>国家税务总局仙游县税务局办公场所（县局机关）、国家税务总局仙游县税务局鲤南办公区办公场所（第一税务分局、第二税务分局、鲤南税务分局）、国家税务总局仙游县税务局鲤城分局办公场所（鲤城税务分局）、国家税务总局仙游县税务局榜头分局办公场所（榜头税务分局）、国家税务总局仙游县税务局郊尾分局办公场所（郊尾税务分局）、国家税务总局仙游县税务局枫亭分局办公场所（枫亭税务分局）共6处综合办公楼、附属楼、各类会议室、活动场所、电教室、广场、道路、景观、绿化等的物业管理服务。</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2"/>
        <w:rPr>
          <w:rFonts w:hint="eastAsia" w:ascii="宋体" w:hAnsi="宋体" w:eastAsia="宋体" w:cs="宋体"/>
          <w:b/>
          <w:bCs/>
          <w:sz w:val="21"/>
          <w:szCs w:val="21"/>
        </w:rPr>
      </w:pPr>
      <w:r>
        <w:rPr>
          <w:rFonts w:hint="eastAsia" w:ascii="宋体" w:hAnsi="宋体" w:eastAsia="宋体" w:cs="宋体"/>
          <w:b/>
          <w:bCs/>
          <w:sz w:val="21"/>
          <w:szCs w:val="21"/>
        </w:rPr>
        <w:t>（二）技术需求</w:t>
      </w:r>
    </w:p>
    <w:p>
      <w:pPr>
        <w:keepNext w:val="0"/>
        <w:keepLines w:val="0"/>
        <w:pageBreakBefore w:val="0"/>
        <w:kinsoku/>
        <w:wordWrap/>
        <w:overflowPunct/>
        <w:topLinePunct w:val="0"/>
        <w:autoSpaceDE w:val="0"/>
        <w:autoSpaceDN/>
        <w:bidi w:val="0"/>
        <w:spacing w:beforeAutospacing="0" w:afterAutospacing="0" w:line="360" w:lineRule="auto"/>
        <w:ind w:firstLine="421" w:firstLineChars="200"/>
        <w:textAlignment w:val="auto"/>
        <w:outlineLvl w:val="3"/>
        <w:rPr>
          <w:rFonts w:hint="eastAsia" w:ascii="宋体" w:hAnsi="宋体" w:eastAsia="宋体" w:cs="宋体"/>
          <w:b/>
          <w:sz w:val="21"/>
          <w:szCs w:val="21"/>
        </w:rPr>
      </w:pPr>
      <w:r>
        <w:rPr>
          <w:rFonts w:hint="eastAsia" w:ascii="宋体" w:hAnsi="宋体" w:eastAsia="宋体" w:cs="宋体"/>
          <w:b/>
          <w:sz w:val="21"/>
          <w:szCs w:val="21"/>
        </w:rPr>
        <w:t>2.物业管理服务要求</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4"/>
        <w:rPr>
          <w:rFonts w:hint="eastAsia" w:ascii="宋体" w:hAnsi="宋体" w:eastAsia="宋体" w:cs="宋体"/>
          <w:b/>
          <w:sz w:val="21"/>
          <w:szCs w:val="21"/>
        </w:rPr>
      </w:pPr>
      <w:r>
        <w:rPr>
          <w:rFonts w:hint="eastAsia" w:ascii="宋体" w:hAnsi="宋体" w:eastAsia="宋体" w:cs="宋体"/>
          <w:b/>
          <w:sz w:val="21"/>
          <w:szCs w:val="21"/>
        </w:rPr>
        <w:t>（1）服务内容</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综合管理：</w:t>
      </w:r>
      <w:r>
        <w:rPr>
          <w:rFonts w:hint="eastAsia" w:ascii="宋体" w:hAnsi="宋体" w:eastAsia="宋体" w:cs="宋体"/>
          <w:sz w:val="21"/>
          <w:szCs w:val="21"/>
        </w:rPr>
        <w:t>按照要求各项配备到位、管理科学规范、沟通渠道畅通、创优目标明确。</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房屋设施：</w:t>
      </w:r>
      <w:r>
        <w:rPr>
          <w:rFonts w:hint="eastAsia" w:ascii="宋体" w:hAnsi="宋体" w:eastAsia="宋体" w:cs="宋体"/>
          <w:sz w:val="21"/>
          <w:szCs w:val="21"/>
        </w:rPr>
        <w:t>按照服务范围所属所有楼房及公用设施部位的检修、维修、养护。</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物业设备：</w:t>
      </w:r>
      <w:r>
        <w:rPr>
          <w:rFonts w:hint="eastAsia" w:ascii="宋体" w:hAnsi="宋体" w:eastAsia="宋体" w:cs="宋体"/>
          <w:sz w:val="21"/>
          <w:szCs w:val="21"/>
        </w:rPr>
        <w:t>按照服务范围所属所有楼房共用设备的维修、养护、运行等管理，包括：上下水管道、落水管、共用照明、中央空调、分体式空调、配电房、水泵房、电梯、消防设施、天线、垃圾间、化粪池等。</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卫生保洁：</w:t>
      </w:r>
      <w:r>
        <w:rPr>
          <w:rFonts w:hint="eastAsia" w:ascii="宋体" w:hAnsi="宋体" w:eastAsia="宋体" w:cs="宋体"/>
          <w:sz w:val="21"/>
          <w:szCs w:val="21"/>
        </w:rPr>
        <w:t>按照服务范围所属所有楼房的走廊过道、楼梯、电梯间、洗手间、办税服务大厅、附属楼、各类会议室、活动室、电教室、广场、绿地、停车库等共用部位的清洁、保洁以及垃圾的收集、清运，室外积水及卫生清理。</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绿化养护：</w:t>
      </w:r>
      <w:r>
        <w:rPr>
          <w:rFonts w:hint="eastAsia" w:ascii="宋体" w:hAnsi="宋体" w:eastAsia="宋体" w:cs="宋体"/>
          <w:sz w:val="21"/>
          <w:szCs w:val="21"/>
        </w:rPr>
        <w:t>包括室外绿地、花木等的养护、管理。</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安防秩序：</w:t>
      </w:r>
      <w:r>
        <w:rPr>
          <w:rFonts w:hint="eastAsia" w:ascii="宋体" w:hAnsi="宋体" w:eastAsia="宋体" w:cs="宋体"/>
          <w:sz w:val="21"/>
          <w:szCs w:val="21"/>
        </w:rPr>
        <w:t>包括门岗执勤、值班巡逻、消防监控、来访登记、突发应急、蚊虫鼠蚁消杀以及新冠疫情消毒等安全管理。</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会务保障管理：</w:t>
      </w:r>
      <w:r>
        <w:rPr>
          <w:rFonts w:hint="eastAsia" w:ascii="宋体" w:hAnsi="宋体" w:eastAsia="宋体" w:cs="宋体"/>
          <w:sz w:val="21"/>
          <w:szCs w:val="21"/>
        </w:rPr>
        <w:t>包括各类活动会议服务及大小会议室的环境清洁、茶杯清洁、会务后勤保障、会议用品用具、音响音控调试、视频技术服务等管理。</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消防管理：</w:t>
      </w:r>
      <w:r>
        <w:rPr>
          <w:rFonts w:hint="eastAsia" w:ascii="宋体" w:hAnsi="宋体" w:eastAsia="宋体" w:cs="宋体"/>
          <w:sz w:val="21"/>
          <w:szCs w:val="21"/>
        </w:rPr>
        <w:t>包括建立消防防范组织以及消防设备设施的日常维护及管理。</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车辆交通：</w:t>
      </w:r>
      <w:r>
        <w:rPr>
          <w:rFonts w:hint="eastAsia" w:ascii="宋体" w:hAnsi="宋体" w:eastAsia="宋体" w:cs="宋体"/>
          <w:sz w:val="21"/>
          <w:szCs w:val="21"/>
        </w:rPr>
        <w:t>包括车辆进出、停放秩序以及车辆入库停放登记等。</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档案管理：</w:t>
      </w:r>
      <w:r>
        <w:rPr>
          <w:rFonts w:hint="eastAsia" w:ascii="宋体" w:hAnsi="宋体" w:eastAsia="宋体" w:cs="宋体"/>
          <w:sz w:val="21"/>
          <w:szCs w:val="21"/>
        </w:rPr>
        <w:t>包括设备设施档案、工程图纸档案及维护维修记录(不包括采购人本部档案管理)。</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国旗管理：</w:t>
      </w:r>
      <w:r>
        <w:rPr>
          <w:rFonts w:hint="eastAsia" w:ascii="宋体" w:hAnsi="宋体" w:eastAsia="宋体" w:cs="宋体"/>
          <w:sz w:val="21"/>
          <w:szCs w:val="21"/>
        </w:rPr>
        <w:t>按照国旗法规定，及时做好升降旗工作；</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夜景管理：</w:t>
      </w:r>
      <w:r>
        <w:rPr>
          <w:rFonts w:hint="eastAsia" w:ascii="宋体" w:hAnsi="宋体" w:eastAsia="宋体" w:cs="宋体"/>
          <w:sz w:val="21"/>
          <w:szCs w:val="21"/>
        </w:rPr>
        <w:t>按照采购人规定做好夜景管理，按规定时间要求开启、关闭夜景灯工作。</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b/>
          <w:sz w:val="21"/>
          <w:szCs w:val="21"/>
        </w:rPr>
      </w:pPr>
      <w:r>
        <w:rPr>
          <w:rFonts w:hint="eastAsia" w:ascii="宋体" w:hAnsi="宋体" w:eastAsia="宋体" w:cs="宋体"/>
          <w:b/>
          <w:sz w:val="21"/>
          <w:szCs w:val="21"/>
        </w:rPr>
        <w:t>配合采购人及上级临时安排事宜。</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1"/>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、服务内容</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2"/>
        <w:rPr>
          <w:rFonts w:hint="eastAsia" w:ascii="宋体" w:hAnsi="宋体" w:eastAsia="宋体" w:cs="宋体"/>
          <w:b/>
          <w:bCs/>
          <w:sz w:val="21"/>
          <w:szCs w:val="21"/>
        </w:rPr>
      </w:pPr>
      <w:r>
        <w:rPr>
          <w:rFonts w:hint="eastAsia" w:ascii="宋体" w:hAnsi="宋体" w:eastAsia="宋体" w:cs="宋体"/>
          <w:b/>
          <w:bCs/>
          <w:sz w:val="21"/>
          <w:szCs w:val="21"/>
        </w:rPr>
        <w:t>（一）技术服务内容</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3"/>
        <w:rPr>
          <w:rFonts w:hint="eastAsia" w:ascii="宋体" w:hAnsi="宋体" w:eastAsia="宋体" w:cs="宋体"/>
          <w:sz w:val="21"/>
          <w:szCs w:val="21"/>
        </w:rPr>
      </w:pPr>
      <w:r>
        <w:rPr>
          <w:rFonts w:hint="eastAsia" w:ascii="宋体" w:hAnsi="宋体" w:eastAsia="宋体" w:cs="宋体"/>
          <w:b/>
          <w:sz w:val="21"/>
          <w:szCs w:val="21"/>
        </w:rPr>
        <w:t>1.房屋及公用设施管理要求</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4"/>
        <w:rPr>
          <w:rFonts w:hint="eastAsia" w:ascii="宋体" w:hAnsi="宋体" w:eastAsia="宋体" w:cs="宋体"/>
          <w:b/>
          <w:sz w:val="21"/>
          <w:szCs w:val="21"/>
        </w:rPr>
      </w:pPr>
      <w:r>
        <w:rPr>
          <w:rFonts w:hint="eastAsia" w:ascii="宋体" w:hAnsi="宋体" w:eastAsia="宋体" w:cs="宋体"/>
          <w:b/>
          <w:sz w:val="21"/>
          <w:szCs w:val="21"/>
        </w:rPr>
        <w:t>（1）房屋建筑日常管理要求</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完善标志标识：</w:t>
      </w:r>
      <w:r>
        <w:rPr>
          <w:rFonts w:hint="eastAsia" w:ascii="宋体" w:hAnsi="宋体" w:eastAsia="宋体" w:cs="宋体"/>
          <w:sz w:val="21"/>
          <w:szCs w:val="21"/>
        </w:rPr>
        <w:t>在办公楼层及电梯出入口设有楼宇总平面示意图，各主要通道设有指引路标；建立、完善主要出入口、各大楼内外、地下室、各机房、设施设备等各类指示牌、标识牌的设置。各楼层及单元（门）、户和公共配套设施、场地有明显标志。各类标识牌维护完善，无标志破损现象。</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加强日常监管：</w:t>
      </w:r>
      <w:r>
        <w:rPr>
          <w:rFonts w:hint="eastAsia" w:ascii="宋体" w:hAnsi="宋体" w:eastAsia="宋体" w:cs="宋体"/>
          <w:sz w:val="21"/>
          <w:szCs w:val="21"/>
        </w:rPr>
        <w:t>确保无私搭乱建及擅自改变房屋用途的现象；制止在外墙及公共空间乱张贴、乱涂、乱画、乱悬挂的行为。房屋装饰装修符合规定，无私改乱拆管线、破坏房屋结构安全或损害公共利益的现象；</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实施巡查制度：</w:t>
      </w:r>
      <w:r>
        <w:rPr>
          <w:rFonts w:hint="eastAsia" w:ascii="宋体" w:hAnsi="宋体" w:eastAsia="宋体" w:cs="宋体"/>
          <w:sz w:val="21"/>
          <w:szCs w:val="21"/>
        </w:rPr>
        <w:t xml:space="preserve">每日至少巡查2次各层门户、楼梯通道以及其他共用部位的门窗、玻璃等，并做好巡查记录，发现问题及时维修养护，空置房每天巡视1次，做好巡查记录。发现门窗损坏、锁被撬、异味等异常情况及时通知采购人，并采取必要的紧急处理措施。 </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4"/>
        <w:rPr>
          <w:rFonts w:hint="eastAsia" w:ascii="宋体" w:hAnsi="宋体" w:eastAsia="宋体" w:cs="宋体"/>
          <w:b/>
          <w:sz w:val="21"/>
          <w:szCs w:val="21"/>
        </w:rPr>
      </w:pPr>
      <w:r>
        <w:rPr>
          <w:rFonts w:hint="eastAsia" w:ascii="宋体" w:hAnsi="宋体" w:eastAsia="宋体" w:cs="宋体"/>
          <w:b/>
          <w:sz w:val="21"/>
          <w:szCs w:val="21"/>
        </w:rPr>
        <w:t>（2）房屋建筑日常养护要求</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外观形象维护：</w:t>
      </w:r>
      <w:r>
        <w:rPr>
          <w:rFonts w:hint="eastAsia" w:ascii="宋体" w:hAnsi="宋体" w:eastAsia="宋体" w:cs="宋体"/>
          <w:sz w:val="21"/>
          <w:szCs w:val="21"/>
        </w:rPr>
        <w:t>对综合办公楼、附属楼、共用部位的维修、养护，使房屋外观（包括屋面、天台）完好、整洁，无妨碍市容和观瞻；室外招牌、广告牌、霓虹灯按规定设置，整齐有序；保持整洁统一美观，无安全隐患或破损；玻璃幕墙面，清洁明亮、无破损；涂料墙面，无脱落、无污渍。</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建筑设施完好：</w:t>
      </w:r>
      <w:r>
        <w:rPr>
          <w:rFonts w:hint="eastAsia" w:ascii="宋体" w:hAnsi="宋体" w:eastAsia="宋体" w:cs="宋体"/>
          <w:sz w:val="21"/>
          <w:szCs w:val="21"/>
        </w:rPr>
        <w:t>房屋及共用设施保持完好，路灯、通道照明、景观灯、LED夜景灯等公共照明设施完好；门窗、灯具、开关等功能良好；墙体整洁，无乱张贴；楼内上涂料的墙面定期粉刷（如有）；每月对楼宇主体及管道、沟渠进行检查，发现问题及时修复；保持道路平坦通畅，停车场及其他公共场所、字画等完好无损；公共楼梯、走道、天台、大厅等无随意堆放杂物和占用现象；建立维修保养记录，房屋及设施的维护、保养合格完好率达到95%以上。</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4"/>
        <w:rPr>
          <w:rFonts w:hint="eastAsia" w:ascii="宋体" w:hAnsi="宋体" w:eastAsia="宋体" w:cs="宋体"/>
          <w:b/>
          <w:sz w:val="21"/>
          <w:szCs w:val="21"/>
        </w:rPr>
      </w:pPr>
      <w:r>
        <w:rPr>
          <w:rFonts w:hint="eastAsia" w:ascii="宋体" w:hAnsi="宋体" w:eastAsia="宋体" w:cs="宋体"/>
          <w:b/>
          <w:sz w:val="21"/>
          <w:szCs w:val="21"/>
        </w:rPr>
        <w:t>（3）房屋修缮管理要求</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及时修补破损：</w:t>
      </w:r>
      <w:r>
        <w:rPr>
          <w:rFonts w:hint="eastAsia" w:ascii="宋体" w:hAnsi="宋体" w:eastAsia="宋体" w:cs="宋体"/>
          <w:sz w:val="21"/>
          <w:szCs w:val="21"/>
        </w:rPr>
        <w:t xml:space="preserve">中标人要确定办公场所容易发生问题的重点部位，定期检查房屋共用部位的使用状况，及时修补房屋建筑公共部位的漏水和破损，确保共用部位的地面、楼梯、走道、扶手、天花板、吊顶等及各类管道无破损。 </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遵循维修程序：</w:t>
      </w:r>
      <w:r>
        <w:rPr>
          <w:rFonts w:hint="eastAsia" w:ascii="宋体" w:hAnsi="宋体" w:eastAsia="宋体" w:cs="宋体"/>
          <w:sz w:val="21"/>
          <w:szCs w:val="21"/>
        </w:rPr>
        <w:t>发现问题，属小修范围的，及时组织修复；属大、中修范围的，向仙游县税务局提出报告与建议，根据仙游县税务局的决定，及时组织维修。</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4"/>
        <w:rPr>
          <w:rFonts w:hint="eastAsia" w:ascii="宋体" w:hAnsi="宋体" w:eastAsia="宋体" w:cs="宋体"/>
          <w:b/>
          <w:sz w:val="21"/>
          <w:szCs w:val="21"/>
        </w:rPr>
      </w:pPr>
      <w:r>
        <w:rPr>
          <w:rFonts w:hint="eastAsia" w:ascii="宋体" w:hAnsi="宋体" w:eastAsia="宋体" w:cs="宋体"/>
          <w:b/>
          <w:sz w:val="21"/>
          <w:szCs w:val="21"/>
        </w:rPr>
        <w:t>（4）物业设备维修、养护、运行和管理要求</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5"/>
        <w:rPr>
          <w:rFonts w:hint="eastAsia" w:ascii="宋体" w:hAnsi="宋体" w:eastAsia="宋体" w:cs="宋体"/>
          <w:b/>
          <w:sz w:val="21"/>
          <w:szCs w:val="21"/>
        </w:rPr>
      </w:pPr>
      <w:r>
        <w:rPr>
          <w:rFonts w:hint="eastAsia" w:ascii="宋体" w:hAnsi="宋体" w:eastAsia="宋体" w:cs="宋体"/>
          <w:b/>
          <w:sz w:val="21"/>
          <w:szCs w:val="21"/>
        </w:rPr>
        <w:t>①设施设备管理的原则要求</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健全管理制度：</w:t>
      </w:r>
      <w:r>
        <w:rPr>
          <w:rFonts w:hint="eastAsia" w:ascii="宋体" w:hAnsi="宋体" w:eastAsia="宋体" w:cs="宋体"/>
          <w:sz w:val="21"/>
          <w:szCs w:val="21"/>
        </w:rPr>
        <w:t>制定各项符合楼宇设备运行要求的值班、交接班制度以及设备操作人员的岗位责任制，推行“设备定号、管理定人”的管理原则。细化各项管理制度（包括给排水系统运行维护管理、配电运行维护管理、电梯运行维修管理、消控室运行维护管理等），建立共用设施设备档案（设备台帐）、技术资料档案，各设备的帐、卡、物一致。制定详细的设备三级维修保养制度。采用日常保养、定期维护与大中修（改造）计划相结合的维修保养体制，配备所需专业技术人员，严格执行操作规程和维修保养内容要求，容易危及人身安全的设施设备有明显警示标志和防范措施；对可能发生的各种突发设备故障制定有应急方案。</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加强运行管理：</w:t>
      </w:r>
      <w:r>
        <w:rPr>
          <w:rFonts w:hint="eastAsia" w:ascii="宋体" w:hAnsi="宋体" w:eastAsia="宋体" w:cs="宋体"/>
          <w:sz w:val="21"/>
          <w:szCs w:val="21"/>
        </w:rPr>
        <w:t>对各种设备进行监控管理；实时监视智能化系统的运行情况；物业设备标志齐全、规范，责任人明确，操作人员严格执行设备设施操作规程及保养规范，坚持“零干扰服务”，定时将各设备运行情况记录在案；把该设备的状态与该员工的绩效考核联系起来，保持各设备房整洁、有序、正常运行；定时开关楼宇公共部位照明系统；保证正常供电、供水、供冷，设备运行正常；定期对物业设备进行巡查，运行、维保、巡查、操作等序时记录要齐全、清楚。巡查中发现属于小修的要限时修复；属于大、中修或需要更新改造的，及时编制计划，报告采购人审定后实施。安全监控、消防监控等设备管理完好率达98%以上。</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切实做好保养：</w:t>
      </w:r>
      <w:r>
        <w:rPr>
          <w:rFonts w:hint="eastAsia" w:ascii="宋体" w:hAnsi="宋体" w:eastAsia="宋体" w:cs="宋体"/>
          <w:sz w:val="21"/>
          <w:szCs w:val="21"/>
        </w:rPr>
        <w:t>根据已制定的维修保养计划，按时予以实施；定期对设备检查、清洁、润滑,并记录在案；定期对4部电梯（鲤南办公区2部电梯、县局机关主楼1部电梯、县局机关附属楼1部电梯）、管道、管线、消防、智能化系统等设备、设施进行巡视,发现问题，及时解决； 实行24小时报修值班制度；对电梯进行定期专业性保养，每次检修保养完成进行验收确认；定期更换备用应急发电机（县局机关大楼）润滑油。</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5"/>
        <w:rPr>
          <w:rFonts w:hint="eastAsia" w:ascii="宋体" w:hAnsi="宋体" w:eastAsia="宋体" w:cs="宋体"/>
          <w:b/>
          <w:sz w:val="21"/>
          <w:szCs w:val="21"/>
        </w:rPr>
      </w:pPr>
      <w:r>
        <w:rPr>
          <w:rFonts w:hint="eastAsia" w:ascii="宋体" w:hAnsi="宋体" w:eastAsia="宋体" w:cs="宋体"/>
          <w:b/>
          <w:sz w:val="21"/>
          <w:szCs w:val="21"/>
        </w:rPr>
        <w:t>②设备管理基本要求</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设备综合管理：</w:t>
      </w:r>
      <w:r>
        <w:rPr>
          <w:rFonts w:hint="eastAsia" w:ascii="宋体" w:hAnsi="宋体" w:eastAsia="宋体" w:cs="宋体"/>
          <w:sz w:val="21"/>
          <w:szCs w:val="21"/>
        </w:rPr>
        <w:t>设施设备运行正常，管理期间无重大设备事故发生； 水、电、电梯、消防、监控等设备运行维修人员操作技能熟练；严格执行设施设备操作规程及保养规范；实行24小时值班制度；机房出入及钥匙管理有严格规定；共用设施设备档案（设备台帐），设施设备的运行、检查、维修、保养等记录齐全，字迹工整；设备房保持整洁、通风，无杂物、灰尘；无跑、冒、滴、漏和鼠害现象；机房环境符合设备要求；设备不发热、不滴水、不漏油、不漏气、不生锈、无异响；设施设备标志齐全、规范，责任人明确；设备运行正常，安全监控、消防监控等设备完好率达98%以上。</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供电设备维护保养：</w:t>
      </w:r>
      <w:r>
        <w:rPr>
          <w:rFonts w:hint="eastAsia" w:ascii="宋体" w:hAnsi="宋体" w:eastAsia="宋体" w:cs="宋体"/>
          <w:sz w:val="21"/>
          <w:szCs w:val="21"/>
        </w:rPr>
        <w:t xml:space="preserve">高压设备按期年检；妥善保管操作用具，高压操作用具完好并定期送检；严格执行临时用电管理措施与停电应急处理措施；备用应急发电机完好可随时启用，维护、保养到位；限电、停电有明确的审批权限，按规定时间提前通知。每日按照《设备、设施巡视内容与程序》巡视配电机房设备，并记录《配电房巡视记录表》；配电机房每周打扫一次，配电柜每月清洁一次。按《设备、设施（年度）周期检查、保养计划表》和《供配电设备（设施）维修保养规程》的内容要求进行周期检查、保养，并将结果记录于《设备、设施周期检查、保养记录表》内；供配电设备、设施维修工作记录于《设备、设施维修记录表》内；供配电设备发生异常和故障及时报告采购人，记录《设备故障记录表》，并在采购人协同下排除异常和故障。每年12月制订下一年度《设备、设施（年度）周期检查、保养计划表》，并按运行情况制订《设备、设施（年度）维修计划表》；中标人每月定期组织电工检查供配电设备的运行状况，填写《供配电系统检查表》；维修工程实行让采购人“修前检验、修后签收”制度，加强维修外购材料、备件的验收控制，确保质量；较为复杂的维修工程，事先应制订详细的工作方案，同时要求管理员到现场进行指导、监督和验收；根据楼宇实际用电负荷情况，在满足楼宇用电需求的条件下，合理投切变压器的使用数量，降低变压器的损耗，确保经济运行。 </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5"/>
        <w:rPr>
          <w:rFonts w:hint="eastAsia" w:ascii="宋体" w:hAnsi="宋体" w:eastAsia="宋体" w:cs="宋体"/>
          <w:b/>
          <w:sz w:val="21"/>
          <w:szCs w:val="21"/>
        </w:rPr>
      </w:pPr>
      <w:r>
        <w:rPr>
          <w:rFonts w:hint="eastAsia" w:ascii="宋体" w:hAnsi="宋体" w:eastAsia="宋体" w:cs="宋体"/>
          <w:b/>
          <w:sz w:val="21"/>
          <w:szCs w:val="21"/>
        </w:rPr>
        <w:t>③设备管理具体要求</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6"/>
        <w:rPr>
          <w:rFonts w:hint="eastAsia" w:ascii="宋体" w:hAnsi="宋体" w:eastAsia="宋体" w:cs="宋体"/>
          <w:sz w:val="21"/>
          <w:szCs w:val="21"/>
        </w:rPr>
      </w:pPr>
      <w:r>
        <w:rPr>
          <w:rFonts w:hint="eastAsia" w:ascii="宋体" w:hAnsi="宋体" w:eastAsia="宋体" w:cs="宋体"/>
          <w:b/>
          <w:sz w:val="21"/>
          <w:szCs w:val="21"/>
        </w:rPr>
        <w:t>A.消防设施保养：</w:t>
      </w:r>
      <w:r>
        <w:rPr>
          <w:rFonts w:hint="eastAsia" w:ascii="宋体" w:hAnsi="宋体" w:eastAsia="宋体" w:cs="宋体"/>
          <w:sz w:val="21"/>
          <w:szCs w:val="21"/>
        </w:rPr>
        <w:t>设备完好，可随时启用；消防通道畅通。</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消火栓泵：</w:t>
      </w:r>
      <w:r>
        <w:rPr>
          <w:rFonts w:hint="eastAsia" w:ascii="宋体" w:hAnsi="宋体" w:eastAsia="宋体" w:cs="宋体"/>
          <w:sz w:val="21"/>
          <w:szCs w:val="21"/>
        </w:rPr>
        <w:t>消火泵(流量、扬程等主要参数)符合出厂要求；管道上的阀门、避震接头、压力表、旁通阀等齐全有效，无泄漏、阀门启闭灵活；消火泵运行平稳、无振动，润滑良好、无咬泵现象；电气控制和各元件齐全，正常可靠，性能完好；水泵、电机等接地装置、防护罩安全可靠，无缺损；管道设备等无锈蚀、无渗漏。</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增压泵：</w:t>
      </w:r>
      <w:r>
        <w:rPr>
          <w:rFonts w:hint="eastAsia" w:ascii="宋体" w:hAnsi="宋体" w:eastAsia="宋体" w:cs="宋体"/>
          <w:sz w:val="21"/>
          <w:szCs w:val="21"/>
        </w:rPr>
        <w:t>增压泵运转平稳，各项运行参数符合出厂标准；</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消火栓及配套设施：</w:t>
      </w:r>
      <w:r>
        <w:rPr>
          <w:rFonts w:hint="eastAsia" w:ascii="宋体" w:hAnsi="宋体" w:eastAsia="宋体" w:cs="宋体"/>
          <w:sz w:val="21"/>
          <w:szCs w:val="21"/>
        </w:rPr>
        <w:t>各层消火栓箱及附件齐全完好；启动报警按钮完好、性能可靠；各层消火栓出水压力符合要求；消防接合器齐全、有效，无泄漏；户外立式消火栓齐全有效，开启灵活；消防进水环网畅通，阀门便于操作，并有明显标记。</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喷淋泵：</w:t>
      </w:r>
      <w:r>
        <w:rPr>
          <w:rFonts w:hint="eastAsia" w:ascii="宋体" w:hAnsi="宋体" w:eastAsia="宋体" w:cs="宋体"/>
          <w:sz w:val="21"/>
          <w:szCs w:val="21"/>
        </w:rPr>
        <w:t>喷淋泵(流量、扬程等主要参数)符合出厂要求；管道附件齐全有效、各阀门启用灵活；喷淋泵运行平稳、润滑良好，无咬泵现象；电气控制和器件齐全、正常可靠，性能完好；泵、电机等接地装置、防护罩安全可靠，无缺损；管道设备等无锈蚀，无渗漏。</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6"/>
        <w:rPr>
          <w:rFonts w:hint="eastAsia" w:ascii="宋体" w:hAnsi="宋体" w:eastAsia="宋体" w:cs="宋体"/>
          <w:b/>
          <w:sz w:val="21"/>
          <w:szCs w:val="21"/>
        </w:rPr>
      </w:pPr>
      <w:r>
        <w:rPr>
          <w:rFonts w:hint="eastAsia" w:ascii="宋体" w:hAnsi="宋体" w:eastAsia="宋体" w:cs="宋体"/>
          <w:b/>
          <w:sz w:val="21"/>
          <w:szCs w:val="21"/>
        </w:rPr>
        <w:t>B.弱电系统维护保养</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按工作标准规定时间排除故障，保证各弱电系统正常工作；监控系统、消控系统等智能化系统设施设备运行正常，有记录并按规定期限保存；定期对系统的传输线路进行检查检测，保证系统的正常完好。</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6"/>
        <w:rPr>
          <w:rFonts w:hint="eastAsia" w:ascii="宋体" w:hAnsi="宋体" w:eastAsia="宋体" w:cs="宋体"/>
          <w:b/>
          <w:sz w:val="21"/>
          <w:szCs w:val="21"/>
        </w:rPr>
      </w:pPr>
      <w:r>
        <w:rPr>
          <w:rFonts w:hint="eastAsia" w:ascii="宋体" w:hAnsi="宋体" w:eastAsia="宋体" w:cs="宋体"/>
          <w:b/>
          <w:sz w:val="21"/>
          <w:szCs w:val="21"/>
        </w:rPr>
        <w:t>C.电梯维护保养</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电梯24小时正常运行。安全设施齐全，通风、照明、乘梯指南及附</w:t>
      </w:r>
      <w:r>
        <w:rPr>
          <w:rFonts w:hint="eastAsia" w:ascii="宋体" w:hAnsi="宋体" w:eastAsia="宋体" w:cs="宋体"/>
          <w:sz w:val="21"/>
          <w:szCs w:val="21"/>
          <w:highlight w:val="none"/>
        </w:rPr>
        <w:t>属设施完好，轿厢、井道、机房保持整洁；电梯安全许可证、年检报告、维修保养合同完备； 电梯由专业的维保单位按合同严格执行维修保养，保养周期符合规定，维修保养记录完备；电梯维护保养事先告知采购人，并尽可能减少对采购人正常工作的影响；维修、操作人员持证上岗，每日巡</w:t>
      </w:r>
      <w:r>
        <w:rPr>
          <w:rFonts w:hint="eastAsia" w:ascii="宋体" w:hAnsi="宋体" w:eastAsia="宋体" w:cs="宋体"/>
          <w:sz w:val="21"/>
          <w:szCs w:val="21"/>
        </w:rPr>
        <w:t>查记录电梯运行情况，建档备案；轿厢内警铃、风扇、电话保持正常工作状态；信号灯齐全，运行平稳、无振动，到站定位准确，层门开闭灵活；自动性能良好。电梯运行出现故障后，维修人员在规定时间内到达现场维修；运行出现险情时,有排除险情的应急处理措施。无法自行排除的应及时通知维保单位。加强电梯节能管理,取消电梯返基站功能，采用多梯群控方式，减少不必要的电梯无效空车运行；每月定期进行设备的保养维护；电梯须分高、低区运行，提高集中运载能效。</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6"/>
        <w:rPr>
          <w:rFonts w:hint="eastAsia" w:ascii="宋体" w:hAnsi="宋体" w:eastAsia="宋体" w:cs="宋体"/>
          <w:b/>
          <w:sz w:val="21"/>
          <w:szCs w:val="21"/>
        </w:rPr>
      </w:pPr>
      <w:r>
        <w:rPr>
          <w:rFonts w:hint="eastAsia" w:ascii="宋体" w:hAnsi="宋体" w:eastAsia="宋体" w:cs="宋体"/>
          <w:b/>
          <w:sz w:val="21"/>
          <w:szCs w:val="21"/>
        </w:rPr>
        <w:t>D.给排水系统维修保养</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管理严密</w:t>
      </w:r>
      <w:r>
        <w:rPr>
          <w:rFonts w:hint="eastAsia" w:ascii="宋体" w:hAnsi="宋体" w:eastAsia="宋体" w:cs="宋体"/>
          <w:sz w:val="21"/>
          <w:szCs w:val="21"/>
        </w:rPr>
        <w:t xml:space="preserve">：建立楼宇用水、供水管理制度，积极协助采购人安排合理的用水和节水计划，负责用户水表的抄表及造册。限水、停水按规定时间提前通知采购人； </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清洁供水：</w:t>
      </w:r>
      <w:r>
        <w:rPr>
          <w:rFonts w:hint="eastAsia" w:ascii="宋体" w:hAnsi="宋体" w:eastAsia="宋体" w:cs="宋体"/>
          <w:sz w:val="21"/>
          <w:szCs w:val="21"/>
        </w:rPr>
        <w:t>高压水泵、水池、水箱有严格的管理措施，泵房、水池、水箱清洁卫生，二次供水、蓄水设施设备每三个月进行一次清洗消毒，每月及时将水样送达有关部门检测，保证二次供水卫生达到标准，无二次污染；保证设备及周围环境整洁；水池、水箱周围无污染隐患，发现异常及时处理。</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通畅排水：</w:t>
      </w:r>
      <w:r>
        <w:rPr>
          <w:rFonts w:hint="eastAsia" w:ascii="宋体" w:hAnsi="宋体" w:eastAsia="宋体" w:cs="宋体"/>
          <w:sz w:val="21"/>
          <w:szCs w:val="21"/>
        </w:rPr>
        <w:t>排水系统通畅，公共雨、污水管道每年疏通1次；雨、污水井每季度检查1次，并视检查情况及时清掏；化粪池每2个月检查1次，每年清掏1次，发现异常及时清掏；汛期道路无积水，地下室、车库及设备房无积水、浸泡事件发生；</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检修高效：</w:t>
      </w:r>
      <w:r>
        <w:rPr>
          <w:rFonts w:hint="eastAsia" w:ascii="宋体" w:hAnsi="宋体" w:eastAsia="宋体" w:cs="宋体"/>
          <w:sz w:val="21"/>
          <w:szCs w:val="21"/>
        </w:rPr>
        <w:t>定期巡查，设备、管道工作正常，标识清晰正确，无跑冒滴漏；制定事故应急处理方案并严格执行。遇有事故，维修人员在规定时间内进行抢修，确保无跑水、泛水、长时间停水现象。</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6"/>
        <w:rPr>
          <w:rFonts w:hint="eastAsia" w:ascii="宋体" w:hAnsi="宋体" w:eastAsia="宋体" w:cs="宋体"/>
          <w:b/>
          <w:sz w:val="21"/>
          <w:szCs w:val="21"/>
        </w:rPr>
      </w:pPr>
      <w:r>
        <w:rPr>
          <w:rFonts w:hint="eastAsia" w:ascii="宋体" w:hAnsi="宋体" w:eastAsia="宋体" w:cs="宋体"/>
          <w:b/>
          <w:sz w:val="21"/>
          <w:szCs w:val="21"/>
        </w:rPr>
        <w:t>E.通风系统维护保养</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每天巡查一次，每半年保养一次；机身保持清洁，油漆无脱落，运转无异常声响；各开关处于“自动”状态。</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6"/>
        <w:rPr>
          <w:rFonts w:hint="eastAsia" w:ascii="宋体" w:hAnsi="宋体" w:eastAsia="宋体" w:cs="宋体"/>
          <w:b/>
          <w:sz w:val="21"/>
          <w:szCs w:val="21"/>
        </w:rPr>
      </w:pPr>
      <w:r>
        <w:rPr>
          <w:rFonts w:hint="eastAsia" w:ascii="宋体" w:hAnsi="宋体" w:eastAsia="宋体" w:cs="宋体"/>
          <w:b/>
          <w:sz w:val="21"/>
          <w:szCs w:val="21"/>
        </w:rPr>
        <w:t>F.照明设施</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楼道灯、路灯等每日至少巡查一次，发现损坏及时检修，室内外所有发光灯具按原配置标准随坏随修。</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6"/>
        <w:rPr>
          <w:rFonts w:hint="eastAsia" w:ascii="宋体" w:hAnsi="宋体" w:eastAsia="宋体" w:cs="宋体"/>
          <w:b/>
          <w:sz w:val="21"/>
          <w:szCs w:val="21"/>
        </w:rPr>
      </w:pPr>
      <w:r>
        <w:rPr>
          <w:rFonts w:hint="eastAsia" w:ascii="宋体" w:hAnsi="宋体" w:eastAsia="宋体" w:cs="宋体"/>
          <w:b/>
          <w:sz w:val="21"/>
          <w:szCs w:val="21"/>
        </w:rPr>
        <w:t>G.监控系统</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每天巡查两次，每月保养一次，出现故障随时修复；各探头焦距适度、无灰尘、无异常，显示清晰，防尘罩密封良好。</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6"/>
        <w:rPr>
          <w:rFonts w:hint="eastAsia" w:ascii="宋体" w:hAnsi="宋体" w:eastAsia="宋体" w:cs="宋体"/>
          <w:b/>
          <w:sz w:val="21"/>
          <w:szCs w:val="21"/>
        </w:rPr>
      </w:pPr>
      <w:r>
        <w:rPr>
          <w:rFonts w:hint="eastAsia" w:ascii="宋体" w:hAnsi="宋体" w:eastAsia="宋体" w:cs="宋体"/>
          <w:b/>
          <w:sz w:val="21"/>
          <w:szCs w:val="21"/>
        </w:rPr>
        <w:t>H.防避雷系统</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每周巡查一次，每季进行一次保养，每年进行一次接地电阻测试，系统完好率100%。</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4"/>
        <w:rPr>
          <w:rFonts w:hint="eastAsia" w:ascii="宋体" w:hAnsi="宋体" w:eastAsia="宋体" w:cs="宋体"/>
          <w:b/>
          <w:sz w:val="21"/>
          <w:szCs w:val="21"/>
        </w:rPr>
      </w:pPr>
      <w:r>
        <w:rPr>
          <w:rFonts w:hint="eastAsia" w:ascii="宋体" w:hAnsi="宋体" w:eastAsia="宋体" w:cs="宋体"/>
          <w:b/>
          <w:sz w:val="21"/>
          <w:szCs w:val="21"/>
        </w:rPr>
        <w:t>（5）环境卫生保洁的维护要求</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5"/>
        <w:rPr>
          <w:rFonts w:hint="eastAsia" w:ascii="宋体" w:hAnsi="宋体" w:eastAsia="宋体" w:cs="宋体"/>
          <w:b/>
          <w:sz w:val="21"/>
          <w:szCs w:val="21"/>
        </w:rPr>
      </w:pPr>
      <w:r>
        <w:rPr>
          <w:rFonts w:hint="eastAsia" w:ascii="宋体" w:hAnsi="宋体" w:eastAsia="宋体" w:cs="宋体"/>
          <w:b/>
          <w:sz w:val="21"/>
          <w:szCs w:val="21"/>
        </w:rPr>
        <w:t>①卫生保洁特点与重点</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执行“零干扰”保洁服务措施，在非办公时间进行全面性保洁，办公时间进行巡回保洁的方式。巡回保洁重点为综合楼、附属楼、楼层通道、卫生间等部位。通过实行保洁分区负责制，划定责任区域，规定巡回保洁及检查频率等措施，以保证各楼宇在办公时间的清洁。按期清洗窗帘，玻璃幕墙。</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5"/>
        <w:rPr>
          <w:rFonts w:hint="eastAsia" w:ascii="宋体" w:hAnsi="宋体" w:eastAsia="宋体" w:cs="宋体"/>
          <w:b/>
          <w:sz w:val="21"/>
          <w:szCs w:val="21"/>
        </w:rPr>
      </w:pPr>
      <w:r>
        <w:rPr>
          <w:rFonts w:hint="eastAsia" w:ascii="宋体" w:hAnsi="宋体" w:eastAsia="宋体" w:cs="宋体"/>
          <w:b/>
          <w:sz w:val="21"/>
          <w:szCs w:val="21"/>
        </w:rPr>
        <w:t>②保洁服务基本要求</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分析各办公场所的卫生保洁特点与重点，制定相应的管理制度；制定大楼内部卫生保洁管理办法及计划（日、周、月、年）；制定大楼外部如广场、绿地、主次干道、停车场卫生保洁管理办法及计划（日、周、月、年）；每年定期对水塔、水池（生活水池、消防水池）等二次供水、蓄水设备进行清洗、消毒，保证设备及周围环境整洁；及时将水样送达有关部门检测，保证二次供水卫生达标；保证环卫设施完好整洁，环卫设施包括楼层内的大垃圾桶、茶叶篓及桶、烟灰桶、蹲位内的小垃圾桶、垃圾分类桶、垃圾车、保洁及维修专用提示牌、电梯地毯及各类地毯、绿化品名标识及各类标识等；及时清理化粪池及垃圾清运，每月定期清理、检查雨水井、污水井，发现不通及时处理，雨季、台风期间，更要及时巡查。并定期杀虫灭鼠，确保无鼠害、虫害，维持保持整体环境整洁。</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5"/>
        <w:rPr>
          <w:rFonts w:hint="eastAsia" w:ascii="宋体" w:hAnsi="宋体" w:eastAsia="宋体" w:cs="宋体"/>
          <w:b/>
          <w:sz w:val="21"/>
          <w:szCs w:val="21"/>
        </w:rPr>
      </w:pPr>
      <w:r>
        <w:rPr>
          <w:rFonts w:hint="eastAsia" w:ascii="宋体" w:hAnsi="宋体" w:eastAsia="宋体" w:cs="宋体"/>
          <w:b/>
          <w:sz w:val="21"/>
          <w:szCs w:val="21"/>
        </w:rPr>
        <w:t>③保洁具体要求</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公共区域的全面性保洁：</w:t>
      </w:r>
      <w:r>
        <w:rPr>
          <w:rFonts w:hint="eastAsia" w:ascii="宋体" w:hAnsi="宋体" w:eastAsia="宋体" w:cs="宋体"/>
          <w:sz w:val="21"/>
          <w:szCs w:val="21"/>
        </w:rPr>
        <w:t>每天上午做好各层电梯间、通道、楼梯间地面、墙壁的整体清扫、拖擦，公共部位门窗的保洁、电梯轿厢保养，以及公共卫生间的清洗、各楼层垃圾清运。</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公共区域的巡回性保洁：</w:t>
      </w:r>
      <w:r>
        <w:rPr>
          <w:rFonts w:hint="eastAsia" w:ascii="宋体" w:hAnsi="宋体" w:eastAsia="宋体" w:cs="宋体"/>
          <w:sz w:val="21"/>
          <w:szCs w:val="21"/>
        </w:rPr>
        <w:t>每天7：00－18：30对各层公共卫生间、电梯间烟灰筒每2小时清理保洁一次；广场、大堂及各公共通道部位随脏随清理，拖擦楼层通道地面每天一次，定时补充厕纸。</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办税大厅、楼层保养：</w:t>
      </w:r>
      <w:r>
        <w:rPr>
          <w:rFonts w:hint="eastAsia" w:ascii="宋体" w:hAnsi="宋体" w:eastAsia="宋体" w:cs="宋体"/>
          <w:sz w:val="21"/>
          <w:szCs w:val="21"/>
        </w:rPr>
        <w:t>为保证仙游县税务局各办公场所办公楼地面、墙面始终保持美观、整洁。中标人接管楼宇后将根据石材特点要求进行全面硬化处理；每月保养一次；每周进行一次抛光处理，日常用尘推喷适量静电除尘剂，除去地面灰尘及污渍。</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楼立面定期清洗：</w:t>
      </w:r>
      <w:r>
        <w:rPr>
          <w:rFonts w:hint="eastAsia" w:ascii="宋体" w:hAnsi="宋体" w:eastAsia="宋体" w:cs="宋体"/>
          <w:sz w:val="21"/>
          <w:szCs w:val="21"/>
        </w:rPr>
        <w:t>为保持楼宇外墙始终处于清洁、透亮的效果，按采购人要求的期限对办公综合楼外立面的玻璃幕墙进行一次彻底清洗。</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玻璃门窗（幕墙）：</w:t>
      </w:r>
      <w:r>
        <w:rPr>
          <w:rFonts w:hint="eastAsia" w:ascii="宋体" w:hAnsi="宋体" w:eastAsia="宋体" w:cs="宋体"/>
          <w:sz w:val="21"/>
          <w:szCs w:val="21"/>
        </w:rPr>
        <w:t>每季度清洁一次，窗帘每年清洗一次并熨烫平整后上挂。</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5"/>
        <w:rPr>
          <w:rFonts w:hint="eastAsia" w:ascii="宋体" w:hAnsi="宋体" w:eastAsia="宋体" w:cs="宋体"/>
          <w:b/>
          <w:sz w:val="21"/>
          <w:szCs w:val="21"/>
        </w:rPr>
      </w:pPr>
      <w:r>
        <w:rPr>
          <w:rFonts w:hint="eastAsia" w:ascii="宋体" w:hAnsi="宋体" w:eastAsia="宋体" w:cs="宋体"/>
          <w:b/>
          <w:sz w:val="21"/>
          <w:szCs w:val="21"/>
        </w:rPr>
        <w:t>④保洁成效要求</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目视清洁：</w:t>
      </w:r>
      <w:r>
        <w:rPr>
          <w:rFonts w:hint="eastAsia" w:ascii="宋体" w:hAnsi="宋体" w:eastAsia="宋体" w:cs="宋体"/>
          <w:sz w:val="21"/>
          <w:szCs w:val="21"/>
        </w:rPr>
        <w:t>玻璃门窗无灰尘、污垢、污渍、水渍、手印，玻璃透亮；玻璃与结构框之间的缝隙无污垢；墙面、扶手、消防栓管、电表箱、信报箱无积灰、广告；人行、车行通道、楼梯台阶面干净，无杂物、污渍；公共部位无乱悬挂、乱丢弃、乱堆放、乱贴乱画现象；管线无污迹、无积灰，油漆无脱落、无锈迹；灯具、灯座、灯盖、灯罩、无积灰；管道标识、指示牌等公共设施目视无明显灰尘；果皮、垃圾箱无满溢现象；无过夜垃圾，桶箱内外无污渍；公共卫生间内卫生厕纸无短缺，洁具、地面无污渍、积水；地面无杂物、垃圾、积水、污渍，目视干净；雨、污水管道无堵塞；雨、污水井底部无沉淀物，内壁无粘着物，目视无苍蝇飞绕；井盖无污迹；化粪池无积物浮于面上，出入口通畅。天花板无灰尘、蜘蛛网、污渍；电梯轿厢四壁干净无明显灰尘、手印、污迹，无乱张贴，灯具、天花板无明显灰尘；地面及地毯干净、无污迹；门轨无灰尘、砂土。无乱设摊点、广告牌和乱贴乱画现象，房屋外墙无污染；地面、墙面石材清洁保养达到光洁明亮，无明显划痕，无污迹，无粘附物，无灰尘。</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环境卫生：</w:t>
      </w:r>
      <w:r>
        <w:rPr>
          <w:rFonts w:hint="eastAsia" w:ascii="宋体" w:hAnsi="宋体" w:eastAsia="宋体" w:cs="宋体"/>
          <w:sz w:val="21"/>
          <w:szCs w:val="21"/>
        </w:rPr>
        <w:t>管辖区域内无明显鼠害、虫害发生。公共卫生间内无异味，排水通畅，无堵塞；楼宇内废水、废气、废烟、噪音等符合国家环保标准；二次供水达到合格供水单位标准，水质检验符合生活用水标准；无流行性传染病发生。</w:t>
      </w:r>
    </w:p>
    <w:p>
      <w:pPr>
        <w:keepNext w:val="0"/>
        <w:keepLines w:val="0"/>
        <w:pageBreakBefore w:val="0"/>
        <w:kinsoku/>
        <w:wordWrap/>
        <w:overflowPunct/>
        <w:topLinePunct w:val="0"/>
        <w:autoSpaceDN/>
        <w:bidi w:val="0"/>
        <w:spacing w:beforeAutospacing="0" w:afterAutospacing="0" w:line="360" w:lineRule="auto"/>
        <w:ind w:firstLine="413" w:firstLineChars="196"/>
        <w:textAlignment w:val="auto"/>
        <w:outlineLvl w:val="4"/>
        <w:rPr>
          <w:rFonts w:hint="eastAsia" w:ascii="宋体" w:hAnsi="宋体" w:eastAsia="宋体" w:cs="宋体"/>
          <w:b/>
          <w:sz w:val="21"/>
          <w:szCs w:val="21"/>
        </w:rPr>
      </w:pPr>
      <w:r>
        <w:rPr>
          <w:rFonts w:hint="eastAsia" w:ascii="宋体" w:hAnsi="宋体" w:eastAsia="宋体" w:cs="宋体"/>
          <w:b/>
          <w:sz w:val="21"/>
          <w:szCs w:val="21"/>
        </w:rPr>
        <w:t>（6）绿化、景观的养护和管理要求</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5"/>
        <w:rPr>
          <w:rFonts w:hint="eastAsia" w:ascii="宋体" w:hAnsi="宋体" w:eastAsia="宋体" w:cs="宋体"/>
          <w:b/>
          <w:sz w:val="21"/>
          <w:szCs w:val="21"/>
        </w:rPr>
      </w:pPr>
      <w:r>
        <w:rPr>
          <w:rFonts w:hint="eastAsia" w:ascii="宋体" w:hAnsi="宋体" w:eastAsia="宋体" w:cs="宋体"/>
          <w:b/>
          <w:sz w:val="21"/>
          <w:szCs w:val="21"/>
        </w:rPr>
        <w:t>①基本服务要求</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项目特点制定相应的绿化管理制度，合理配置绿化作业人员。设定检查责任人，对绿化工作进行作业指导、日常巡查、不定期抽检，并记录于《绿化工作检查表》。发现不足之处及时督促改正，组织返工，保持管辖区域内环境整洁；根据季节变化制订每月的绿化管养计划；利用现有条件进行植物种植绿化，布置花草树木品种和数量；在保证现有绿化水平的档次上，合理选种和配置；在适当的地方公告植物名称、产地、种植季节、生长特征和管理办法等；定期对植物进行培土、施肥、除草、修枝、剪叶、补苗、浇水，大型灌木修剪成型；对枯死的植物及时补种或更换；定期喷洒药物，预防病虫害；随时清扫绿地保持绿化地清洁；</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5"/>
        <w:rPr>
          <w:rFonts w:hint="eastAsia" w:ascii="宋体" w:hAnsi="宋体" w:eastAsia="宋体" w:cs="宋体"/>
          <w:b/>
          <w:sz w:val="21"/>
          <w:szCs w:val="21"/>
        </w:rPr>
      </w:pPr>
      <w:r>
        <w:rPr>
          <w:rFonts w:hint="eastAsia" w:ascii="宋体" w:hAnsi="宋体" w:eastAsia="宋体" w:cs="宋体"/>
          <w:b/>
          <w:sz w:val="21"/>
          <w:szCs w:val="21"/>
        </w:rPr>
        <w:t>②养护质量标准</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物业方必须保证绿化充分，植物配置合理，做到黄土不露天；做到花草结合，常绿树与落叶树结合，乔木与灌木相结合，做到植物常青，花常开；大型灌木修剪及时，美观；园林植物要确保健壮生长保持良好状态。树冠完整、美观，修剪适当，主侧枝分布匀称，内膛不乱，通风透光，树木无钉栓、捆绑现象；叶子健壮：叶色正常，叶大而肥厚、在正常的条件下不黄叶，不焦叶、不卷叶、不落叶，叶上无虫卵、虫网、灰尘；枝干健壮：无明显枯枝、死杈、枝条粗壮；保持绿化地清洁，草坪和灌木林内不留物、不积水、不死苗、不被偷窃，保持花草树木良好生长；行道树和绿地内无死树，树木修剪合理，树形美观，妥善解决树木与电线、建筑物、交通等之间的相互影响。绿地、草坪内无堆物堆料、搭棚或侵占现象，无人为损坏；行道树树干上无刻画的现象，树下距树干2米范围内无堆物堆料、搭棚设摊、圈栏等影响树木养护管理和生长的现象；绿地不改变使用用途和破坏、践踏、占用现象；绿化垃圾(如：树枝、树叶、草沫等)重点地区路段做到随产随清，其它地区和路段做到日产日清；植物公告牌设置合理，字迹清晰，无损坏；《绿化工作计划》、《操作记录表》记录完整齐全；绿化完好率达95%以上。</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4"/>
        <w:rPr>
          <w:rFonts w:hint="eastAsia" w:ascii="宋体" w:hAnsi="宋体" w:eastAsia="宋体" w:cs="宋体"/>
          <w:b/>
          <w:sz w:val="21"/>
          <w:szCs w:val="21"/>
        </w:rPr>
      </w:pPr>
      <w:r>
        <w:rPr>
          <w:rFonts w:hint="eastAsia" w:ascii="宋体" w:hAnsi="宋体" w:eastAsia="宋体" w:cs="宋体"/>
          <w:b/>
          <w:sz w:val="21"/>
          <w:szCs w:val="21"/>
        </w:rPr>
        <w:t>（7）安全防范管理要求</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仙游县税务局各办公场所主、次通道布局以及办公楼的开放、关闭规律，安全管理是管理重点，中标人要坚持“人防、技防”相结合的原则，实行“封闭式管理”，通过实行重要部位定岗值勤与办公区域巡逻检查相结合方式，力求构建一张严密、高效的安全防范网络。</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5"/>
        <w:rPr>
          <w:rFonts w:hint="eastAsia" w:ascii="宋体" w:hAnsi="宋体" w:eastAsia="宋体" w:cs="宋体"/>
          <w:sz w:val="21"/>
          <w:szCs w:val="21"/>
        </w:rPr>
      </w:pPr>
      <w:r>
        <w:rPr>
          <w:rFonts w:hint="eastAsia" w:ascii="宋体" w:hAnsi="宋体" w:eastAsia="宋体" w:cs="宋体"/>
          <w:b/>
          <w:sz w:val="21"/>
          <w:szCs w:val="21"/>
        </w:rPr>
        <w:t>①严密防范、强化值勤：</w:t>
      </w:r>
      <w:r>
        <w:rPr>
          <w:rFonts w:hint="eastAsia" w:ascii="宋体" w:hAnsi="宋体" w:eastAsia="宋体" w:cs="宋体"/>
          <w:sz w:val="21"/>
          <w:szCs w:val="21"/>
        </w:rPr>
        <w:t>各主出入口24小时均设有安保员执勤，密切注意责任区域的进出人员，杜绝闲杂人员进入楼宇。推销人员、废品收购人员、精神病患者、社会闲散人员及未成年人不得进入办公区域；经允许进入综合楼的办事人员，严禁携带易燃、易爆、剧毒、放射等危险物品；上下班高峰时段密切注意进入楼宇的人员，对形迹可疑的主动上前询问；对外来人员礼貌地要求对方出示证件，非本楼宇或区域的人员在验证并登记后予以放行；登记时间在一分钟内完成；如来人不能出示证件时，礼貌的要求对方同所访单元联系，经证实并确认后，方可放行；详细记录来访者的证件、访问对象，以避免可疑人员混入楼宇；对搬出楼宇及管辖区域的物品进行严格控制，查验《物品放行单》或相关部门亲笔签发的物品放行清单无误后放行，并记录于《物品出入登记表》后方予放行。</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5"/>
        <w:rPr>
          <w:rFonts w:hint="eastAsia" w:ascii="宋体" w:hAnsi="宋体" w:eastAsia="宋体" w:cs="宋体"/>
          <w:sz w:val="21"/>
          <w:szCs w:val="21"/>
        </w:rPr>
      </w:pPr>
      <w:r>
        <w:rPr>
          <w:rFonts w:hint="eastAsia" w:ascii="宋体" w:hAnsi="宋体" w:eastAsia="宋体" w:cs="宋体"/>
          <w:b/>
          <w:sz w:val="21"/>
          <w:szCs w:val="21"/>
        </w:rPr>
        <w:t>②加强监视、严格巡逻：</w:t>
      </w:r>
      <w:r>
        <w:rPr>
          <w:rFonts w:hint="eastAsia" w:ascii="宋体" w:hAnsi="宋体" w:eastAsia="宋体" w:cs="宋体"/>
          <w:sz w:val="21"/>
          <w:szCs w:val="21"/>
        </w:rPr>
        <w:t>全天候认真监视各个区域的电子摄像，及时与采购人联系，做好摄像录入、保存与相关记录工作；岗位设置合理有序，将各主要通道全部纳入保卫视线；同时针对仙游县税务局各办公场所的特点，中标人要做到人员布局合理、调集迅速，各点、线遥相呼应、紧密衔接，合理设定安全管理员的巡查路线及时间（每2小时来回巡查一次），采取双人结队巡查措施，以保证所管项目的安全。巡查中要求认真检查、严密巡视，重点检查楼宇安全状况及防火、防盗设施、大门锁具及周边区域设施等情况，重点部位、重点时间以及特殊情况加强巡逻，能及时发现和消除不安全因素；对形迹可疑的人要进行盘查，必要时检查其所带物品；巡查中发现某机构门未锁或门有撬动的痕迹时，则留守一人保护现场，同时与采购人联系到场查看，以确认是否有被盗的事件发生。设备房、消防楼梯间等重点区域实行每小时一次的重点巡查。制止本管理区域范围内的打架斗殴等违章事件。每天清场后对大楼进行按层巡逻，无发现异常情况后，关闭楼层消防门，做好签到备查记录，杜绝因物业管理责任造成的治安案件、偷盗案件及消防事故的发生，巡查情况记录于《巡查登记表》。巡逻人员要求规范着装，对讲机、警械佩戴齐全，如遇治安案件高发期，将部分调整为便衣巡逻。</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5"/>
        <w:rPr>
          <w:rFonts w:hint="eastAsia" w:ascii="宋体" w:hAnsi="宋体" w:eastAsia="宋体" w:cs="宋体"/>
          <w:sz w:val="21"/>
          <w:szCs w:val="21"/>
        </w:rPr>
      </w:pPr>
      <w:r>
        <w:rPr>
          <w:rFonts w:hint="eastAsia" w:ascii="宋体" w:hAnsi="宋体" w:eastAsia="宋体" w:cs="宋体"/>
          <w:b/>
          <w:sz w:val="21"/>
          <w:szCs w:val="21"/>
        </w:rPr>
        <w:t>③管理规范、服务热情：</w:t>
      </w:r>
      <w:r>
        <w:rPr>
          <w:rFonts w:hint="eastAsia" w:ascii="宋体" w:hAnsi="宋体" w:eastAsia="宋体" w:cs="宋体"/>
          <w:sz w:val="21"/>
          <w:szCs w:val="21"/>
        </w:rPr>
        <w:t>制订安全保卫系列管理制度（包括秩序维护服务基本要求、秩序维护人员岗位要求、秩序维护人员的基本要求、日常工作计划与记录制度、治安管理工作要求等）；交接班制度完善，有工作及交接班记录；交接班必须在正点上班前十五分钟完成；门岗值岗时要配备统一制服，严格按军事化管理、训练，训练有素、文明值勤、言语规范，认真负责。严禁脱岗；热情回答询问，禁止与他人闲聊；协助各类会议的会场布置、接待和其它活动；保持周围环境美观。</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5"/>
        <w:rPr>
          <w:rFonts w:hint="eastAsia" w:ascii="宋体" w:hAnsi="宋体" w:eastAsia="宋体" w:cs="宋体"/>
          <w:sz w:val="21"/>
          <w:szCs w:val="21"/>
        </w:rPr>
      </w:pPr>
      <w:r>
        <w:rPr>
          <w:rFonts w:hint="eastAsia" w:ascii="宋体" w:hAnsi="宋体" w:eastAsia="宋体" w:cs="宋体"/>
          <w:b/>
          <w:sz w:val="21"/>
          <w:szCs w:val="21"/>
        </w:rPr>
        <w:t>④反应迅速、处置及时：</w:t>
      </w:r>
      <w:r>
        <w:rPr>
          <w:rFonts w:hint="eastAsia" w:ascii="宋体" w:hAnsi="宋体" w:eastAsia="宋体" w:cs="宋体"/>
          <w:sz w:val="21"/>
          <w:szCs w:val="21"/>
        </w:rPr>
        <w:t>成立紧急事件救护组织，始终处于紧急事故反应状态；建立火灾、治安、公共卫生、电梯停电等突发事件的应急救助预案，能熟练处理好各种突发事件；发现可疑动态的，立即通知巡逻执勤人员及有关方面，并按规定进行处理，保安员迅速赶赴现场观察并进行有效处置，发生紧急事件五分钟之内到达现场。</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4"/>
        <w:rPr>
          <w:rFonts w:hint="eastAsia" w:ascii="宋体" w:hAnsi="宋体" w:eastAsia="宋体" w:cs="宋体"/>
          <w:b/>
          <w:sz w:val="21"/>
          <w:szCs w:val="21"/>
        </w:rPr>
      </w:pPr>
      <w:r>
        <w:rPr>
          <w:rFonts w:hint="eastAsia" w:ascii="宋体" w:hAnsi="宋体" w:eastAsia="宋体" w:cs="宋体"/>
          <w:b/>
          <w:sz w:val="21"/>
          <w:szCs w:val="21"/>
        </w:rPr>
        <w:t>（8）消防管理要求</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5"/>
        <w:rPr>
          <w:rFonts w:hint="eastAsia" w:ascii="宋体" w:hAnsi="宋体" w:eastAsia="宋体" w:cs="宋体"/>
          <w:sz w:val="21"/>
          <w:szCs w:val="21"/>
        </w:rPr>
      </w:pPr>
      <w:r>
        <w:rPr>
          <w:rFonts w:hint="eastAsia" w:ascii="宋体" w:hAnsi="宋体" w:eastAsia="宋体" w:cs="宋体"/>
          <w:b/>
          <w:sz w:val="21"/>
          <w:szCs w:val="21"/>
        </w:rPr>
        <w:t>①消防日常管理：</w:t>
      </w:r>
      <w:r>
        <w:rPr>
          <w:rFonts w:hint="eastAsia" w:ascii="宋体" w:hAnsi="宋体" w:eastAsia="宋体" w:cs="宋体"/>
          <w:sz w:val="21"/>
          <w:szCs w:val="21"/>
        </w:rPr>
        <w:t>执行《中华人民共和国消防法》和其他有关消防法规，实行全方位的消防管理，制定严格的消防制度并抓好落实，在明显处设立消防疏散示意图，照明设施、引路标志完好，消防设备设施完好无损，保持良好工作状态，可随时启用。消防系统设施设备齐全、完好无损，可随时起用；发现情况，及时通知相关人员到达现场处理。</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5"/>
        <w:rPr>
          <w:rFonts w:hint="eastAsia" w:ascii="宋体" w:hAnsi="宋体" w:eastAsia="宋体" w:cs="宋体"/>
          <w:sz w:val="21"/>
          <w:szCs w:val="21"/>
        </w:rPr>
      </w:pPr>
      <w:r>
        <w:rPr>
          <w:rFonts w:hint="eastAsia" w:ascii="宋体" w:hAnsi="宋体" w:eastAsia="宋体" w:cs="宋体"/>
          <w:b/>
          <w:sz w:val="21"/>
          <w:szCs w:val="21"/>
        </w:rPr>
        <w:t>②加强动态巡查：</w:t>
      </w:r>
      <w:r>
        <w:rPr>
          <w:rFonts w:hint="eastAsia" w:ascii="宋体" w:hAnsi="宋体" w:eastAsia="宋体" w:cs="宋体"/>
          <w:sz w:val="21"/>
          <w:szCs w:val="21"/>
        </w:rPr>
        <w:t>定期检查消防设施，对各层消防箱、灭火器每月检查一次，及时更换、修复不符合规范要求的灭火设施。定期检测消防设施、器材的安全系数，做好检查记录，定期开展防火巡视与其他安全隐患排查。在可能危及人身安全的场所、设施、设备处，必须有明显标志设置和防范措施，及时清除消防通道违规摆放的物品，保证消防通道随时畅通，其相关的指示照明灯具配备保持齐全，无火灾安全隐患；确保无因物业管理单位责任造成的各类事故。</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5"/>
        <w:rPr>
          <w:rFonts w:hint="eastAsia" w:ascii="宋体" w:hAnsi="宋体" w:eastAsia="宋体" w:cs="宋体"/>
          <w:sz w:val="21"/>
          <w:szCs w:val="21"/>
        </w:rPr>
      </w:pPr>
      <w:r>
        <w:rPr>
          <w:rFonts w:hint="eastAsia" w:ascii="宋体" w:hAnsi="宋体" w:eastAsia="宋体" w:cs="宋体"/>
          <w:b/>
          <w:sz w:val="21"/>
          <w:szCs w:val="21"/>
        </w:rPr>
        <w:t>③重视预警管理：</w:t>
      </w:r>
      <w:r>
        <w:rPr>
          <w:rFonts w:hint="eastAsia" w:ascii="宋体" w:hAnsi="宋体" w:eastAsia="宋体" w:cs="宋体"/>
          <w:sz w:val="21"/>
          <w:szCs w:val="21"/>
        </w:rPr>
        <w:t>制订突发火灾应急方案，消防控制中心监控24小时有人值班，密切观察楼宇自动化控制系统，火灾报警联动系统、安全防范报警系统及闭路电视监控、停车场管理等各系统的运转状态，日常电视监控录像保留时间为十五天，遇特殊情况予以长期保存。定期进行消防训练，每年模拟火灾演练1次，以熟悉操作和检查消防监控设备，掌握消防设施设备的使用方法，能及时处理各种问题；同时发动采购人参与消防及其他灾害的逃生安全演练，平时物业管理方要不断宣传消防法规，防火知识，并定期邀请消防队前来举办消防知识讲座，完善自救体系。</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5"/>
        <w:rPr>
          <w:rFonts w:hint="eastAsia" w:ascii="宋体" w:hAnsi="宋体" w:eastAsia="宋体" w:cs="宋体"/>
          <w:sz w:val="21"/>
          <w:szCs w:val="21"/>
        </w:rPr>
      </w:pPr>
      <w:r>
        <w:rPr>
          <w:rFonts w:hint="eastAsia" w:ascii="宋体" w:hAnsi="宋体" w:eastAsia="宋体" w:cs="宋体"/>
          <w:b/>
          <w:sz w:val="21"/>
          <w:szCs w:val="21"/>
        </w:rPr>
        <w:t>④完善火警处理：</w:t>
      </w:r>
      <w:r>
        <w:rPr>
          <w:rFonts w:hint="eastAsia" w:ascii="宋体" w:hAnsi="宋体" w:eastAsia="宋体" w:cs="宋体"/>
          <w:sz w:val="21"/>
          <w:szCs w:val="21"/>
        </w:rPr>
        <w:t>当消防报警主机发出火警信号时，应立即通知物业经理到现场确认。一旦火警被确认后，应迅速拨通“119”火警电话，讲明火灾地点、着火楼层、燃烧物质、联系电话等情况，做好火警过程记录。并指派专人到交通路口引导消防救援车辆、消防人员到现场扑救火灾。当消防队接管消控中心指挥作战时，物业方须积极配合，做好统一指挥的协调工作。负责保护好电梯及其它主要设备，并通过相应楼层的消防广播，通知非工作人员迅速撤离火灾现场，在主要通道处设专人引导疏散，让楼内人员尽速经安全通道疏散到安全地方。监控中心值班人员将电梯迫降至一层，消防电梯进入消防状态，火灾时，人员疏散时应走消防通道，禁止乘坐电梯。火源初起时，应迅速用手提灭火器按操作方法将初火扑灭。 火势凶猛时，扑救人员应穿好消防服，听从指挥，进行扑救。如着火点的喷淋头还未动作时，应立即击碎红玻璃管，使其喷水灭火，启动排烟系统。用消火栓灭火时，将消火栓箱打开或击碎玻璃，拉出消防水带，接上带卡，打开阀门，然后击碎报警按钮红色玻璃罩，对准火源喷出水柱。火灾扑灭后，应注意对现场全面清查，防止死火复燃。</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4"/>
        <w:rPr>
          <w:rFonts w:hint="eastAsia" w:ascii="宋体" w:hAnsi="宋体" w:eastAsia="宋体" w:cs="宋体"/>
          <w:b/>
          <w:sz w:val="21"/>
          <w:szCs w:val="21"/>
        </w:rPr>
      </w:pPr>
      <w:r>
        <w:rPr>
          <w:rFonts w:hint="eastAsia" w:ascii="宋体" w:hAnsi="宋体" w:eastAsia="宋体" w:cs="宋体"/>
          <w:b/>
          <w:sz w:val="21"/>
          <w:szCs w:val="21"/>
        </w:rPr>
        <w:t>（9）车辆管理要求</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5"/>
        <w:rPr>
          <w:rFonts w:hint="eastAsia" w:ascii="宋体" w:hAnsi="宋体" w:eastAsia="宋体" w:cs="宋体"/>
          <w:sz w:val="21"/>
          <w:szCs w:val="21"/>
        </w:rPr>
      </w:pPr>
      <w:r>
        <w:rPr>
          <w:rFonts w:hint="eastAsia" w:ascii="宋体" w:hAnsi="宋体" w:eastAsia="宋体" w:cs="宋体"/>
          <w:b/>
          <w:sz w:val="21"/>
          <w:szCs w:val="21"/>
        </w:rPr>
        <w:t>①制定管理规定：</w:t>
      </w:r>
      <w:r>
        <w:rPr>
          <w:rFonts w:hint="eastAsia" w:ascii="宋体" w:hAnsi="宋体" w:eastAsia="宋体" w:cs="宋体"/>
          <w:sz w:val="21"/>
          <w:szCs w:val="21"/>
        </w:rPr>
        <w:t>制定车辆出入、行驶、停放相关管理规定。落实对进入辖区内的各种车辆行驶、停放等的管理制度，车辆进出场有检查记录。</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5"/>
        <w:rPr>
          <w:rFonts w:hint="eastAsia" w:ascii="宋体" w:hAnsi="宋体" w:eastAsia="宋体" w:cs="宋体"/>
          <w:sz w:val="21"/>
          <w:szCs w:val="21"/>
        </w:rPr>
      </w:pPr>
      <w:r>
        <w:rPr>
          <w:rFonts w:hint="eastAsia" w:ascii="宋体" w:hAnsi="宋体" w:eastAsia="宋体" w:cs="宋体"/>
          <w:b/>
          <w:sz w:val="21"/>
          <w:szCs w:val="21"/>
        </w:rPr>
        <w:t>②实施正确巡查：</w:t>
      </w:r>
      <w:r>
        <w:rPr>
          <w:rFonts w:hint="eastAsia" w:ascii="宋体" w:hAnsi="宋体" w:eastAsia="宋体" w:cs="宋体"/>
          <w:sz w:val="21"/>
          <w:szCs w:val="21"/>
        </w:rPr>
        <w:t>随时巡检地面车辆情况及周边人员动态，夜间加强巡逻，防范无关人员进入车场或接近车辆，发现异常情况及时处理并上报采购人；发现车辆异常或门窗未关及时联系车主。确保无出现违章行驶、停放及因管理责任造成的车辆损坏或丢失现象，保持辖区内的道路畅通无阻。</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5"/>
        <w:rPr>
          <w:rFonts w:hint="eastAsia" w:ascii="宋体" w:hAnsi="宋体" w:eastAsia="宋体" w:cs="宋体"/>
          <w:sz w:val="21"/>
          <w:szCs w:val="21"/>
        </w:rPr>
      </w:pPr>
      <w:r>
        <w:rPr>
          <w:rFonts w:hint="eastAsia" w:ascii="宋体" w:hAnsi="宋体" w:eastAsia="宋体" w:cs="宋体"/>
          <w:b/>
          <w:sz w:val="21"/>
          <w:szCs w:val="21"/>
        </w:rPr>
        <w:t>③实行专人引导：</w:t>
      </w:r>
      <w:r>
        <w:rPr>
          <w:rFonts w:hint="eastAsia" w:ascii="宋体" w:hAnsi="宋体" w:eastAsia="宋体" w:cs="宋体"/>
          <w:sz w:val="21"/>
          <w:szCs w:val="21"/>
        </w:rPr>
        <w:t>非机动车、摩托车停放于专用车位，做到交通顺畅，车辆按线行驶，按位停放。车辆进出高峰时段，加强巡视并在各主要出入口对进出车辆进行疏导，引导车辆安全通行、有序停放。</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5"/>
        <w:rPr>
          <w:rFonts w:hint="eastAsia" w:ascii="宋体" w:hAnsi="宋体" w:eastAsia="宋体" w:cs="宋体"/>
          <w:sz w:val="21"/>
          <w:szCs w:val="21"/>
        </w:rPr>
      </w:pPr>
      <w:r>
        <w:rPr>
          <w:rFonts w:hint="eastAsia" w:ascii="宋体" w:hAnsi="宋体" w:eastAsia="宋体" w:cs="宋体"/>
          <w:b/>
          <w:sz w:val="21"/>
          <w:szCs w:val="21"/>
        </w:rPr>
        <w:t>④强化管理手段：</w:t>
      </w:r>
      <w:r>
        <w:rPr>
          <w:rFonts w:hint="eastAsia" w:ascii="宋体" w:hAnsi="宋体" w:eastAsia="宋体" w:cs="宋体"/>
          <w:sz w:val="21"/>
          <w:szCs w:val="21"/>
        </w:rPr>
        <w:t>根据项目特点，规划车辆通行线路，道路、行车路线、停放点设置的提示或警示标志醒目、齐全、完好。</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4"/>
        <w:rPr>
          <w:rFonts w:hint="eastAsia" w:ascii="宋体" w:hAnsi="宋体" w:eastAsia="宋体" w:cs="宋体"/>
          <w:b/>
          <w:sz w:val="21"/>
          <w:szCs w:val="21"/>
        </w:rPr>
      </w:pPr>
      <w:r>
        <w:rPr>
          <w:rFonts w:hint="eastAsia" w:ascii="宋体" w:hAnsi="宋体" w:eastAsia="宋体" w:cs="宋体"/>
          <w:b/>
          <w:sz w:val="21"/>
          <w:szCs w:val="21"/>
        </w:rPr>
        <w:t>（10）档案的建立与管理要求</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档案资料是物业管理的重要资源，建立完善的档案并进行科学的管理是十分必要的。中标人必须在接管仙游县税务局各办公场所物业管理的同时，对区域内所有物业管理档案进行接管。在原来档案的基础上，进行科学分类，并不断进行补充完善，并应用计算机实施规范化管理，从而建立完整的资料档案库。</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5"/>
        <w:rPr>
          <w:rFonts w:hint="eastAsia" w:ascii="宋体" w:hAnsi="宋体" w:eastAsia="宋体" w:cs="宋体"/>
          <w:b/>
          <w:sz w:val="21"/>
          <w:szCs w:val="21"/>
        </w:rPr>
      </w:pPr>
      <w:r>
        <w:rPr>
          <w:rFonts w:hint="eastAsia" w:ascii="宋体" w:hAnsi="宋体" w:eastAsia="宋体" w:cs="宋体"/>
          <w:b/>
          <w:sz w:val="21"/>
          <w:szCs w:val="21"/>
        </w:rPr>
        <w:t>①档案的接管</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成立管理中心档案资料室，专门负责区域内档案的接管与管理工作。</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制定档案接管与管理的工作流程，档案资料管理规章制度，档案资料管理员（兼）岗位责任制。</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5"/>
        <w:rPr>
          <w:rFonts w:hint="eastAsia" w:ascii="宋体" w:hAnsi="宋体" w:eastAsia="宋体" w:cs="宋体"/>
          <w:b/>
          <w:sz w:val="21"/>
          <w:szCs w:val="21"/>
        </w:rPr>
      </w:pPr>
      <w:r>
        <w:rPr>
          <w:rFonts w:hint="eastAsia" w:ascii="宋体" w:hAnsi="宋体" w:eastAsia="宋体" w:cs="宋体"/>
          <w:b/>
          <w:sz w:val="21"/>
          <w:szCs w:val="21"/>
        </w:rPr>
        <w:t>②档案资料分类</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根据档案内容分别建立健全以下各类档案：</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6"/>
        <w:rPr>
          <w:rFonts w:hint="eastAsia" w:ascii="宋体" w:hAnsi="宋体" w:eastAsia="宋体" w:cs="宋体"/>
          <w:sz w:val="21"/>
          <w:szCs w:val="21"/>
        </w:rPr>
      </w:pPr>
      <w:r>
        <w:rPr>
          <w:rFonts w:hint="eastAsia" w:ascii="宋体" w:hAnsi="宋体" w:eastAsia="宋体" w:cs="宋体"/>
          <w:b/>
          <w:sz w:val="21"/>
          <w:szCs w:val="21"/>
        </w:rPr>
        <w:t>A.物业竣工验收档案：</w:t>
      </w:r>
      <w:r>
        <w:rPr>
          <w:rFonts w:hint="eastAsia" w:ascii="宋体" w:hAnsi="宋体" w:eastAsia="宋体" w:cs="宋体"/>
          <w:sz w:val="21"/>
          <w:szCs w:val="21"/>
        </w:rPr>
        <w:t>其中包括：结构、建筑、电气、消防、给排水、中央空调系统等竣工图纸、设施、设备安装及验收资料；</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6"/>
        <w:rPr>
          <w:rFonts w:hint="eastAsia" w:ascii="宋体" w:hAnsi="宋体" w:eastAsia="宋体" w:cs="宋体"/>
          <w:sz w:val="21"/>
          <w:szCs w:val="21"/>
        </w:rPr>
      </w:pPr>
      <w:r>
        <w:rPr>
          <w:rFonts w:hint="eastAsia" w:ascii="宋体" w:hAnsi="宋体" w:eastAsia="宋体" w:cs="宋体"/>
          <w:b/>
          <w:sz w:val="21"/>
          <w:szCs w:val="21"/>
        </w:rPr>
        <w:t>B.日常管理档案：</w:t>
      </w:r>
      <w:r>
        <w:rPr>
          <w:rFonts w:hint="eastAsia" w:ascii="宋体" w:hAnsi="宋体" w:eastAsia="宋体" w:cs="宋体"/>
          <w:sz w:val="21"/>
          <w:szCs w:val="21"/>
        </w:rPr>
        <w:t>其中包括装修档案、公共设施设备档案、各种往来信函及文件、服务回访表、重大事件记录等；</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6"/>
        <w:rPr>
          <w:rFonts w:hint="eastAsia" w:ascii="宋体" w:hAnsi="宋体" w:eastAsia="宋体" w:cs="宋体"/>
          <w:sz w:val="21"/>
          <w:szCs w:val="21"/>
        </w:rPr>
      </w:pPr>
      <w:r>
        <w:rPr>
          <w:rFonts w:hint="eastAsia" w:ascii="宋体" w:hAnsi="宋体" w:eastAsia="宋体" w:cs="宋体"/>
          <w:b/>
          <w:sz w:val="21"/>
          <w:szCs w:val="21"/>
        </w:rPr>
        <w:t>C.设备档案：</w:t>
      </w:r>
      <w:r>
        <w:rPr>
          <w:rFonts w:hint="eastAsia" w:ascii="宋体" w:hAnsi="宋体" w:eastAsia="宋体" w:cs="宋体"/>
          <w:sz w:val="21"/>
          <w:szCs w:val="21"/>
        </w:rPr>
        <w:t>其中包括水电、空调、发电机组、电梯安防、消控设备和高低压等各种设备的日常运行记录资料及水电表抄划度数记录资料等；</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6"/>
        <w:rPr>
          <w:rFonts w:hint="eastAsia" w:ascii="宋体" w:hAnsi="宋体" w:eastAsia="宋体" w:cs="宋体"/>
          <w:sz w:val="21"/>
          <w:szCs w:val="21"/>
        </w:rPr>
      </w:pPr>
      <w:r>
        <w:rPr>
          <w:rFonts w:hint="eastAsia" w:ascii="宋体" w:hAnsi="宋体" w:eastAsia="宋体" w:cs="宋体"/>
          <w:b/>
          <w:sz w:val="21"/>
          <w:szCs w:val="21"/>
        </w:rPr>
        <w:t>D.值班记录档案：</w:t>
      </w:r>
      <w:r>
        <w:rPr>
          <w:rFonts w:hint="eastAsia" w:ascii="宋体" w:hAnsi="宋体" w:eastAsia="宋体" w:cs="宋体"/>
          <w:sz w:val="21"/>
          <w:szCs w:val="21"/>
        </w:rPr>
        <w:t>包括：安全保卫、消控室、外来人员出入登记、物品出入登记、车辆出入登记等。</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5"/>
        <w:rPr>
          <w:rFonts w:hint="eastAsia" w:ascii="宋体" w:hAnsi="宋体" w:eastAsia="宋体" w:cs="宋体"/>
          <w:b/>
          <w:sz w:val="21"/>
          <w:szCs w:val="21"/>
        </w:rPr>
      </w:pPr>
      <w:r>
        <w:rPr>
          <w:rFonts w:hint="eastAsia" w:ascii="宋体" w:hAnsi="宋体" w:eastAsia="宋体" w:cs="宋体"/>
          <w:b/>
          <w:sz w:val="21"/>
          <w:szCs w:val="21"/>
        </w:rPr>
        <w:t>③档案的管理</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充分运用计算机技术进行管理。</w:t>
      </w:r>
      <w:r>
        <w:rPr>
          <w:rFonts w:hint="eastAsia" w:ascii="宋体" w:hAnsi="宋体" w:eastAsia="宋体" w:cs="宋体"/>
          <w:sz w:val="21"/>
          <w:szCs w:val="21"/>
        </w:rPr>
        <w:t>在现代信息社会，广泛地应用计算机，参与各行业、各方面的工作，已成为现代化管理的重要手段。在档案管理上，充分发挥计算机所具有的数据处理快、贮存信息量大、安全可靠、易于保存、方便使用等优势，实现档案管理的科学化和现代化。</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采用计算机贮存与原始文书档案双轨制，实现档案资料贮存方式多元化。</w:t>
      </w:r>
      <w:r>
        <w:rPr>
          <w:rFonts w:hint="eastAsia" w:ascii="宋体" w:hAnsi="宋体" w:eastAsia="宋体" w:cs="宋体"/>
          <w:sz w:val="21"/>
          <w:szCs w:val="21"/>
        </w:rPr>
        <w:t>尽可能把其他形式的档案资料转化为电脑磁盘贮存，以利于保存、查找和利用。同时，运用录像带、录音带、胶卷、照片、图纸、图表、幻灯片等多种形式贮存信息，使抽象的档案资料具体、形象化，更易于运用与接受。</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做到档案组卷分类科学化。</w:t>
      </w:r>
      <w:r>
        <w:rPr>
          <w:rFonts w:hint="eastAsia" w:ascii="宋体" w:hAnsi="宋体" w:eastAsia="宋体" w:cs="宋体"/>
          <w:sz w:val="21"/>
          <w:szCs w:val="21"/>
        </w:rPr>
        <w:t>编制统一的档案组卷分类说明书，规定应按部门分类，以内容分类，按同一年度，同一保存期限，同一保密程度的顺序进行组卷，逐一编号、登记造册、编辑目录，分柜保存。</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eastAsia" w:ascii="宋体" w:hAnsi="宋体" w:eastAsia="宋体" w:cs="宋体"/>
          <w:sz w:val="21"/>
          <w:szCs w:val="21"/>
        </w:rPr>
      </w:pPr>
      <w:r>
        <w:rPr>
          <w:rFonts w:hint="eastAsia" w:ascii="宋体" w:hAnsi="宋体" w:eastAsia="宋体" w:cs="宋体"/>
          <w:b/>
          <w:sz w:val="21"/>
          <w:szCs w:val="21"/>
        </w:rPr>
        <w:t>加强档案的安全、保密工作。应符合防盗、防火、防虫、防鼠、防潮的要求。</w:t>
      </w:r>
      <w:r>
        <w:rPr>
          <w:rFonts w:hint="eastAsia" w:ascii="宋体" w:hAnsi="宋体" w:eastAsia="宋体" w:cs="宋体"/>
          <w:sz w:val="21"/>
          <w:szCs w:val="21"/>
        </w:rPr>
        <w:t>贯彻执行国家保密法，管理中心部分档案按其泄露、遗失会使采购人、管理中心利益受到重大、较大损失和不良影响分为绝密、机密、秘密三级，其他为普通档案，不同密级的档案在保管和运用方面将区别对待。</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4"/>
        <w:rPr>
          <w:rFonts w:hint="eastAsia" w:ascii="宋体" w:hAnsi="宋体" w:eastAsia="宋体" w:cs="宋体"/>
          <w:b/>
          <w:bCs/>
          <w:sz w:val="21"/>
          <w:szCs w:val="21"/>
        </w:rPr>
      </w:pPr>
      <w:r>
        <w:rPr>
          <w:rFonts w:hint="eastAsia" w:ascii="宋体" w:hAnsi="宋体" w:eastAsia="宋体" w:cs="宋体"/>
          <w:b/>
          <w:bCs/>
          <w:sz w:val="21"/>
          <w:szCs w:val="21"/>
        </w:rPr>
        <w:t>（11）应急保障措施</w:t>
      </w:r>
    </w:p>
    <w:p>
      <w:pPr>
        <w:pStyle w:val="12"/>
        <w:keepNext w:val="0"/>
        <w:keepLines w:val="0"/>
        <w:pageBreakBefore w:val="0"/>
        <w:kinsoku/>
        <w:wordWrap/>
        <w:overflowPunct/>
        <w:topLinePunct w:val="0"/>
        <w:autoSpaceDN/>
        <w:bidi w:val="0"/>
        <w:adjustRightInd w:val="0"/>
        <w:snapToGrid w:val="0"/>
        <w:spacing w:before="0" w:beforeAutospacing="0" w:after="0" w:afterAutospacing="0" w:line="360" w:lineRule="auto"/>
        <w:ind w:firstLine="420" w:firstLineChars="200"/>
        <w:textAlignment w:val="auto"/>
        <w:outlineLvl w:val="9"/>
        <w:rPr>
          <w:rFonts w:hint="eastAsia" w:ascii="宋体" w:hAnsi="宋体" w:eastAsia="宋体" w:cs="宋体"/>
          <w:bCs/>
          <w:sz w:val="21"/>
          <w:szCs w:val="21"/>
        </w:rPr>
      </w:pPr>
      <w:r>
        <w:rPr>
          <w:rFonts w:hint="eastAsia" w:ascii="宋体" w:hAnsi="宋体" w:eastAsia="宋体" w:cs="宋体"/>
          <w:bCs/>
          <w:sz w:val="21"/>
          <w:szCs w:val="21"/>
        </w:rPr>
        <w:t>制定应急预案，能够在发生突发事件时迅速、果断进行应急处理及响应，保护人身财产安全。适用范围：突发事件、治安事件、设备设施故障、水电系统发生故障、水浸、火灾报警</w:t>
      </w:r>
      <w:r>
        <w:rPr>
          <w:rFonts w:hint="eastAsia" w:ascii="宋体" w:hAnsi="宋体" w:eastAsia="宋体" w:cs="宋体"/>
          <w:spacing w:val="5"/>
          <w:sz w:val="21"/>
          <w:szCs w:val="21"/>
        </w:rPr>
        <w:t>应急处置预案</w:t>
      </w:r>
      <w:r>
        <w:rPr>
          <w:rFonts w:hint="eastAsia" w:ascii="宋体" w:hAnsi="宋体" w:eastAsia="宋体" w:cs="宋体"/>
          <w:bCs/>
          <w:sz w:val="21"/>
          <w:szCs w:val="21"/>
        </w:rPr>
        <w:t>、</w:t>
      </w:r>
      <w:r>
        <w:rPr>
          <w:rFonts w:hint="eastAsia" w:ascii="宋体" w:hAnsi="宋体" w:eastAsia="宋体" w:cs="宋体"/>
          <w:spacing w:val="5"/>
          <w:sz w:val="21"/>
          <w:szCs w:val="21"/>
        </w:rPr>
        <w:t>台风、地震等</w:t>
      </w:r>
      <w:r>
        <w:rPr>
          <w:rFonts w:hint="eastAsia" w:ascii="宋体" w:hAnsi="宋体" w:eastAsia="宋体" w:cs="宋体"/>
          <w:bCs/>
          <w:sz w:val="21"/>
          <w:szCs w:val="21"/>
        </w:rPr>
        <w:t>自然灾害等异常情况应急预案。</w:t>
      </w:r>
    </w:p>
    <w:p>
      <w:pPr>
        <w:pStyle w:val="12"/>
        <w:keepNext w:val="0"/>
        <w:keepLines w:val="0"/>
        <w:pageBreakBefore w:val="0"/>
        <w:kinsoku/>
        <w:wordWrap/>
        <w:overflowPunct/>
        <w:topLinePunct w:val="0"/>
        <w:autoSpaceDN/>
        <w:bidi w:val="0"/>
        <w:adjustRightInd w:val="0"/>
        <w:snapToGrid w:val="0"/>
        <w:spacing w:before="0" w:beforeAutospacing="0" w:after="0" w:afterAutospacing="0" w:line="360" w:lineRule="auto"/>
        <w:ind w:firstLine="441" w:firstLineChars="200"/>
        <w:textAlignment w:val="auto"/>
        <w:outlineLvl w:val="5"/>
        <w:rPr>
          <w:rFonts w:hint="eastAsia" w:ascii="宋体" w:hAnsi="宋体" w:eastAsia="宋体" w:cs="宋体"/>
          <w:b/>
          <w:spacing w:val="5"/>
          <w:sz w:val="21"/>
          <w:szCs w:val="21"/>
        </w:rPr>
      </w:pPr>
      <w:r>
        <w:rPr>
          <w:rFonts w:hint="eastAsia" w:ascii="宋体" w:hAnsi="宋体" w:eastAsia="宋体" w:cs="宋体"/>
          <w:b/>
          <w:spacing w:val="5"/>
          <w:sz w:val="21"/>
          <w:szCs w:val="21"/>
        </w:rPr>
        <w:t>①制定各种应急处置预案</w:t>
      </w:r>
    </w:p>
    <w:p>
      <w:pPr>
        <w:pStyle w:val="12"/>
        <w:keepNext w:val="0"/>
        <w:keepLines w:val="0"/>
        <w:pageBreakBefore w:val="0"/>
        <w:kinsoku/>
        <w:wordWrap/>
        <w:overflowPunct/>
        <w:topLinePunct w:val="0"/>
        <w:autoSpaceDN/>
        <w:bidi w:val="0"/>
        <w:adjustRightInd w:val="0"/>
        <w:snapToGrid w:val="0"/>
        <w:spacing w:before="0" w:beforeAutospacing="0" w:after="0" w:afterAutospacing="0" w:line="360" w:lineRule="auto"/>
        <w:ind w:firstLine="440" w:firstLineChars="200"/>
        <w:textAlignment w:val="auto"/>
        <w:rPr>
          <w:rFonts w:hint="eastAsia" w:ascii="宋体" w:hAnsi="宋体" w:eastAsia="宋体" w:cs="宋体"/>
          <w:spacing w:val="5"/>
          <w:sz w:val="21"/>
          <w:szCs w:val="21"/>
        </w:rPr>
      </w:pPr>
      <w:r>
        <w:rPr>
          <w:rFonts w:hint="eastAsia" w:ascii="宋体" w:hAnsi="宋体" w:eastAsia="宋体" w:cs="宋体"/>
          <w:spacing w:val="5"/>
          <w:sz w:val="21"/>
          <w:szCs w:val="21"/>
        </w:rPr>
        <w:t>制定台风、地震等自然灾害应急处置预案。</w:t>
      </w:r>
    </w:p>
    <w:p>
      <w:pPr>
        <w:pStyle w:val="12"/>
        <w:keepNext w:val="0"/>
        <w:keepLines w:val="0"/>
        <w:pageBreakBefore w:val="0"/>
        <w:kinsoku/>
        <w:wordWrap/>
        <w:overflowPunct/>
        <w:topLinePunct w:val="0"/>
        <w:autoSpaceDN/>
        <w:bidi w:val="0"/>
        <w:adjustRightInd w:val="0"/>
        <w:snapToGrid w:val="0"/>
        <w:spacing w:before="0" w:beforeAutospacing="0" w:after="0" w:afterAutospacing="0" w:line="360" w:lineRule="auto"/>
        <w:ind w:firstLine="440" w:firstLineChars="200"/>
        <w:textAlignment w:val="auto"/>
        <w:rPr>
          <w:rFonts w:hint="eastAsia" w:ascii="宋体" w:hAnsi="宋体" w:eastAsia="宋体" w:cs="宋体"/>
          <w:spacing w:val="5"/>
          <w:sz w:val="21"/>
          <w:szCs w:val="21"/>
        </w:rPr>
      </w:pPr>
      <w:r>
        <w:rPr>
          <w:rFonts w:hint="eastAsia" w:ascii="宋体" w:hAnsi="宋体" w:eastAsia="宋体" w:cs="宋体"/>
          <w:spacing w:val="5"/>
          <w:sz w:val="21"/>
          <w:szCs w:val="21"/>
        </w:rPr>
        <w:t>制定火灾应急处置预案。</w:t>
      </w:r>
    </w:p>
    <w:p>
      <w:pPr>
        <w:pStyle w:val="12"/>
        <w:keepNext w:val="0"/>
        <w:keepLines w:val="0"/>
        <w:pageBreakBefore w:val="0"/>
        <w:kinsoku/>
        <w:wordWrap/>
        <w:overflowPunct/>
        <w:topLinePunct w:val="0"/>
        <w:autoSpaceDN/>
        <w:bidi w:val="0"/>
        <w:adjustRightInd w:val="0"/>
        <w:snapToGrid w:val="0"/>
        <w:spacing w:before="0" w:beforeAutospacing="0" w:after="0" w:afterAutospacing="0" w:line="360" w:lineRule="auto"/>
        <w:ind w:firstLine="440" w:firstLineChars="200"/>
        <w:textAlignment w:val="auto"/>
        <w:rPr>
          <w:rFonts w:hint="eastAsia" w:ascii="宋体" w:hAnsi="宋体" w:eastAsia="宋体" w:cs="宋体"/>
          <w:spacing w:val="5"/>
          <w:sz w:val="21"/>
          <w:szCs w:val="21"/>
        </w:rPr>
      </w:pPr>
      <w:r>
        <w:rPr>
          <w:rFonts w:hint="eastAsia" w:ascii="宋体" w:hAnsi="宋体" w:eastAsia="宋体" w:cs="宋体"/>
          <w:spacing w:val="5"/>
          <w:sz w:val="21"/>
          <w:szCs w:val="21"/>
        </w:rPr>
        <w:t>制定停电、停水应急处置预案。</w:t>
      </w:r>
    </w:p>
    <w:p>
      <w:pPr>
        <w:pStyle w:val="12"/>
        <w:keepNext w:val="0"/>
        <w:keepLines w:val="0"/>
        <w:pageBreakBefore w:val="0"/>
        <w:kinsoku/>
        <w:wordWrap/>
        <w:overflowPunct/>
        <w:topLinePunct w:val="0"/>
        <w:autoSpaceDN/>
        <w:bidi w:val="0"/>
        <w:adjustRightInd w:val="0"/>
        <w:snapToGrid w:val="0"/>
        <w:spacing w:before="0" w:beforeAutospacing="0" w:after="0" w:afterAutospacing="0" w:line="360" w:lineRule="auto"/>
        <w:ind w:firstLine="440" w:firstLineChars="200"/>
        <w:textAlignment w:val="auto"/>
        <w:rPr>
          <w:rFonts w:hint="eastAsia" w:ascii="宋体" w:hAnsi="宋体" w:eastAsia="宋体" w:cs="宋体"/>
          <w:spacing w:val="5"/>
          <w:sz w:val="21"/>
          <w:szCs w:val="21"/>
        </w:rPr>
      </w:pPr>
      <w:r>
        <w:rPr>
          <w:rFonts w:hint="eastAsia" w:ascii="宋体" w:hAnsi="宋体" w:eastAsia="宋体" w:cs="宋体"/>
          <w:spacing w:val="5"/>
          <w:sz w:val="21"/>
          <w:szCs w:val="21"/>
        </w:rPr>
        <w:t>制定治安刑事案件应急处置预案。</w:t>
      </w:r>
    </w:p>
    <w:p>
      <w:pPr>
        <w:pStyle w:val="12"/>
        <w:keepNext w:val="0"/>
        <w:keepLines w:val="0"/>
        <w:pageBreakBefore w:val="0"/>
        <w:kinsoku/>
        <w:wordWrap/>
        <w:overflowPunct/>
        <w:topLinePunct w:val="0"/>
        <w:autoSpaceDN/>
        <w:bidi w:val="0"/>
        <w:adjustRightInd w:val="0"/>
        <w:snapToGrid w:val="0"/>
        <w:spacing w:before="0" w:beforeAutospacing="0" w:after="0" w:afterAutospacing="0" w:line="360" w:lineRule="auto"/>
        <w:ind w:firstLine="440" w:firstLineChars="200"/>
        <w:textAlignment w:val="auto"/>
        <w:rPr>
          <w:rFonts w:hint="eastAsia" w:ascii="宋体" w:hAnsi="宋体" w:eastAsia="宋体" w:cs="宋体"/>
          <w:spacing w:val="5"/>
          <w:sz w:val="21"/>
          <w:szCs w:val="21"/>
        </w:rPr>
      </w:pPr>
      <w:r>
        <w:rPr>
          <w:rFonts w:hint="eastAsia" w:ascii="宋体" w:hAnsi="宋体" w:eastAsia="宋体" w:cs="宋体"/>
          <w:spacing w:val="5"/>
          <w:sz w:val="21"/>
          <w:szCs w:val="21"/>
        </w:rPr>
        <w:t>制定防洪防汛应急预案。</w:t>
      </w:r>
    </w:p>
    <w:p>
      <w:pPr>
        <w:pStyle w:val="12"/>
        <w:keepNext w:val="0"/>
        <w:keepLines w:val="0"/>
        <w:pageBreakBefore w:val="0"/>
        <w:kinsoku/>
        <w:wordWrap/>
        <w:overflowPunct/>
        <w:topLinePunct w:val="0"/>
        <w:autoSpaceDN/>
        <w:bidi w:val="0"/>
        <w:adjustRightInd w:val="0"/>
        <w:snapToGrid w:val="0"/>
        <w:spacing w:before="0" w:beforeAutospacing="0" w:after="0" w:afterAutospacing="0" w:line="360" w:lineRule="auto"/>
        <w:ind w:firstLine="440" w:firstLineChars="200"/>
        <w:textAlignment w:val="auto"/>
        <w:rPr>
          <w:rFonts w:hint="eastAsia" w:ascii="宋体" w:hAnsi="宋体" w:eastAsia="宋体" w:cs="宋体"/>
          <w:spacing w:val="5"/>
          <w:sz w:val="21"/>
          <w:szCs w:val="21"/>
        </w:rPr>
      </w:pPr>
      <w:r>
        <w:rPr>
          <w:rFonts w:hint="eastAsia" w:ascii="宋体" w:hAnsi="宋体" w:eastAsia="宋体" w:cs="宋体"/>
          <w:spacing w:val="5"/>
          <w:sz w:val="21"/>
          <w:szCs w:val="21"/>
        </w:rPr>
        <w:t>制定电梯应急处置预案。</w:t>
      </w:r>
    </w:p>
    <w:p>
      <w:pPr>
        <w:pStyle w:val="12"/>
        <w:keepNext w:val="0"/>
        <w:keepLines w:val="0"/>
        <w:pageBreakBefore w:val="0"/>
        <w:kinsoku/>
        <w:wordWrap/>
        <w:overflowPunct/>
        <w:topLinePunct w:val="0"/>
        <w:autoSpaceDN/>
        <w:bidi w:val="0"/>
        <w:adjustRightInd w:val="0"/>
        <w:snapToGrid w:val="0"/>
        <w:spacing w:before="0" w:beforeAutospacing="0" w:after="0" w:afterAutospacing="0" w:line="360" w:lineRule="auto"/>
        <w:ind w:firstLine="440" w:firstLineChars="200"/>
        <w:textAlignment w:val="auto"/>
        <w:rPr>
          <w:rFonts w:hint="eastAsia" w:ascii="宋体" w:hAnsi="宋体" w:eastAsia="宋体" w:cs="宋体"/>
          <w:spacing w:val="5"/>
          <w:sz w:val="21"/>
          <w:szCs w:val="21"/>
        </w:rPr>
      </w:pPr>
      <w:r>
        <w:rPr>
          <w:rFonts w:hint="eastAsia" w:ascii="宋体" w:hAnsi="宋体" w:eastAsia="宋体" w:cs="宋体"/>
          <w:spacing w:val="5"/>
          <w:sz w:val="21"/>
          <w:szCs w:val="21"/>
        </w:rPr>
        <w:t>制定疫情应急处置预案。</w:t>
      </w:r>
    </w:p>
    <w:p>
      <w:pPr>
        <w:pStyle w:val="12"/>
        <w:keepNext w:val="0"/>
        <w:keepLines w:val="0"/>
        <w:pageBreakBefore w:val="0"/>
        <w:kinsoku/>
        <w:wordWrap/>
        <w:overflowPunct/>
        <w:topLinePunct w:val="0"/>
        <w:autoSpaceDN/>
        <w:bidi w:val="0"/>
        <w:adjustRightInd w:val="0"/>
        <w:snapToGrid w:val="0"/>
        <w:spacing w:before="0" w:beforeAutospacing="0" w:after="0" w:afterAutospacing="0" w:line="360" w:lineRule="auto"/>
        <w:ind w:firstLine="440" w:firstLineChars="200"/>
        <w:textAlignment w:val="auto"/>
        <w:rPr>
          <w:rFonts w:hint="eastAsia" w:ascii="宋体" w:hAnsi="宋体" w:eastAsia="宋体" w:cs="宋体"/>
          <w:spacing w:val="5"/>
          <w:sz w:val="21"/>
          <w:szCs w:val="21"/>
        </w:rPr>
      </w:pPr>
      <w:r>
        <w:rPr>
          <w:rFonts w:hint="eastAsia" w:ascii="宋体" w:hAnsi="宋体" w:eastAsia="宋体" w:cs="宋体"/>
          <w:spacing w:val="5"/>
          <w:sz w:val="21"/>
          <w:szCs w:val="21"/>
        </w:rPr>
        <w:t>其它突发应急预案。</w:t>
      </w:r>
    </w:p>
    <w:p>
      <w:pPr>
        <w:keepNext w:val="0"/>
        <w:keepLines w:val="0"/>
        <w:pageBreakBefore w:val="0"/>
        <w:kinsoku/>
        <w:wordWrap/>
        <w:overflowPunct/>
        <w:topLinePunct w:val="0"/>
        <w:autoSpaceDN/>
        <w:bidi w:val="0"/>
        <w:adjustRightInd w:val="0"/>
        <w:snapToGrid w:val="0"/>
        <w:spacing w:beforeAutospacing="0" w:afterAutospacing="0" w:line="360" w:lineRule="auto"/>
        <w:ind w:firstLine="421" w:firstLineChars="200"/>
        <w:jc w:val="left"/>
        <w:textAlignment w:val="auto"/>
        <w:outlineLvl w:val="2"/>
        <w:rPr>
          <w:rFonts w:hint="eastAsia" w:ascii="宋体" w:hAnsi="宋体" w:eastAsia="宋体" w:cs="宋体"/>
          <w:b/>
          <w:bCs/>
          <w:sz w:val="21"/>
          <w:szCs w:val="21"/>
        </w:rPr>
      </w:pPr>
      <w:r>
        <w:rPr>
          <w:rFonts w:hint="eastAsia" w:ascii="宋体" w:hAnsi="宋体" w:eastAsia="宋体" w:cs="宋体"/>
          <w:b/>
          <w:bCs/>
          <w:sz w:val="21"/>
          <w:szCs w:val="21"/>
        </w:rPr>
        <w:t>（二）服务期限要求</w:t>
      </w:r>
    </w:p>
    <w:p>
      <w:pPr>
        <w:keepNext w:val="0"/>
        <w:keepLines w:val="0"/>
        <w:pageBreakBefore w:val="0"/>
        <w:kinsoku/>
        <w:wordWrap/>
        <w:overflowPunct/>
        <w:topLinePunct w:val="0"/>
        <w:autoSpaceDN/>
        <w:bidi w:val="0"/>
        <w:adjustRightInd w:val="0"/>
        <w:snapToGrid w:val="0"/>
        <w:spacing w:beforeAutospacing="0" w:afterAutospacing="0"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合同生效之日起2年（一年一签）。</w:t>
      </w:r>
    </w:p>
    <w:p>
      <w:pPr>
        <w:pStyle w:val="60"/>
        <w:keepNext w:val="0"/>
        <w:keepLines w:val="0"/>
        <w:pageBreakBefore w:val="0"/>
        <w:numPr>
          <w:ilvl w:val="0"/>
          <w:numId w:val="2"/>
        </w:numPr>
        <w:kinsoku/>
        <w:wordWrap/>
        <w:overflowPunct/>
        <w:topLinePunct w:val="0"/>
        <w:autoSpaceDN/>
        <w:bidi w:val="0"/>
        <w:spacing w:beforeAutospacing="0" w:afterLines="0" w:afterAutospacing="0" w:line="360" w:lineRule="auto"/>
        <w:ind w:firstLine="562"/>
        <w:textAlignment w:val="auto"/>
        <w:outlineLvl w:val="2"/>
        <w:rPr>
          <w:rFonts w:hint="eastAsia" w:ascii="宋体" w:hAnsi="宋体" w:eastAsia="宋体" w:cs="宋体"/>
          <w:b/>
          <w:bCs/>
          <w:snapToGrid w:val="0"/>
          <w:sz w:val="21"/>
          <w:szCs w:val="21"/>
        </w:rPr>
      </w:pPr>
      <w:r>
        <w:rPr>
          <w:rFonts w:hint="eastAsia" w:ascii="宋体" w:hAnsi="宋体" w:eastAsia="宋体" w:cs="宋体"/>
          <w:b/>
          <w:bCs/>
          <w:snapToGrid w:val="0"/>
          <w:sz w:val="21"/>
          <w:szCs w:val="21"/>
        </w:rPr>
        <w:t>服务方式要求</w:t>
      </w:r>
    </w:p>
    <w:p>
      <w:pPr>
        <w:pStyle w:val="60"/>
        <w:keepNext w:val="0"/>
        <w:keepLines w:val="0"/>
        <w:pageBreakBefore w:val="0"/>
        <w:kinsoku/>
        <w:wordWrap/>
        <w:overflowPunct/>
        <w:topLinePunct w:val="0"/>
        <w:autoSpaceDN/>
        <w:bidi w:val="0"/>
        <w:spacing w:beforeAutospacing="0" w:afterLines="0" w:afterAutospacing="0" w:line="360" w:lineRule="auto"/>
        <w:ind w:firstLine="560"/>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驻场服务。</w:t>
      </w:r>
    </w:p>
    <w:p>
      <w:pPr>
        <w:keepNext w:val="0"/>
        <w:keepLines w:val="0"/>
        <w:pageBreakBefore w:val="0"/>
        <w:kinsoku/>
        <w:wordWrap/>
        <w:overflowPunct/>
        <w:topLinePunct w:val="0"/>
        <w:autoSpaceDN/>
        <w:bidi w:val="0"/>
        <w:adjustRightInd w:val="0"/>
        <w:snapToGrid w:val="0"/>
        <w:spacing w:beforeAutospacing="0" w:afterAutospacing="0" w:line="360" w:lineRule="auto"/>
        <w:ind w:firstLine="421" w:firstLineChars="200"/>
        <w:jc w:val="left"/>
        <w:textAlignment w:val="auto"/>
        <w:outlineLvl w:val="2"/>
        <w:rPr>
          <w:rFonts w:hint="eastAsia" w:ascii="宋体" w:hAnsi="宋体" w:eastAsia="宋体" w:cs="宋体"/>
          <w:b/>
          <w:bCs/>
          <w:sz w:val="21"/>
          <w:szCs w:val="21"/>
        </w:rPr>
      </w:pPr>
      <w:r>
        <w:rPr>
          <w:rFonts w:hint="eastAsia" w:ascii="宋体" w:hAnsi="宋体" w:eastAsia="宋体" w:cs="宋体"/>
          <w:b/>
          <w:bCs/>
          <w:sz w:val="21"/>
          <w:szCs w:val="21"/>
        </w:rPr>
        <w:t>（四）服务人员要求</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队伍素质优良：</w:t>
      </w:r>
      <w:r>
        <w:rPr>
          <w:rFonts w:hint="eastAsia" w:ascii="宋体" w:hAnsi="宋体" w:eastAsia="宋体" w:cs="宋体"/>
          <w:sz w:val="21"/>
          <w:szCs w:val="21"/>
        </w:rPr>
        <w:t>中标人的主要负责人和业务人员必须政治面貌清白，无劣迹，无犯罪前科。各类人员应熟悉物业情况和本岗位的责任，服务主动热情，行为规范，严谨敬业，遵守职业道德规范和物业管理行业规范要求。在确保采购人需求满足的前提下，本项目要求配备各专业人员19名（必须有中标人授权委托文件并经采购人审核把关）。中标人单位需按照国家法律法规，为派驻服务方的从业人员缴纳“五险一金”（即：社会养老保险金、社会失业保险金、职工医疗保险、工伤保险、生育保险、住房公积金）且向采购人报备核查。</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其中：</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1.物业管理现场负责人（物业经理）1名。男性60周岁以下，女性50周以下要求受过物业管理专</w:t>
      </w:r>
      <w:r>
        <w:rPr>
          <w:rFonts w:hint="eastAsia" w:ascii="宋体" w:hAnsi="宋体" w:eastAsia="宋体" w:cs="宋体"/>
          <w:sz w:val="21"/>
          <w:szCs w:val="21"/>
          <w:highlight w:val="none"/>
        </w:rPr>
        <w:t>业培训并取得相应证书，有</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年以上相关职务管理经验，持有消防</w:t>
      </w:r>
      <w:r>
        <w:rPr>
          <w:rFonts w:hint="eastAsia" w:ascii="宋体" w:hAnsi="宋体" w:eastAsia="宋体" w:cs="宋体"/>
          <w:sz w:val="21"/>
          <w:szCs w:val="21"/>
        </w:rPr>
        <w:t>设施操作证，具有较高的政治思想素质和服务水平，善于沟通协调，能服从采购人管理。</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保安人员12名（保安实行24小时值班制度，县局机关3人，鲤南办公区4人，鲤城分局2人，榜头分局1人，郊尾分局1人，枫亭分局1人）要求男性。其中：设有入口大门门房保安岗、大厅岗，监控室值班岗（必须24小时值班）。保安队长具有较高的政治思想素质；须是持有保安证，55周岁以下、2年以上物业安防管理工作经验；其他保安队员入驻期间年龄要求60周岁以下，具有较高的政治思想素质、健康体魄和高度责任心，必须政治面貌清白，无劣迹，无犯罪前科。</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3.水电工1名。要求男性60周岁以下，具有水电专业受过专业培训，熟悉消防设备、发电机组性能，具有水电维修能力，2年以上从业经验具有较高的政治思想素质和高度责任心。</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4.保洁员（含绿化）5名。要求身体健康、会简单普通话、男性60周岁以下，女性50周岁以下，有1年以上保洁工作经验，能够吃苦耐劳。</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rPr>
          <w:rFonts w:hint="default" w:ascii="宋体" w:hAnsi="宋体" w:eastAsia="宋体" w:cs="宋体"/>
          <w:sz w:val="21"/>
          <w:szCs w:val="21"/>
          <w:lang w:val="en-US" w:eastAsia="zh-CN"/>
        </w:rPr>
      </w:pPr>
      <w:r>
        <w:rPr>
          <w:rFonts w:hint="eastAsia" w:ascii="宋体" w:hAnsi="宋体" w:eastAsia="宋体" w:cs="宋体"/>
          <w:b/>
          <w:bCs/>
          <w:sz w:val="21"/>
          <w:szCs w:val="21"/>
          <w:highlight w:val="yellow"/>
          <w:u w:val="single"/>
          <w:lang w:val="en-US" w:eastAsia="zh-CN"/>
        </w:rPr>
        <w:t>投标人需提供承诺函，承诺满足以上服务人员要求。</w:t>
      </w:r>
    </w:p>
    <w:p>
      <w:pPr>
        <w:pStyle w:val="60"/>
        <w:keepNext w:val="0"/>
        <w:keepLines w:val="0"/>
        <w:pageBreakBefore w:val="0"/>
        <w:kinsoku/>
        <w:wordWrap/>
        <w:overflowPunct/>
        <w:topLinePunct w:val="0"/>
        <w:autoSpaceDN/>
        <w:bidi w:val="0"/>
        <w:spacing w:beforeAutospacing="0" w:afterLines="0" w:afterAutospacing="0" w:line="360" w:lineRule="auto"/>
        <w:ind w:firstLine="560"/>
        <w:textAlignment w:val="auto"/>
        <w:outlineLvl w:val="1"/>
        <w:rPr>
          <w:rFonts w:hint="eastAsia" w:ascii="宋体" w:hAnsi="宋体" w:eastAsia="宋体" w:cs="宋体"/>
          <w:b/>
          <w:bCs/>
          <w:sz w:val="21"/>
          <w:szCs w:val="21"/>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、项目管理和实施要求</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2"/>
        <w:rPr>
          <w:rFonts w:hint="eastAsia" w:ascii="宋体" w:hAnsi="宋体" w:eastAsia="宋体" w:cs="宋体"/>
          <w:b/>
          <w:sz w:val="21"/>
          <w:szCs w:val="21"/>
        </w:rPr>
      </w:pPr>
      <w:r>
        <w:rPr>
          <w:rFonts w:hint="eastAsia" w:ascii="宋体" w:hAnsi="宋体" w:eastAsia="宋体" w:cs="宋体"/>
          <w:b/>
          <w:sz w:val="21"/>
          <w:szCs w:val="21"/>
        </w:rPr>
        <w:t>（一） 服务管理要求</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针对该物业管理服务需求的多样化，中标人必须认真、积极响应，据此拟订管理制度及做好服务，为采购人营造一个安全、文明、舒适、温馨的办公活动环境。</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2"/>
        <w:rPr>
          <w:rFonts w:hint="eastAsia" w:ascii="宋体" w:hAnsi="宋体" w:eastAsia="宋体" w:cs="宋体"/>
          <w:b/>
          <w:sz w:val="21"/>
          <w:szCs w:val="21"/>
        </w:rPr>
      </w:pPr>
      <w:r>
        <w:rPr>
          <w:rFonts w:hint="eastAsia" w:ascii="宋体" w:hAnsi="宋体" w:eastAsia="宋体" w:cs="宋体"/>
          <w:b/>
          <w:sz w:val="21"/>
          <w:szCs w:val="21"/>
        </w:rPr>
        <w:t>（二）创优目标明确</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中标人要制定创优目标与计划，二年内须达到物业管理示范项目标准。中标人须按下列约定的创优指标，履行“维修合格、服务优质、管理有效”的创优服务承诺。</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3"/>
        <w:rPr>
          <w:rFonts w:hint="eastAsia" w:ascii="宋体" w:hAnsi="宋体" w:eastAsia="宋体" w:cs="宋体"/>
          <w:b/>
          <w:sz w:val="21"/>
          <w:szCs w:val="21"/>
        </w:rPr>
      </w:pPr>
      <w:r>
        <w:rPr>
          <w:rFonts w:hint="eastAsia" w:ascii="宋体" w:hAnsi="宋体" w:eastAsia="宋体" w:cs="宋体"/>
          <w:b/>
          <w:sz w:val="21"/>
          <w:szCs w:val="21"/>
        </w:rPr>
        <w:t>1.维修合格</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（1）</w:t>
      </w:r>
      <w:r>
        <w:rPr>
          <w:rFonts w:hint="eastAsia" w:ascii="宋体" w:hAnsi="宋体" w:eastAsia="宋体" w:cs="宋体"/>
          <w:sz w:val="21"/>
          <w:szCs w:val="21"/>
        </w:rPr>
        <w:t>维修工程质量合格率=质量合格的维修单数/总维修单数×100%=100%</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（2）</w:t>
      </w:r>
      <w:r>
        <w:rPr>
          <w:rFonts w:hint="eastAsia" w:ascii="宋体" w:hAnsi="宋体" w:eastAsia="宋体" w:cs="宋体"/>
          <w:sz w:val="21"/>
          <w:szCs w:val="21"/>
        </w:rPr>
        <w:t>房屋设施设备的维修、养护合格完好率达100%。</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（3）</w:t>
      </w:r>
      <w:r>
        <w:rPr>
          <w:rFonts w:hint="eastAsia" w:ascii="宋体" w:hAnsi="宋体" w:eastAsia="宋体" w:cs="宋体"/>
          <w:sz w:val="21"/>
          <w:szCs w:val="21"/>
        </w:rPr>
        <w:t>安全监控、消防监控等设备完好率达98%以上。</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（4）</w:t>
      </w:r>
      <w:r>
        <w:rPr>
          <w:rFonts w:hint="eastAsia" w:ascii="宋体" w:hAnsi="宋体" w:eastAsia="宋体" w:cs="宋体"/>
          <w:sz w:val="21"/>
          <w:szCs w:val="21"/>
        </w:rPr>
        <w:t>道路、停车场完好率≥98%</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（5）</w:t>
      </w:r>
      <w:r>
        <w:rPr>
          <w:rFonts w:hint="eastAsia" w:ascii="宋体" w:hAnsi="宋体" w:eastAsia="宋体" w:cs="宋体"/>
          <w:sz w:val="21"/>
          <w:szCs w:val="21"/>
        </w:rPr>
        <w:t>公共照明完好率≥98%</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（6）</w:t>
      </w:r>
      <w:r>
        <w:rPr>
          <w:rFonts w:hint="eastAsia" w:ascii="宋体" w:hAnsi="宋体" w:eastAsia="宋体" w:cs="宋体"/>
          <w:sz w:val="21"/>
          <w:szCs w:val="21"/>
        </w:rPr>
        <w:t>消防设施设备完好率≥98%</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（7）</w:t>
      </w:r>
      <w:r>
        <w:rPr>
          <w:rFonts w:hint="eastAsia" w:ascii="宋体" w:hAnsi="宋体" w:eastAsia="宋体" w:cs="宋体"/>
          <w:sz w:val="21"/>
          <w:szCs w:val="21"/>
        </w:rPr>
        <w:t>化粪池、雨水井、污水井完好率≥90%</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（8）</w:t>
      </w:r>
      <w:r>
        <w:rPr>
          <w:rFonts w:hint="eastAsia" w:ascii="宋体" w:hAnsi="宋体" w:eastAsia="宋体" w:cs="宋体"/>
          <w:sz w:val="21"/>
          <w:szCs w:val="21"/>
        </w:rPr>
        <w:t>排水管、明暗沟完好率≥95%</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（9）</w:t>
      </w:r>
      <w:r>
        <w:rPr>
          <w:rFonts w:hint="eastAsia" w:ascii="宋体" w:hAnsi="宋体" w:eastAsia="宋体" w:cs="宋体"/>
          <w:sz w:val="21"/>
          <w:szCs w:val="21"/>
        </w:rPr>
        <w:t>房屋外观完好率达100%</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（10）</w:t>
      </w:r>
      <w:r>
        <w:rPr>
          <w:rFonts w:hint="eastAsia" w:ascii="宋体" w:hAnsi="宋体" w:eastAsia="宋体" w:cs="宋体"/>
          <w:sz w:val="21"/>
          <w:szCs w:val="21"/>
        </w:rPr>
        <w:t>公共设施完好率100%</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3"/>
        <w:rPr>
          <w:rFonts w:hint="eastAsia" w:ascii="宋体" w:hAnsi="宋体" w:eastAsia="宋体" w:cs="宋体"/>
          <w:b/>
          <w:sz w:val="21"/>
          <w:szCs w:val="21"/>
        </w:rPr>
      </w:pPr>
      <w:r>
        <w:rPr>
          <w:rFonts w:hint="eastAsia" w:ascii="宋体" w:hAnsi="宋体" w:eastAsia="宋体" w:cs="宋体"/>
          <w:b/>
          <w:sz w:val="21"/>
          <w:szCs w:val="21"/>
        </w:rPr>
        <w:t>2.服务优质</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（1）</w:t>
      </w:r>
      <w:r>
        <w:rPr>
          <w:rFonts w:hint="eastAsia" w:ascii="宋体" w:hAnsi="宋体" w:eastAsia="宋体" w:cs="宋体"/>
          <w:sz w:val="21"/>
          <w:szCs w:val="21"/>
        </w:rPr>
        <w:t>采购人综合服务满意率≥95%</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（2）</w:t>
      </w:r>
      <w:r>
        <w:rPr>
          <w:rFonts w:hint="eastAsia" w:ascii="宋体" w:hAnsi="宋体" w:eastAsia="宋体" w:cs="宋体"/>
          <w:sz w:val="21"/>
          <w:szCs w:val="21"/>
        </w:rPr>
        <w:t>急修不超过1小时、小修不超过8小时</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（3）</w:t>
      </w:r>
      <w:r>
        <w:rPr>
          <w:rFonts w:hint="eastAsia" w:ascii="宋体" w:hAnsi="宋体" w:eastAsia="宋体" w:cs="宋体"/>
          <w:sz w:val="21"/>
          <w:szCs w:val="21"/>
        </w:rPr>
        <w:t>违章发生率≤1%</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（4）</w:t>
      </w:r>
      <w:r>
        <w:rPr>
          <w:rFonts w:hint="eastAsia" w:ascii="宋体" w:hAnsi="宋体" w:eastAsia="宋体" w:cs="宋体"/>
          <w:sz w:val="21"/>
          <w:szCs w:val="21"/>
        </w:rPr>
        <w:t>采购人年有效投诉率≤1%</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（5）</w:t>
      </w:r>
      <w:r>
        <w:rPr>
          <w:rFonts w:hint="eastAsia" w:ascii="宋体" w:hAnsi="宋体" w:eastAsia="宋体" w:cs="宋体"/>
          <w:sz w:val="21"/>
          <w:szCs w:val="21"/>
        </w:rPr>
        <w:t>维修服务回访率：实行100%回访制</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（6）</w:t>
      </w:r>
      <w:r>
        <w:rPr>
          <w:rFonts w:hint="eastAsia" w:ascii="宋体" w:hAnsi="宋体" w:eastAsia="宋体" w:cs="宋体"/>
          <w:sz w:val="21"/>
          <w:szCs w:val="21"/>
        </w:rPr>
        <w:t>公共绿化成活率、完好率均≥95%</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（7）</w:t>
      </w:r>
      <w:r>
        <w:rPr>
          <w:rFonts w:hint="eastAsia" w:ascii="宋体" w:hAnsi="宋体" w:eastAsia="宋体" w:cs="宋体"/>
          <w:sz w:val="21"/>
          <w:szCs w:val="21"/>
        </w:rPr>
        <w:t>公共清洁保洁率：清洁保洁达标面积/清洁保洁总面积×100%≥95%</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3"/>
        <w:rPr>
          <w:rFonts w:hint="eastAsia" w:ascii="宋体" w:hAnsi="宋体" w:eastAsia="宋体" w:cs="宋体"/>
          <w:b/>
          <w:sz w:val="21"/>
          <w:szCs w:val="21"/>
        </w:rPr>
      </w:pPr>
      <w:r>
        <w:rPr>
          <w:rFonts w:hint="eastAsia" w:ascii="宋体" w:hAnsi="宋体" w:eastAsia="宋体" w:cs="宋体"/>
          <w:b/>
          <w:sz w:val="21"/>
          <w:szCs w:val="21"/>
        </w:rPr>
        <w:t>3.管理有效</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档案建立与完好率≥98%</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2"/>
        <w:rPr>
          <w:rFonts w:hint="eastAsia" w:ascii="宋体" w:hAnsi="宋体" w:eastAsia="宋体" w:cs="宋体"/>
          <w:b/>
          <w:sz w:val="21"/>
          <w:szCs w:val="21"/>
        </w:rPr>
      </w:pPr>
      <w:r>
        <w:rPr>
          <w:rFonts w:hint="eastAsia" w:ascii="宋体" w:hAnsi="宋体" w:eastAsia="宋体" w:cs="宋体"/>
          <w:b/>
          <w:sz w:val="21"/>
          <w:szCs w:val="21"/>
        </w:rPr>
        <w:t>（三）管理科学规范</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3"/>
        <w:rPr>
          <w:rFonts w:hint="eastAsia" w:ascii="宋体" w:hAnsi="宋体" w:eastAsia="宋体" w:cs="宋体"/>
          <w:sz w:val="21"/>
          <w:szCs w:val="21"/>
        </w:rPr>
      </w:pPr>
      <w:r>
        <w:rPr>
          <w:rFonts w:hint="eastAsia" w:ascii="宋体" w:hAnsi="宋体" w:eastAsia="宋体" w:cs="宋体"/>
          <w:b/>
          <w:sz w:val="21"/>
          <w:szCs w:val="21"/>
        </w:rPr>
        <w:t>1.管理制度健全：</w:t>
      </w:r>
      <w:r>
        <w:rPr>
          <w:rFonts w:hint="eastAsia" w:ascii="宋体" w:hAnsi="宋体" w:eastAsia="宋体" w:cs="宋体"/>
          <w:sz w:val="21"/>
          <w:szCs w:val="21"/>
        </w:rPr>
        <w:t>有基本的服务规范标准与物业管理制度，并制定具体作业流程及物业管理工作计划、制订上岗要求及服务准则、推行公众制度管理和宣传计划、实施员工考核办法、开展服务责任分区及公示、实行岗位培训制度等。</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3"/>
        <w:rPr>
          <w:rFonts w:hint="eastAsia" w:ascii="宋体" w:hAnsi="宋体" w:eastAsia="宋体" w:cs="宋体"/>
          <w:sz w:val="21"/>
          <w:szCs w:val="21"/>
        </w:rPr>
      </w:pPr>
      <w:r>
        <w:rPr>
          <w:rFonts w:hint="eastAsia" w:ascii="宋体" w:hAnsi="宋体" w:eastAsia="宋体" w:cs="宋体"/>
          <w:b/>
          <w:sz w:val="21"/>
          <w:szCs w:val="21"/>
        </w:rPr>
        <w:t>2.管理手段先进：</w:t>
      </w:r>
      <w:r>
        <w:rPr>
          <w:rFonts w:hint="eastAsia" w:ascii="宋体" w:hAnsi="宋体" w:eastAsia="宋体" w:cs="宋体"/>
          <w:sz w:val="21"/>
          <w:szCs w:val="21"/>
        </w:rPr>
        <w:t>充分应用计算机等现代化管理手段进行科学管理，财务管理、采购人资料、房屋档案、设备档案、投诉管理等不仅要求纸质资料齐全，且全面实行计算机管理。</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3"/>
        <w:rPr>
          <w:rFonts w:hint="eastAsia" w:ascii="宋体" w:hAnsi="宋体" w:eastAsia="宋体" w:cs="宋体"/>
          <w:sz w:val="21"/>
          <w:szCs w:val="21"/>
        </w:rPr>
      </w:pPr>
      <w:r>
        <w:rPr>
          <w:rFonts w:hint="eastAsia" w:ascii="宋体" w:hAnsi="宋体" w:eastAsia="宋体" w:cs="宋体"/>
          <w:b/>
          <w:sz w:val="21"/>
          <w:szCs w:val="21"/>
        </w:rPr>
        <w:t>3.管理责任明晰：</w:t>
      </w:r>
      <w:r>
        <w:rPr>
          <w:rFonts w:hint="eastAsia" w:ascii="宋体" w:hAnsi="宋体" w:eastAsia="宋体" w:cs="宋体"/>
          <w:sz w:val="21"/>
          <w:szCs w:val="21"/>
        </w:rPr>
        <w:t>有完善的各类管理人员工作与业绩考核制度，各岗位责任制明确，物业管理人员的培训应有计划、有考核、有记录、有成效：</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3"/>
        <w:rPr>
          <w:rFonts w:hint="eastAsia" w:ascii="宋体" w:hAnsi="宋体" w:eastAsia="宋体" w:cs="宋体"/>
          <w:sz w:val="21"/>
          <w:szCs w:val="21"/>
        </w:rPr>
      </w:pPr>
      <w:r>
        <w:rPr>
          <w:rFonts w:hint="eastAsia" w:ascii="宋体" w:hAnsi="宋体" w:eastAsia="宋体" w:cs="宋体"/>
          <w:b/>
          <w:sz w:val="21"/>
          <w:szCs w:val="21"/>
        </w:rPr>
        <w:t>4.管理流程公开：</w:t>
      </w:r>
      <w:r>
        <w:rPr>
          <w:rFonts w:hint="eastAsia" w:ascii="宋体" w:hAnsi="宋体" w:eastAsia="宋体" w:cs="宋体"/>
          <w:sz w:val="21"/>
          <w:szCs w:val="21"/>
        </w:rPr>
        <w:t>中标人要主动公开管理服务流程，主动接受采购方监督。及时向采购人方汇报工作进度，接受采购人的日常监督和不定期抽查抽检。</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2"/>
        <w:rPr>
          <w:rFonts w:hint="eastAsia" w:ascii="宋体" w:hAnsi="宋体" w:eastAsia="宋体" w:cs="宋体"/>
          <w:b/>
          <w:sz w:val="21"/>
          <w:szCs w:val="21"/>
        </w:rPr>
      </w:pPr>
      <w:r>
        <w:rPr>
          <w:rFonts w:hint="eastAsia" w:ascii="宋体" w:hAnsi="宋体" w:eastAsia="宋体" w:cs="宋体"/>
          <w:b/>
          <w:sz w:val="21"/>
          <w:szCs w:val="21"/>
        </w:rPr>
        <w:t>（四）综合管理</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3"/>
        <w:rPr>
          <w:rFonts w:hint="eastAsia" w:ascii="宋体" w:hAnsi="宋体" w:eastAsia="宋体" w:cs="宋体"/>
          <w:sz w:val="21"/>
          <w:szCs w:val="21"/>
        </w:rPr>
      </w:pPr>
      <w:r>
        <w:rPr>
          <w:rFonts w:hint="eastAsia" w:ascii="宋体" w:hAnsi="宋体" w:eastAsia="宋体" w:cs="宋体"/>
          <w:b/>
          <w:sz w:val="21"/>
          <w:szCs w:val="21"/>
        </w:rPr>
        <w:t>1.设立服务中心：</w:t>
      </w:r>
      <w:r>
        <w:rPr>
          <w:rFonts w:hint="eastAsia" w:ascii="宋体" w:hAnsi="宋体" w:eastAsia="宋体" w:cs="宋体"/>
          <w:sz w:val="21"/>
          <w:szCs w:val="21"/>
        </w:rPr>
        <w:t xml:space="preserve">设有各种沟通途径的中心，公示8小时服务电话和24小时值班电话，即时解答采购人的咨询及受理维修等。采购人有事可直接与值班人员或区域责任人联系。采购人咨询、采购人急修半小时内、其它报修按双方约定时间到达现场，有完整的报修、维修记录。 </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3"/>
        <w:rPr>
          <w:rFonts w:hint="eastAsia" w:ascii="宋体" w:hAnsi="宋体" w:eastAsia="宋体" w:cs="宋体"/>
          <w:sz w:val="21"/>
          <w:szCs w:val="21"/>
        </w:rPr>
      </w:pPr>
      <w:r>
        <w:rPr>
          <w:rFonts w:hint="eastAsia" w:ascii="宋体" w:hAnsi="宋体" w:eastAsia="宋体" w:cs="宋体"/>
          <w:b/>
          <w:sz w:val="21"/>
          <w:szCs w:val="21"/>
        </w:rPr>
        <w:t>2.设立投诉中心：</w:t>
      </w:r>
      <w:r>
        <w:rPr>
          <w:rFonts w:hint="eastAsia" w:ascii="宋体" w:hAnsi="宋体" w:eastAsia="宋体" w:cs="宋体"/>
          <w:sz w:val="21"/>
          <w:szCs w:val="21"/>
        </w:rPr>
        <w:t>及时处理采购人投诉，投诉在24小时内予以答复处理。</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3"/>
        <w:rPr>
          <w:rFonts w:hint="eastAsia" w:ascii="宋体" w:hAnsi="宋体" w:eastAsia="宋体" w:cs="宋体"/>
          <w:sz w:val="21"/>
          <w:szCs w:val="21"/>
        </w:rPr>
      </w:pPr>
      <w:r>
        <w:rPr>
          <w:rFonts w:hint="eastAsia" w:ascii="宋体" w:hAnsi="宋体" w:eastAsia="宋体" w:cs="宋体"/>
          <w:b/>
          <w:sz w:val="21"/>
          <w:szCs w:val="21"/>
        </w:rPr>
        <w:t>3.主动支持配合：</w:t>
      </w:r>
      <w:r>
        <w:rPr>
          <w:rFonts w:hint="eastAsia" w:ascii="宋体" w:hAnsi="宋体" w:eastAsia="宋体" w:cs="宋体"/>
          <w:sz w:val="21"/>
          <w:szCs w:val="21"/>
        </w:rPr>
        <w:t>积极协助采购人筹办各种会议、活动事项，做好会场布置、秩序维护、后勤保障、临时搬运、代接打值班电话等工作。</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3"/>
        <w:rPr>
          <w:rFonts w:hint="eastAsia" w:ascii="宋体" w:hAnsi="宋体" w:eastAsia="宋体" w:cs="宋体"/>
          <w:sz w:val="21"/>
          <w:szCs w:val="21"/>
        </w:rPr>
      </w:pPr>
      <w:r>
        <w:rPr>
          <w:rFonts w:hint="eastAsia" w:ascii="宋体" w:hAnsi="宋体" w:eastAsia="宋体" w:cs="宋体"/>
          <w:b/>
          <w:sz w:val="21"/>
          <w:szCs w:val="21"/>
        </w:rPr>
        <w:t>4.建立回访制度：</w:t>
      </w:r>
      <w:r>
        <w:rPr>
          <w:rFonts w:hint="eastAsia" w:ascii="宋体" w:hAnsi="宋体" w:eastAsia="宋体" w:cs="宋体"/>
          <w:sz w:val="21"/>
          <w:szCs w:val="21"/>
        </w:rPr>
        <w:t>每季至少一次征询采购人对物业服务的意见，中标人要让采购人和物业使用人的满意率达到95%以上的创优指标，对不满意的情况进行分析并及时整改。</w:t>
      </w:r>
    </w:p>
    <w:p>
      <w:pPr>
        <w:keepNext w:val="0"/>
        <w:keepLines w:val="0"/>
        <w:pageBreakBefore w:val="0"/>
        <w:kinsoku/>
        <w:wordWrap/>
        <w:overflowPunct/>
        <w:topLinePunct w:val="0"/>
        <w:autoSpaceDE w:val="0"/>
        <w:autoSpaceDN/>
        <w:bidi w:val="0"/>
        <w:spacing w:beforeAutospacing="0" w:afterAutospacing="0" w:line="360" w:lineRule="auto"/>
        <w:ind w:firstLine="421" w:firstLineChars="200"/>
        <w:textAlignment w:val="auto"/>
        <w:outlineLvl w:val="2"/>
        <w:rPr>
          <w:rFonts w:hint="eastAsia" w:ascii="宋体" w:hAnsi="宋体" w:eastAsia="宋体" w:cs="宋体"/>
          <w:b/>
          <w:sz w:val="21"/>
          <w:szCs w:val="21"/>
        </w:rPr>
      </w:pPr>
      <w:r>
        <w:rPr>
          <w:rFonts w:hint="eastAsia" w:ascii="宋体" w:hAnsi="宋体" w:eastAsia="宋体" w:cs="宋体"/>
          <w:b/>
          <w:sz w:val="21"/>
          <w:szCs w:val="21"/>
        </w:rPr>
        <w:t>（五）物业管理服务组织及人员配置</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3"/>
        <w:rPr>
          <w:rFonts w:hint="eastAsia" w:ascii="宋体" w:hAnsi="宋体" w:eastAsia="宋体" w:cs="宋体"/>
          <w:sz w:val="21"/>
          <w:szCs w:val="21"/>
        </w:rPr>
      </w:pPr>
      <w:r>
        <w:rPr>
          <w:rFonts w:hint="eastAsia" w:ascii="宋体" w:hAnsi="宋体" w:eastAsia="宋体" w:cs="宋体"/>
          <w:b/>
          <w:sz w:val="21"/>
          <w:szCs w:val="21"/>
        </w:rPr>
        <w:t>1.机构配备到位：</w:t>
      </w:r>
      <w:r>
        <w:rPr>
          <w:rFonts w:hint="eastAsia" w:ascii="宋体" w:hAnsi="宋体" w:eastAsia="宋体" w:cs="宋体"/>
          <w:sz w:val="21"/>
          <w:szCs w:val="21"/>
        </w:rPr>
        <w:t>针对物业服务范围与内容设置相应的机构组织，制作系统科学的机构组织架构图。</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3"/>
        <w:rPr>
          <w:rFonts w:hint="eastAsia" w:ascii="宋体" w:hAnsi="宋体" w:eastAsia="宋体" w:cs="宋体"/>
          <w:sz w:val="21"/>
          <w:szCs w:val="21"/>
        </w:rPr>
      </w:pPr>
      <w:r>
        <w:rPr>
          <w:rFonts w:hint="eastAsia" w:ascii="宋体" w:hAnsi="宋体" w:eastAsia="宋体" w:cs="宋体"/>
          <w:b/>
          <w:sz w:val="21"/>
          <w:szCs w:val="21"/>
        </w:rPr>
        <w:t>2.人员配备到位：</w:t>
      </w:r>
      <w:r>
        <w:rPr>
          <w:rFonts w:hint="eastAsia" w:ascii="宋体" w:hAnsi="宋体" w:eastAsia="宋体" w:cs="宋体"/>
          <w:sz w:val="21"/>
          <w:szCs w:val="21"/>
        </w:rPr>
        <w:t>中标人要建立精简高效的人员编制，各岗位职能配置清晰。管理人员和水、电等专业技术人员必须全面持有执业资格证书，相关证书须交采购人指定人员确认并经采购人同意后方能上岗工作。员工统一着装，佩戴明显标志。 中标人须按招标人要求制订较为全面的员工素质培训计划。</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3"/>
        <w:rPr>
          <w:rFonts w:hint="eastAsia" w:ascii="宋体" w:hAnsi="宋体" w:eastAsia="宋体" w:cs="宋体"/>
          <w:sz w:val="21"/>
          <w:szCs w:val="21"/>
        </w:rPr>
      </w:pPr>
      <w:r>
        <w:rPr>
          <w:rFonts w:hint="eastAsia" w:ascii="宋体" w:hAnsi="宋体" w:eastAsia="宋体" w:cs="宋体"/>
          <w:b/>
          <w:sz w:val="21"/>
          <w:szCs w:val="21"/>
        </w:rPr>
        <w:t>3.设施配备到位：</w:t>
      </w:r>
      <w:r>
        <w:rPr>
          <w:rFonts w:hint="eastAsia" w:ascii="宋体" w:hAnsi="宋体" w:eastAsia="宋体" w:cs="宋体"/>
          <w:sz w:val="21"/>
          <w:szCs w:val="21"/>
        </w:rPr>
        <w:t>具体物资装备必须有：维修设备（管道疏通机 冲击钻、电钻、电焊机、铝合金人字梯等）；保洁器具（垃圾清运车、垃圾桶、抛光机、烘干机等）；急救用具（防毒面具、软绳梯、急救包等）；保安用品等（对讲机、疏散照明灯）。 以上装备由中标人自行提供，各项费用自理。</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采购人提供给中标人消控室及门房以及各基层税务分局门房作为工作室,并配有办公设备（计算机、打印机、办公桌椅、沙发椅及茶几、文件柜）固定电话。</w:t>
      </w:r>
    </w:p>
    <w:p>
      <w:pPr>
        <w:pStyle w:val="61"/>
        <w:keepNext w:val="0"/>
        <w:keepLines w:val="0"/>
        <w:pageBreakBefore w:val="0"/>
        <w:kinsoku/>
        <w:wordWrap/>
        <w:overflowPunct/>
        <w:topLinePunct w:val="0"/>
        <w:autoSpaceDN/>
        <w:bidi w:val="0"/>
        <w:spacing w:beforeAutospacing="0" w:afterAutospacing="0" w:line="360" w:lineRule="auto"/>
        <w:ind w:firstLine="560"/>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四、违约责任</w:t>
      </w:r>
    </w:p>
    <w:p>
      <w:pPr>
        <w:pStyle w:val="43"/>
        <w:keepNext w:val="0"/>
        <w:keepLines w:val="0"/>
        <w:pageBreakBefore w:val="0"/>
        <w:kinsoku/>
        <w:wordWrap/>
        <w:overflowPunct/>
        <w:topLinePunct w:val="0"/>
        <w:autoSpaceDN/>
        <w:bidi w:val="0"/>
        <w:spacing w:beforeAutospacing="0" w:afterAutospacing="0" w:line="360" w:lineRule="auto"/>
        <w:ind w:firstLine="48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（一）</w:t>
      </w:r>
      <w:r>
        <w:rPr>
          <w:rFonts w:hint="eastAsia" w:ascii="宋体" w:hAnsi="宋体" w:eastAsia="宋体" w:cs="宋体"/>
          <w:sz w:val="21"/>
          <w:szCs w:val="21"/>
        </w:rPr>
        <w:t>因</w:t>
      </w:r>
      <w:r>
        <w:rPr>
          <w:rFonts w:hint="eastAsia" w:ascii="宋体" w:hAnsi="宋体" w:eastAsia="宋体" w:cs="宋体"/>
          <w:sz w:val="21"/>
          <w:szCs w:val="21"/>
          <w:lang w:eastAsia="zh-CN"/>
        </w:rPr>
        <w:t>中标人</w:t>
      </w:r>
      <w:r>
        <w:rPr>
          <w:rFonts w:hint="eastAsia" w:ascii="宋体" w:hAnsi="宋体" w:eastAsia="宋体" w:cs="宋体"/>
          <w:sz w:val="21"/>
          <w:szCs w:val="21"/>
        </w:rPr>
        <w:t>原因造成采购合同无法按时签订的，视为</w:t>
      </w:r>
      <w:r>
        <w:rPr>
          <w:rFonts w:hint="eastAsia" w:ascii="宋体" w:hAnsi="宋体" w:eastAsia="宋体" w:cs="宋体"/>
          <w:sz w:val="21"/>
          <w:szCs w:val="21"/>
          <w:lang w:eastAsia="zh-CN"/>
        </w:rPr>
        <w:t>中标人</w:t>
      </w:r>
      <w:r>
        <w:rPr>
          <w:rFonts w:hint="eastAsia" w:ascii="宋体" w:hAnsi="宋体" w:eastAsia="宋体" w:cs="宋体"/>
          <w:sz w:val="21"/>
          <w:szCs w:val="21"/>
        </w:rPr>
        <w:t>违约，对采购人造成的损失的，</w:t>
      </w:r>
      <w:r>
        <w:rPr>
          <w:rFonts w:hint="eastAsia" w:ascii="宋体" w:hAnsi="宋体" w:eastAsia="宋体" w:cs="宋体"/>
          <w:sz w:val="21"/>
          <w:szCs w:val="21"/>
          <w:lang w:eastAsia="zh-CN"/>
        </w:rPr>
        <w:t>中标人</w:t>
      </w:r>
      <w:r>
        <w:rPr>
          <w:rFonts w:hint="eastAsia" w:ascii="宋体" w:hAnsi="宋体" w:eastAsia="宋体" w:cs="宋体"/>
          <w:sz w:val="21"/>
          <w:szCs w:val="21"/>
        </w:rPr>
        <w:t>还需另行支付相应的赔偿。</w:t>
      </w:r>
    </w:p>
    <w:p>
      <w:pPr>
        <w:pStyle w:val="43"/>
        <w:keepNext w:val="0"/>
        <w:keepLines w:val="0"/>
        <w:pageBreakBefore w:val="0"/>
        <w:kinsoku/>
        <w:wordWrap/>
        <w:overflowPunct/>
        <w:topLinePunct w:val="0"/>
        <w:autoSpaceDN/>
        <w:bidi w:val="0"/>
        <w:spacing w:beforeAutospacing="0" w:afterAutospacing="0" w:line="360" w:lineRule="auto"/>
        <w:ind w:firstLine="48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（二）中标人</w:t>
      </w:r>
      <w:r>
        <w:rPr>
          <w:rFonts w:hint="eastAsia" w:ascii="宋体" w:hAnsi="宋体" w:eastAsia="宋体" w:cs="宋体"/>
          <w:sz w:val="21"/>
          <w:szCs w:val="21"/>
        </w:rPr>
        <w:t>未按合同规定的服务要求履行的，采购人有权拒绝验收并不支付当期服务费，由此造成的直接损失和间接损失由中标人赔偿。</w:t>
      </w:r>
    </w:p>
    <w:p>
      <w:pPr>
        <w:pStyle w:val="43"/>
        <w:keepNext w:val="0"/>
        <w:keepLines w:val="0"/>
        <w:pageBreakBefore w:val="0"/>
        <w:kinsoku/>
        <w:wordWrap/>
        <w:overflowPunct/>
        <w:topLinePunct w:val="0"/>
        <w:autoSpaceDN/>
        <w:bidi w:val="0"/>
        <w:spacing w:beforeAutospacing="0" w:afterAutospacing="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lang w:eastAsia="zh-CN"/>
        </w:rPr>
        <w:t>（三）</w:t>
      </w:r>
      <w:r>
        <w:rPr>
          <w:rFonts w:hint="eastAsia" w:ascii="宋体" w:hAnsi="宋体" w:eastAsia="宋体" w:cs="宋体"/>
          <w:sz w:val="21"/>
          <w:szCs w:val="21"/>
        </w:rPr>
        <w:t>本合同包所有服务及要求，都必须由中标人自己或在响应文件中明确的单位承担，不得以任何名义和理由进行分包或转包。如有发现，视为中标人违约，采购人有权单方终止合同，对采购人造成损失的，中标人需另行支付相应的赔偿。</w:t>
      </w:r>
    </w:p>
    <w:p>
      <w:pPr>
        <w:pStyle w:val="43"/>
        <w:keepNext w:val="0"/>
        <w:keepLines w:val="0"/>
        <w:pageBreakBefore w:val="0"/>
        <w:kinsoku/>
        <w:wordWrap/>
        <w:overflowPunct/>
        <w:topLinePunct w:val="0"/>
        <w:autoSpaceDN/>
        <w:bidi w:val="0"/>
        <w:spacing w:beforeAutospacing="0" w:afterAutospacing="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lang w:eastAsia="zh-CN"/>
        </w:rPr>
        <w:t>（四）</w:t>
      </w:r>
      <w:r>
        <w:rPr>
          <w:rFonts w:hint="eastAsia" w:ascii="宋体" w:hAnsi="宋体" w:eastAsia="宋体" w:cs="宋体"/>
          <w:sz w:val="21"/>
          <w:szCs w:val="21"/>
        </w:rPr>
        <w:t>中标人履行义务不符合合同约定时，采购人有权拒绝支付相应款项。</w:t>
      </w:r>
    </w:p>
    <w:p>
      <w:pPr>
        <w:pStyle w:val="43"/>
        <w:keepNext w:val="0"/>
        <w:keepLines w:val="0"/>
        <w:pageBreakBefore w:val="0"/>
        <w:kinsoku/>
        <w:wordWrap/>
        <w:overflowPunct/>
        <w:topLinePunct w:val="0"/>
        <w:autoSpaceDN/>
        <w:bidi w:val="0"/>
        <w:spacing w:beforeAutospacing="0" w:afterAutospacing="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lang w:eastAsia="zh-CN"/>
        </w:rPr>
        <w:t>（五）</w:t>
      </w:r>
      <w:r>
        <w:rPr>
          <w:rFonts w:hint="eastAsia" w:ascii="宋体" w:hAnsi="宋体" w:eastAsia="宋体" w:cs="宋体"/>
          <w:sz w:val="21"/>
          <w:szCs w:val="21"/>
        </w:rPr>
        <w:t>中标人原因发生重大质量事故，除依约承担赔偿责任外，还将按有关质量管理办法规定执行。同时，采购人有权保留更换成交人的权利，并报相关行政主管部门处罚。</w:t>
      </w:r>
    </w:p>
    <w:p>
      <w:pPr>
        <w:pStyle w:val="43"/>
        <w:keepNext w:val="0"/>
        <w:keepLines w:val="0"/>
        <w:pageBreakBefore w:val="0"/>
        <w:kinsoku/>
        <w:wordWrap/>
        <w:overflowPunct/>
        <w:topLinePunct w:val="0"/>
        <w:autoSpaceDN/>
        <w:bidi w:val="0"/>
        <w:spacing w:beforeAutospacing="0" w:afterAutospacing="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lang w:eastAsia="zh-CN"/>
        </w:rPr>
        <w:t>（六）</w:t>
      </w:r>
      <w:r>
        <w:rPr>
          <w:rFonts w:hint="eastAsia" w:ascii="宋体" w:hAnsi="宋体" w:eastAsia="宋体" w:cs="宋体"/>
          <w:sz w:val="21"/>
          <w:szCs w:val="21"/>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中标人还应承担赔偿责任。</w:t>
      </w:r>
    </w:p>
    <w:p>
      <w:pPr>
        <w:pStyle w:val="43"/>
        <w:keepNext w:val="0"/>
        <w:keepLines w:val="0"/>
        <w:pageBreakBefore w:val="0"/>
        <w:kinsoku/>
        <w:wordWrap/>
        <w:overflowPunct/>
        <w:topLinePunct w:val="0"/>
        <w:autoSpaceDN/>
        <w:bidi w:val="0"/>
        <w:spacing w:beforeAutospacing="0" w:afterAutospacing="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lang w:eastAsia="zh-CN"/>
        </w:rPr>
        <w:t>（七）</w:t>
      </w:r>
      <w:r>
        <w:rPr>
          <w:rFonts w:hint="eastAsia" w:ascii="宋体" w:hAnsi="宋体" w:eastAsia="宋体" w:cs="宋体"/>
          <w:sz w:val="21"/>
          <w:szCs w:val="21"/>
        </w:rPr>
        <w:t>中标人连续三个月采购方满意度评分平均低于70分的，采购人有权单方面解除物业合同。</w:t>
      </w:r>
    </w:p>
    <w:p>
      <w:pPr>
        <w:pStyle w:val="43"/>
        <w:keepNext w:val="0"/>
        <w:keepLines w:val="0"/>
        <w:pageBreakBefore w:val="0"/>
        <w:kinsoku/>
        <w:wordWrap/>
        <w:overflowPunct/>
        <w:topLinePunct w:val="0"/>
        <w:autoSpaceDN/>
        <w:bidi w:val="0"/>
        <w:spacing w:beforeAutospacing="0" w:afterAutospacing="0"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lang w:eastAsia="zh-CN"/>
        </w:rPr>
        <w:t>（八）</w:t>
      </w:r>
      <w:r>
        <w:rPr>
          <w:rFonts w:hint="eastAsia" w:ascii="宋体" w:hAnsi="宋体" w:eastAsia="宋体" w:cs="宋体"/>
          <w:sz w:val="21"/>
          <w:szCs w:val="21"/>
        </w:rPr>
        <w:t>本采购文件未明确的其它约定事项或条款，待采购人与中标人签订合同时，由双方协商订立。</w:t>
      </w:r>
    </w:p>
    <w:p>
      <w:pPr>
        <w:pStyle w:val="18"/>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kern w:val="0"/>
          <w:sz w:val="21"/>
          <w:szCs w:val="21"/>
          <w:lang w:val="en-US" w:eastAsia="zh-Hans"/>
        </w:rPr>
      </w:pPr>
      <w:r>
        <w:rPr>
          <w:rFonts w:hint="eastAsia" w:ascii="宋体" w:hAnsi="宋体" w:eastAsia="宋体" w:cs="宋体"/>
          <w:kern w:val="0"/>
          <w:sz w:val="21"/>
          <w:szCs w:val="21"/>
          <w:lang w:val="en-US" w:eastAsia="zh-CN"/>
        </w:rPr>
        <w:t>（九）</w:t>
      </w:r>
      <w:r>
        <w:rPr>
          <w:rFonts w:hint="eastAsia" w:ascii="宋体" w:hAnsi="宋体" w:eastAsia="宋体" w:cs="宋体"/>
          <w:kern w:val="0"/>
          <w:sz w:val="21"/>
          <w:szCs w:val="21"/>
          <w:lang w:val="en-US" w:eastAsia="zh-Hans"/>
        </w:rPr>
        <w:t>投标人中标后违反评分标准B4、B8</w:t>
      </w:r>
      <w:r>
        <w:rPr>
          <w:rFonts w:hint="eastAsia" w:ascii="宋体" w:hAnsi="宋体" w:eastAsia="宋体" w:cs="宋体"/>
          <w:kern w:val="0"/>
          <w:sz w:val="21"/>
          <w:szCs w:val="21"/>
          <w:lang w:val="en-US" w:eastAsia="zh-CN"/>
        </w:rPr>
        <w:t>等</w:t>
      </w:r>
      <w:r>
        <w:rPr>
          <w:rFonts w:hint="eastAsia" w:ascii="宋体" w:hAnsi="宋体" w:eastAsia="宋体" w:cs="宋体"/>
          <w:kern w:val="0"/>
          <w:sz w:val="21"/>
          <w:szCs w:val="21"/>
          <w:lang w:val="en-US" w:eastAsia="zh-Hans"/>
        </w:rPr>
        <w:t>承诺的，扣合同款金额*（承诺得分-实际得分）*1%。</w:t>
      </w:r>
    </w:p>
    <w:p>
      <w:pPr>
        <w:pStyle w:val="61"/>
        <w:keepNext w:val="0"/>
        <w:keepLines w:val="0"/>
        <w:pageBreakBefore w:val="0"/>
        <w:kinsoku/>
        <w:wordWrap/>
        <w:overflowPunct/>
        <w:topLinePunct w:val="0"/>
        <w:autoSpaceDN/>
        <w:bidi w:val="0"/>
        <w:spacing w:beforeAutospacing="0" w:afterAutospacing="0" w:line="360" w:lineRule="auto"/>
        <w:ind w:firstLine="560"/>
        <w:textAlignment w:val="auto"/>
        <w:outlineLvl w:val="1"/>
        <w:rPr>
          <w:rFonts w:hint="eastAsia" w:ascii="宋体" w:hAnsi="宋体" w:eastAsia="宋体" w:cs="宋体"/>
          <w:b/>
          <w:bCs/>
          <w:sz w:val="21"/>
          <w:szCs w:val="21"/>
          <w:lang w:val="en" w:eastAsia="zh-CN"/>
        </w:rPr>
      </w:pPr>
      <w:r>
        <w:rPr>
          <w:rFonts w:hint="eastAsia" w:ascii="宋体" w:hAnsi="宋体" w:eastAsia="宋体" w:cs="宋体"/>
          <w:b/>
          <w:bCs/>
          <w:sz w:val="21"/>
          <w:szCs w:val="21"/>
          <w:lang w:val="en-US" w:eastAsia="zh-CN"/>
        </w:rPr>
        <w:t>五、</w:t>
      </w:r>
      <w:r>
        <w:rPr>
          <w:rFonts w:hint="eastAsia" w:ascii="宋体" w:hAnsi="宋体" w:eastAsia="宋体" w:cs="宋体"/>
          <w:b/>
          <w:bCs/>
          <w:sz w:val="21"/>
          <w:szCs w:val="21"/>
          <w:lang w:val="en" w:eastAsia="zh-CN"/>
        </w:rPr>
        <w:t>验收要求</w:t>
      </w:r>
    </w:p>
    <w:p>
      <w:pPr>
        <w:pStyle w:val="61"/>
        <w:keepNext w:val="0"/>
        <w:keepLines w:val="0"/>
        <w:pageBreakBefore w:val="0"/>
        <w:kinsoku/>
        <w:wordWrap/>
        <w:overflowPunct/>
        <w:topLinePunct w:val="0"/>
        <w:autoSpaceDN/>
        <w:bidi w:val="0"/>
        <w:spacing w:beforeAutospacing="0" w:afterAutospacing="0" w:line="360" w:lineRule="auto"/>
        <w:ind w:firstLine="562"/>
        <w:textAlignment w:val="auto"/>
        <w:outlineLvl w:val="2"/>
        <w:rPr>
          <w:rFonts w:hint="eastAsia" w:ascii="宋体" w:hAnsi="宋体" w:eastAsia="宋体" w:cs="宋体"/>
          <w:b/>
          <w:bCs/>
          <w:sz w:val="21"/>
          <w:szCs w:val="21"/>
        </w:rPr>
      </w:pPr>
      <w:r>
        <w:rPr>
          <w:rFonts w:hint="eastAsia" w:ascii="宋体" w:hAnsi="宋体" w:eastAsia="宋体" w:cs="宋体"/>
          <w:b/>
          <w:bCs/>
          <w:snapToGrid w:val="0"/>
          <w:sz w:val="21"/>
          <w:szCs w:val="21"/>
          <w:lang w:val="en" w:eastAsia="zh-CN"/>
        </w:rPr>
        <w:t>（一）</w:t>
      </w:r>
      <w:r>
        <w:rPr>
          <w:rFonts w:hint="eastAsia" w:ascii="宋体" w:hAnsi="宋体" w:eastAsia="宋体" w:cs="宋体"/>
          <w:b/>
          <w:bCs/>
          <w:sz w:val="21"/>
          <w:szCs w:val="21"/>
        </w:rPr>
        <w:t>考核办法</w:t>
      </w:r>
    </w:p>
    <w:p>
      <w:pPr>
        <w:pStyle w:val="43"/>
        <w:keepNext w:val="0"/>
        <w:keepLines w:val="0"/>
        <w:pageBreakBefore w:val="0"/>
        <w:kinsoku/>
        <w:wordWrap/>
        <w:overflowPunct/>
        <w:topLinePunct w:val="0"/>
        <w:autoSpaceDN/>
        <w:bidi w:val="0"/>
        <w:spacing w:beforeAutospacing="0" w:afterAutospacing="0" w:line="360" w:lineRule="auto"/>
        <w:ind w:firstLine="560"/>
        <w:textAlignment w:val="auto"/>
        <w:rPr>
          <w:rFonts w:hint="eastAsia" w:ascii="宋体" w:hAnsi="宋体" w:eastAsia="宋体" w:cs="宋体"/>
          <w:sz w:val="21"/>
          <w:szCs w:val="21"/>
        </w:rPr>
      </w:pPr>
      <w:r>
        <w:rPr>
          <w:rFonts w:hint="eastAsia" w:ascii="宋体" w:hAnsi="宋体" w:eastAsia="宋体" w:cs="宋体"/>
          <w:sz w:val="21"/>
          <w:szCs w:val="21"/>
          <w:lang w:eastAsia="zh-CN"/>
        </w:rPr>
        <w:t>1.</w:t>
      </w:r>
      <w:r>
        <w:rPr>
          <w:rFonts w:hint="eastAsia" w:ascii="宋体" w:hAnsi="宋体" w:eastAsia="宋体" w:cs="宋体"/>
          <w:sz w:val="21"/>
          <w:szCs w:val="21"/>
        </w:rPr>
        <w:t>考核工作由</w:t>
      </w:r>
      <w:r>
        <w:rPr>
          <w:rFonts w:hint="eastAsia" w:ascii="宋体" w:hAnsi="宋体" w:eastAsia="宋体" w:cs="宋体"/>
          <w:sz w:val="21"/>
          <w:szCs w:val="21"/>
          <w:lang w:eastAsia="zh-CN"/>
        </w:rPr>
        <w:t>仙游</w:t>
      </w:r>
      <w:r>
        <w:rPr>
          <w:rFonts w:hint="eastAsia" w:ascii="宋体" w:hAnsi="宋体" w:eastAsia="宋体" w:cs="宋体"/>
          <w:sz w:val="21"/>
          <w:szCs w:val="21"/>
        </w:rPr>
        <w:t>县</w:t>
      </w:r>
      <w:r>
        <w:rPr>
          <w:rFonts w:hint="eastAsia" w:ascii="宋体" w:hAnsi="宋体" w:eastAsia="宋体" w:cs="宋体"/>
          <w:sz w:val="21"/>
          <w:szCs w:val="21"/>
          <w:lang w:eastAsia="zh-CN"/>
        </w:rPr>
        <w:t>税务局</w:t>
      </w:r>
      <w:r>
        <w:rPr>
          <w:rFonts w:hint="eastAsia" w:ascii="宋体" w:hAnsi="宋体" w:eastAsia="宋体" w:cs="宋体"/>
          <w:sz w:val="21"/>
          <w:szCs w:val="21"/>
        </w:rPr>
        <w:t>办公室邀请相关部门人员组成考核小组按考核标准进行实施。</w:t>
      </w:r>
    </w:p>
    <w:p>
      <w:pPr>
        <w:pStyle w:val="43"/>
        <w:keepNext w:val="0"/>
        <w:keepLines w:val="0"/>
        <w:pageBreakBefore w:val="0"/>
        <w:kinsoku/>
        <w:wordWrap/>
        <w:overflowPunct/>
        <w:topLinePunct w:val="0"/>
        <w:autoSpaceDN/>
        <w:bidi w:val="0"/>
        <w:spacing w:beforeAutospacing="0" w:afterAutospacing="0" w:line="360" w:lineRule="auto"/>
        <w:ind w:firstLine="56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rPr>
        <w:t>考核采取每月不定期随机抽查的形式。考核时，通知物业管理单位派人参加。考核小组对考核现场根据考核办法进行考核评分。</w:t>
      </w:r>
    </w:p>
    <w:p>
      <w:pPr>
        <w:pStyle w:val="43"/>
        <w:keepNext w:val="0"/>
        <w:keepLines w:val="0"/>
        <w:pageBreakBefore w:val="0"/>
        <w:kinsoku/>
        <w:wordWrap/>
        <w:overflowPunct/>
        <w:topLinePunct w:val="0"/>
        <w:autoSpaceDN/>
        <w:bidi w:val="0"/>
        <w:spacing w:beforeAutospacing="0" w:afterAutospacing="0" w:line="360" w:lineRule="auto"/>
        <w:ind w:firstLine="560"/>
        <w:textAlignment w:val="auto"/>
        <w:rPr>
          <w:rFonts w:hint="eastAsia" w:ascii="宋体" w:hAnsi="宋体" w:eastAsia="宋体" w:cs="宋体"/>
          <w:sz w:val="21"/>
          <w:szCs w:val="21"/>
        </w:rPr>
      </w:pPr>
      <w:r>
        <w:rPr>
          <w:rFonts w:hint="eastAsia" w:ascii="宋体" w:hAnsi="宋体" w:eastAsia="宋体" w:cs="宋体"/>
          <w:sz w:val="21"/>
          <w:szCs w:val="21"/>
          <w:lang w:eastAsia="zh-CN"/>
        </w:rPr>
        <w:t>3.</w:t>
      </w:r>
      <w:r>
        <w:rPr>
          <w:rFonts w:hint="eastAsia" w:ascii="宋体" w:hAnsi="宋体" w:eastAsia="宋体" w:cs="宋体"/>
          <w:sz w:val="21"/>
          <w:szCs w:val="21"/>
        </w:rPr>
        <w:t>考核时间跨度为每月1日至月底。</w:t>
      </w:r>
    </w:p>
    <w:p>
      <w:pPr>
        <w:pStyle w:val="43"/>
        <w:keepNext w:val="0"/>
        <w:keepLines w:val="0"/>
        <w:pageBreakBefore w:val="0"/>
        <w:kinsoku/>
        <w:wordWrap/>
        <w:overflowPunct/>
        <w:topLinePunct w:val="0"/>
        <w:autoSpaceDN/>
        <w:bidi w:val="0"/>
        <w:spacing w:beforeAutospacing="0" w:afterAutospacing="0" w:line="360" w:lineRule="auto"/>
        <w:ind w:firstLine="560"/>
        <w:textAlignment w:val="auto"/>
        <w:rPr>
          <w:rFonts w:hint="eastAsia" w:ascii="宋体" w:hAnsi="宋体" w:eastAsia="宋体" w:cs="宋体"/>
          <w:sz w:val="21"/>
          <w:szCs w:val="21"/>
        </w:rPr>
      </w:pPr>
      <w:r>
        <w:rPr>
          <w:rFonts w:hint="eastAsia" w:ascii="宋体" w:hAnsi="宋体" w:eastAsia="宋体" w:cs="宋体"/>
          <w:sz w:val="21"/>
          <w:szCs w:val="21"/>
          <w:lang w:eastAsia="zh-CN"/>
        </w:rPr>
        <w:t>4.</w:t>
      </w:r>
      <w:r>
        <w:rPr>
          <w:rFonts w:hint="eastAsia" w:ascii="宋体" w:hAnsi="宋体" w:eastAsia="宋体" w:cs="宋体"/>
          <w:sz w:val="21"/>
          <w:szCs w:val="21"/>
        </w:rPr>
        <w:t xml:space="preserve"> 中标人要建立完善的内部日常巡查考核制度及台账。</w:t>
      </w:r>
    </w:p>
    <w:p>
      <w:pPr>
        <w:pStyle w:val="43"/>
        <w:keepNext w:val="0"/>
        <w:keepLines w:val="0"/>
        <w:pageBreakBefore w:val="0"/>
        <w:kinsoku/>
        <w:wordWrap/>
        <w:overflowPunct/>
        <w:topLinePunct w:val="0"/>
        <w:autoSpaceDN/>
        <w:bidi w:val="0"/>
        <w:spacing w:beforeAutospacing="0" w:afterAutospacing="0" w:line="360" w:lineRule="auto"/>
        <w:ind w:firstLine="560"/>
        <w:textAlignment w:val="auto"/>
        <w:rPr>
          <w:rFonts w:hint="eastAsia" w:ascii="宋体" w:hAnsi="宋体" w:eastAsia="宋体" w:cs="宋体"/>
          <w:sz w:val="21"/>
          <w:szCs w:val="21"/>
        </w:rPr>
      </w:pPr>
      <w:r>
        <w:rPr>
          <w:rFonts w:hint="eastAsia" w:ascii="宋体" w:hAnsi="宋体" w:eastAsia="宋体" w:cs="宋体"/>
          <w:sz w:val="21"/>
          <w:szCs w:val="21"/>
          <w:lang w:eastAsia="zh-CN"/>
        </w:rPr>
        <w:t>5.</w:t>
      </w:r>
      <w:r>
        <w:rPr>
          <w:rFonts w:hint="eastAsia" w:ascii="宋体" w:hAnsi="宋体" w:eastAsia="宋体" w:cs="宋体"/>
          <w:sz w:val="21"/>
          <w:szCs w:val="21"/>
        </w:rPr>
        <w:t>考核情况每月以适当形式公布。</w:t>
      </w:r>
    </w:p>
    <w:p>
      <w:pPr>
        <w:pStyle w:val="43"/>
        <w:keepNext w:val="0"/>
        <w:keepLines w:val="0"/>
        <w:pageBreakBefore w:val="0"/>
        <w:kinsoku/>
        <w:wordWrap/>
        <w:overflowPunct/>
        <w:topLinePunct w:val="0"/>
        <w:autoSpaceDN/>
        <w:bidi w:val="0"/>
        <w:spacing w:beforeAutospacing="0" w:afterAutospacing="0" w:line="360" w:lineRule="auto"/>
        <w:ind w:firstLine="560"/>
        <w:textAlignment w:val="auto"/>
        <w:rPr>
          <w:rFonts w:hint="eastAsia" w:ascii="宋体" w:hAnsi="宋体" w:eastAsia="宋体" w:cs="宋体"/>
          <w:sz w:val="21"/>
          <w:szCs w:val="21"/>
        </w:rPr>
      </w:pPr>
      <w:r>
        <w:rPr>
          <w:rFonts w:hint="eastAsia" w:ascii="宋体" w:hAnsi="宋体" w:eastAsia="宋体" w:cs="宋体"/>
          <w:snapToGrid/>
          <w:sz w:val="21"/>
          <w:szCs w:val="21"/>
        </w:rPr>
        <w:t>6.</w:t>
      </w:r>
      <w:r>
        <w:rPr>
          <w:rFonts w:hint="eastAsia" w:ascii="宋体" w:hAnsi="宋体" w:eastAsia="宋体" w:cs="宋体"/>
          <w:snapToGrid/>
          <w:sz w:val="21"/>
          <w:szCs w:val="21"/>
          <w:lang w:eastAsia="zh-Hans"/>
        </w:rPr>
        <w:t>仙游县税务局物业服务月度</w:t>
      </w:r>
      <w:r>
        <w:rPr>
          <w:rFonts w:hint="eastAsia" w:ascii="宋体" w:hAnsi="宋体" w:eastAsia="宋体" w:cs="宋体"/>
          <w:snapToGrid/>
          <w:sz w:val="21"/>
          <w:szCs w:val="21"/>
        </w:rPr>
        <w:t>检查</w:t>
      </w:r>
      <w:r>
        <w:rPr>
          <w:rFonts w:hint="eastAsia" w:ascii="宋体" w:hAnsi="宋体" w:eastAsia="宋体" w:cs="宋体"/>
          <w:snapToGrid/>
          <w:sz w:val="21"/>
          <w:szCs w:val="21"/>
          <w:lang w:eastAsia="zh-Hans"/>
        </w:rPr>
        <w:t>考评</w:t>
      </w:r>
      <w:r>
        <w:rPr>
          <w:rFonts w:hint="eastAsia" w:ascii="宋体" w:hAnsi="宋体" w:eastAsia="宋体" w:cs="宋体"/>
          <w:snapToGrid/>
          <w:sz w:val="21"/>
          <w:szCs w:val="21"/>
        </w:rPr>
        <w:t>表</w:t>
      </w:r>
      <w:r>
        <w:rPr>
          <w:rFonts w:hint="eastAsia" w:ascii="宋体" w:hAnsi="宋体" w:eastAsia="宋体" w:cs="宋体"/>
          <w:snapToGrid/>
          <w:sz w:val="21"/>
          <w:szCs w:val="21"/>
          <w:lang w:eastAsia="zh-Hans"/>
        </w:rPr>
        <w:t>构成</w:t>
      </w:r>
      <w:r>
        <w:rPr>
          <w:rFonts w:hint="eastAsia" w:ascii="宋体" w:hAnsi="宋体" w:eastAsia="宋体" w:cs="宋体"/>
          <w:sz w:val="21"/>
          <w:szCs w:val="21"/>
        </w:rPr>
        <w:t>如下所示：</w:t>
      </w:r>
    </w:p>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物业服务月度检查考评表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385"/>
        <w:gridCol w:w="851"/>
        <w:gridCol w:w="849"/>
        <w:gridCol w:w="3408"/>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标准内容</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分值</w:t>
            </w:r>
          </w:p>
        </w:tc>
        <w:tc>
          <w:tcPr>
            <w:tcW w:w="498"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得分</w:t>
            </w:r>
          </w:p>
        </w:tc>
        <w:tc>
          <w:tcPr>
            <w:tcW w:w="2003" w:type="pct"/>
            <w:gridSpan w:val="2"/>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评分细则（每项最高扣分以对应项分值为限）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9" w:type="pct"/>
            <w:vMerge w:val="restar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一、基础管理</w:t>
            </w:r>
          </w:p>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（15分）</w:t>
            </w: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1.物业管理是否根据实际情况制定管理制度、突发事件应急流程、各岗位工作标准、考核办法。</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498"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p>
        </w:tc>
        <w:tc>
          <w:tcPr>
            <w:tcW w:w="2003" w:type="pct"/>
            <w:gridSpan w:val="2"/>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每发现一处不完整不符合实际情况扣0.2分。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9" w:type="pct"/>
            <w:vMerge w:val="continue"/>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2.物业管理人员、专业技术人员是否持证上岗，管理、技术、应变、协调能力是否符合岗位要求。</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498"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p>
        </w:tc>
        <w:tc>
          <w:tcPr>
            <w:tcW w:w="2003" w:type="pct"/>
            <w:gridSpan w:val="2"/>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无证上岗，技术水平、处理能力、应变能力、协调能力差，每发现一处扣0.5分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9" w:type="pct"/>
            <w:vMerge w:val="continue"/>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3.物业管理人员是否每月针对自己负责项目拟定改进或培训计划；是否对员工进行上岗前审核、专业培训、各岗位人员配备是否有针对性，员工是否有完整人事及培训档案。</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498"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p>
        </w:tc>
        <w:tc>
          <w:tcPr>
            <w:tcW w:w="2003" w:type="pct"/>
            <w:gridSpan w:val="2"/>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管理人员未拟定改进或培训计划，员工未审核、未培训直接上岗、无完整人事及培训档案、岗位人员配备无针对性，每发现一处扣0.5分。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9" w:type="pct"/>
            <w:vMerge w:val="continue"/>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4.员工统一着装，佩戴标志，作风严谨。</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498"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p>
        </w:tc>
        <w:tc>
          <w:tcPr>
            <w:tcW w:w="2003" w:type="pct"/>
            <w:gridSpan w:val="2"/>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每发现一人不符合规范扣0.5分。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9" w:type="pct"/>
            <w:vMerge w:val="continue"/>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5.是否建立24小时值班电话，处理问题结果是否有回复有记录，是否定期向服务对象发放意见卡，满意率是否达到90﹪。</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498"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p>
        </w:tc>
        <w:tc>
          <w:tcPr>
            <w:tcW w:w="2003" w:type="pct"/>
            <w:gridSpan w:val="2"/>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未建立24小时值班电话、未登记、回复，未发放意见卡扣0.2分；满意率未达到90﹪扣0.5分。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9" w:type="pct"/>
            <w:vMerge w:val="continue"/>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6.是否按合同要求配齐物资设备，不能正常使用的设备是否及时调用或维修、更换。</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498"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p>
        </w:tc>
        <w:tc>
          <w:tcPr>
            <w:tcW w:w="2003" w:type="pct"/>
            <w:gridSpan w:val="2"/>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各设备未配齐缺少一件扣1分；设备不能正常使用又未维修或更换的，每延迟1天扣1分。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9" w:type="pct"/>
            <w:vMerge w:val="continue"/>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7.是否按合同要求配齐人员、每月人员变化是否及时向甲方报备，新招聘人员上岗是否经甲方同意等问题。</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498"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p>
        </w:tc>
        <w:tc>
          <w:tcPr>
            <w:tcW w:w="2003" w:type="pct"/>
            <w:gridSpan w:val="2"/>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一般问题发现一次扣1分；各岗位人员未配齐缺少一位扣1分；人员变化无报备、人员上岗未经同意每发现一处扣1分。备注：管理分不够扣直接从各相应问题项目中扣除。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9" w:type="pct"/>
            <w:vMerge w:val="restar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二、环境卫生管理</w:t>
            </w:r>
          </w:p>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（35分）</w:t>
            </w: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1.清洁卫生实行责任制，有明确的责任范围，实行标准化保洁。</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498"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p>
        </w:tc>
        <w:tc>
          <w:tcPr>
            <w:tcW w:w="2003" w:type="pct"/>
            <w:gridSpan w:val="2"/>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未实行责任制，无责任范围的扣0.5分；未实行标准化保洁的扣0.5分。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9" w:type="pct"/>
            <w:vMerge w:val="continue"/>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2.环卫设备完备，垃圾箱、果皮箱设备完好</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498" w:type="pct"/>
            <w:noWrap/>
            <w:vAlign w:val="center"/>
          </w:tcPr>
          <w:p>
            <w:pPr>
              <w:keepNext w:val="0"/>
              <w:keepLines w:val="0"/>
              <w:pageBreakBefore w:val="0"/>
              <w:kinsoku/>
              <w:wordWrap/>
              <w:overflowPunct/>
              <w:topLinePunct w:val="0"/>
              <w:autoSpaceDN/>
              <w:bidi w:val="0"/>
              <w:spacing w:beforeAutospacing="0" w:afterAutospacing="0" w:line="360" w:lineRule="auto"/>
              <w:ind w:firstLine="210" w:firstLineChars="100"/>
              <w:jc w:val="center"/>
              <w:textAlignment w:val="auto"/>
              <w:rPr>
                <w:rFonts w:hint="eastAsia" w:ascii="宋体" w:hAnsi="宋体" w:eastAsia="宋体" w:cs="宋体"/>
                <w:sz w:val="21"/>
                <w:szCs w:val="21"/>
              </w:rPr>
            </w:pPr>
          </w:p>
        </w:tc>
        <w:tc>
          <w:tcPr>
            <w:tcW w:w="2003" w:type="pct"/>
            <w:gridSpan w:val="2"/>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每发现一处不符合扣0.1分。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9" w:type="pct"/>
            <w:vMerge w:val="continue"/>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3.每天上班时间前30分钟各完成一次保洁，其他时间实现动态保洁。</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498"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p>
        </w:tc>
        <w:tc>
          <w:tcPr>
            <w:tcW w:w="2003" w:type="pct"/>
            <w:gridSpan w:val="2"/>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每发现一处不符合扣0.1分。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9" w:type="pct"/>
            <w:vMerge w:val="continue"/>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4.所有保洁区域保洁工作符合各区域标准要求（包括屋顶等）。</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498"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p>
        </w:tc>
        <w:tc>
          <w:tcPr>
            <w:tcW w:w="2003" w:type="pct"/>
            <w:gridSpan w:val="2"/>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每发现一处不符合扣0.2分。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9" w:type="pct"/>
            <w:vMerge w:val="continue"/>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5.垃圾日产日清，定期进行卫生消毒灭杀。</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498"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p>
        </w:tc>
        <w:tc>
          <w:tcPr>
            <w:tcW w:w="2003" w:type="pct"/>
            <w:gridSpan w:val="2"/>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每发现一处垃圾扣0.5分；未达到垃圾日产日清的扣1分；未定期进行卫生消毒灭杀扣1分。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9" w:type="pct"/>
            <w:vMerge w:val="continue"/>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6.共用部位保持清洁，无乱贴、乱画，无擅自占用和堆放杂物现象。</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498"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p>
        </w:tc>
        <w:tc>
          <w:tcPr>
            <w:tcW w:w="2003" w:type="pct"/>
            <w:gridSpan w:val="2"/>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每发现一处不符合扣0.5分。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9" w:type="pct"/>
            <w:vMerge w:val="continue"/>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7.按规定要求保洁人员在岗在位。保洁作业人员按规定穿工作服和佩带工作证，遵守劳动纪律，不擅自离（脱）岗，不与人闲谈。</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498"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p>
        </w:tc>
        <w:tc>
          <w:tcPr>
            <w:tcW w:w="2003" w:type="pct"/>
            <w:gridSpan w:val="2"/>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保洁人员脱岗发现一处扣1分；发现未按规定穿着和佩带的每项每人每次扣0.2分；发现违反劳动纪律情况的每项每人每次扣0.2分。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9" w:type="pct"/>
            <w:vMerge w:val="continue"/>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8.无发生因物业方面问题而造成的影响较大的环境卫生问题。</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498"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p>
        </w:tc>
        <w:tc>
          <w:tcPr>
            <w:tcW w:w="2003" w:type="pct"/>
            <w:gridSpan w:val="2"/>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发现或有人举报、投诉环境卫生出现问题的，经查实确系物业方面问题而造成的，一般性问题扣0.2分；多次出现同一问题扣1分</w:t>
            </w:r>
            <w:r>
              <w:rPr>
                <w:rFonts w:hint="eastAsia" w:ascii="宋体" w:hAnsi="宋体" w:eastAsia="宋体" w:cs="宋体"/>
                <w:sz w:val="21"/>
                <w:szCs w:val="21"/>
                <w:lang w:eastAsia="zh-CN"/>
              </w:rPr>
              <w:t>；</w:t>
            </w:r>
            <w:r>
              <w:rPr>
                <w:rFonts w:hint="eastAsia" w:ascii="宋体" w:hAnsi="宋体" w:eastAsia="宋体" w:cs="宋体"/>
                <w:sz w:val="21"/>
                <w:szCs w:val="21"/>
              </w:rPr>
              <w:t>影响办公环境、造成上级检查评优扣分整改的扣2分。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9" w:type="pct"/>
            <w:vMerge w:val="continue"/>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9.日常管理</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498"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p>
        </w:tc>
        <w:tc>
          <w:tcPr>
            <w:tcW w:w="2003" w:type="pct"/>
            <w:gridSpan w:val="2"/>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1、公共部位空调、灯光开、关情况；</w:t>
            </w:r>
          </w:p>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2、卫生间水龙头开、关情况；</w:t>
            </w:r>
          </w:p>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3、室外绿化管理情况；</w:t>
            </w:r>
          </w:p>
          <w:p>
            <w:pPr>
              <w:keepNext w:val="0"/>
              <w:keepLines w:val="0"/>
              <w:pageBreakBefore w:val="0"/>
              <w:kinsoku/>
              <w:wordWrap/>
              <w:overflowPunct/>
              <w:topLinePunct w:val="0"/>
              <w:autoSpaceDN/>
              <w:bidi w:val="0"/>
              <w:spacing w:beforeAutospacing="0" w:afterAutospacing="0" w:line="360" w:lineRule="auto"/>
              <w:textAlignment w:val="auto"/>
              <w:rPr>
                <w:rFonts w:hint="eastAsia" w:ascii="宋体" w:hAnsi="宋体" w:eastAsia="宋体" w:cs="宋体"/>
                <w:sz w:val="21"/>
                <w:szCs w:val="21"/>
              </w:rPr>
            </w:pPr>
            <w:r>
              <w:rPr>
                <w:rFonts w:hint="eastAsia" w:ascii="宋体" w:hAnsi="宋体" w:eastAsia="宋体" w:cs="宋体"/>
                <w:sz w:val="21"/>
                <w:szCs w:val="21"/>
              </w:rPr>
              <w:t>4、分局股室对物业管理是否有投诉</w:t>
            </w:r>
          </w:p>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经查有违上述规定的每次扣1分；情节严重，造成资产能耗损失超过500元</w:t>
            </w:r>
            <w:r>
              <w:rPr>
                <w:rFonts w:hint="eastAsia" w:ascii="宋体" w:hAnsi="宋体" w:eastAsia="宋体" w:cs="宋体"/>
                <w:sz w:val="21"/>
                <w:szCs w:val="21"/>
                <w:lang w:eastAsia="zh-CN"/>
              </w:rPr>
              <w:t>，</w:t>
            </w:r>
            <w:r>
              <w:rPr>
                <w:rFonts w:hint="eastAsia" w:ascii="宋体" w:hAnsi="宋体" w:eastAsia="宋体" w:cs="宋体"/>
                <w:sz w:val="21"/>
                <w:szCs w:val="21"/>
              </w:rPr>
              <w:t>分局股室投诉未及时处理的加倍扣分。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9" w:type="pct"/>
            <w:vMerge w:val="restar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三、安保安防</w:t>
            </w:r>
          </w:p>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r>
              <w:rPr>
                <w:rStyle w:val="78"/>
                <w:rFonts w:hint="eastAsia" w:ascii="宋体" w:hAnsi="宋体" w:eastAsia="宋体" w:cs="宋体"/>
                <w:sz w:val="21"/>
                <w:szCs w:val="21"/>
              </w:rPr>
              <w:t>（15分）</w:t>
            </w: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Style w:val="78"/>
                <w:rFonts w:hint="eastAsia" w:ascii="宋体" w:hAnsi="宋体" w:eastAsia="宋体" w:cs="宋体"/>
                <w:sz w:val="21"/>
                <w:szCs w:val="21"/>
              </w:rPr>
              <w:t>1.日常安全防范管理</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r>
              <w:rPr>
                <w:rStyle w:val="78"/>
                <w:rFonts w:hint="eastAsia" w:ascii="宋体" w:hAnsi="宋体" w:eastAsia="宋体" w:cs="宋体"/>
                <w:sz w:val="21"/>
                <w:szCs w:val="21"/>
              </w:rPr>
              <w:t>5</w:t>
            </w:r>
          </w:p>
        </w:tc>
        <w:tc>
          <w:tcPr>
            <w:tcW w:w="498"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p>
        </w:tc>
        <w:tc>
          <w:tcPr>
            <w:tcW w:w="2003" w:type="pct"/>
            <w:gridSpan w:val="2"/>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Style w:val="78"/>
                <w:rFonts w:hint="eastAsia" w:ascii="宋体" w:hAnsi="宋体" w:eastAsia="宋体" w:cs="宋体"/>
                <w:sz w:val="21"/>
                <w:szCs w:val="21"/>
              </w:rPr>
              <w:t>24小时值班。为确保安全，明确职责，规范管理，便于监管，实行秩序维护（保安）工作日志记录；值班人员进行工作日记记录；消防控制、闭路监控状况记录；便于监督和控制。</w:t>
            </w:r>
            <w:r>
              <w:rPr>
                <w:rFonts w:hint="eastAsia" w:ascii="宋体" w:hAnsi="宋体" w:eastAsia="宋体" w:cs="宋体"/>
                <w:sz w:val="21"/>
                <w:szCs w:val="21"/>
              </w:rPr>
              <w:t>发现问题正确分析、果断决定、及时报告。</w:t>
            </w:r>
            <w:r>
              <w:rPr>
                <w:rStyle w:val="78"/>
                <w:rFonts w:hint="eastAsia" w:ascii="宋体" w:hAnsi="宋体" w:eastAsia="宋体" w:cs="宋体"/>
                <w:sz w:val="21"/>
                <w:szCs w:val="21"/>
              </w:rPr>
              <w:t>有违规的每次扣0.5-1分</w:t>
            </w:r>
            <w:r>
              <w:rPr>
                <w:rStyle w:val="78"/>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9" w:type="pct"/>
            <w:vMerge w:val="continue"/>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Fonts w:hint="eastAsia" w:ascii="宋体" w:hAnsi="宋体" w:eastAsia="宋体" w:cs="宋体"/>
                <w:sz w:val="21"/>
                <w:szCs w:val="21"/>
              </w:rPr>
            </w:pPr>
            <w:r>
              <w:rPr>
                <w:rStyle w:val="78"/>
                <w:rFonts w:hint="eastAsia" w:ascii="宋体" w:hAnsi="宋体" w:eastAsia="宋体" w:cs="宋体"/>
                <w:sz w:val="21"/>
                <w:szCs w:val="21"/>
              </w:rPr>
              <w:t>2.日常人员来访查询、车辆登记。</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r>
              <w:rPr>
                <w:rStyle w:val="78"/>
                <w:rFonts w:hint="eastAsia" w:ascii="宋体" w:hAnsi="宋体" w:eastAsia="宋体" w:cs="宋体"/>
                <w:sz w:val="21"/>
                <w:szCs w:val="21"/>
              </w:rPr>
              <w:t>2</w:t>
            </w:r>
          </w:p>
        </w:tc>
        <w:tc>
          <w:tcPr>
            <w:tcW w:w="498"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p>
        </w:tc>
        <w:tc>
          <w:tcPr>
            <w:tcW w:w="2003" w:type="pct"/>
            <w:gridSpan w:val="2"/>
            <w:noWrap/>
            <w:vAlign w:val="center"/>
          </w:tcPr>
          <w:p>
            <w:pPr>
              <w:spacing w:line="360" w:lineRule="auto"/>
              <w:jc w:val="left"/>
              <w:rPr>
                <w:rFonts w:hint="eastAsia" w:ascii="宋体" w:hAnsi="宋体" w:eastAsia="宋体" w:cs="宋体"/>
                <w:sz w:val="21"/>
                <w:szCs w:val="21"/>
              </w:rPr>
            </w:pPr>
            <w:r>
              <w:rPr>
                <w:rStyle w:val="78"/>
                <w:rFonts w:hint="eastAsia" w:ascii="宋体" w:hAnsi="宋体" w:eastAsia="宋体" w:cs="宋体"/>
                <w:sz w:val="21"/>
                <w:szCs w:val="21"/>
              </w:rPr>
              <w:t>车辆出入登记, 疏导车辆，管理有序，排列整齐，机动车辆出入有登记；非机动车车辆按规定位置停放；每天巡查辖区内道路，确保道路通畅，路面平整；井盖无缺损、无丢失，路面井盖不影响车辆和行人通行。有违规的每次扣0.5-1分；</w:t>
            </w:r>
            <w:r>
              <w:rPr>
                <w:rFonts w:hint="eastAsia" w:ascii="宋体" w:hAnsi="宋体" w:eastAsia="宋体" w:cs="宋体"/>
                <w:sz w:val="21"/>
                <w:szCs w:val="21"/>
              </w:rPr>
              <w:t>影响办公环境、造成上级检查评优扣分整改的扣2分。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4" w:type="pct"/>
          <w:trHeight w:val="567" w:hRule="atLeast"/>
          <w:jc w:val="center"/>
        </w:trPr>
        <w:tc>
          <w:tcPr>
            <w:tcW w:w="599" w:type="pct"/>
            <w:vMerge w:val="continue"/>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Style w:val="78"/>
                <w:rFonts w:hint="eastAsia" w:ascii="宋体" w:hAnsi="宋体" w:eastAsia="宋体" w:cs="宋体"/>
                <w:sz w:val="21"/>
                <w:szCs w:val="21"/>
              </w:rPr>
            </w:pP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3.个人快件物品登记。</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2</w:t>
            </w:r>
          </w:p>
        </w:tc>
        <w:tc>
          <w:tcPr>
            <w:tcW w:w="498" w:type="pct"/>
            <w:noWrap w:val="0"/>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p>
        </w:tc>
        <w:tc>
          <w:tcPr>
            <w:tcW w:w="19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及时办理物品物件的收发，不得丢失或非法侵占，否则每次扣1－2分；</w:t>
            </w:r>
            <w:r>
              <w:rPr>
                <w:rFonts w:hint="eastAsia" w:ascii="宋体" w:hAnsi="宋体" w:eastAsia="宋体" w:cs="宋体"/>
                <w:sz w:val="21"/>
                <w:szCs w:val="21"/>
              </w:rPr>
              <w:t>情节严重，造成</w:t>
            </w:r>
            <w:r>
              <w:rPr>
                <w:rFonts w:hint="eastAsia" w:ascii="宋体" w:hAnsi="宋体" w:eastAsia="宋体" w:cs="宋体"/>
                <w:sz w:val="21"/>
                <w:szCs w:val="21"/>
                <w:lang w:eastAsia="zh-CN"/>
              </w:rPr>
              <w:t>财产</w:t>
            </w:r>
            <w:r>
              <w:rPr>
                <w:rFonts w:hint="eastAsia" w:ascii="宋体" w:hAnsi="宋体" w:eastAsia="宋体" w:cs="宋体"/>
                <w:sz w:val="21"/>
                <w:szCs w:val="21"/>
              </w:rPr>
              <w:t>能耗损失超过</w:t>
            </w:r>
            <w:r>
              <w:rPr>
                <w:rFonts w:hint="eastAsia" w:ascii="宋体" w:hAnsi="宋体" w:eastAsia="宋体" w:cs="宋体"/>
                <w:sz w:val="21"/>
                <w:szCs w:val="21"/>
                <w:lang w:val="en-US" w:eastAsia="zh-CN"/>
              </w:rPr>
              <w:t>20</w:t>
            </w:r>
            <w:r>
              <w:rPr>
                <w:rFonts w:hint="eastAsia" w:ascii="宋体" w:hAnsi="宋体" w:eastAsia="宋体" w:cs="宋体"/>
                <w:sz w:val="21"/>
                <w:szCs w:val="21"/>
              </w:rPr>
              <w:t>00元</w:t>
            </w:r>
            <w:r>
              <w:rPr>
                <w:rFonts w:hint="eastAsia" w:ascii="宋体" w:hAnsi="宋体" w:eastAsia="宋体" w:cs="宋体"/>
                <w:sz w:val="21"/>
                <w:szCs w:val="21"/>
                <w:lang w:eastAsia="zh-CN"/>
              </w:rPr>
              <w:t>的</w:t>
            </w:r>
            <w:r>
              <w:rPr>
                <w:rStyle w:val="78"/>
                <w:rFonts w:hint="eastAsia" w:ascii="宋体" w:hAnsi="宋体" w:eastAsia="宋体" w:cs="宋体"/>
                <w:sz w:val="21"/>
                <w:szCs w:val="21"/>
              </w:rPr>
              <w:t>给予辞退；造成损失的应承担赔偿责任。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4" w:type="pct"/>
          <w:trHeight w:val="567" w:hRule="atLeast"/>
          <w:jc w:val="center"/>
        </w:trPr>
        <w:tc>
          <w:tcPr>
            <w:tcW w:w="599" w:type="pct"/>
            <w:vMerge w:val="continue"/>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Style w:val="78"/>
                <w:rFonts w:hint="eastAsia" w:ascii="宋体" w:hAnsi="宋体" w:eastAsia="宋体" w:cs="宋体"/>
                <w:sz w:val="21"/>
                <w:szCs w:val="21"/>
              </w:rPr>
            </w:pP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4.报警系统管理、处置。</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2</w:t>
            </w:r>
          </w:p>
        </w:tc>
        <w:tc>
          <w:tcPr>
            <w:tcW w:w="498" w:type="pct"/>
            <w:noWrap w:val="0"/>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p>
        </w:tc>
        <w:tc>
          <w:tcPr>
            <w:tcW w:w="19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24小时消防控制值班,立足监控、安技等设施对辖区进行监控，发现问题及时处置。有违规的每次扣0.5-1分；</w:t>
            </w:r>
            <w:r>
              <w:rPr>
                <w:rFonts w:hint="eastAsia" w:ascii="宋体" w:hAnsi="宋体" w:eastAsia="宋体" w:cs="宋体"/>
                <w:sz w:val="21"/>
                <w:szCs w:val="21"/>
              </w:rPr>
              <w:t>情节严重，造成资产能耗损失超过500元</w:t>
            </w:r>
            <w:r>
              <w:rPr>
                <w:rFonts w:hint="eastAsia" w:ascii="宋体" w:hAnsi="宋体" w:eastAsia="宋体" w:cs="宋体"/>
                <w:sz w:val="21"/>
                <w:szCs w:val="21"/>
                <w:lang w:eastAsia="zh-CN"/>
              </w:rPr>
              <w:t>的</w:t>
            </w:r>
            <w:r>
              <w:rPr>
                <w:rStyle w:val="78"/>
                <w:rFonts w:hint="eastAsia" w:ascii="宋体" w:hAnsi="宋体" w:eastAsia="宋体" w:cs="宋体"/>
                <w:sz w:val="21"/>
                <w:szCs w:val="21"/>
              </w:rPr>
              <w:t>加倍扣分。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4" w:type="pct"/>
          <w:trHeight w:val="567" w:hRule="atLeast"/>
          <w:jc w:val="center"/>
        </w:trPr>
        <w:tc>
          <w:tcPr>
            <w:tcW w:w="599" w:type="pct"/>
            <w:vMerge w:val="continue"/>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Style w:val="78"/>
                <w:rFonts w:hint="eastAsia" w:ascii="宋体" w:hAnsi="宋体" w:eastAsia="宋体" w:cs="宋体"/>
                <w:sz w:val="21"/>
                <w:szCs w:val="21"/>
              </w:rPr>
            </w:pP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5.异常情况应急情况处理。</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2</w:t>
            </w:r>
          </w:p>
        </w:tc>
        <w:tc>
          <w:tcPr>
            <w:tcW w:w="498" w:type="pct"/>
            <w:noWrap w:val="0"/>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p>
        </w:tc>
        <w:tc>
          <w:tcPr>
            <w:tcW w:w="19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全体管理人员及秩序维护（保安）人员掌握消防设施、器材的使用方法和防火、灭火常识，并能及时处理各种问题。有违规的每次扣0.5-1分</w:t>
            </w:r>
            <w:r>
              <w:rPr>
                <w:rStyle w:val="78"/>
                <w:rFonts w:hint="eastAsia" w:ascii="宋体" w:hAnsi="宋体" w:eastAsia="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4" w:type="pct"/>
          <w:trHeight w:val="567" w:hRule="atLeast"/>
          <w:jc w:val="center"/>
        </w:trPr>
        <w:tc>
          <w:tcPr>
            <w:tcW w:w="599" w:type="pct"/>
            <w:vMerge w:val="continue"/>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Style w:val="78"/>
                <w:rFonts w:hint="eastAsia" w:ascii="宋体" w:hAnsi="宋体" w:eastAsia="宋体" w:cs="宋体"/>
                <w:sz w:val="21"/>
                <w:szCs w:val="21"/>
              </w:rPr>
            </w:pP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6.日常巡查制度。</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2</w:t>
            </w:r>
          </w:p>
        </w:tc>
        <w:tc>
          <w:tcPr>
            <w:tcW w:w="498" w:type="pct"/>
            <w:noWrap w:val="0"/>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p>
        </w:tc>
        <w:tc>
          <w:tcPr>
            <w:tcW w:w="19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巡视照明设施、引路标志、紧急疏散通道有否畅通无阻；查看楼内下班时间是否还有无关人员滞留。有违规的每次扣0.5-1分。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4" w:type="pct"/>
          <w:trHeight w:val="567" w:hRule="atLeast"/>
          <w:jc w:val="center"/>
        </w:trPr>
        <w:tc>
          <w:tcPr>
            <w:tcW w:w="599" w:type="pct"/>
            <w:vMerge w:val="restar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四、接待室、客房及会务等管理</w:t>
            </w:r>
          </w:p>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（10分）</w:t>
            </w: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Style w:val="78"/>
                <w:rFonts w:hint="eastAsia" w:ascii="宋体" w:hAnsi="宋体" w:eastAsia="宋体" w:cs="宋体"/>
                <w:sz w:val="21"/>
                <w:szCs w:val="21"/>
              </w:rPr>
            </w:pPr>
            <w:r>
              <w:rPr>
                <w:rFonts w:hint="eastAsia" w:ascii="宋体" w:hAnsi="宋体" w:eastAsia="宋体" w:cs="宋体"/>
                <w:sz w:val="21"/>
                <w:szCs w:val="21"/>
              </w:rPr>
              <w:t>1.接待室、客房卫生和会务服务</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7</w:t>
            </w:r>
          </w:p>
        </w:tc>
        <w:tc>
          <w:tcPr>
            <w:tcW w:w="498" w:type="pct"/>
            <w:noWrap w:val="0"/>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p>
        </w:tc>
        <w:tc>
          <w:tcPr>
            <w:tcW w:w="19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Style w:val="78"/>
                <w:rFonts w:hint="eastAsia" w:ascii="宋体" w:hAnsi="宋体" w:eastAsia="宋体" w:cs="宋体"/>
                <w:sz w:val="21"/>
                <w:szCs w:val="21"/>
              </w:rPr>
            </w:pPr>
            <w:r>
              <w:rPr>
                <w:rFonts w:hint="eastAsia" w:ascii="宋体" w:hAnsi="宋体" w:eastAsia="宋体" w:cs="宋体"/>
                <w:sz w:val="21"/>
                <w:szCs w:val="21"/>
              </w:rPr>
              <w:t>1、物品、设施设备要求表面平整、光亮、无异味、无损坏、无抹痕，摆放整齐有序的，否则每处扣0.2－0.5分；2、凡属周期性卫生清理工作，因到期没有清理形成卫生死角的，每次扣0.5分；3、个人卫生违反规定的，每次扣0.5分；4、其他违规行为每次扣0.2－0.5分。5、会务服务：服务人员应提前做好各项准备工作，会议进行中保持待命，根据会议规模、时长等及时提供较好的会务服务，否则每次扣0.5－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4" w:type="pct"/>
          <w:trHeight w:val="567" w:hRule="atLeast"/>
          <w:jc w:val="center"/>
        </w:trPr>
        <w:tc>
          <w:tcPr>
            <w:tcW w:w="599" w:type="pct"/>
            <w:vMerge w:val="continue"/>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Style w:val="78"/>
                <w:rFonts w:hint="eastAsia" w:ascii="宋体" w:hAnsi="宋体" w:eastAsia="宋体" w:cs="宋体"/>
                <w:sz w:val="21"/>
                <w:szCs w:val="21"/>
              </w:rPr>
            </w:pPr>
            <w:r>
              <w:rPr>
                <w:rFonts w:hint="eastAsia" w:ascii="宋体" w:hAnsi="宋体" w:eastAsia="宋体" w:cs="宋体"/>
                <w:sz w:val="21"/>
                <w:szCs w:val="21"/>
              </w:rPr>
              <w:t>2.服务态度</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3</w:t>
            </w:r>
          </w:p>
        </w:tc>
        <w:tc>
          <w:tcPr>
            <w:tcW w:w="498" w:type="pct"/>
            <w:noWrap w:val="0"/>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Fonts w:hint="eastAsia" w:ascii="宋体" w:hAnsi="宋体" w:eastAsia="宋体" w:cs="宋体"/>
                <w:sz w:val="21"/>
                <w:szCs w:val="21"/>
              </w:rPr>
            </w:pPr>
          </w:p>
        </w:tc>
        <w:tc>
          <w:tcPr>
            <w:tcW w:w="19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Style w:val="78"/>
                <w:rFonts w:hint="eastAsia" w:ascii="宋体" w:hAnsi="宋体" w:eastAsia="宋体" w:cs="宋体"/>
                <w:sz w:val="21"/>
                <w:szCs w:val="21"/>
              </w:rPr>
            </w:pPr>
            <w:r>
              <w:rPr>
                <w:rFonts w:hint="eastAsia" w:ascii="宋体" w:hAnsi="宋体" w:eastAsia="宋体" w:cs="宋体"/>
                <w:sz w:val="21"/>
                <w:szCs w:val="21"/>
              </w:rPr>
              <w:t>1、是否按规定穿戴整洁得体，操作规范高效，违规者每次扣0.5分；2、是否被投诉、用语是否文明、服务热情主动得体等，有违规的每次扣0.5分。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4" w:type="pct"/>
          <w:trHeight w:val="567" w:hRule="atLeast"/>
          <w:jc w:val="center"/>
        </w:trPr>
        <w:tc>
          <w:tcPr>
            <w:tcW w:w="599" w:type="pct"/>
            <w:vMerge w:val="restar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五、电梯保养</w:t>
            </w:r>
          </w:p>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（7分）</w:t>
            </w: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1.日常维护、保养。</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3</w:t>
            </w:r>
          </w:p>
        </w:tc>
        <w:tc>
          <w:tcPr>
            <w:tcW w:w="498" w:type="pct"/>
            <w:noWrap w:val="0"/>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p>
        </w:tc>
        <w:tc>
          <w:tcPr>
            <w:tcW w:w="19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每月2 次定期对电梯进行调校、检修、注油，润滑、清理工作，同时按附件保养要点和保养标准进行保养，并做好工作日记记录。有违规的每次扣2-3分。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4" w:type="pct"/>
          <w:trHeight w:val="567" w:hRule="atLeast"/>
          <w:jc w:val="center"/>
        </w:trPr>
        <w:tc>
          <w:tcPr>
            <w:tcW w:w="599" w:type="pct"/>
            <w:vMerge w:val="continue"/>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2.应急情况处置</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2</w:t>
            </w:r>
          </w:p>
        </w:tc>
        <w:tc>
          <w:tcPr>
            <w:tcW w:w="498" w:type="pct"/>
            <w:noWrap w:val="0"/>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p>
        </w:tc>
        <w:tc>
          <w:tcPr>
            <w:tcW w:w="19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电梯发生故障，应在30 分钟内赶到现场抢修、脱困，未达到每次扣1－2分。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4" w:type="pct"/>
          <w:trHeight w:val="567" w:hRule="atLeast"/>
          <w:jc w:val="center"/>
        </w:trPr>
        <w:tc>
          <w:tcPr>
            <w:tcW w:w="599" w:type="pct"/>
            <w:vMerge w:val="continue"/>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3.故障排除是否及时。</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2</w:t>
            </w:r>
          </w:p>
        </w:tc>
        <w:tc>
          <w:tcPr>
            <w:tcW w:w="498" w:type="pct"/>
            <w:noWrap w:val="0"/>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p>
        </w:tc>
        <w:tc>
          <w:tcPr>
            <w:tcW w:w="1999" w:type="pct"/>
            <w:noWrap/>
            <w:vAlign w:val="center"/>
          </w:tcPr>
          <w:p>
            <w:pPr>
              <w:keepNext w:val="0"/>
              <w:keepLines w:val="0"/>
              <w:pageBreakBefore w:val="0"/>
              <w:kinsoku/>
              <w:wordWrap/>
              <w:overflowPunct/>
              <w:topLinePunct w:val="0"/>
              <w:autoSpaceDN/>
              <w:bidi w:val="0"/>
              <w:spacing w:beforeAutospacing="0" w:afterAutospacing="0" w:line="360" w:lineRule="auto"/>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一般故障最迟不得超过4 个小时。未达到要求，扣1－2分。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4" w:type="pct"/>
          <w:trHeight w:val="567" w:hRule="atLeast"/>
          <w:jc w:val="center"/>
        </w:trPr>
        <w:tc>
          <w:tcPr>
            <w:tcW w:w="599" w:type="pct"/>
            <w:vMerge w:val="restar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六、消防维保</w:t>
            </w:r>
          </w:p>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（10分）</w:t>
            </w: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日常消防维护管理、处置</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5</w:t>
            </w:r>
          </w:p>
        </w:tc>
        <w:tc>
          <w:tcPr>
            <w:tcW w:w="498" w:type="pct"/>
            <w:noWrap w:val="0"/>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p>
        </w:tc>
        <w:tc>
          <w:tcPr>
            <w:tcW w:w="19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建立日常防火检查制度，每周一次检查消防系统设施设备是否齐全，每月检查维护一次，及时发现并消除火灾安全隐患，确保消防设施齐全、完好，标识完整，可随时启用；巡视照明设施、引路标志、紧急疏散通道有否畅通无阻；安保人员应掌握消防设施设备的使用方法并能及时处理各种问题；组织开展消防法规及消防知识的宣传教育，建立义务消防队，制订火灾应急方案；每年举行二次消防演习，增强应急技能、提高</w:t>
            </w:r>
            <w:r>
              <w:rPr>
                <w:rFonts w:hint="eastAsia" w:ascii="宋体" w:hAnsi="宋体" w:eastAsia="宋体" w:cs="宋体"/>
                <w:sz w:val="21"/>
                <w:szCs w:val="21"/>
              </w:rPr>
              <w:t>采购人</w:t>
            </w:r>
            <w:r>
              <w:rPr>
                <w:rStyle w:val="78"/>
                <w:rFonts w:hint="eastAsia" w:ascii="宋体" w:hAnsi="宋体" w:eastAsia="宋体" w:cs="宋体"/>
                <w:sz w:val="21"/>
                <w:szCs w:val="21"/>
              </w:rPr>
              <w:t>消防意识，并做好工作日记记录。有违规的每次扣2-3分。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4" w:type="pct"/>
          <w:trHeight w:val="567" w:hRule="atLeast"/>
          <w:jc w:val="center"/>
        </w:trPr>
        <w:tc>
          <w:tcPr>
            <w:tcW w:w="599" w:type="pct"/>
            <w:vMerge w:val="continue"/>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故障排除是否及时</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2</w:t>
            </w:r>
          </w:p>
        </w:tc>
        <w:tc>
          <w:tcPr>
            <w:tcW w:w="498" w:type="pct"/>
            <w:noWrap w:val="0"/>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p>
        </w:tc>
        <w:tc>
          <w:tcPr>
            <w:tcW w:w="1999" w:type="pct"/>
            <w:noWrap/>
            <w:vAlign w:val="center"/>
          </w:tcPr>
          <w:p>
            <w:pPr>
              <w:keepNext w:val="0"/>
              <w:keepLines w:val="0"/>
              <w:pageBreakBefore w:val="0"/>
              <w:kinsoku/>
              <w:wordWrap/>
              <w:overflowPunct/>
              <w:topLinePunct w:val="0"/>
              <w:autoSpaceDN/>
              <w:bidi w:val="0"/>
              <w:spacing w:beforeAutospacing="0" w:afterAutospacing="0" w:line="360" w:lineRule="auto"/>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1、定期进行消防安全检查，及时清除消防通道，消除区域内的火险隐患。</w:t>
            </w:r>
          </w:p>
          <w:p>
            <w:pPr>
              <w:keepNext w:val="0"/>
              <w:keepLines w:val="0"/>
              <w:pageBreakBefore w:val="0"/>
              <w:kinsoku/>
              <w:wordWrap/>
              <w:overflowPunct/>
              <w:topLinePunct w:val="0"/>
              <w:autoSpaceDN/>
              <w:bidi w:val="0"/>
              <w:spacing w:beforeAutospacing="0" w:afterAutospacing="0" w:line="360" w:lineRule="auto"/>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2、定期检测消防设施，检查、维护消防灭火器材，做好检查记录，实行责任人制度，确保消防设施、器材时刻处于良好状态。有违规的每次扣0.5-1分。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4" w:type="pct"/>
          <w:trHeight w:val="567" w:hRule="atLeast"/>
          <w:jc w:val="center"/>
        </w:trPr>
        <w:tc>
          <w:tcPr>
            <w:tcW w:w="599" w:type="pct"/>
            <w:vMerge w:val="continue"/>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应急情况处理</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3</w:t>
            </w:r>
          </w:p>
        </w:tc>
        <w:tc>
          <w:tcPr>
            <w:tcW w:w="498" w:type="pct"/>
            <w:noWrap w:val="0"/>
            <w:vAlign w:val="center"/>
          </w:tcPr>
          <w:p>
            <w:pPr>
              <w:pStyle w:val="79"/>
              <w:keepNext w:val="0"/>
              <w:keepLines w:val="0"/>
              <w:pageBreakBefore w:val="0"/>
              <w:widowControl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pacing w:val="-4"/>
                <w:sz w:val="21"/>
                <w:szCs w:val="21"/>
              </w:rPr>
            </w:pPr>
          </w:p>
        </w:tc>
        <w:tc>
          <w:tcPr>
            <w:tcW w:w="1999" w:type="pct"/>
            <w:noWrap/>
            <w:vAlign w:val="center"/>
          </w:tcPr>
          <w:p>
            <w:pPr>
              <w:pStyle w:val="79"/>
              <w:keepNext w:val="0"/>
              <w:keepLines w:val="0"/>
              <w:pageBreakBefore w:val="0"/>
              <w:widowControl w:val="0"/>
              <w:kinsoku/>
              <w:wordWrap/>
              <w:overflowPunct/>
              <w:topLinePunct w:val="0"/>
              <w:autoSpaceDN/>
              <w:bidi w:val="0"/>
              <w:spacing w:beforeAutospacing="0" w:afterAutospacing="0" w:line="360" w:lineRule="auto"/>
              <w:textAlignment w:val="auto"/>
              <w:rPr>
                <w:rStyle w:val="78"/>
                <w:rFonts w:hint="eastAsia" w:ascii="宋体" w:hAnsi="宋体" w:eastAsia="宋体" w:cs="宋体"/>
                <w:sz w:val="21"/>
                <w:szCs w:val="21"/>
              </w:rPr>
            </w:pPr>
            <w:r>
              <w:rPr>
                <w:rStyle w:val="78"/>
                <w:rFonts w:hint="eastAsia" w:ascii="宋体" w:hAnsi="宋体" w:eastAsia="宋体" w:cs="宋体"/>
                <w:spacing w:val="-4"/>
                <w:sz w:val="21"/>
                <w:szCs w:val="21"/>
              </w:rPr>
              <w:t>消防控制中心24小时值班，消防系统设施设备齐全，完好无损，可随时启用；制订突发事件应急方案。</w:t>
            </w:r>
            <w:r>
              <w:rPr>
                <w:rStyle w:val="78"/>
                <w:rFonts w:hint="eastAsia" w:ascii="宋体" w:hAnsi="宋体" w:eastAsia="宋体" w:cs="宋体"/>
                <w:sz w:val="21"/>
                <w:szCs w:val="21"/>
              </w:rPr>
              <w:t>有违规的每次扣0.5-1分。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4" w:type="pct"/>
          <w:trHeight w:val="567" w:hRule="atLeast"/>
          <w:jc w:val="center"/>
        </w:trPr>
        <w:tc>
          <w:tcPr>
            <w:tcW w:w="599" w:type="pct"/>
            <w:vMerge w:val="restar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七、空调维保</w:t>
            </w:r>
          </w:p>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（8分）</w:t>
            </w: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日常维护、保养。</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2</w:t>
            </w:r>
          </w:p>
        </w:tc>
        <w:tc>
          <w:tcPr>
            <w:tcW w:w="498" w:type="pct"/>
            <w:noWrap w:val="0"/>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p>
        </w:tc>
        <w:tc>
          <w:tcPr>
            <w:tcW w:w="19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按要求定期对进行</w:t>
            </w:r>
            <w:bookmarkStart w:id="115" w:name="_GoBack"/>
            <w:bookmarkEnd w:id="115"/>
            <w:r>
              <w:rPr>
                <w:rStyle w:val="78"/>
                <w:rFonts w:hint="eastAsia" w:ascii="宋体" w:hAnsi="宋体" w:eastAsia="宋体" w:cs="宋体"/>
                <w:sz w:val="21"/>
                <w:szCs w:val="21"/>
              </w:rPr>
              <w:t>检修、注油，注液、清理清洁工作，同时按保养要点和保养标准进行保养，并做好工作日记记录。有违规的每次扣0.5-1分。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4" w:type="pct"/>
          <w:trHeight w:val="567" w:hRule="atLeast"/>
          <w:jc w:val="center"/>
        </w:trPr>
        <w:tc>
          <w:tcPr>
            <w:tcW w:w="599" w:type="pct"/>
            <w:vMerge w:val="continue"/>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公共部位空调开、关情况</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2</w:t>
            </w:r>
          </w:p>
        </w:tc>
        <w:tc>
          <w:tcPr>
            <w:tcW w:w="498" w:type="pct"/>
            <w:noWrap w:val="0"/>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p>
        </w:tc>
        <w:tc>
          <w:tcPr>
            <w:tcW w:w="19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及时开、关空调，有违规的每次扣0.5-1分。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4" w:type="pct"/>
          <w:trHeight w:val="567" w:hRule="atLeast"/>
          <w:jc w:val="center"/>
        </w:trPr>
        <w:tc>
          <w:tcPr>
            <w:tcW w:w="599" w:type="pct"/>
            <w:vMerge w:val="continue"/>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故障排除是否及时</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2</w:t>
            </w:r>
          </w:p>
        </w:tc>
        <w:tc>
          <w:tcPr>
            <w:tcW w:w="498" w:type="pct"/>
            <w:noWrap w:val="0"/>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rPr>
            </w:pPr>
          </w:p>
        </w:tc>
        <w:tc>
          <w:tcPr>
            <w:tcW w:w="19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Style w:val="78"/>
                <w:rFonts w:hint="eastAsia" w:ascii="宋体" w:hAnsi="宋体" w:eastAsia="宋体" w:cs="宋体"/>
                <w:sz w:val="21"/>
                <w:szCs w:val="21"/>
              </w:rPr>
            </w:pPr>
            <w:r>
              <w:rPr>
                <w:rStyle w:val="78"/>
                <w:rFonts w:hint="eastAsia" w:ascii="宋体" w:hAnsi="宋体" w:eastAsia="宋体" w:cs="宋体"/>
                <w:sz w:val="21"/>
                <w:szCs w:val="21"/>
              </w:rPr>
              <w:t>定期检查，应及时更换损坏部件，保养期内对突发性的机组故障，接到采购人通知后，应在30分钟内派人到现场，切换备用机组，并在24 小时内予以修复（除订购配件耽误时间外）。有违规的每次扣0.5-1分；</w:t>
            </w:r>
            <w:r>
              <w:rPr>
                <w:rFonts w:hint="eastAsia" w:ascii="宋体" w:hAnsi="宋体" w:eastAsia="宋体" w:cs="宋体"/>
                <w:sz w:val="21"/>
                <w:szCs w:val="21"/>
              </w:rPr>
              <w:t>分局股室投诉未及时处理的加倍扣分</w:t>
            </w:r>
            <w:r>
              <w:rPr>
                <w:rStyle w:val="78"/>
                <w:rFonts w:hint="eastAsia" w:ascii="宋体" w:hAnsi="宋体" w:eastAsia="宋体"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4" w:type="pct"/>
          <w:trHeight w:val="567" w:hRule="atLeast"/>
          <w:jc w:val="center"/>
        </w:trPr>
        <w:tc>
          <w:tcPr>
            <w:tcW w:w="599" w:type="pct"/>
            <w:vMerge w:val="continue"/>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highlight w:val="none"/>
              </w:rPr>
            </w:pPr>
          </w:p>
        </w:tc>
        <w:tc>
          <w:tcPr>
            <w:tcW w:w="13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Style w:val="78"/>
                <w:rFonts w:hint="eastAsia" w:ascii="宋体" w:hAnsi="宋体" w:eastAsia="宋体" w:cs="宋体"/>
                <w:sz w:val="21"/>
                <w:szCs w:val="21"/>
                <w:highlight w:val="none"/>
              </w:rPr>
            </w:pPr>
            <w:r>
              <w:rPr>
                <w:rStyle w:val="78"/>
                <w:rFonts w:hint="eastAsia" w:ascii="宋体" w:hAnsi="宋体" w:eastAsia="宋体" w:cs="宋体"/>
                <w:sz w:val="21"/>
                <w:szCs w:val="21"/>
                <w:highlight w:val="none"/>
              </w:rPr>
              <w:t>应急情况处置</w:t>
            </w:r>
          </w:p>
        </w:tc>
        <w:tc>
          <w:tcPr>
            <w:tcW w:w="499" w:type="pct"/>
            <w:noWrap/>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highlight w:val="none"/>
              </w:rPr>
            </w:pPr>
            <w:r>
              <w:rPr>
                <w:rStyle w:val="78"/>
                <w:rFonts w:hint="eastAsia" w:ascii="宋体" w:hAnsi="宋体" w:eastAsia="宋体" w:cs="宋体"/>
                <w:sz w:val="21"/>
                <w:szCs w:val="21"/>
                <w:highlight w:val="none"/>
              </w:rPr>
              <w:t>2</w:t>
            </w:r>
          </w:p>
        </w:tc>
        <w:tc>
          <w:tcPr>
            <w:tcW w:w="498" w:type="pct"/>
            <w:noWrap w:val="0"/>
            <w:vAlign w:val="center"/>
          </w:tcPr>
          <w:p>
            <w:pPr>
              <w:keepNext w:val="0"/>
              <w:keepLines w:val="0"/>
              <w:pageBreakBefore w:val="0"/>
              <w:kinsoku/>
              <w:wordWrap/>
              <w:overflowPunct/>
              <w:topLinePunct w:val="0"/>
              <w:autoSpaceDN/>
              <w:bidi w:val="0"/>
              <w:spacing w:beforeAutospacing="0" w:afterAutospacing="0" w:line="360" w:lineRule="auto"/>
              <w:jc w:val="center"/>
              <w:textAlignment w:val="auto"/>
              <w:rPr>
                <w:rStyle w:val="78"/>
                <w:rFonts w:hint="eastAsia" w:ascii="宋体" w:hAnsi="宋体" w:eastAsia="宋体" w:cs="宋体"/>
                <w:sz w:val="21"/>
                <w:szCs w:val="21"/>
                <w:highlight w:val="none"/>
              </w:rPr>
            </w:pPr>
          </w:p>
        </w:tc>
        <w:tc>
          <w:tcPr>
            <w:tcW w:w="1999" w:type="pct"/>
            <w:noWrap/>
            <w:vAlign w:val="center"/>
          </w:tcPr>
          <w:p>
            <w:pPr>
              <w:keepNext w:val="0"/>
              <w:keepLines w:val="0"/>
              <w:pageBreakBefore w:val="0"/>
              <w:kinsoku/>
              <w:wordWrap/>
              <w:overflowPunct/>
              <w:topLinePunct w:val="0"/>
              <w:autoSpaceDN/>
              <w:bidi w:val="0"/>
              <w:spacing w:beforeAutospacing="0" w:afterAutospacing="0" w:line="360" w:lineRule="auto"/>
              <w:jc w:val="left"/>
              <w:textAlignment w:val="auto"/>
              <w:rPr>
                <w:rStyle w:val="78"/>
                <w:rFonts w:hint="eastAsia" w:ascii="宋体" w:hAnsi="宋体" w:eastAsia="宋体" w:cs="宋体"/>
                <w:sz w:val="21"/>
                <w:szCs w:val="21"/>
                <w:highlight w:val="none"/>
              </w:rPr>
            </w:pPr>
            <w:r>
              <w:rPr>
                <w:rStyle w:val="78"/>
                <w:rFonts w:hint="eastAsia" w:ascii="宋体" w:hAnsi="宋体" w:eastAsia="宋体" w:cs="宋体"/>
                <w:sz w:val="21"/>
                <w:szCs w:val="21"/>
                <w:highlight w:val="none"/>
              </w:rPr>
              <w:t>有应急处置措施及方案，出现问题能执行到位。有违规的每次扣0.5-1分；影响办公</w:t>
            </w:r>
            <w:r>
              <w:rPr>
                <w:rStyle w:val="78"/>
                <w:rFonts w:hint="eastAsia" w:ascii="宋体" w:hAnsi="宋体" w:eastAsia="宋体" w:cs="宋体"/>
                <w:sz w:val="21"/>
                <w:szCs w:val="21"/>
                <w:highlight w:val="none"/>
                <w:lang w:eastAsia="zh-CN"/>
              </w:rPr>
              <w:t>安全</w:t>
            </w:r>
            <w:r>
              <w:rPr>
                <w:rStyle w:val="78"/>
                <w:rFonts w:hint="eastAsia" w:ascii="宋体" w:hAnsi="宋体" w:eastAsia="宋体" w:cs="宋体"/>
                <w:sz w:val="21"/>
                <w:szCs w:val="21"/>
                <w:highlight w:val="none"/>
              </w:rPr>
              <w:t>、造成</w:t>
            </w:r>
            <w:r>
              <w:rPr>
                <w:rStyle w:val="78"/>
                <w:rFonts w:hint="eastAsia" w:ascii="宋体" w:hAnsi="宋体" w:eastAsia="宋体" w:cs="宋体"/>
                <w:sz w:val="21"/>
                <w:szCs w:val="21"/>
                <w:highlight w:val="none"/>
                <w:lang w:eastAsia="zh-CN"/>
              </w:rPr>
              <w:t>人员伤亡</w:t>
            </w:r>
            <w:r>
              <w:rPr>
                <w:rStyle w:val="78"/>
                <w:rFonts w:hint="eastAsia" w:ascii="宋体" w:hAnsi="宋体" w:eastAsia="宋体" w:cs="宋体"/>
                <w:sz w:val="21"/>
                <w:szCs w:val="21"/>
                <w:highlight w:val="none"/>
              </w:rPr>
              <w:t>的扣2分。</w:t>
            </w:r>
          </w:p>
        </w:tc>
      </w:tr>
    </w:tbl>
    <w:p>
      <w:pPr>
        <w:pStyle w:val="43"/>
        <w:keepNext w:val="0"/>
        <w:keepLines w:val="0"/>
        <w:pageBreakBefore w:val="0"/>
        <w:kinsoku/>
        <w:wordWrap/>
        <w:overflowPunct/>
        <w:topLinePunct w:val="0"/>
        <w:autoSpaceDN/>
        <w:bidi w:val="0"/>
        <w:spacing w:beforeAutospacing="0" w:afterAutospacing="0" w:line="36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以上考评办法为暂行办法，招标结束后，中标</w:t>
      </w:r>
      <w:r>
        <w:rPr>
          <w:rFonts w:hint="eastAsia" w:ascii="宋体" w:hAnsi="宋体" w:eastAsia="宋体" w:cs="宋体"/>
          <w:sz w:val="21"/>
          <w:szCs w:val="21"/>
          <w:highlight w:val="none"/>
          <w:lang w:eastAsia="zh-CN"/>
        </w:rPr>
        <w:t>人</w:t>
      </w:r>
      <w:r>
        <w:rPr>
          <w:rFonts w:hint="eastAsia" w:ascii="宋体" w:hAnsi="宋体" w:eastAsia="宋体" w:cs="宋体"/>
          <w:sz w:val="21"/>
          <w:szCs w:val="21"/>
          <w:highlight w:val="none"/>
        </w:rPr>
        <w:t>必须提出物业管理的具体方案。采购人将根据具体情况，进一步细化考核方案作为考核依据，并在物业管理实际运行过程中进行优化。物业人员经考核不合格的，采购人有权要求进行换人。</w:t>
      </w:r>
    </w:p>
    <w:p>
      <w:pPr>
        <w:pStyle w:val="43"/>
        <w:keepNext w:val="0"/>
        <w:keepLines w:val="0"/>
        <w:pageBreakBefore w:val="0"/>
        <w:kinsoku/>
        <w:wordWrap/>
        <w:overflowPunct/>
        <w:topLinePunct w:val="0"/>
        <w:autoSpaceDN/>
        <w:bidi w:val="0"/>
        <w:spacing w:beforeAutospacing="0" w:afterAutospacing="0" w:line="360" w:lineRule="auto"/>
        <w:ind w:firstLine="560"/>
        <w:textAlignment w:val="auto"/>
        <w:outlineLvl w:val="9"/>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eastAsia="zh-CN"/>
        </w:rPr>
        <w:t>2.</w:t>
      </w:r>
      <w:r>
        <w:rPr>
          <w:rFonts w:hint="eastAsia" w:ascii="宋体" w:hAnsi="宋体" w:eastAsia="宋体" w:cs="宋体"/>
          <w:b/>
          <w:bCs/>
          <w:sz w:val="21"/>
          <w:szCs w:val="21"/>
          <w:highlight w:val="none"/>
        </w:rPr>
        <w:t>考核</w:t>
      </w:r>
      <w:r>
        <w:rPr>
          <w:rFonts w:hint="eastAsia" w:ascii="宋体" w:hAnsi="宋体" w:cs="宋体"/>
          <w:b/>
          <w:bCs/>
          <w:sz w:val="21"/>
          <w:szCs w:val="21"/>
          <w:highlight w:val="none"/>
          <w:lang w:val="en-US" w:eastAsia="zh-CN"/>
        </w:rPr>
        <w:t>标准</w:t>
      </w:r>
    </w:p>
    <w:p>
      <w:pPr>
        <w:pStyle w:val="43"/>
        <w:keepNext w:val="0"/>
        <w:keepLines w:val="0"/>
        <w:pageBreakBefore w:val="0"/>
        <w:kinsoku/>
        <w:wordWrap/>
        <w:overflowPunct/>
        <w:topLinePunct w:val="0"/>
        <w:autoSpaceDN/>
        <w:bidi w:val="0"/>
        <w:spacing w:beforeAutospacing="0" w:afterAutospacing="0" w:line="360" w:lineRule="auto"/>
        <w:ind w:firstLine="56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按</w:t>
      </w:r>
      <w:r>
        <w:rPr>
          <w:rFonts w:hint="eastAsia" w:ascii="宋体" w:hAnsi="宋体" w:eastAsia="宋体" w:cs="宋体"/>
          <w:sz w:val="21"/>
          <w:szCs w:val="21"/>
          <w:highlight w:val="none"/>
        </w:rPr>
        <w:t>月考核百分制</w:t>
      </w:r>
      <w:r>
        <w:rPr>
          <w:rFonts w:hint="eastAsia" w:ascii="宋体" w:hAnsi="宋体" w:eastAsia="宋体" w:cs="宋体"/>
          <w:sz w:val="21"/>
          <w:szCs w:val="21"/>
          <w:highlight w:val="none"/>
          <w:lang w:eastAsia="zh-CN"/>
        </w:rPr>
        <w:t>。</w:t>
      </w:r>
    </w:p>
    <w:p>
      <w:pPr>
        <w:pStyle w:val="43"/>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（1）</w:t>
      </w:r>
      <w:r>
        <w:rPr>
          <w:rFonts w:hint="eastAsia" w:ascii="宋体" w:hAnsi="宋体" w:eastAsia="宋体" w:cs="宋体"/>
          <w:sz w:val="21"/>
          <w:szCs w:val="21"/>
          <w:highlight w:val="none"/>
        </w:rPr>
        <w:t>月考核分为</w:t>
      </w:r>
      <w:r>
        <w:rPr>
          <w:rFonts w:hint="eastAsia" w:ascii="宋体" w:hAnsi="宋体" w:eastAsia="宋体" w:cs="宋体"/>
          <w:sz w:val="21"/>
          <w:szCs w:val="21"/>
          <w:highlight w:val="none"/>
          <w:lang w:eastAsia="zh-CN"/>
        </w:rPr>
        <w:t>90</w:t>
      </w:r>
      <w:r>
        <w:rPr>
          <w:rFonts w:hint="eastAsia" w:ascii="宋体" w:hAnsi="宋体" w:eastAsia="宋体" w:cs="宋体"/>
          <w:sz w:val="21"/>
          <w:szCs w:val="21"/>
          <w:highlight w:val="none"/>
        </w:rPr>
        <w:t>分（含）以上的为</w:t>
      </w:r>
      <w:r>
        <w:rPr>
          <w:rFonts w:hint="eastAsia" w:ascii="宋体" w:hAnsi="宋体" w:eastAsia="宋体" w:cs="宋体"/>
          <w:sz w:val="21"/>
          <w:szCs w:val="21"/>
          <w:highlight w:val="none"/>
          <w:lang w:eastAsia="zh-CN"/>
        </w:rPr>
        <w:t>优秀</w:t>
      </w:r>
      <w:r>
        <w:rPr>
          <w:rFonts w:hint="eastAsia" w:ascii="宋体" w:hAnsi="宋体" w:eastAsia="宋体" w:cs="宋体"/>
          <w:sz w:val="21"/>
          <w:szCs w:val="21"/>
          <w:highlight w:val="none"/>
        </w:rPr>
        <w:t>，全额拨款；</w:t>
      </w:r>
    </w:p>
    <w:p>
      <w:pPr>
        <w:pStyle w:val="43"/>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lang w:eastAsia="zh-CN"/>
        </w:rPr>
        <w:t>（2）</w:t>
      </w:r>
      <w:r>
        <w:rPr>
          <w:rFonts w:hint="eastAsia" w:ascii="宋体" w:hAnsi="宋体" w:eastAsia="宋体" w:cs="宋体"/>
          <w:sz w:val="21"/>
          <w:szCs w:val="21"/>
          <w:highlight w:val="none"/>
        </w:rPr>
        <w:t>月考核分为8</w:t>
      </w:r>
      <w:r>
        <w:rPr>
          <w:rFonts w:hint="eastAsia" w:ascii="宋体" w:hAnsi="宋体" w:eastAsia="宋体" w:cs="宋体"/>
          <w:sz w:val="21"/>
          <w:szCs w:val="21"/>
          <w:highlight w:val="none"/>
          <w:lang w:eastAsia="zh-CN"/>
        </w:rPr>
        <w:t>0</w:t>
      </w:r>
      <w:r>
        <w:rPr>
          <w:rFonts w:hint="eastAsia" w:ascii="宋体" w:hAnsi="宋体" w:eastAsia="宋体" w:cs="宋体"/>
          <w:sz w:val="21"/>
          <w:szCs w:val="21"/>
          <w:highlight w:val="none"/>
        </w:rPr>
        <w:t>分（含</w:t>
      </w:r>
      <w:r>
        <w:rPr>
          <w:rFonts w:hint="eastAsia" w:ascii="宋体" w:hAnsi="宋体" w:eastAsia="宋体" w:cs="宋体"/>
          <w:sz w:val="21"/>
          <w:szCs w:val="21"/>
        </w:rPr>
        <w:t>）—90分以下的为</w:t>
      </w:r>
      <w:r>
        <w:rPr>
          <w:rFonts w:hint="eastAsia" w:ascii="宋体" w:hAnsi="宋体" w:eastAsia="宋体" w:cs="宋体"/>
          <w:sz w:val="21"/>
          <w:szCs w:val="21"/>
          <w:lang w:eastAsia="zh-CN"/>
        </w:rPr>
        <w:t>合格</w:t>
      </w:r>
      <w:r>
        <w:rPr>
          <w:rFonts w:hint="eastAsia" w:ascii="宋体" w:hAnsi="宋体" w:eastAsia="宋体" w:cs="宋体"/>
          <w:sz w:val="21"/>
          <w:szCs w:val="21"/>
        </w:rPr>
        <w:t>，全额拨款；</w:t>
      </w:r>
    </w:p>
    <w:p>
      <w:pPr>
        <w:pStyle w:val="43"/>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（3）</w:t>
      </w:r>
      <w:r>
        <w:rPr>
          <w:rFonts w:hint="eastAsia" w:ascii="宋体" w:hAnsi="宋体" w:eastAsia="宋体" w:cs="宋体"/>
          <w:sz w:val="21"/>
          <w:szCs w:val="21"/>
        </w:rPr>
        <w:t>月考核分数为80分以下的为不合格。在75分- 80分，减扣当月物业管理经费的10%；75分以下的，以所得分数作百分比，按该百分比发放当月物业管理经费；如考核分为70分，百分比为70%，当月物业管理费支付当月物业管理费总额的70%，以此类推。</w:t>
      </w:r>
    </w:p>
    <w:p>
      <w:pPr>
        <w:pStyle w:val="43"/>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w:t>
      </w:r>
      <w:r>
        <w:rPr>
          <w:rFonts w:hint="eastAsia" w:ascii="宋体" w:hAnsi="宋体" w:eastAsia="宋体" w:cs="宋体"/>
          <w:sz w:val="21"/>
          <w:szCs w:val="21"/>
        </w:rPr>
        <w:t>合同期内累计二个月考核分数在75分（含75分）以下的</w:t>
      </w:r>
      <w:r>
        <w:rPr>
          <w:rFonts w:hint="eastAsia" w:ascii="宋体" w:hAnsi="宋体" w:eastAsia="宋体" w:cs="宋体"/>
          <w:sz w:val="21"/>
          <w:szCs w:val="21"/>
          <w:lang w:eastAsia="zh-CN"/>
        </w:rPr>
        <w:t>可</w:t>
      </w:r>
      <w:r>
        <w:rPr>
          <w:rFonts w:hint="eastAsia" w:ascii="宋体" w:hAnsi="宋体" w:eastAsia="宋体" w:cs="宋体"/>
          <w:sz w:val="21"/>
          <w:szCs w:val="21"/>
        </w:rPr>
        <w:t>以解除合同，中标人应同时承担合同违约责任。</w:t>
      </w:r>
    </w:p>
    <w:p>
      <w:pPr>
        <w:pStyle w:val="61"/>
        <w:keepNext w:val="0"/>
        <w:keepLines w:val="0"/>
        <w:pageBreakBefore w:val="0"/>
        <w:kinsoku/>
        <w:wordWrap/>
        <w:overflowPunct/>
        <w:topLinePunct w:val="0"/>
        <w:autoSpaceDN/>
        <w:bidi w:val="0"/>
        <w:spacing w:beforeAutospacing="0" w:afterAutospacing="0" w:line="360" w:lineRule="auto"/>
        <w:ind w:left="0" w:leftChars="0" w:firstLine="420" w:firstLineChars="200"/>
        <w:textAlignment w:val="auto"/>
        <w:rPr>
          <w:rFonts w:hint="eastAsia" w:ascii="宋体" w:hAnsi="宋体" w:eastAsia="宋体" w:cs="宋体"/>
          <w:snapToGrid w:val="0"/>
          <w:sz w:val="21"/>
          <w:szCs w:val="21"/>
          <w:lang w:val="en" w:eastAsia="zh-CN"/>
        </w:rPr>
      </w:pPr>
      <w:r>
        <w:rPr>
          <w:rFonts w:hint="eastAsia" w:ascii="宋体" w:hAnsi="宋体" w:eastAsia="宋体" w:cs="宋体"/>
          <w:snapToGrid w:val="0"/>
          <w:sz w:val="21"/>
          <w:szCs w:val="21"/>
          <w:lang w:val="en" w:eastAsia="zh-CN"/>
        </w:rPr>
        <w:t xml:space="preserve">（二）本项目采购的物业服务时间为二年，合同一年一签；一个服务年度期满后，在满足续签合同的条件下，以第一年的成交金额及服务商务要求续签第二年物业合同。 </w:t>
      </w:r>
    </w:p>
    <w:p>
      <w:pPr>
        <w:pStyle w:val="61"/>
        <w:keepNext w:val="0"/>
        <w:keepLines w:val="0"/>
        <w:pageBreakBefore w:val="0"/>
        <w:kinsoku/>
        <w:wordWrap/>
        <w:overflowPunct/>
        <w:topLinePunct w:val="0"/>
        <w:autoSpaceDN/>
        <w:bidi w:val="0"/>
        <w:spacing w:beforeAutospacing="0" w:afterAutospacing="0" w:line="360" w:lineRule="auto"/>
        <w:ind w:left="0" w:leftChars="0" w:firstLine="420" w:firstLineChars="200"/>
        <w:textAlignment w:val="auto"/>
        <w:rPr>
          <w:rFonts w:hint="eastAsia" w:ascii="宋体" w:hAnsi="宋体" w:eastAsia="宋体" w:cs="宋体"/>
          <w:snapToGrid w:val="0"/>
          <w:sz w:val="21"/>
          <w:szCs w:val="21"/>
          <w:lang w:val="en" w:eastAsia="zh-CN"/>
        </w:rPr>
      </w:pPr>
      <w:r>
        <w:rPr>
          <w:rFonts w:hint="eastAsia" w:ascii="宋体" w:hAnsi="宋体" w:eastAsia="宋体" w:cs="宋体"/>
          <w:snapToGrid w:val="0"/>
          <w:sz w:val="21"/>
          <w:szCs w:val="21"/>
          <w:lang w:val="en" w:eastAsia="zh-CN"/>
        </w:rPr>
        <w:t>（三）根据招标文件、中标人投标文件及合同约定进行验收/考核。</w:t>
      </w:r>
    </w:p>
    <w:p>
      <w:pPr>
        <w:pStyle w:val="61"/>
        <w:keepNext w:val="0"/>
        <w:keepLines w:val="0"/>
        <w:pageBreakBefore w:val="0"/>
        <w:kinsoku/>
        <w:wordWrap/>
        <w:overflowPunct/>
        <w:topLinePunct w:val="0"/>
        <w:autoSpaceDN/>
        <w:bidi w:val="0"/>
        <w:spacing w:beforeAutospacing="0" w:afterAutospacing="0" w:line="360" w:lineRule="auto"/>
        <w:ind w:firstLine="560"/>
        <w:textAlignment w:val="auto"/>
        <w:outlineLvl w:val="1"/>
        <w:rPr>
          <w:rFonts w:hint="eastAsia" w:ascii="宋体" w:hAnsi="宋体" w:eastAsia="宋体" w:cs="宋体"/>
          <w:b/>
          <w:bCs/>
          <w:sz w:val="21"/>
          <w:szCs w:val="21"/>
          <w:lang w:val="en" w:eastAsia="zh-CN"/>
        </w:rPr>
      </w:pPr>
      <w:r>
        <w:rPr>
          <w:rFonts w:hint="eastAsia" w:ascii="宋体" w:hAnsi="宋体" w:eastAsia="宋体" w:cs="宋体"/>
          <w:b/>
          <w:bCs/>
          <w:sz w:val="21"/>
          <w:szCs w:val="21"/>
          <w:lang w:val="en-US" w:eastAsia="zh-CN"/>
        </w:rPr>
        <w:t>六</w:t>
      </w:r>
      <w:r>
        <w:rPr>
          <w:rFonts w:hint="eastAsia" w:ascii="宋体" w:hAnsi="宋体" w:eastAsia="宋体" w:cs="宋体"/>
          <w:b/>
          <w:bCs/>
          <w:sz w:val="21"/>
          <w:szCs w:val="21"/>
          <w:lang w:val="en" w:eastAsia="zh-CN"/>
        </w:rPr>
        <w:t>、其他要求</w:t>
      </w:r>
    </w:p>
    <w:p>
      <w:pPr>
        <w:pStyle w:val="61"/>
        <w:keepNext w:val="0"/>
        <w:keepLines w:val="0"/>
        <w:pageBreakBefore w:val="0"/>
        <w:kinsoku/>
        <w:wordWrap/>
        <w:overflowPunct/>
        <w:topLinePunct w:val="0"/>
        <w:autoSpaceDN/>
        <w:bidi w:val="0"/>
        <w:spacing w:beforeAutospacing="0" w:afterAutospacing="0" w:line="360" w:lineRule="auto"/>
        <w:ind w:firstLine="560"/>
        <w:textAlignment w:val="auto"/>
        <w:outlineLvl w:val="2"/>
        <w:rPr>
          <w:rFonts w:hint="eastAsia" w:ascii="宋体" w:hAnsi="宋体" w:eastAsia="宋体" w:cs="宋体"/>
          <w:b/>
          <w:bCs/>
          <w:sz w:val="21"/>
          <w:szCs w:val="21"/>
          <w:lang w:val="en"/>
        </w:rPr>
      </w:pPr>
      <w:r>
        <w:rPr>
          <w:rFonts w:hint="eastAsia" w:ascii="宋体" w:hAnsi="宋体" w:eastAsia="宋体" w:cs="宋体"/>
          <w:b/>
          <w:bCs/>
          <w:sz w:val="21"/>
          <w:szCs w:val="21"/>
          <w:lang w:val="en" w:eastAsia="de-DE"/>
        </w:rPr>
        <w:t>（一）项目保密要求，指供应商在项目过程中需要履行的保密责任和应承担的保密义务。</w:t>
      </w:r>
    </w:p>
    <w:p>
      <w:pPr>
        <w:pStyle w:val="16"/>
        <w:keepNext w:val="0"/>
        <w:keepLines w:val="0"/>
        <w:pageBreakBefore w:val="0"/>
        <w:kinsoku/>
        <w:wordWrap/>
        <w:overflowPunct/>
        <w:topLinePunct w:val="0"/>
        <w:autoSpaceDN/>
        <w:bidi w:val="0"/>
        <w:spacing w:beforeAutospacing="0" w:afterAutospacing="0"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rPr>
        <w:t>1.对于在项目采购和合同履行过程中所获悉的属于保密的内容，甲、乙双方均负有保密义务。</w:t>
      </w:r>
    </w:p>
    <w:p>
      <w:pPr>
        <w:pStyle w:val="16"/>
        <w:keepNext w:val="0"/>
        <w:keepLines w:val="0"/>
        <w:pageBreakBefore w:val="0"/>
        <w:kinsoku/>
        <w:wordWrap/>
        <w:overflowPunct/>
        <w:topLinePunct w:val="0"/>
        <w:autoSpaceDN/>
        <w:bidi w:val="0"/>
        <w:spacing w:beforeAutospacing="0" w:afterAutospacing="0" w:line="360" w:lineRule="auto"/>
        <w:ind w:left="0" w:right="0" w:rightChars="0"/>
        <w:textAlignment w:val="auto"/>
        <w:rPr>
          <w:rFonts w:hint="eastAsia" w:ascii="宋体" w:hAnsi="宋体" w:eastAsia="宋体" w:cs="宋体"/>
          <w:sz w:val="21"/>
          <w:szCs w:val="21"/>
        </w:rPr>
      </w:pPr>
      <w:r>
        <w:rPr>
          <w:rFonts w:hint="eastAsia" w:ascii="宋体" w:hAnsi="宋体" w:eastAsia="宋体" w:cs="宋体"/>
          <w:sz w:val="21"/>
          <w:szCs w:val="21"/>
          <w:lang w:val="en"/>
        </w:rPr>
        <w:t>2.</w:t>
      </w:r>
      <w:r>
        <w:rPr>
          <w:rFonts w:hint="eastAsia" w:ascii="宋体" w:hAnsi="宋体" w:eastAsia="宋体" w:cs="宋体"/>
          <w:sz w:val="21"/>
          <w:szCs w:val="21"/>
          <w:lang w:val="en-US" w:eastAsia="zh-CN"/>
        </w:rPr>
        <w:t>投标人</w:t>
      </w:r>
      <w:r>
        <w:rPr>
          <w:rFonts w:hint="eastAsia" w:ascii="宋体" w:hAnsi="宋体" w:eastAsia="宋体" w:cs="宋体"/>
          <w:sz w:val="21"/>
          <w:szCs w:val="21"/>
          <w:lang w:val="en" w:eastAsia="de-DE"/>
        </w:rPr>
        <w:t>在项目服务过程中</w:t>
      </w:r>
      <w:r>
        <w:rPr>
          <w:rFonts w:hint="eastAsia" w:ascii="宋体" w:hAnsi="宋体" w:eastAsia="宋体" w:cs="宋体"/>
          <w:sz w:val="21"/>
          <w:szCs w:val="21"/>
          <w:lang w:val="en"/>
        </w:rPr>
        <w:t>应做好派驻</w:t>
      </w:r>
      <w:r>
        <w:rPr>
          <w:rFonts w:hint="eastAsia" w:ascii="宋体" w:hAnsi="宋体" w:eastAsia="宋体" w:cs="宋体"/>
          <w:sz w:val="21"/>
          <w:szCs w:val="21"/>
          <w:lang w:val="en" w:eastAsia="de-DE"/>
        </w:rPr>
        <w:t>服务人员的保密工作培训、管理，履行保密责任和应承担的保密义务。</w:t>
      </w:r>
    </w:p>
    <w:p>
      <w:pPr>
        <w:keepNext w:val="0"/>
        <w:keepLines w:val="0"/>
        <w:pageBreakBefore w:val="0"/>
        <w:kinsoku/>
        <w:wordWrap/>
        <w:overflowPunct/>
        <w:topLinePunct w:val="0"/>
        <w:autoSpaceDN/>
        <w:bidi w:val="0"/>
        <w:adjustRightInd w:val="0"/>
        <w:snapToGrid w:val="0"/>
        <w:spacing w:beforeAutospacing="0" w:afterAutospacing="0" w:line="360" w:lineRule="auto"/>
        <w:ind w:firstLine="421" w:firstLineChars="200"/>
        <w:jc w:val="left"/>
        <w:textAlignment w:val="auto"/>
        <w:outlineLvl w:val="2"/>
        <w:rPr>
          <w:rFonts w:hint="eastAsia" w:ascii="宋体" w:hAnsi="宋体" w:eastAsia="宋体" w:cs="宋体"/>
          <w:b/>
          <w:bCs/>
          <w:sz w:val="21"/>
          <w:szCs w:val="21"/>
          <w:lang w:val="en" w:eastAsia="de-DE"/>
        </w:rPr>
      </w:pPr>
      <w:r>
        <w:rPr>
          <w:rFonts w:hint="eastAsia" w:ascii="宋体" w:hAnsi="宋体" w:eastAsia="宋体" w:cs="宋体"/>
          <w:b/>
          <w:bCs/>
          <w:sz w:val="21"/>
          <w:szCs w:val="21"/>
          <w:lang w:val="en" w:eastAsia="de-DE"/>
        </w:rPr>
        <w:t>（二）其它要求，指根据项目实际情况的其它要求。</w:t>
      </w:r>
    </w:p>
    <w:p>
      <w:pPr>
        <w:pStyle w:val="43"/>
        <w:keepNext w:val="0"/>
        <w:keepLines w:val="0"/>
        <w:pageBreakBefore w:val="0"/>
        <w:kinsoku/>
        <w:wordWrap/>
        <w:overflowPunct/>
        <w:topLinePunct w:val="0"/>
        <w:autoSpaceDN/>
        <w:bidi w:val="0"/>
        <w:spacing w:beforeAutospacing="0" w:afterAutospacing="0" w:line="360" w:lineRule="auto"/>
        <w:ind w:firstLine="480"/>
        <w:jc w:val="both"/>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1.</w:t>
      </w:r>
      <w:r>
        <w:rPr>
          <w:rFonts w:hint="eastAsia" w:ascii="宋体" w:hAnsi="宋体" w:eastAsia="宋体" w:cs="宋体"/>
          <w:b/>
          <w:bCs/>
          <w:sz w:val="21"/>
          <w:szCs w:val="21"/>
        </w:rPr>
        <w:t>投标人须根据招标文件对技术、商务要求承诺逐项作出明确应答与承诺，照搬招标文件内容作为投标响应内容的，</w:t>
      </w:r>
      <w:r>
        <w:rPr>
          <w:rFonts w:hint="eastAsia" w:ascii="宋体" w:hAnsi="宋体" w:eastAsia="宋体" w:cs="宋体"/>
          <w:b/>
          <w:bCs/>
          <w:sz w:val="21"/>
          <w:szCs w:val="21"/>
          <w:lang w:eastAsia="zh-CN"/>
        </w:rPr>
        <w:t>评标</w:t>
      </w:r>
      <w:r>
        <w:rPr>
          <w:rFonts w:hint="eastAsia" w:ascii="宋体" w:hAnsi="宋体" w:eastAsia="宋体" w:cs="宋体"/>
          <w:b/>
          <w:bCs/>
          <w:sz w:val="21"/>
          <w:szCs w:val="21"/>
        </w:rPr>
        <w:t>小组将按照不利于投标人的内容进行认定。</w:t>
      </w:r>
    </w:p>
    <w:p>
      <w:pPr>
        <w:pStyle w:val="43"/>
        <w:keepNext w:val="0"/>
        <w:keepLines w:val="0"/>
        <w:pageBreakBefore w:val="0"/>
        <w:kinsoku/>
        <w:wordWrap/>
        <w:overflowPunct/>
        <w:topLinePunct w:val="0"/>
        <w:autoSpaceDN/>
        <w:bidi w:val="0"/>
        <w:spacing w:beforeAutospacing="0" w:afterAutospacing="0" w:line="360" w:lineRule="auto"/>
        <w:ind w:firstLine="48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2.</w:t>
      </w:r>
      <w:r>
        <w:rPr>
          <w:rFonts w:hint="eastAsia" w:ascii="宋体" w:hAnsi="宋体" w:eastAsia="宋体" w:cs="宋体"/>
          <w:sz w:val="21"/>
          <w:szCs w:val="21"/>
        </w:rPr>
        <w:t>投标人应当保证其所提供的服务符合国家知识产权法律法规要求，投标人还应保证招标采购单位不受到第三方关于侵犯知识产权以及专利权、商标权或工业设计权等知识产权方面的指控，任何第三方如果提出此方面指控均与招标采购单位无关，投标人应与第三方交涉，并承担可能发生的一切法律责任、费用和后果；若招标采购单位因此而遭致损失的，投标人应赔偿该损失。</w:t>
      </w:r>
    </w:p>
    <w:p>
      <w:pPr>
        <w:pStyle w:val="43"/>
        <w:keepNext w:val="0"/>
        <w:keepLines w:val="0"/>
        <w:pageBreakBefore w:val="0"/>
        <w:kinsoku/>
        <w:wordWrap/>
        <w:overflowPunct/>
        <w:topLinePunct w:val="0"/>
        <w:autoSpaceDN/>
        <w:bidi w:val="0"/>
        <w:spacing w:beforeAutospacing="0" w:afterAutospacing="0" w:line="360" w:lineRule="auto"/>
        <w:ind w:firstLine="48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3.</w:t>
      </w:r>
      <w:r>
        <w:rPr>
          <w:rFonts w:hint="eastAsia" w:ascii="宋体" w:hAnsi="宋体" w:eastAsia="宋体" w:cs="宋体"/>
          <w:sz w:val="21"/>
          <w:szCs w:val="21"/>
        </w:rPr>
        <w:t>若投标人所提供的服务不符合国家知识产权法律法规要求，其投标无效，招标采购单位除不退还其投标保证金外，还将按照国家相关法律法规的规定提请有关政府监管部门对其进行处理。</w:t>
      </w:r>
    </w:p>
    <w:p>
      <w:pPr>
        <w:pStyle w:val="43"/>
        <w:keepNext w:val="0"/>
        <w:keepLines w:val="0"/>
        <w:pageBreakBefore w:val="0"/>
        <w:kinsoku/>
        <w:wordWrap/>
        <w:overflowPunct/>
        <w:topLinePunct w:val="0"/>
        <w:autoSpaceDN/>
        <w:bidi w:val="0"/>
        <w:spacing w:beforeAutospacing="0" w:afterAutospacing="0" w:line="360" w:lineRule="auto"/>
        <w:ind w:firstLine="48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4.</w:t>
      </w:r>
      <w:r>
        <w:rPr>
          <w:rFonts w:hint="eastAsia" w:ascii="宋体" w:hAnsi="宋体" w:eastAsia="宋体" w:cs="宋体"/>
          <w:sz w:val="21"/>
          <w:szCs w:val="21"/>
        </w:rPr>
        <w:t>参与本项目投标人不得以任何形式转包或分包。</w:t>
      </w:r>
    </w:p>
    <w:p>
      <w:pPr>
        <w:pStyle w:val="43"/>
        <w:keepNext w:val="0"/>
        <w:keepLines w:val="0"/>
        <w:pageBreakBefore w:val="0"/>
        <w:kinsoku/>
        <w:wordWrap/>
        <w:overflowPunct/>
        <w:topLinePunct w:val="0"/>
        <w:autoSpaceDN/>
        <w:bidi w:val="0"/>
        <w:spacing w:beforeAutospacing="0" w:afterAutospacing="0" w:line="360" w:lineRule="auto"/>
        <w:ind w:firstLine="48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5.</w:t>
      </w:r>
      <w:r>
        <w:rPr>
          <w:rFonts w:hint="eastAsia" w:ascii="宋体" w:hAnsi="宋体" w:eastAsia="宋体" w:cs="宋体"/>
          <w:sz w:val="21"/>
          <w:szCs w:val="21"/>
        </w:rPr>
        <w:t>中标人不得利用采购人所拥有的软硬件资源开展其他经营性活动，以谋取利益。</w:t>
      </w:r>
    </w:p>
    <w:p>
      <w:pPr>
        <w:pStyle w:val="43"/>
        <w:keepNext w:val="0"/>
        <w:keepLines w:val="0"/>
        <w:pageBreakBefore w:val="0"/>
        <w:kinsoku/>
        <w:wordWrap/>
        <w:overflowPunct/>
        <w:topLinePunct w:val="0"/>
        <w:autoSpaceDN/>
        <w:bidi w:val="0"/>
        <w:spacing w:beforeAutospacing="0" w:afterAutospacing="0" w:line="360" w:lineRule="auto"/>
        <w:ind w:firstLine="48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6.</w:t>
      </w:r>
      <w:r>
        <w:rPr>
          <w:rFonts w:hint="eastAsia" w:ascii="宋体" w:hAnsi="宋体" w:eastAsia="宋体" w:cs="宋体"/>
          <w:sz w:val="21"/>
          <w:szCs w:val="21"/>
        </w:rPr>
        <w:t>中标人不得擅自改变或占用物业服务区域内的公共设施的使用功能。</w:t>
      </w:r>
    </w:p>
    <w:p>
      <w:pPr>
        <w:pStyle w:val="43"/>
        <w:keepNext w:val="0"/>
        <w:keepLines w:val="0"/>
        <w:pageBreakBefore w:val="0"/>
        <w:kinsoku/>
        <w:wordWrap/>
        <w:overflowPunct/>
        <w:topLinePunct w:val="0"/>
        <w:autoSpaceDN/>
        <w:bidi w:val="0"/>
        <w:spacing w:beforeAutospacing="0" w:afterAutospacing="0" w:line="360" w:lineRule="auto"/>
        <w:ind w:firstLine="48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7.</w:t>
      </w:r>
      <w:r>
        <w:rPr>
          <w:rFonts w:hint="eastAsia" w:ascii="宋体" w:hAnsi="宋体" w:eastAsia="宋体" w:cs="宋体"/>
          <w:sz w:val="21"/>
          <w:szCs w:val="21"/>
        </w:rPr>
        <w:t>中标人的管理服务措施、用工条件及人员工资构成必须符合有关法律、法规的要求，遵守采购人的有关规定和要求。在合同期间，一切用工纠纷、安全事故、人身损伤均与采购人无关。</w:t>
      </w:r>
    </w:p>
    <w:p>
      <w:pPr>
        <w:pStyle w:val="43"/>
        <w:keepNext w:val="0"/>
        <w:keepLines w:val="0"/>
        <w:pageBreakBefore w:val="0"/>
        <w:kinsoku/>
        <w:wordWrap/>
        <w:overflowPunct/>
        <w:topLinePunct w:val="0"/>
        <w:autoSpaceDN/>
        <w:bidi w:val="0"/>
        <w:spacing w:beforeAutospacing="0" w:afterAutospacing="0" w:line="360" w:lineRule="auto"/>
        <w:ind w:firstLine="48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8.</w:t>
      </w:r>
      <w:r>
        <w:rPr>
          <w:rFonts w:hint="eastAsia" w:ascii="宋体" w:hAnsi="宋体" w:eastAsia="宋体" w:cs="宋体"/>
          <w:sz w:val="21"/>
          <w:szCs w:val="21"/>
        </w:rPr>
        <w:t>中标人所投入使用的各种设备、用品用具的制造标准、安装标准及技术规范等，必须符合国家现行相应的标准、规范要求。</w:t>
      </w:r>
    </w:p>
    <w:p>
      <w:pPr>
        <w:pStyle w:val="43"/>
        <w:keepNext w:val="0"/>
        <w:keepLines w:val="0"/>
        <w:pageBreakBefore w:val="0"/>
        <w:kinsoku/>
        <w:wordWrap/>
        <w:overflowPunct/>
        <w:topLinePunct w:val="0"/>
        <w:autoSpaceDN/>
        <w:bidi w:val="0"/>
        <w:spacing w:beforeAutospacing="0" w:afterAutospacing="0" w:line="360" w:lineRule="auto"/>
        <w:ind w:firstLine="48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9.</w:t>
      </w:r>
      <w:r>
        <w:rPr>
          <w:rFonts w:hint="eastAsia" w:ascii="宋体" w:hAnsi="宋体" w:eastAsia="宋体" w:cs="宋体"/>
          <w:sz w:val="21"/>
          <w:szCs w:val="21"/>
        </w:rPr>
        <w:t>本招标文件所提供的物业服务相关数据（如设备设施、绿地面积等等）如有偏差，中标人进行本项目的物业服务时应以实际数据为准，但物业服务费仍以投标文件中的投标报价为准。</w:t>
      </w:r>
    </w:p>
    <w:p>
      <w:pPr>
        <w:pStyle w:val="43"/>
        <w:keepNext w:val="0"/>
        <w:keepLines w:val="0"/>
        <w:pageBreakBefore w:val="0"/>
        <w:kinsoku/>
        <w:wordWrap/>
        <w:overflowPunct/>
        <w:topLinePunct w:val="0"/>
        <w:autoSpaceDN/>
        <w:bidi w:val="0"/>
        <w:spacing w:beforeAutospacing="0" w:afterAutospacing="0" w:line="360" w:lineRule="auto"/>
        <w:ind w:firstLine="480"/>
        <w:jc w:val="both"/>
        <w:textAlignment w:val="auto"/>
        <w:rPr>
          <w:rFonts w:hint="eastAsia" w:ascii="宋体" w:hAnsi="宋体" w:eastAsia="宋体" w:cs="宋体"/>
          <w:sz w:val="21"/>
          <w:szCs w:val="21"/>
          <w:lang w:val="en"/>
        </w:rPr>
      </w:pPr>
      <w:r>
        <w:rPr>
          <w:rFonts w:hint="eastAsia" w:ascii="宋体" w:hAnsi="宋体" w:eastAsia="宋体" w:cs="宋体"/>
          <w:sz w:val="21"/>
          <w:szCs w:val="21"/>
          <w:lang w:eastAsia="zh-CN"/>
        </w:rPr>
        <w:t>10.</w:t>
      </w:r>
      <w:r>
        <w:rPr>
          <w:rFonts w:hint="eastAsia" w:ascii="宋体" w:hAnsi="宋体" w:eastAsia="宋体" w:cs="宋体"/>
          <w:sz w:val="21"/>
          <w:szCs w:val="21"/>
          <w:lang w:val="en"/>
        </w:rPr>
        <w:t>除招标文件另有规定外，若出现有关法律、法规和规章有强制性规定但招标文件未列明的情形，则投标人应按照有关法律、法规和规章强制性规定执行。</w:t>
      </w:r>
    </w:p>
    <w:p>
      <w:pPr>
        <w:keepNext w:val="0"/>
        <w:keepLines w:val="0"/>
        <w:pageBreakBefore w:val="0"/>
        <w:kinsoku/>
        <w:wordWrap/>
        <w:overflowPunct/>
        <w:topLinePunct w:val="0"/>
        <w:autoSpaceDN/>
        <w:bidi w:val="0"/>
        <w:adjustRightInd w:val="0"/>
        <w:snapToGrid w:val="0"/>
        <w:spacing w:beforeAutospacing="0" w:afterAutospacing="0" w:line="360" w:lineRule="auto"/>
        <w:ind w:firstLine="421" w:firstLineChars="200"/>
        <w:jc w:val="left"/>
        <w:textAlignment w:val="auto"/>
        <w:outlineLvl w:val="1"/>
        <w:rPr>
          <w:rFonts w:hint="eastAsia" w:ascii="宋体" w:hAnsi="宋体" w:eastAsia="宋体" w:cs="宋体"/>
          <w:b/>
          <w:bCs/>
          <w:sz w:val="21"/>
          <w:szCs w:val="21"/>
        </w:rPr>
      </w:pPr>
      <w:r>
        <w:rPr>
          <w:rFonts w:hint="eastAsia" w:ascii="宋体" w:hAnsi="宋体" w:eastAsia="宋体" w:cs="宋体"/>
          <w:b/>
          <w:bCs/>
          <w:sz w:val="21"/>
          <w:szCs w:val="21"/>
          <w:lang w:val="en-US" w:eastAsia="zh-CN"/>
        </w:rPr>
        <w:t>七</w:t>
      </w:r>
      <w:r>
        <w:rPr>
          <w:rFonts w:hint="eastAsia" w:ascii="宋体" w:hAnsi="宋体" w:eastAsia="宋体" w:cs="宋体"/>
          <w:b/>
          <w:bCs/>
          <w:sz w:val="21"/>
          <w:szCs w:val="21"/>
          <w:lang w:val="en"/>
        </w:rPr>
        <w:t>、付款方式：</w:t>
      </w:r>
      <w:r>
        <w:rPr>
          <w:rFonts w:hint="eastAsia" w:ascii="宋体" w:hAnsi="宋体" w:eastAsia="宋体" w:cs="宋体"/>
          <w:b/>
          <w:bCs/>
          <w:sz w:val="21"/>
          <w:szCs w:val="21"/>
        </w:rPr>
        <w:t>付款条件及时限</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2"/>
        <w:rPr>
          <w:rFonts w:hint="eastAsia" w:ascii="宋体" w:hAnsi="宋体" w:eastAsia="宋体" w:cs="宋体"/>
          <w:b/>
          <w:bCs/>
          <w:sz w:val="21"/>
          <w:szCs w:val="21"/>
        </w:rPr>
      </w:pPr>
      <w:r>
        <w:rPr>
          <w:rFonts w:hint="eastAsia" w:ascii="宋体" w:hAnsi="宋体" w:eastAsia="宋体" w:cs="宋体"/>
          <w:b/>
          <w:bCs/>
          <w:sz w:val="21"/>
          <w:szCs w:val="21"/>
        </w:rPr>
        <w:t>（一）按月支付的费用支付</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1.中标人的物业等服务管理工作正式开始后每个月结算一次费用。</w:t>
      </w:r>
    </w:p>
    <w:p>
      <w:pPr>
        <w:keepNext w:val="0"/>
        <w:keepLines w:val="0"/>
        <w:pageBreakBefore w:val="0"/>
        <w:kinsoku/>
        <w:wordWrap/>
        <w:overflowPunct/>
        <w:topLinePunct w:val="0"/>
        <w:autoSpaceDN/>
        <w:bidi w:val="0"/>
        <w:spacing w:beforeAutospacing="0" w:afterAutospacing="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中标人完成一个月的物业等服务管理工作后，采购人按“物业服务项目月度检查考评表”考评结果并经采购人根据考核结果确定对应付款金额，凭相关手续及正式税务发票30日内支付中标人上个月的结算费用。</w:t>
      </w:r>
    </w:p>
    <w:p>
      <w:pPr>
        <w:keepNext w:val="0"/>
        <w:keepLines w:val="0"/>
        <w:pageBreakBefore w:val="0"/>
        <w:kinsoku/>
        <w:wordWrap/>
        <w:overflowPunct/>
        <w:topLinePunct w:val="0"/>
        <w:autoSpaceDN/>
        <w:bidi w:val="0"/>
        <w:spacing w:beforeAutospacing="0" w:afterAutospacing="0" w:line="360" w:lineRule="auto"/>
        <w:ind w:firstLine="421" w:firstLineChars="200"/>
        <w:textAlignment w:val="auto"/>
        <w:outlineLvl w:val="2"/>
        <w:rPr>
          <w:rFonts w:hint="eastAsia" w:ascii="宋体" w:hAnsi="宋体" w:eastAsia="宋体" w:cs="宋体"/>
          <w:b/>
          <w:bCs/>
          <w:sz w:val="21"/>
          <w:szCs w:val="21"/>
        </w:rPr>
      </w:pPr>
      <w:r>
        <w:rPr>
          <w:rFonts w:hint="eastAsia" w:ascii="宋体" w:hAnsi="宋体" w:eastAsia="宋体" w:cs="宋体"/>
          <w:b/>
          <w:bCs/>
          <w:sz w:val="21"/>
          <w:szCs w:val="21"/>
        </w:rPr>
        <w:t>（二）按次或实际发生后应支付的费用</w:t>
      </w:r>
    </w:p>
    <w:p>
      <w:pPr>
        <w:keepNext w:val="0"/>
        <w:keepLines w:val="0"/>
        <w:pageBreakBefore w:val="0"/>
        <w:kinsoku/>
        <w:wordWrap/>
        <w:overflowPunct/>
        <w:topLinePunct w:val="0"/>
        <w:autoSpaceDN/>
        <w:bidi w:val="0"/>
        <w:spacing w:beforeAutospacing="0" w:afterAutospacing="0" w:line="360" w:lineRule="auto"/>
        <w:ind w:firstLine="525" w:firstLineChars="250"/>
        <w:textAlignment w:val="auto"/>
        <w:rPr>
          <w:rFonts w:hint="eastAsia" w:ascii="宋体" w:hAnsi="宋体" w:eastAsia="宋体" w:cs="宋体"/>
          <w:sz w:val="21"/>
          <w:szCs w:val="21"/>
        </w:rPr>
      </w:pPr>
      <w:r>
        <w:rPr>
          <w:rFonts w:hint="eastAsia" w:ascii="宋体" w:hAnsi="宋体" w:eastAsia="宋体" w:cs="宋体"/>
          <w:sz w:val="21"/>
          <w:szCs w:val="21"/>
        </w:rPr>
        <w:t>中标人按约定完成工作任务后，经采购人验收合格，凭相关手续及正式税务发票向采购人结算费用。</w:t>
      </w:r>
    </w:p>
    <w:p>
      <w:pPr>
        <w:keepNext w:val="0"/>
        <w:keepLines w:val="0"/>
        <w:pageBreakBefore w:val="0"/>
        <w:kinsoku/>
        <w:wordWrap/>
        <w:overflowPunct/>
        <w:topLinePunct w:val="0"/>
        <w:autoSpaceDN/>
        <w:bidi w:val="0"/>
        <w:spacing w:beforeAutospacing="0" w:afterAutospacing="0" w:line="360" w:lineRule="auto"/>
        <w:ind w:firstLine="527" w:firstLineChars="250"/>
        <w:textAlignment w:val="auto"/>
        <w:outlineLvl w:val="2"/>
        <w:rPr>
          <w:rFonts w:hint="eastAsia" w:ascii="宋体" w:hAnsi="宋体" w:eastAsia="宋体" w:cs="宋体"/>
          <w:sz w:val="21"/>
          <w:szCs w:val="21"/>
        </w:rPr>
      </w:pPr>
      <w:r>
        <w:rPr>
          <w:rFonts w:hint="eastAsia" w:ascii="宋体" w:hAnsi="宋体" w:eastAsia="宋体" w:cs="宋体"/>
          <w:b/>
          <w:bCs/>
          <w:sz w:val="21"/>
          <w:szCs w:val="21"/>
        </w:rPr>
        <w:t>（三）</w:t>
      </w:r>
      <w:r>
        <w:rPr>
          <w:rFonts w:hint="eastAsia" w:ascii="宋体" w:hAnsi="宋体" w:eastAsia="宋体" w:cs="宋体"/>
          <w:sz w:val="21"/>
          <w:szCs w:val="21"/>
        </w:rPr>
        <w:t>中标人应落实国家相关规定，保障员工合法权益，按规定发放工资并缴纳企业依法应负担的社会保险（包含社会养老保险金、社会失业保险金、职工医疗保险、工伤保险、生育保险、住房公积金）等费用。采购人在支付每月物业费用时，中标人需提供工资册及社会保险等费用缴交凭证（退休返聘人员除外）供采购人审核。未按规定发放工资及缴交社会保险等相关费用,或无法提供工资册及社会保险等费用缴交凭证的，采购人将不予支付费用。以上情况若3个月内还未整改到位导致采购人无法正常支付服务费用的，采购人有权终止合同并追究中标人的责任，给采购人造成损失的，中标人还应承担赔偿责任。</w:t>
      </w:r>
    </w:p>
    <w:p>
      <w:pPr>
        <w:keepNext w:val="0"/>
        <w:keepLines w:val="0"/>
        <w:pageBreakBefore w:val="0"/>
        <w:widowControl/>
        <w:numPr>
          <w:ilvl w:val="0"/>
          <w:numId w:val="0"/>
        </w:numPr>
        <w:kinsoku/>
        <w:wordWrap/>
        <w:overflowPunct/>
        <w:topLinePunct w:val="0"/>
        <w:autoSpaceDN/>
        <w:bidi w:val="0"/>
        <w:spacing w:beforeAutospacing="0" w:afterAutospacing="0" w:line="360" w:lineRule="auto"/>
        <w:ind w:firstLine="420" w:firstLineChars="200"/>
        <w:jc w:val="both"/>
        <w:textAlignment w:val="auto"/>
        <w:outlineLvl w:val="9"/>
        <w:rPr>
          <w:rFonts w:hint="eastAsia" w:ascii="宋体" w:hAnsi="宋体" w:eastAsia="宋体" w:cs="宋体"/>
          <w:b w:val="0"/>
          <w:bCs w:val="0"/>
          <w:color w:val="auto"/>
          <w:kern w:val="0"/>
          <w:sz w:val="21"/>
          <w:szCs w:val="21"/>
          <w:lang w:val="en-US" w:eastAsia="zh-CN" w:bidi="ar-SA"/>
        </w:rPr>
      </w:pPr>
    </w:p>
    <w:p>
      <w:pPr>
        <w:keepNext w:val="0"/>
        <w:keepLines w:val="0"/>
        <w:pageBreakBefore w:val="0"/>
        <w:widowControl/>
        <w:numPr>
          <w:ilvl w:val="0"/>
          <w:numId w:val="0"/>
        </w:numPr>
        <w:kinsoku/>
        <w:wordWrap/>
        <w:overflowPunct/>
        <w:topLinePunct w:val="0"/>
        <w:autoSpaceDN/>
        <w:bidi w:val="0"/>
        <w:spacing w:beforeAutospacing="0" w:afterAutospacing="0" w:line="360" w:lineRule="auto"/>
        <w:ind w:firstLine="420" w:firstLineChars="200"/>
        <w:jc w:val="both"/>
        <w:textAlignment w:val="auto"/>
        <w:outlineLvl w:val="9"/>
        <w:rPr>
          <w:rFonts w:hint="eastAsia" w:ascii="宋体" w:hAnsi="宋体" w:eastAsia="宋体" w:cs="宋体"/>
          <w:b w:val="0"/>
          <w:bCs w:val="0"/>
          <w:color w:val="auto"/>
          <w:kern w:val="0"/>
          <w:sz w:val="21"/>
          <w:szCs w:val="21"/>
          <w:lang w:val="en-US" w:eastAsia="zh-CN" w:bidi="ar-SA"/>
        </w:rPr>
      </w:pPr>
    </w:p>
    <w:p>
      <w:pPr>
        <w:keepNext w:val="0"/>
        <w:keepLines w:val="0"/>
        <w:pageBreakBefore w:val="0"/>
        <w:widowControl/>
        <w:numPr>
          <w:ilvl w:val="0"/>
          <w:numId w:val="0"/>
        </w:numPr>
        <w:kinsoku/>
        <w:wordWrap/>
        <w:overflowPunct/>
        <w:topLinePunct w:val="0"/>
        <w:autoSpaceDN/>
        <w:bidi w:val="0"/>
        <w:spacing w:beforeAutospacing="0" w:afterAutospacing="0" w:line="360" w:lineRule="auto"/>
        <w:ind w:firstLine="420" w:firstLineChars="200"/>
        <w:jc w:val="both"/>
        <w:textAlignment w:val="auto"/>
        <w:outlineLvl w:val="9"/>
        <w:rPr>
          <w:rFonts w:hint="eastAsia" w:ascii="宋体" w:hAnsi="宋体" w:eastAsia="宋体" w:cs="宋体"/>
          <w:b w:val="0"/>
          <w:bCs w:val="0"/>
          <w:color w:val="auto"/>
          <w:kern w:val="0"/>
          <w:sz w:val="21"/>
          <w:szCs w:val="21"/>
          <w:lang w:val="en-US" w:eastAsia="zh-CN" w:bidi="ar-SA"/>
        </w:rPr>
      </w:pPr>
    </w:p>
    <w:p>
      <w:pPr>
        <w:keepNext w:val="0"/>
        <w:keepLines w:val="0"/>
        <w:pageBreakBefore w:val="0"/>
        <w:widowControl/>
        <w:numPr>
          <w:ilvl w:val="0"/>
          <w:numId w:val="0"/>
        </w:numPr>
        <w:kinsoku/>
        <w:wordWrap/>
        <w:overflowPunct/>
        <w:topLinePunct w:val="0"/>
        <w:autoSpaceDN/>
        <w:bidi w:val="0"/>
        <w:spacing w:beforeAutospacing="0" w:afterAutospacing="0" w:line="360" w:lineRule="auto"/>
        <w:ind w:firstLine="420" w:firstLineChars="200"/>
        <w:jc w:val="both"/>
        <w:textAlignment w:val="auto"/>
        <w:outlineLvl w:val="9"/>
        <w:rPr>
          <w:rFonts w:hint="eastAsia" w:ascii="宋体" w:hAnsi="宋体" w:eastAsia="宋体" w:cs="宋体"/>
          <w:b w:val="0"/>
          <w:bCs w:val="0"/>
          <w:color w:val="auto"/>
          <w:kern w:val="0"/>
          <w:sz w:val="21"/>
          <w:szCs w:val="21"/>
          <w:lang w:val="en-US" w:eastAsia="zh-CN" w:bidi="ar-SA"/>
        </w:rPr>
      </w:pPr>
    </w:p>
    <w:sectPr>
      <w:footerReference r:id="rId12" w:type="first"/>
      <w:footerReference r:id="rId10" w:type="default"/>
      <w:headerReference r:id="rId9" w:type="even"/>
      <w:footerReference r:id="rId11"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大标宋简体">
    <w:altName w:val="宋体"/>
    <w:panose1 w:val="00000000000000000000"/>
    <w:charset w:val="00"/>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Wingdings 2">
    <w:panose1 w:val="05020102010507070707"/>
    <w:charset w:val="02"/>
    <w:family w:val="roman"/>
    <w:pitch w:val="default"/>
    <w:sig w:usb0="00000000" w:usb1="00000000" w:usb2="00000000" w:usb3="00000000" w:csb0="80000000" w:csb1="00000000"/>
  </w:font>
  <w:font w:name="Arial">
    <w:panose1 w:val="020B0704020202020204"/>
    <w:charset w:val="00"/>
    <w:family w:val="auto"/>
    <w:pitch w:val="default"/>
    <w:sig w:usb0="E0002AFF" w:usb1="C0007843" w:usb2="00000009" w:usb3="00000000" w:csb0="400001FF" w:csb1="F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fldChar w:fldCharType="begin"/>
    </w:r>
    <w:r>
      <w:rPr>
        <w:rStyle w:val="33"/>
      </w:rPr>
      <w:instrText xml:space="preserve">PAGE  </w:instrText>
    </w:r>
    <w:r>
      <w:fldChar w:fldCharType="end"/>
    </w:r>
  </w:p>
  <w:p>
    <w:pPr>
      <w:pStyle w:val="20"/>
    </w:pPr>
  </w:p>
  <w:p/>
  <w:p/>
  <w:p/>
  <w:p/>
  <w:p/>
  <w:p/>
  <w:p/>
  <w:p/>
  <w:p/>
  <w:p/>
  <w:p/>
  <w:p/>
  <w:p/>
  <w:p/>
  <w:p/>
  <w:p/>
  <w:p/>
  <w:p/>
  <w:p/>
  <w:p/>
  <w:p/>
  <w:p/>
  <w:p/>
  <w:p/>
  <w:p/>
  <w:p/>
  <w:p/>
  <w:p/>
  <w:p/>
  <w:p/>
  <w:p/>
  <w:p/>
  <w:p/>
  <w:p/>
  <w:p/>
  <w:p/>
  <w:p/>
  <w:p/>
  <w:p/>
  <w:p/>
  <w:p/>
  <w:p/>
  <w:p/>
  <w:p/>
  <w:p/>
  <w:p/>
  <w:p/>
  <w:p/>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4</w:t>
                          </w:r>
                          <w:r>
                            <w:fldChar w:fldCharType="end"/>
                          </w:r>
                        </w:p>
                      </w:txbxContent>
                    </wps:txbx>
                    <wps:bodyPr wrap="none" lIns="0" tIns="0" rIns="0" bIns="0" upright="false">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Vh/3qswEAAFMDAAAOAAAAAAAAAAEAIAAAADQBAABkcnMvZTJvRG9j&#10;LnhtbFBLBQYAAAAABgAGAFkBAABZ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P97Er7QBAABTAwAADgAAAAAAAAABACAAAAA0AQAAZHJzL2Uyb0Rv&#10;Yy54bWxQSwUGAAAAAAYABgBZAQAAWgU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60</w:t>
                          </w:r>
                          <w:r>
                            <w:fldChar w:fldCharType="end"/>
                          </w:r>
                        </w:p>
                      </w:txbxContent>
                    </wps:txbx>
                    <wps:bodyPr wrap="none" lIns="0" tIns="0" rIns="0" bIns="0" upright="false">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CDPKq1AQAAUwMAAA4AAABkcnMv&#10;ZTJvRG9jLnhtbK1TS24bMQzdF8gdBO1jjY2g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i9ocQLhyM6fvt6/P7z+OMLmS9Kf4aY&#10;Wkx7ipiYxzdh5DTDTk2hhP6ifNTgyhc1EUzBZh8uDVZjJhKd8+ViuWwwJDE2XbAEe/49QspvVXCk&#10;GJwCTrA2VuzfpXxKnVJKNR8ejLV1itb/4UDM4mGF/oljsfK4Gc+aNqE7oKQBh8+px+2kxD567G3Z&#10;k8mAydhMxi6C2fZITQubynQEwt/tMhKp/EqVE/S5OE6uKjxvWVmN3+816/ktrH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JCDPKq1AQAAUwMAAA4AAAAAAAAAAQAgAAAANAEAAGRycy9lMm9E&#10;b2MueG1sUEsFBgAAAAAGAAYAWQEAAFsFA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fldChar w:fldCharType="begin"/>
    </w:r>
    <w:r>
      <w:rPr>
        <w:rStyle w:val="33"/>
      </w:rPr>
      <w:instrText xml:space="preserve">PAGE  </w:instrText>
    </w:r>
    <w:r>
      <w:fldChar w:fldCharType="end"/>
    </w:r>
  </w:p>
  <w:p>
    <w:pPr>
      <w:pStyle w:val="20"/>
    </w:pPr>
  </w:p>
  <w:p/>
  <w:p/>
  <w:p/>
  <w:p/>
  <w:p/>
  <w:p/>
  <w:p/>
  <w:p/>
  <w:p/>
  <w:p/>
  <w:p/>
  <w:p/>
  <w:p/>
  <w:p/>
  <w:p/>
  <w:p/>
  <w:p/>
  <w:p/>
  <w:p/>
  <w:p/>
  <w:p/>
  <w:p/>
  <w:p/>
  <w:p/>
  <w:p/>
  <w:p/>
  <w:p/>
  <w:p/>
  <w:p/>
  <w:p/>
  <w:p/>
  <w:p/>
  <w:p/>
  <w:p/>
  <w:p/>
  <w:p/>
  <w:p/>
  <w:p/>
  <w:p/>
  <w:p/>
  <w:p/>
  <w:p/>
  <w:p/>
  <w:p/>
  <w:p/>
  <w:p/>
  <w:p/>
  <w:p/>
  <w:p/>
  <w:p/>
  <w:p/>
  <w:p/>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jc w:val="center"/>
                          </w:pPr>
                          <w:r>
                            <w:t xml:space="preserve">— </w:t>
                          </w:r>
                          <w:r>
                            <w:fldChar w:fldCharType="begin"/>
                          </w:r>
                          <w:r>
                            <w:instrText xml:space="preserve"> PAGE  \* MERGEFORMAT </w:instrText>
                          </w:r>
                          <w:r>
                            <w:fldChar w:fldCharType="separate"/>
                          </w:r>
                          <w:r>
                            <w:t>12</w:t>
                          </w:r>
                          <w:r>
                            <w:fldChar w:fldCharType="end"/>
                          </w:r>
                          <w:r>
                            <w:t xml:space="preserve"> —</w:t>
                          </w:r>
                        </w:p>
                      </w:txbxContent>
                    </wps:txbx>
                    <wps:bodyPr wrap="none" lIns="0" tIns="0" rIns="0" bIns="0" upright="true">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aLEwLbEBAABSAwAADgAAAAAAAAABACAAAAA0AQAAZHJzL2Uyb0RvYy54&#10;bWxQSwUGAAAAAAYABgBZAQAAVwUAAAAA&#10;">
              <v:fill on="f" focussize="0,0"/>
              <v:stroke on="f"/>
              <v:imagedata o:title=""/>
              <o:lock v:ext="edit" aspectratio="f"/>
              <v:textbox inset="0mm,0mm,0mm,0mm" style="mso-fit-shape-to-text:t;">
                <w:txbxContent>
                  <w:p>
                    <w:pPr>
                      <w:jc w:val="center"/>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
  <w:p/>
  <w:p/>
  <w:p/>
  <w:p/>
  <w:p/>
  <w:p/>
  <w:p/>
  <w:p/>
  <w:p/>
  <w:p/>
  <w:p/>
  <w:p/>
  <w:p/>
  <w:p/>
  <w:p/>
  <w:p/>
  <w:p/>
  <w:p/>
  <w:p/>
  <w:p/>
  <w:p/>
  <w:p/>
  <w:p/>
  <w:p/>
  <w:p/>
  <w:p/>
  <w:p/>
  <w:p/>
  <w:p/>
  <w:p/>
  <w:p/>
  <w:p/>
  <w:p/>
  <w:p/>
  <w:p/>
  <w:p/>
  <w:p/>
  <w:p/>
  <w:p/>
  <w:p/>
  <w:p/>
  <w:p/>
  <w:p/>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
  <w:p/>
  <w:p/>
  <w:p/>
  <w:p/>
  <w:p/>
  <w:p/>
  <w:p/>
  <w:p/>
  <w:p/>
  <w:p/>
  <w:p/>
  <w:p/>
  <w:p/>
  <w:p/>
  <w:p/>
  <w:p/>
  <w:p/>
  <w:p/>
  <w:p/>
  <w:p/>
  <w:p/>
  <w:p/>
  <w:p/>
  <w:p/>
  <w:p/>
  <w:p/>
  <w:p/>
  <w:p/>
  <w:p/>
  <w:p/>
  <w:p/>
  <w:p/>
  <w:p/>
  <w:p/>
  <w:p/>
  <w:p/>
  <w:p/>
  <w:p/>
  <w:p/>
  <w:p/>
  <w:p/>
  <w:p/>
  <w:p/>
  <w:p/>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77788"/>
    <w:multiLevelType w:val="singleLevel"/>
    <w:tmpl w:val="89C77788"/>
    <w:lvl w:ilvl="0" w:tentative="0">
      <w:start w:val="3"/>
      <w:numFmt w:val="chineseCounting"/>
      <w:suff w:val="nothing"/>
      <w:lvlText w:val="（%1）"/>
      <w:lvlJc w:val="left"/>
      <w:rPr>
        <w:rFonts w:hint="eastAsia"/>
      </w:rPr>
    </w:lvl>
  </w:abstractNum>
  <w:abstractNum w:abstractNumId="1">
    <w:nsid w:val="CDCA569A"/>
    <w:multiLevelType w:val="singleLevel"/>
    <w:tmpl w:val="CDCA569A"/>
    <w:lvl w:ilvl="0" w:tentative="0">
      <w:start w:val="1"/>
      <w:numFmt w:val="decimal"/>
      <w:pStyle w:val="3"/>
      <w:lvlText w:val="%1."/>
      <w:lvlJc w:val="left"/>
      <w:pPr>
        <w:tabs>
          <w:tab w:val="left" w:pos="780"/>
        </w:tabs>
        <w:ind w:left="7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ZmVhMTM5OTY1NzdiNzQ5N2RhOThhMGMwMzIzZmMifQ=="/>
  </w:docVars>
  <w:rsids>
    <w:rsidRoot w:val="002B5622"/>
    <w:rsid w:val="00001080"/>
    <w:rsid w:val="000A62DA"/>
    <w:rsid w:val="000E3FC3"/>
    <w:rsid w:val="00164C26"/>
    <w:rsid w:val="001C048E"/>
    <w:rsid w:val="002235CA"/>
    <w:rsid w:val="002B5622"/>
    <w:rsid w:val="003056DE"/>
    <w:rsid w:val="003B2752"/>
    <w:rsid w:val="004B32FE"/>
    <w:rsid w:val="00616D41"/>
    <w:rsid w:val="007958E0"/>
    <w:rsid w:val="007D1FD4"/>
    <w:rsid w:val="008C6C96"/>
    <w:rsid w:val="00956AB0"/>
    <w:rsid w:val="009828EC"/>
    <w:rsid w:val="00A03628"/>
    <w:rsid w:val="00B35204"/>
    <w:rsid w:val="00BF706B"/>
    <w:rsid w:val="00C528D4"/>
    <w:rsid w:val="00D40D69"/>
    <w:rsid w:val="00D7740B"/>
    <w:rsid w:val="00DA51E8"/>
    <w:rsid w:val="00EA233A"/>
    <w:rsid w:val="01001B5E"/>
    <w:rsid w:val="010E0BEE"/>
    <w:rsid w:val="010F48F2"/>
    <w:rsid w:val="011E1FE4"/>
    <w:rsid w:val="01347A59"/>
    <w:rsid w:val="014B0744"/>
    <w:rsid w:val="01714809"/>
    <w:rsid w:val="017716F4"/>
    <w:rsid w:val="01981D96"/>
    <w:rsid w:val="019D73AC"/>
    <w:rsid w:val="01A85D51"/>
    <w:rsid w:val="01A87AFF"/>
    <w:rsid w:val="01B34E22"/>
    <w:rsid w:val="01B42948"/>
    <w:rsid w:val="01C42BAB"/>
    <w:rsid w:val="01C630F0"/>
    <w:rsid w:val="01C74429"/>
    <w:rsid w:val="01D027EB"/>
    <w:rsid w:val="01DD1E9F"/>
    <w:rsid w:val="01EE19B6"/>
    <w:rsid w:val="01EF572E"/>
    <w:rsid w:val="020D21BB"/>
    <w:rsid w:val="021050E3"/>
    <w:rsid w:val="02160F0D"/>
    <w:rsid w:val="02247ACE"/>
    <w:rsid w:val="024110A5"/>
    <w:rsid w:val="025C7268"/>
    <w:rsid w:val="025D4D8E"/>
    <w:rsid w:val="02717049"/>
    <w:rsid w:val="02720839"/>
    <w:rsid w:val="029F0F02"/>
    <w:rsid w:val="02A44DE3"/>
    <w:rsid w:val="02A91D81"/>
    <w:rsid w:val="02B7624C"/>
    <w:rsid w:val="02DA63DE"/>
    <w:rsid w:val="032338E1"/>
    <w:rsid w:val="03653EFA"/>
    <w:rsid w:val="03754247"/>
    <w:rsid w:val="03A8028B"/>
    <w:rsid w:val="03C6053A"/>
    <w:rsid w:val="03DD0BFD"/>
    <w:rsid w:val="03DF5A69"/>
    <w:rsid w:val="03E07A24"/>
    <w:rsid w:val="03E33071"/>
    <w:rsid w:val="03FB485E"/>
    <w:rsid w:val="040D7B61"/>
    <w:rsid w:val="04160B93"/>
    <w:rsid w:val="041D6583"/>
    <w:rsid w:val="04210C13"/>
    <w:rsid w:val="043449DC"/>
    <w:rsid w:val="0442423B"/>
    <w:rsid w:val="044F0706"/>
    <w:rsid w:val="045C7FB1"/>
    <w:rsid w:val="046161A6"/>
    <w:rsid w:val="04846602"/>
    <w:rsid w:val="04C410F4"/>
    <w:rsid w:val="04CB4231"/>
    <w:rsid w:val="04CC7C6B"/>
    <w:rsid w:val="04D70E27"/>
    <w:rsid w:val="04E946B7"/>
    <w:rsid w:val="04EB042F"/>
    <w:rsid w:val="052C2255"/>
    <w:rsid w:val="053E0EA6"/>
    <w:rsid w:val="05444DBA"/>
    <w:rsid w:val="055406CA"/>
    <w:rsid w:val="056D52E8"/>
    <w:rsid w:val="058B7403"/>
    <w:rsid w:val="058C7E64"/>
    <w:rsid w:val="05946D18"/>
    <w:rsid w:val="05C60759"/>
    <w:rsid w:val="05D215EF"/>
    <w:rsid w:val="05EC26B0"/>
    <w:rsid w:val="05ED01D7"/>
    <w:rsid w:val="05FD48BE"/>
    <w:rsid w:val="061D6D0E"/>
    <w:rsid w:val="063127B9"/>
    <w:rsid w:val="06336531"/>
    <w:rsid w:val="063551AF"/>
    <w:rsid w:val="063B3638"/>
    <w:rsid w:val="064A58D9"/>
    <w:rsid w:val="065541C7"/>
    <w:rsid w:val="06587D46"/>
    <w:rsid w:val="067B0FAE"/>
    <w:rsid w:val="067D155B"/>
    <w:rsid w:val="06824DC3"/>
    <w:rsid w:val="06A411DD"/>
    <w:rsid w:val="06BA455D"/>
    <w:rsid w:val="06C21663"/>
    <w:rsid w:val="06C67278"/>
    <w:rsid w:val="06C90C44"/>
    <w:rsid w:val="06E11AE9"/>
    <w:rsid w:val="070B4DB8"/>
    <w:rsid w:val="07131EBF"/>
    <w:rsid w:val="07281079"/>
    <w:rsid w:val="072E0AA7"/>
    <w:rsid w:val="074F1149"/>
    <w:rsid w:val="07504EC1"/>
    <w:rsid w:val="07585B24"/>
    <w:rsid w:val="075F0F9B"/>
    <w:rsid w:val="07697D31"/>
    <w:rsid w:val="076B1CFB"/>
    <w:rsid w:val="077E6653"/>
    <w:rsid w:val="078F59E9"/>
    <w:rsid w:val="07906833"/>
    <w:rsid w:val="07AA45D1"/>
    <w:rsid w:val="07B62F76"/>
    <w:rsid w:val="07C1191B"/>
    <w:rsid w:val="07CC09EB"/>
    <w:rsid w:val="07ED2710"/>
    <w:rsid w:val="08000695"/>
    <w:rsid w:val="081829A8"/>
    <w:rsid w:val="086A1FB2"/>
    <w:rsid w:val="08793FA4"/>
    <w:rsid w:val="08812491"/>
    <w:rsid w:val="08836BD0"/>
    <w:rsid w:val="08872B64"/>
    <w:rsid w:val="088E5CA1"/>
    <w:rsid w:val="08940FEB"/>
    <w:rsid w:val="08951D07"/>
    <w:rsid w:val="089808CE"/>
    <w:rsid w:val="089A1F2A"/>
    <w:rsid w:val="08B35707"/>
    <w:rsid w:val="08C72F61"/>
    <w:rsid w:val="08D06779"/>
    <w:rsid w:val="08E52080"/>
    <w:rsid w:val="08E92ED7"/>
    <w:rsid w:val="08F31FA8"/>
    <w:rsid w:val="093D627A"/>
    <w:rsid w:val="0946657C"/>
    <w:rsid w:val="094748D9"/>
    <w:rsid w:val="094B2B37"/>
    <w:rsid w:val="095729BC"/>
    <w:rsid w:val="095A1434"/>
    <w:rsid w:val="09644C54"/>
    <w:rsid w:val="096E162E"/>
    <w:rsid w:val="09700C89"/>
    <w:rsid w:val="098E3A7F"/>
    <w:rsid w:val="099E62D5"/>
    <w:rsid w:val="09A11A04"/>
    <w:rsid w:val="09B16833"/>
    <w:rsid w:val="09DB1584"/>
    <w:rsid w:val="09DB4F16"/>
    <w:rsid w:val="09DE0562"/>
    <w:rsid w:val="09EB76D0"/>
    <w:rsid w:val="09F2400E"/>
    <w:rsid w:val="0A00497C"/>
    <w:rsid w:val="0A182A71"/>
    <w:rsid w:val="0A2543E3"/>
    <w:rsid w:val="0A3065DA"/>
    <w:rsid w:val="0A36214C"/>
    <w:rsid w:val="0A375EC4"/>
    <w:rsid w:val="0A4725AB"/>
    <w:rsid w:val="0A4A209B"/>
    <w:rsid w:val="0A5922DF"/>
    <w:rsid w:val="0A652A31"/>
    <w:rsid w:val="0A6A629A"/>
    <w:rsid w:val="0AA479FE"/>
    <w:rsid w:val="0AAE43D8"/>
    <w:rsid w:val="0AB13EC9"/>
    <w:rsid w:val="0AB319EF"/>
    <w:rsid w:val="0AB87005"/>
    <w:rsid w:val="0AD6392F"/>
    <w:rsid w:val="0ADF0A36"/>
    <w:rsid w:val="0AE55920"/>
    <w:rsid w:val="0AFD44E7"/>
    <w:rsid w:val="0B016BFE"/>
    <w:rsid w:val="0B0B3ACC"/>
    <w:rsid w:val="0B1306DF"/>
    <w:rsid w:val="0B177AFB"/>
    <w:rsid w:val="0B243571"/>
    <w:rsid w:val="0B3301DB"/>
    <w:rsid w:val="0B3A131E"/>
    <w:rsid w:val="0B414B58"/>
    <w:rsid w:val="0B4C599F"/>
    <w:rsid w:val="0B4E7969"/>
    <w:rsid w:val="0B5F3883"/>
    <w:rsid w:val="0B696551"/>
    <w:rsid w:val="0B865355"/>
    <w:rsid w:val="0B955598"/>
    <w:rsid w:val="0BAC2AF2"/>
    <w:rsid w:val="0BB853B5"/>
    <w:rsid w:val="0BC33EB3"/>
    <w:rsid w:val="0BF05890"/>
    <w:rsid w:val="0C324B95"/>
    <w:rsid w:val="0C434FF4"/>
    <w:rsid w:val="0C5C1C12"/>
    <w:rsid w:val="0C684A5B"/>
    <w:rsid w:val="0C87510A"/>
    <w:rsid w:val="0C917B0E"/>
    <w:rsid w:val="0C943AA2"/>
    <w:rsid w:val="0C9B098C"/>
    <w:rsid w:val="0CA535B9"/>
    <w:rsid w:val="0CD21ED4"/>
    <w:rsid w:val="0CE02843"/>
    <w:rsid w:val="0CE75980"/>
    <w:rsid w:val="0CE77A5C"/>
    <w:rsid w:val="0D073934"/>
    <w:rsid w:val="0D097FEC"/>
    <w:rsid w:val="0D411534"/>
    <w:rsid w:val="0D4252AC"/>
    <w:rsid w:val="0D42705A"/>
    <w:rsid w:val="0D516DE1"/>
    <w:rsid w:val="0D817B82"/>
    <w:rsid w:val="0D841421"/>
    <w:rsid w:val="0D933D59"/>
    <w:rsid w:val="0D934BD1"/>
    <w:rsid w:val="0D951880"/>
    <w:rsid w:val="0D957AD2"/>
    <w:rsid w:val="0DA46040"/>
    <w:rsid w:val="0DA6037A"/>
    <w:rsid w:val="0DA970D9"/>
    <w:rsid w:val="0DB37F58"/>
    <w:rsid w:val="0DB52132"/>
    <w:rsid w:val="0DC043DF"/>
    <w:rsid w:val="0DCD1019"/>
    <w:rsid w:val="0DD02A22"/>
    <w:rsid w:val="0DD21CE8"/>
    <w:rsid w:val="0DD423A8"/>
    <w:rsid w:val="0DE95727"/>
    <w:rsid w:val="0DFF5DFD"/>
    <w:rsid w:val="0E0B38F0"/>
    <w:rsid w:val="0E0F7031"/>
    <w:rsid w:val="0E1F739B"/>
    <w:rsid w:val="0E3C1CFB"/>
    <w:rsid w:val="0E484B44"/>
    <w:rsid w:val="0E516BD6"/>
    <w:rsid w:val="0E54694D"/>
    <w:rsid w:val="0E6059EA"/>
    <w:rsid w:val="0E6D6359"/>
    <w:rsid w:val="0E7771D7"/>
    <w:rsid w:val="0E8D07A9"/>
    <w:rsid w:val="0EA24254"/>
    <w:rsid w:val="0EB21FBD"/>
    <w:rsid w:val="0EB36CC9"/>
    <w:rsid w:val="0EB83A78"/>
    <w:rsid w:val="0EBE4E06"/>
    <w:rsid w:val="0EEF4FBF"/>
    <w:rsid w:val="0EF16484"/>
    <w:rsid w:val="0EFB5DDF"/>
    <w:rsid w:val="0F0767AD"/>
    <w:rsid w:val="0F0C2F5A"/>
    <w:rsid w:val="0F0E7B3C"/>
    <w:rsid w:val="0F12705F"/>
    <w:rsid w:val="0F1E7653"/>
    <w:rsid w:val="0F24110D"/>
    <w:rsid w:val="0F4E618A"/>
    <w:rsid w:val="0F5337A0"/>
    <w:rsid w:val="0F6239E3"/>
    <w:rsid w:val="0F706100"/>
    <w:rsid w:val="0F7A0D2D"/>
    <w:rsid w:val="0F7B4AA5"/>
    <w:rsid w:val="0F824086"/>
    <w:rsid w:val="0F9242C9"/>
    <w:rsid w:val="0FA77648"/>
    <w:rsid w:val="0FD77F2D"/>
    <w:rsid w:val="0FFC5BE6"/>
    <w:rsid w:val="10493A6F"/>
    <w:rsid w:val="1065378B"/>
    <w:rsid w:val="1068327B"/>
    <w:rsid w:val="10833C11"/>
    <w:rsid w:val="1090632E"/>
    <w:rsid w:val="10A2637C"/>
    <w:rsid w:val="10B93AD7"/>
    <w:rsid w:val="11263A8B"/>
    <w:rsid w:val="11270A41"/>
    <w:rsid w:val="112D27A2"/>
    <w:rsid w:val="113A4C18"/>
    <w:rsid w:val="11405FA6"/>
    <w:rsid w:val="11477335"/>
    <w:rsid w:val="115A7068"/>
    <w:rsid w:val="11755C50"/>
    <w:rsid w:val="11773758"/>
    <w:rsid w:val="117D3A12"/>
    <w:rsid w:val="11835756"/>
    <w:rsid w:val="11A561D7"/>
    <w:rsid w:val="11C95F9C"/>
    <w:rsid w:val="11D16BFE"/>
    <w:rsid w:val="11D24E50"/>
    <w:rsid w:val="11DB0D58"/>
    <w:rsid w:val="11FC1ECD"/>
    <w:rsid w:val="12167F1E"/>
    <w:rsid w:val="123258EF"/>
    <w:rsid w:val="124675EC"/>
    <w:rsid w:val="125E4936"/>
    <w:rsid w:val="126637EB"/>
    <w:rsid w:val="12957C2C"/>
    <w:rsid w:val="12DF605B"/>
    <w:rsid w:val="13135720"/>
    <w:rsid w:val="131A2C88"/>
    <w:rsid w:val="131B3414"/>
    <w:rsid w:val="132A4818"/>
    <w:rsid w:val="132E3A7F"/>
    <w:rsid w:val="13370CE3"/>
    <w:rsid w:val="13386F35"/>
    <w:rsid w:val="13477E59"/>
    <w:rsid w:val="134A4EBA"/>
    <w:rsid w:val="1360648C"/>
    <w:rsid w:val="137361BF"/>
    <w:rsid w:val="13741F37"/>
    <w:rsid w:val="137E6912"/>
    <w:rsid w:val="13A75E69"/>
    <w:rsid w:val="13B10CDE"/>
    <w:rsid w:val="13C44C6D"/>
    <w:rsid w:val="13C71955"/>
    <w:rsid w:val="13C95D0F"/>
    <w:rsid w:val="13D11138"/>
    <w:rsid w:val="13DD188A"/>
    <w:rsid w:val="13E0137B"/>
    <w:rsid w:val="13E72709"/>
    <w:rsid w:val="13F549B3"/>
    <w:rsid w:val="13F866C4"/>
    <w:rsid w:val="13FB7F63"/>
    <w:rsid w:val="13FE2AA9"/>
    <w:rsid w:val="14005579"/>
    <w:rsid w:val="140D6614"/>
    <w:rsid w:val="14215C1B"/>
    <w:rsid w:val="142851FC"/>
    <w:rsid w:val="143771ED"/>
    <w:rsid w:val="143C1162"/>
    <w:rsid w:val="14411E19"/>
    <w:rsid w:val="14522278"/>
    <w:rsid w:val="14787805"/>
    <w:rsid w:val="14861F22"/>
    <w:rsid w:val="148633D0"/>
    <w:rsid w:val="14902DA1"/>
    <w:rsid w:val="14A800EA"/>
    <w:rsid w:val="14B1050B"/>
    <w:rsid w:val="14BF71E2"/>
    <w:rsid w:val="14D964F6"/>
    <w:rsid w:val="14F43330"/>
    <w:rsid w:val="151F18D7"/>
    <w:rsid w:val="1537146E"/>
    <w:rsid w:val="15400C78"/>
    <w:rsid w:val="154C45DF"/>
    <w:rsid w:val="156404B5"/>
    <w:rsid w:val="1574621E"/>
    <w:rsid w:val="157601E9"/>
    <w:rsid w:val="157D3325"/>
    <w:rsid w:val="158D108E"/>
    <w:rsid w:val="15910B7E"/>
    <w:rsid w:val="159C257A"/>
    <w:rsid w:val="159F14ED"/>
    <w:rsid w:val="15AD0685"/>
    <w:rsid w:val="15C42D02"/>
    <w:rsid w:val="15CD44D1"/>
    <w:rsid w:val="15D60C87"/>
    <w:rsid w:val="15F829AC"/>
    <w:rsid w:val="16077093"/>
    <w:rsid w:val="162639BD"/>
    <w:rsid w:val="163559AE"/>
    <w:rsid w:val="16607A48"/>
    <w:rsid w:val="166242C9"/>
    <w:rsid w:val="1663620B"/>
    <w:rsid w:val="168F3A80"/>
    <w:rsid w:val="169833B1"/>
    <w:rsid w:val="169A1CB5"/>
    <w:rsid w:val="16B25250"/>
    <w:rsid w:val="16D61197"/>
    <w:rsid w:val="16E276A1"/>
    <w:rsid w:val="16F969DB"/>
    <w:rsid w:val="16FB6BF7"/>
    <w:rsid w:val="17197826"/>
    <w:rsid w:val="171B5478"/>
    <w:rsid w:val="1726179A"/>
    <w:rsid w:val="17383306"/>
    <w:rsid w:val="17451C21"/>
    <w:rsid w:val="175005C5"/>
    <w:rsid w:val="17510416"/>
    <w:rsid w:val="17683B61"/>
    <w:rsid w:val="176D1177"/>
    <w:rsid w:val="177D585E"/>
    <w:rsid w:val="17AC6144"/>
    <w:rsid w:val="17D47866"/>
    <w:rsid w:val="17D64F6F"/>
    <w:rsid w:val="17D75AEB"/>
    <w:rsid w:val="17E62BB6"/>
    <w:rsid w:val="17EF6030"/>
    <w:rsid w:val="17F24E66"/>
    <w:rsid w:val="17F378CF"/>
    <w:rsid w:val="18085DC4"/>
    <w:rsid w:val="181E2472"/>
    <w:rsid w:val="18237B32"/>
    <w:rsid w:val="182D7E64"/>
    <w:rsid w:val="18335F1D"/>
    <w:rsid w:val="184243B2"/>
    <w:rsid w:val="185D2F9A"/>
    <w:rsid w:val="185D743E"/>
    <w:rsid w:val="185F4F64"/>
    <w:rsid w:val="186C142F"/>
    <w:rsid w:val="1876405C"/>
    <w:rsid w:val="188A0C7B"/>
    <w:rsid w:val="189D50AD"/>
    <w:rsid w:val="18CB43A7"/>
    <w:rsid w:val="18ED6A14"/>
    <w:rsid w:val="18EE0096"/>
    <w:rsid w:val="19366EDA"/>
    <w:rsid w:val="194D1260"/>
    <w:rsid w:val="19505997"/>
    <w:rsid w:val="19552A86"/>
    <w:rsid w:val="195B1269"/>
    <w:rsid w:val="196A3BC0"/>
    <w:rsid w:val="197C1B46"/>
    <w:rsid w:val="197F1036"/>
    <w:rsid w:val="198C19F9"/>
    <w:rsid w:val="199B1FCC"/>
    <w:rsid w:val="199C7AF2"/>
    <w:rsid w:val="19A35324"/>
    <w:rsid w:val="19A846E9"/>
    <w:rsid w:val="19B66E06"/>
    <w:rsid w:val="19BC296D"/>
    <w:rsid w:val="19CC03D7"/>
    <w:rsid w:val="19DB686C"/>
    <w:rsid w:val="19E219A9"/>
    <w:rsid w:val="1A044015"/>
    <w:rsid w:val="1A0758B3"/>
    <w:rsid w:val="1A255D39"/>
    <w:rsid w:val="1A414E9F"/>
    <w:rsid w:val="1A4268EB"/>
    <w:rsid w:val="1A4564E2"/>
    <w:rsid w:val="1A4C59BC"/>
    <w:rsid w:val="1A5403CD"/>
    <w:rsid w:val="1A5D3725"/>
    <w:rsid w:val="1A693E78"/>
    <w:rsid w:val="1A725422"/>
    <w:rsid w:val="1A930EF5"/>
    <w:rsid w:val="1A964EAC"/>
    <w:rsid w:val="1A9A2283"/>
    <w:rsid w:val="1AD0039B"/>
    <w:rsid w:val="1AD058B4"/>
    <w:rsid w:val="1AD31C39"/>
    <w:rsid w:val="1ADD03C2"/>
    <w:rsid w:val="1AEB2ADF"/>
    <w:rsid w:val="1AF844CE"/>
    <w:rsid w:val="1B030903"/>
    <w:rsid w:val="1B1E102C"/>
    <w:rsid w:val="1B283D33"/>
    <w:rsid w:val="1B2B55D1"/>
    <w:rsid w:val="1B30397C"/>
    <w:rsid w:val="1B36558E"/>
    <w:rsid w:val="1B4A1EFB"/>
    <w:rsid w:val="1B552B9A"/>
    <w:rsid w:val="1B5A546C"/>
    <w:rsid w:val="1B6A434C"/>
    <w:rsid w:val="1BA86C22"/>
    <w:rsid w:val="1BC53330"/>
    <w:rsid w:val="1BE35EAC"/>
    <w:rsid w:val="1BEF4851"/>
    <w:rsid w:val="1BF76BEB"/>
    <w:rsid w:val="1C0227D6"/>
    <w:rsid w:val="1C0C1291"/>
    <w:rsid w:val="1C25718C"/>
    <w:rsid w:val="1C27223D"/>
    <w:rsid w:val="1C2C1601"/>
    <w:rsid w:val="1C420E24"/>
    <w:rsid w:val="1C56667E"/>
    <w:rsid w:val="1C6A2129"/>
    <w:rsid w:val="1C7D5357"/>
    <w:rsid w:val="1CC41839"/>
    <w:rsid w:val="1CD53A47"/>
    <w:rsid w:val="1CD75A11"/>
    <w:rsid w:val="1CE67A02"/>
    <w:rsid w:val="1CF77E61"/>
    <w:rsid w:val="1CF80317"/>
    <w:rsid w:val="1D097B94"/>
    <w:rsid w:val="1D0B56BA"/>
    <w:rsid w:val="1D0B7468"/>
    <w:rsid w:val="1D102CD1"/>
    <w:rsid w:val="1D1207F7"/>
    <w:rsid w:val="1D181B85"/>
    <w:rsid w:val="1D1C1676"/>
    <w:rsid w:val="1D212427"/>
    <w:rsid w:val="1D2A7F5A"/>
    <w:rsid w:val="1D47726F"/>
    <w:rsid w:val="1D533029"/>
    <w:rsid w:val="1D5A3C4A"/>
    <w:rsid w:val="1D6447C7"/>
    <w:rsid w:val="1D9220A3"/>
    <w:rsid w:val="1DB418AE"/>
    <w:rsid w:val="1DD43CFE"/>
    <w:rsid w:val="1DD64B1F"/>
    <w:rsid w:val="1DDC7057"/>
    <w:rsid w:val="1DE66E3C"/>
    <w:rsid w:val="1E002D45"/>
    <w:rsid w:val="1E2D03C3"/>
    <w:rsid w:val="1E2D45A0"/>
    <w:rsid w:val="1E4569AA"/>
    <w:rsid w:val="1E603146"/>
    <w:rsid w:val="1E890F8D"/>
    <w:rsid w:val="1EA062D6"/>
    <w:rsid w:val="1EBA7324"/>
    <w:rsid w:val="1ECC70CB"/>
    <w:rsid w:val="1ED16490"/>
    <w:rsid w:val="1EDF0BAD"/>
    <w:rsid w:val="1EF02DBA"/>
    <w:rsid w:val="1EF40C00"/>
    <w:rsid w:val="1EFC175F"/>
    <w:rsid w:val="1F093E7B"/>
    <w:rsid w:val="1F177556"/>
    <w:rsid w:val="1F446C62"/>
    <w:rsid w:val="1F5321E4"/>
    <w:rsid w:val="1F5570C1"/>
    <w:rsid w:val="1F572E39"/>
    <w:rsid w:val="1F576995"/>
    <w:rsid w:val="1F6115C2"/>
    <w:rsid w:val="1F6E7EA0"/>
    <w:rsid w:val="1F896D6A"/>
    <w:rsid w:val="1F907833"/>
    <w:rsid w:val="1F996FAD"/>
    <w:rsid w:val="1FA31BDA"/>
    <w:rsid w:val="1FB65DB1"/>
    <w:rsid w:val="1FBC0EEE"/>
    <w:rsid w:val="1FBF453A"/>
    <w:rsid w:val="1FD44489"/>
    <w:rsid w:val="1FFC0608"/>
    <w:rsid w:val="20032679"/>
    <w:rsid w:val="203733D4"/>
    <w:rsid w:val="204038CD"/>
    <w:rsid w:val="20515ADA"/>
    <w:rsid w:val="206D21E8"/>
    <w:rsid w:val="207417C9"/>
    <w:rsid w:val="20783067"/>
    <w:rsid w:val="20887F85"/>
    <w:rsid w:val="208C491C"/>
    <w:rsid w:val="20A01AB8"/>
    <w:rsid w:val="20BC55C4"/>
    <w:rsid w:val="20C31E08"/>
    <w:rsid w:val="20C4005A"/>
    <w:rsid w:val="20F6042F"/>
    <w:rsid w:val="21040255"/>
    <w:rsid w:val="210A0532"/>
    <w:rsid w:val="211069AB"/>
    <w:rsid w:val="211A5ECC"/>
    <w:rsid w:val="211C7E96"/>
    <w:rsid w:val="217C0935"/>
    <w:rsid w:val="217D46AD"/>
    <w:rsid w:val="21BE2CFB"/>
    <w:rsid w:val="21CD1190"/>
    <w:rsid w:val="21D544E9"/>
    <w:rsid w:val="21DC13D3"/>
    <w:rsid w:val="21E309B4"/>
    <w:rsid w:val="21ED538F"/>
    <w:rsid w:val="21F030D1"/>
    <w:rsid w:val="21FA6A67"/>
    <w:rsid w:val="220426D8"/>
    <w:rsid w:val="2217065D"/>
    <w:rsid w:val="22230DB0"/>
    <w:rsid w:val="22396826"/>
    <w:rsid w:val="22525B39"/>
    <w:rsid w:val="227F345A"/>
    <w:rsid w:val="2283343F"/>
    <w:rsid w:val="22880986"/>
    <w:rsid w:val="22A5210D"/>
    <w:rsid w:val="22A55C69"/>
    <w:rsid w:val="22B12860"/>
    <w:rsid w:val="22B67E76"/>
    <w:rsid w:val="22CF0F38"/>
    <w:rsid w:val="22F80B01"/>
    <w:rsid w:val="22FE5379"/>
    <w:rsid w:val="231177A3"/>
    <w:rsid w:val="23272B22"/>
    <w:rsid w:val="23360FB7"/>
    <w:rsid w:val="23614286"/>
    <w:rsid w:val="23623B5A"/>
    <w:rsid w:val="236478D2"/>
    <w:rsid w:val="23720241"/>
    <w:rsid w:val="23A14683"/>
    <w:rsid w:val="23B60B3C"/>
    <w:rsid w:val="23E34C9B"/>
    <w:rsid w:val="23F17F35"/>
    <w:rsid w:val="23FF584D"/>
    <w:rsid w:val="24062738"/>
    <w:rsid w:val="242156F9"/>
    <w:rsid w:val="2426102C"/>
    <w:rsid w:val="24341072"/>
    <w:rsid w:val="245E4322"/>
    <w:rsid w:val="2496440F"/>
    <w:rsid w:val="249661B1"/>
    <w:rsid w:val="24A558EF"/>
    <w:rsid w:val="24AF67BE"/>
    <w:rsid w:val="24B108F5"/>
    <w:rsid w:val="24B6415E"/>
    <w:rsid w:val="24CC1BD3"/>
    <w:rsid w:val="24E567F1"/>
    <w:rsid w:val="24EC5DD1"/>
    <w:rsid w:val="25093BCD"/>
    <w:rsid w:val="25164BFC"/>
    <w:rsid w:val="251B66B7"/>
    <w:rsid w:val="25315EDA"/>
    <w:rsid w:val="256516E0"/>
    <w:rsid w:val="257404B3"/>
    <w:rsid w:val="258B55EA"/>
    <w:rsid w:val="25907196"/>
    <w:rsid w:val="25A13560"/>
    <w:rsid w:val="25B2039B"/>
    <w:rsid w:val="25BE7590"/>
    <w:rsid w:val="25CD79B1"/>
    <w:rsid w:val="25D24FC7"/>
    <w:rsid w:val="25F42697"/>
    <w:rsid w:val="260333D3"/>
    <w:rsid w:val="262219BF"/>
    <w:rsid w:val="26467763"/>
    <w:rsid w:val="264D464E"/>
    <w:rsid w:val="264F6850"/>
    <w:rsid w:val="26527EB6"/>
    <w:rsid w:val="266C32E9"/>
    <w:rsid w:val="268D5392"/>
    <w:rsid w:val="26930518"/>
    <w:rsid w:val="26975162"/>
    <w:rsid w:val="26A30712"/>
    <w:rsid w:val="26A8388C"/>
    <w:rsid w:val="26CC0096"/>
    <w:rsid w:val="26D66D39"/>
    <w:rsid w:val="27076EF2"/>
    <w:rsid w:val="272C4BAB"/>
    <w:rsid w:val="27466F3A"/>
    <w:rsid w:val="27547C5E"/>
    <w:rsid w:val="275531FA"/>
    <w:rsid w:val="2759134E"/>
    <w:rsid w:val="27606603"/>
    <w:rsid w:val="279D33B3"/>
    <w:rsid w:val="27CA1AE6"/>
    <w:rsid w:val="27DC037F"/>
    <w:rsid w:val="27F51A4F"/>
    <w:rsid w:val="27F60D15"/>
    <w:rsid w:val="27FE6547"/>
    <w:rsid w:val="28262DD0"/>
    <w:rsid w:val="283C2BCC"/>
    <w:rsid w:val="283F090E"/>
    <w:rsid w:val="284C5056"/>
    <w:rsid w:val="286D547B"/>
    <w:rsid w:val="2895052E"/>
    <w:rsid w:val="28C80903"/>
    <w:rsid w:val="28D148BE"/>
    <w:rsid w:val="28D948BF"/>
    <w:rsid w:val="28DD7684"/>
    <w:rsid w:val="28E3573D"/>
    <w:rsid w:val="28E35A4A"/>
    <w:rsid w:val="29361D11"/>
    <w:rsid w:val="293F655C"/>
    <w:rsid w:val="29453736"/>
    <w:rsid w:val="295264D7"/>
    <w:rsid w:val="295E3FB4"/>
    <w:rsid w:val="296219BD"/>
    <w:rsid w:val="297250A8"/>
    <w:rsid w:val="29787C34"/>
    <w:rsid w:val="29A077CD"/>
    <w:rsid w:val="29A50C45"/>
    <w:rsid w:val="29AE18A7"/>
    <w:rsid w:val="29AE5D4B"/>
    <w:rsid w:val="29C556B2"/>
    <w:rsid w:val="29DB01C2"/>
    <w:rsid w:val="29E34DCE"/>
    <w:rsid w:val="29F86FC6"/>
    <w:rsid w:val="29FC76B6"/>
    <w:rsid w:val="29FF65A7"/>
    <w:rsid w:val="2A3C5105"/>
    <w:rsid w:val="2A497822"/>
    <w:rsid w:val="2A614CE5"/>
    <w:rsid w:val="2A6428AE"/>
    <w:rsid w:val="2A750617"/>
    <w:rsid w:val="2A9860B3"/>
    <w:rsid w:val="2A9D36CA"/>
    <w:rsid w:val="2AB63109"/>
    <w:rsid w:val="2AB65226"/>
    <w:rsid w:val="2AC60E73"/>
    <w:rsid w:val="2AC670C5"/>
    <w:rsid w:val="2AD27433"/>
    <w:rsid w:val="2AD91C3E"/>
    <w:rsid w:val="2ADE7F6A"/>
    <w:rsid w:val="2AF43684"/>
    <w:rsid w:val="2AF631B7"/>
    <w:rsid w:val="2AF94DA4"/>
    <w:rsid w:val="2B09160F"/>
    <w:rsid w:val="2B267384"/>
    <w:rsid w:val="2B33475A"/>
    <w:rsid w:val="2B365FF8"/>
    <w:rsid w:val="2B3E6C5B"/>
    <w:rsid w:val="2B563FA5"/>
    <w:rsid w:val="2B591CE7"/>
    <w:rsid w:val="2B6262E8"/>
    <w:rsid w:val="2B7663F5"/>
    <w:rsid w:val="2B966A97"/>
    <w:rsid w:val="2BA2368E"/>
    <w:rsid w:val="2BCA04EF"/>
    <w:rsid w:val="2BD15D21"/>
    <w:rsid w:val="2BF0264B"/>
    <w:rsid w:val="2BF8505C"/>
    <w:rsid w:val="2C0C4FAB"/>
    <w:rsid w:val="2C186B31"/>
    <w:rsid w:val="2C2C11A9"/>
    <w:rsid w:val="2C372A17"/>
    <w:rsid w:val="2C3818FC"/>
    <w:rsid w:val="2C4F2845"/>
    <w:rsid w:val="2C6167BC"/>
    <w:rsid w:val="2C7843EE"/>
    <w:rsid w:val="2C7E0B72"/>
    <w:rsid w:val="2C7F752B"/>
    <w:rsid w:val="2C842BA5"/>
    <w:rsid w:val="2C92725E"/>
    <w:rsid w:val="2CC6515A"/>
    <w:rsid w:val="2CD21D51"/>
    <w:rsid w:val="2CE37ABA"/>
    <w:rsid w:val="2CFF066C"/>
    <w:rsid w:val="2D2849C7"/>
    <w:rsid w:val="2D352EF4"/>
    <w:rsid w:val="2D391DD0"/>
    <w:rsid w:val="2D400CCB"/>
    <w:rsid w:val="2D482013"/>
    <w:rsid w:val="2D6F134E"/>
    <w:rsid w:val="2D6F75A0"/>
    <w:rsid w:val="2D7E77E3"/>
    <w:rsid w:val="2D83129D"/>
    <w:rsid w:val="2D834DF9"/>
    <w:rsid w:val="2D865FF5"/>
    <w:rsid w:val="2D8D1303"/>
    <w:rsid w:val="2D8D1641"/>
    <w:rsid w:val="2DA07759"/>
    <w:rsid w:val="2DA84860"/>
    <w:rsid w:val="2DAD5826"/>
    <w:rsid w:val="2DD45655"/>
    <w:rsid w:val="2DE55AB4"/>
    <w:rsid w:val="2DE956D9"/>
    <w:rsid w:val="2E0C1292"/>
    <w:rsid w:val="2E165C6D"/>
    <w:rsid w:val="2E173476"/>
    <w:rsid w:val="2E184226"/>
    <w:rsid w:val="2E1D349F"/>
    <w:rsid w:val="2E2E1155"/>
    <w:rsid w:val="2E530C6F"/>
    <w:rsid w:val="2E627F72"/>
    <w:rsid w:val="2E6E5AA9"/>
    <w:rsid w:val="2E84720F"/>
    <w:rsid w:val="2E8C0B54"/>
    <w:rsid w:val="2E8D0030"/>
    <w:rsid w:val="2E935510"/>
    <w:rsid w:val="2EBA2A9C"/>
    <w:rsid w:val="2EBC6814"/>
    <w:rsid w:val="2ED33B5E"/>
    <w:rsid w:val="2F0361F1"/>
    <w:rsid w:val="2F0D58D6"/>
    <w:rsid w:val="2F2666CA"/>
    <w:rsid w:val="2F307202"/>
    <w:rsid w:val="2F326EFC"/>
    <w:rsid w:val="2F340AA1"/>
    <w:rsid w:val="2F3A598B"/>
    <w:rsid w:val="2F4800A8"/>
    <w:rsid w:val="2F6649D2"/>
    <w:rsid w:val="2F68074A"/>
    <w:rsid w:val="2F6C023B"/>
    <w:rsid w:val="2F6D5D61"/>
    <w:rsid w:val="2F7D2448"/>
    <w:rsid w:val="2F8512FC"/>
    <w:rsid w:val="2F8530AA"/>
    <w:rsid w:val="2F937790"/>
    <w:rsid w:val="2F990904"/>
    <w:rsid w:val="2FAD1DFD"/>
    <w:rsid w:val="2FC02334"/>
    <w:rsid w:val="2FDB733F"/>
    <w:rsid w:val="301724CF"/>
    <w:rsid w:val="30274161"/>
    <w:rsid w:val="30442F65"/>
    <w:rsid w:val="30522E36"/>
    <w:rsid w:val="3091782D"/>
    <w:rsid w:val="30982634"/>
    <w:rsid w:val="309C4B4F"/>
    <w:rsid w:val="30D53BBD"/>
    <w:rsid w:val="30DB4046"/>
    <w:rsid w:val="30E16A06"/>
    <w:rsid w:val="30E958BB"/>
    <w:rsid w:val="30EE1FA4"/>
    <w:rsid w:val="30EE2ED1"/>
    <w:rsid w:val="311566B0"/>
    <w:rsid w:val="312406A1"/>
    <w:rsid w:val="31252478"/>
    <w:rsid w:val="3143321D"/>
    <w:rsid w:val="31501496"/>
    <w:rsid w:val="317433D6"/>
    <w:rsid w:val="31A1597F"/>
    <w:rsid w:val="31A737AC"/>
    <w:rsid w:val="31AB2B70"/>
    <w:rsid w:val="31B37931"/>
    <w:rsid w:val="31C61758"/>
    <w:rsid w:val="31E00A6C"/>
    <w:rsid w:val="31EA5447"/>
    <w:rsid w:val="31EF0CAF"/>
    <w:rsid w:val="32342D25"/>
    <w:rsid w:val="323668DE"/>
    <w:rsid w:val="32455871"/>
    <w:rsid w:val="324A2916"/>
    <w:rsid w:val="325D030E"/>
    <w:rsid w:val="32640E00"/>
    <w:rsid w:val="3266504C"/>
    <w:rsid w:val="3276317E"/>
    <w:rsid w:val="329D070B"/>
    <w:rsid w:val="32A970B0"/>
    <w:rsid w:val="32B36180"/>
    <w:rsid w:val="32CC3B66"/>
    <w:rsid w:val="32F80DD3"/>
    <w:rsid w:val="33042866"/>
    <w:rsid w:val="330B1B18"/>
    <w:rsid w:val="330D4180"/>
    <w:rsid w:val="33120ECB"/>
    <w:rsid w:val="33226E62"/>
    <w:rsid w:val="333D3C9C"/>
    <w:rsid w:val="3350577D"/>
    <w:rsid w:val="33792F26"/>
    <w:rsid w:val="33977850"/>
    <w:rsid w:val="33A361F5"/>
    <w:rsid w:val="33A6741D"/>
    <w:rsid w:val="33B73A4E"/>
    <w:rsid w:val="33C70135"/>
    <w:rsid w:val="33CD3272"/>
    <w:rsid w:val="33D9561C"/>
    <w:rsid w:val="33DC1707"/>
    <w:rsid w:val="33E67E90"/>
    <w:rsid w:val="33F151B2"/>
    <w:rsid w:val="33F70EDF"/>
    <w:rsid w:val="33FC2ACF"/>
    <w:rsid w:val="340071A3"/>
    <w:rsid w:val="34362BC5"/>
    <w:rsid w:val="344A6670"/>
    <w:rsid w:val="3467570E"/>
    <w:rsid w:val="34693C8F"/>
    <w:rsid w:val="34991662"/>
    <w:rsid w:val="349A13A6"/>
    <w:rsid w:val="34A35D81"/>
    <w:rsid w:val="34B14942"/>
    <w:rsid w:val="34BF0E0C"/>
    <w:rsid w:val="34BF39F8"/>
    <w:rsid w:val="34E56399"/>
    <w:rsid w:val="34EE76E2"/>
    <w:rsid w:val="34EF3626"/>
    <w:rsid w:val="35040F15"/>
    <w:rsid w:val="351F18AB"/>
    <w:rsid w:val="352769B2"/>
    <w:rsid w:val="35301D0A"/>
    <w:rsid w:val="354D466A"/>
    <w:rsid w:val="355754E9"/>
    <w:rsid w:val="356279EA"/>
    <w:rsid w:val="356D78C0"/>
    <w:rsid w:val="35802BA4"/>
    <w:rsid w:val="35BE7316"/>
    <w:rsid w:val="35CF32D1"/>
    <w:rsid w:val="35E13004"/>
    <w:rsid w:val="35E93C67"/>
    <w:rsid w:val="35F42D38"/>
    <w:rsid w:val="35F80DD4"/>
    <w:rsid w:val="36220D72"/>
    <w:rsid w:val="36250A64"/>
    <w:rsid w:val="362B4280"/>
    <w:rsid w:val="363B0967"/>
    <w:rsid w:val="36403018"/>
    <w:rsid w:val="36513CE6"/>
    <w:rsid w:val="36631C6B"/>
    <w:rsid w:val="366559E4"/>
    <w:rsid w:val="366F6336"/>
    <w:rsid w:val="367B6FB5"/>
    <w:rsid w:val="36835E6A"/>
    <w:rsid w:val="36A94280"/>
    <w:rsid w:val="36AD2EE7"/>
    <w:rsid w:val="36B64491"/>
    <w:rsid w:val="36B67FED"/>
    <w:rsid w:val="36BF504B"/>
    <w:rsid w:val="36D44054"/>
    <w:rsid w:val="36F07AB7"/>
    <w:rsid w:val="37052D23"/>
    <w:rsid w:val="370E607B"/>
    <w:rsid w:val="371511B8"/>
    <w:rsid w:val="371A4A20"/>
    <w:rsid w:val="371B42F4"/>
    <w:rsid w:val="372A4537"/>
    <w:rsid w:val="373876E8"/>
    <w:rsid w:val="374F7AC7"/>
    <w:rsid w:val="37517D16"/>
    <w:rsid w:val="376B6D2F"/>
    <w:rsid w:val="377063EE"/>
    <w:rsid w:val="37824373"/>
    <w:rsid w:val="37873738"/>
    <w:rsid w:val="378E2D18"/>
    <w:rsid w:val="37903FFB"/>
    <w:rsid w:val="379E73FF"/>
    <w:rsid w:val="37A20571"/>
    <w:rsid w:val="37A91900"/>
    <w:rsid w:val="37AC319E"/>
    <w:rsid w:val="37AE6F16"/>
    <w:rsid w:val="37C36E66"/>
    <w:rsid w:val="37C87FD8"/>
    <w:rsid w:val="37CA561C"/>
    <w:rsid w:val="37DA7D0B"/>
    <w:rsid w:val="382316B2"/>
    <w:rsid w:val="38374901"/>
    <w:rsid w:val="383E473E"/>
    <w:rsid w:val="38441FBE"/>
    <w:rsid w:val="38456A96"/>
    <w:rsid w:val="38570293"/>
    <w:rsid w:val="385B52F0"/>
    <w:rsid w:val="38602906"/>
    <w:rsid w:val="386A72E1"/>
    <w:rsid w:val="387F3287"/>
    <w:rsid w:val="38912AC0"/>
    <w:rsid w:val="389425B0"/>
    <w:rsid w:val="38946C10"/>
    <w:rsid w:val="38983E4E"/>
    <w:rsid w:val="38A04B84"/>
    <w:rsid w:val="38AB58F8"/>
    <w:rsid w:val="38AB7FC4"/>
    <w:rsid w:val="38AF1198"/>
    <w:rsid w:val="38B22A36"/>
    <w:rsid w:val="38C05153"/>
    <w:rsid w:val="38C34C43"/>
    <w:rsid w:val="38C369F1"/>
    <w:rsid w:val="38C509BB"/>
    <w:rsid w:val="38CA7D80"/>
    <w:rsid w:val="38DB01DF"/>
    <w:rsid w:val="38F82B3F"/>
    <w:rsid w:val="39253208"/>
    <w:rsid w:val="39273424"/>
    <w:rsid w:val="392755EE"/>
    <w:rsid w:val="393F42CA"/>
    <w:rsid w:val="39565AB7"/>
    <w:rsid w:val="396579CC"/>
    <w:rsid w:val="39730417"/>
    <w:rsid w:val="39856E6C"/>
    <w:rsid w:val="39A607ED"/>
    <w:rsid w:val="39B36A66"/>
    <w:rsid w:val="39B50A30"/>
    <w:rsid w:val="39BD1693"/>
    <w:rsid w:val="39C944DB"/>
    <w:rsid w:val="39C96289"/>
    <w:rsid w:val="39DC7D6B"/>
    <w:rsid w:val="39DE7F87"/>
    <w:rsid w:val="39FF7EFD"/>
    <w:rsid w:val="3A10210A"/>
    <w:rsid w:val="3A125E82"/>
    <w:rsid w:val="3A310CC8"/>
    <w:rsid w:val="3A554451"/>
    <w:rsid w:val="3A59760D"/>
    <w:rsid w:val="3A697741"/>
    <w:rsid w:val="3A6A7A6C"/>
    <w:rsid w:val="3A790EE0"/>
    <w:rsid w:val="3A970136"/>
    <w:rsid w:val="3AB331C1"/>
    <w:rsid w:val="3ABE3914"/>
    <w:rsid w:val="3ACC4283"/>
    <w:rsid w:val="3B227B92"/>
    <w:rsid w:val="3B2C4D22"/>
    <w:rsid w:val="3B2C6AD0"/>
    <w:rsid w:val="3B312338"/>
    <w:rsid w:val="3B561D9F"/>
    <w:rsid w:val="3B65552C"/>
    <w:rsid w:val="3B790938"/>
    <w:rsid w:val="3B7D37CF"/>
    <w:rsid w:val="3B903503"/>
    <w:rsid w:val="3BA945C4"/>
    <w:rsid w:val="3BB70A8F"/>
    <w:rsid w:val="3BCE5122"/>
    <w:rsid w:val="3BF33A92"/>
    <w:rsid w:val="3BFD44B9"/>
    <w:rsid w:val="3C215F09"/>
    <w:rsid w:val="3C2459F9"/>
    <w:rsid w:val="3C371BD0"/>
    <w:rsid w:val="3C5F4C83"/>
    <w:rsid w:val="3C6E3646"/>
    <w:rsid w:val="3C8D7A42"/>
    <w:rsid w:val="3CA134EE"/>
    <w:rsid w:val="3CB44FCF"/>
    <w:rsid w:val="3CB925E5"/>
    <w:rsid w:val="3CC50F8A"/>
    <w:rsid w:val="3CE77152"/>
    <w:rsid w:val="3D000214"/>
    <w:rsid w:val="3D05582A"/>
    <w:rsid w:val="3D151590"/>
    <w:rsid w:val="3D186608"/>
    <w:rsid w:val="3D2832C7"/>
    <w:rsid w:val="3D326B3B"/>
    <w:rsid w:val="3D364F9E"/>
    <w:rsid w:val="3D69400B"/>
    <w:rsid w:val="3DA70690"/>
    <w:rsid w:val="3DB04840"/>
    <w:rsid w:val="3DB67B4B"/>
    <w:rsid w:val="3DD57D5C"/>
    <w:rsid w:val="3DE0250A"/>
    <w:rsid w:val="3DEB0EC4"/>
    <w:rsid w:val="3DF6341C"/>
    <w:rsid w:val="3DFF04CC"/>
    <w:rsid w:val="3E014244"/>
    <w:rsid w:val="3E043D34"/>
    <w:rsid w:val="3E2B306F"/>
    <w:rsid w:val="3E4811F1"/>
    <w:rsid w:val="3E5A37D5"/>
    <w:rsid w:val="3E6326C6"/>
    <w:rsid w:val="3E7E2322"/>
    <w:rsid w:val="3EAD617A"/>
    <w:rsid w:val="3EAF4ABF"/>
    <w:rsid w:val="3EB24E36"/>
    <w:rsid w:val="3EB412B6"/>
    <w:rsid w:val="3EC90CC3"/>
    <w:rsid w:val="3EDE27D7"/>
    <w:rsid w:val="3EDF3E59"/>
    <w:rsid w:val="3EF1250A"/>
    <w:rsid w:val="3EF2048D"/>
    <w:rsid w:val="3EF618CF"/>
    <w:rsid w:val="3F172AE0"/>
    <w:rsid w:val="3F47037C"/>
    <w:rsid w:val="3F516B05"/>
    <w:rsid w:val="3F5465F5"/>
    <w:rsid w:val="3F566811"/>
    <w:rsid w:val="3F6E5909"/>
    <w:rsid w:val="3F826849"/>
    <w:rsid w:val="3F8F762D"/>
    <w:rsid w:val="3F916D44"/>
    <w:rsid w:val="3FA07A8C"/>
    <w:rsid w:val="3FB543FD"/>
    <w:rsid w:val="3FC54112"/>
    <w:rsid w:val="3FCB2D5B"/>
    <w:rsid w:val="3FD31C10"/>
    <w:rsid w:val="3FDA11F0"/>
    <w:rsid w:val="3FEC3D0C"/>
    <w:rsid w:val="3FED4AFF"/>
    <w:rsid w:val="40061FE5"/>
    <w:rsid w:val="40063D93"/>
    <w:rsid w:val="40363F4D"/>
    <w:rsid w:val="404E1296"/>
    <w:rsid w:val="40572841"/>
    <w:rsid w:val="405F58AB"/>
    <w:rsid w:val="408643CF"/>
    <w:rsid w:val="40BA4B7E"/>
    <w:rsid w:val="40D50B51"/>
    <w:rsid w:val="41230975"/>
    <w:rsid w:val="412D70FE"/>
    <w:rsid w:val="41393CF5"/>
    <w:rsid w:val="414C3A28"/>
    <w:rsid w:val="41523008"/>
    <w:rsid w:val="4157061F"/>
    <w:rsid w:val="41670862"/>
    <w:rsid w:val="4168605B"/>
    <w:rsid w:val="41686388"/>
    <w:rsid w:val="41742F7F"/>
    <w:rsid w:val="417E204F"/>
    <w:rsid w:val="41AD023F"/>
    <w:rsid w:val="41BB44B6"/>
    <w:rsid w:val="41CE3A06"/>
    <w:rsid w:val="41D41C6F"/>
    <w:rsid w:val="41F36599"/>
    <w:rsid w:val="42041240"/>
    <w:rsid w:val="421A3B26"/>
    <w:rsid w:val="42424E2B"/>
    <w:rsid w:val="42425084"/>
    <w:rsid w:val="42470693"/>
    <w:rsid w:val="42491B3F"/>
    <w:rsid w:val="424A586D"/>
    <w:rsid w:val="426E79CE"/>
    <w:rsid w:val="427A45C5"/>
    <w:rsid w:val="427F607F"/>
    <w:rsid w:val="42894808"/>
    <w:rsid w:val="4292190E"/>
    <w:rsid w:val="42980EEF"/>
    <w:rsid w:val="42AE24C0"/>
    <w:rsid w:val="42B20943"/>
    <w:rsid w:val="42BA2C13"/>
    <w:rsid w:val="42D9578F"/>
    <w:rsid w:val="42E7623A"/>
    <w:rsid w:val="42EA174A"/>
    <w:rsid w:val="42EB6D40"/>
    <w:rsid w:val="42F26851"/>
    <w:rsid w:val="43284021"/>
    <w:rsid w:val="432D471E"/>
    <w:rsid w:val="43340C18"/>
    <w:rsid w:val="433C5D1E"/>
    <w:rsid w:val="435F6399"/>
    <w:rsid w:val="43800FC5"/>
    <w:rsid w:val="438945E6"/>
    <w:rsid w:val="43CB7874"/>
    <w:rsid w:val="441F3EFF"/>
    <w:rsid w:val="444255B6"/>
    <w:rsid w:val="444301AF"/>
    <w:rsid w:val="44A9656C"/>
    <w:rsid w:val="44C61D43"/>
    <w:rsid w:val="44CB55AC"/>
    <w:rsid w:val="44EB7B9D"/>
    <w:rsid w:val="44ED5522"/>
    <w:rsid w:val="44FA7C3F"/>
    <w:rsid w:val="4502370C"/>
    <w:rsid w:val="451231DA"/>
    <w:rsid w:val="451E1B7F"/>
    <w:rsid w:val="45390767"/>
    <w:rsid w:val="456450B8"/>
    <w:rsid w:val="45772F87"/>
    <w:rsid w:val="4577303D"/>
    <w:rsid w:val="45813EBC"/>
    <w:rsid w:val="458614D2"/>
    <w:rsid w:val="45877950"/>
    <w:rsid w:val="458F65D9"/>
    <w:rsid w:val="45A02594"/>
    <w:rsid w:val="45AF0908"/>
    <w:rsid w:val="45C30031"/>
    <w:rsid w:val="45D03951"/>
    <w:rsid w:val="45D12813"/>
    <w:rsid w:val="45F4468E"/>
    <w:rsid w:val="45FF6B67"/>
    <w:rsid w:val="46012F69"/>
    <w:rsid w:val="46020B59"/>
    <w:rsid w:val="460C7C2A"/>
    <w:rsid w:val="461D3BE5"/>
    <w:rsid w:val="462036D5"/>
    <w:rsid w:val="46284338"/>
    <w:rsid w:val="46537607"/>
    <w:rsid w:val="465D3F9B"/>
    <w:rsid w:val="465F404D"/>
    <w:rsid w:val="465F5FAB"/>
    <w:rsid w:val="46965745"/>
    <w:rsid w:val="46987301"/>
    <w:rsid w:val="469D52DB"/>
    <w:rsid w:val="46AE0CE1"/>
    <w:rsid w:val="46DA3884"/>
    <w:rsid w:val="46F26E20"/>
    <w:rsid w:val="47095F17"/>
    <w:rsid w:val="471D14E6"/>
    <w:rsid w:val="47226FD9"/>
    <w:rsid w:val="47451645"/>
    <w:rsid w:val="474B4782"/>
    <w:rsid w:val="474F25A4"/>
    <w:rsid w:val="47721D0E"/>
    <w:rsid w:val="478A52AA"/>
    <w:rsid w:val="478B2DD0"/>
    <w:rsid w:val="47953C4F"/>
    <w:rsid w:val="479779C7"/>
    <w:rsid w:val="47AC3472"/>
    <w:rsid w:val="47AF7936"/>
    <w:rsid w:val="47C32984"/>
    <w:rsid w:val="47D26C51"/>
    <w:rsid w:val="47D82D59"/>
    <w:rsid w:val="47FF0804"/>
    <w:rsid w:val="48111527"/>
    <w:rsid w:val="481478D1"/>
    <w:rsid w:val="48345216"/>
    <w:rsid w:val="48496F13"/>
    <w:rsid w:val="486024AF"/>
    <w:rsid w:val="48657AC5"/>
    <w:rsid w:val="48774226"/>
    <w:rsid w:val="48BD345D"/>
    <w:rsid w:val="48D10CB7"/>
    <w:rsid w:val="48D80297"/>
    <w:rsid w:val="48E22EC4"/>
    <w:rsid w:val="49075444"/>
    <w:rsid w:val="49180694"/>
    <w:rsid w:val="492359B6"/>
    <w:rsid w:val="492A3C1B"/>
    <w:rsid w:val="493E51DB"/>
    <w:rsid w:val="494D658F"/>
    <w:rsid w:val="498521CD"/>
    <w:rsid w:val="49926698"/>
    <w:rsid w:val="49A308A5"/>
    <w:rsid w:val="49B44EB7"/>
    <w:rsid w:val="49D2118A"/>
    <w:rsid w:val="49D942C7"/>
    <w:rsid w:val="4A0B1FA6"/>
    <w:rsid w:val="4A100865"/>
    <w:rsid w:val="4A2D4613"/>
    <w:rsid w:val="4A4200BE"/>
    <w:rsid w:val="4A477482"/>
    <w:rsid w:val="4A573E87"/>
    <w:rsid w:val="4A622179"/>
    <w:rsid w:val="4A655B5A"/>
    <w:rsid w:val="4A6C513B"/>
    <w:rsid w:val="4A722025"/>
    <w:rsid w:val="4A9401EE"/>
    <w:rsid w:val="4AA2290B"/>
    <w:rsid w:val="4AD131F0"/>
    <w:rsid w:val="4AEC1DD8"/>
    <w:rsid w:val="4B11612F"/>
    <w:rsid w:val="4B1F21AD"/>
    <w:rsid w:val="4B4C0AC8"/>
    <w:rsid w:val="4B693428"/>
    <w:rsid w:val="4B6B71A0"/>
    <w:rsid w:val="4B6E4EE3"/>
    <w:rsid w:val="4B79245B"/>
    <w:rsid w:val="4B94691F"/>
    <w:rsid w:val="4BB62FE7"/>
    <w:rsid w:val="4BCB5E91"/>
    <w:rsid w:val="4BD905AE"/>
    <w:rsid w:val="4BE36E91"/>
    <w:rsid w:val="4BE62CCB"/>
    <w:rsid w:val="4C2555A1"/>
    <w:rsid w:val="4C3A4602"/>
    <w:rsid w:val="4C4F6AC2"/>
    <w:rsid w:val="4C8A7773"/>
    <w:rsid w:val="4CA010CC"/>
    <w:rsid w:val="4CB132D9"/>
    <w:rsid w:val="4CB84667"/>
    <w:rsid w:val="4CC748AA"/>
    <w:rsid w:val="4CCF36BA"/>
    <w:rsid w:val="4CE87639"/>
    <w:rsid w:val="4D021D86"/>
    <w:rsid w:val="4D072EF9"/>
    <w:rsid w:val="4D1B6B8E"/>
    <w:rsid w:val="4D245859"/>
    <w:rsid w:val="4D27359B"/>
    <w:rsid w:val="4D2B4E39"/>
    <w:rsid w:val="4D357738"/>
    <w:rsid w:val="4D3B2BA3"/>
    <w:rsid w:val="4D5015E7"/>
    <w:rsid w:val="4DA16EA9"/>
    <w:rsid w:val="4DBA7F6B"/>
    <w:rsid w:val="4DD24849"/>
    <w:rsid w:val="4DD51249"/>
    <w:rsid w:val="4DD74FC1"/>
    <w:rsid w:val="4DD76D6F"/>
    <w:rsid w:val="4DE60D60"/>
    <w:rsid w:val="4DF06083"/>
    <w:rsid w:val="4E143B1F"/>
    <w:rsid w:val="4E3221F7"/>
    <w:rsid w:val="4E3A2F69"/>
    <w:rsid w:val="4E400EEF"/>
    <w:rsid w:val="4E4C150B"/>
    <w:rsid w:val="4E5B174E"/>
    <w:rsid w:val="4E611B8B"/>
    <w:rsid w:val="4E626EA5"/>
    <w:rsid w:val="4E6D1482"/>
    <w:rsid w:val="4EA76741"/>
    <w:rsid w:val="4EAC3D58"/>
    <w:rsid w:val="4EDE412D"/>
    <w:rsid w:val="4EE23C1E"/>
    <w:rsid w:val="4EE80B08"/>
    <w:rsid w:val="4EF4550F"/>
    <w:rsid w:val="4F053468"/>
    <w:rsid w:val="4F0A6CD0"/>
    <w:rsid w:val="4F1A33B7"/>
    <w:rsid w:val="4F1B07AC"/>
    <w:rsid w:val="4F42646A"/>
    <w:rsid w:val="4F430B8D"/>
    <w:rsid w:val="4F6463E1"/>
    <w:rsid w:val="4F77291C"/>
    <w:rsid w:val="4F863A1B"/>
    <w:rsid w:val="4F905428"/>
    <w:rsid w:val="4F98252E"/>
    <w:rsid w:val="4F9842DC"/>
    <w:rsid w:val="4FA72771"/>
    <w:rsid w:val="4FB05ACA"/>
    <w:rsid w:val="4FB530E0"/>
    <w:rsid w:val="4FB96E6B"/>
    <w:rsid w:val="4FCE41A2"/>
    <w:rsid w:val="4FD50167"/>
    <w:rsid w:val="4FD942A1"/>
    <w:rsid w:val="4FE07F5C"/>
    <w:rsid w:val="4FED442E"/>
    <w:rsid w:val="50033E4B"/>
    <w:rsid w:val="502F26C2"/>
    <w:rsid w:val="50373AF5"/>
    <w:rsid w:val="503F29AA"/>
    <w:rsid w:val="506D39BB"/>
    <w:rsid w:val="506F44D8"/>
    <w:rsid w:val="508110BF"/>
    <w:rsid w:val="50A32F39"/>
    <w:rsid w:val="50C23D07"/>
    <w:rsid w:val="50CF35F9"/>
    <w:rsid w:val="50D15CF8"/>
    <w:rsid w:val="50D2381E"/>
    <w:rsid w:val="50EF0445"/>
    <w:rsid w:val="50F1310C"/>
    <w:rsid w:val="50F6750C"/>
    <w:rsid w:val="512E33FA"/>
    <w:rsid w:val="515D3A2F"/>
    <w:rsid w:val="517843C5"/>
    <w:rsid w:val="5181771E"/>
    <w:rsid w:val="518D3929"/>
    <w:rsid w:val="51AF590D"/>
    <w:rsid w:val="51B814E9"/>
    <w:rsid w:val="51D535C6"/>
    <w:rsid w:val="51F53C68"/>
    <w:rsid w:val="52081BED"/>
    <w:rsid w:val="5208399B"/>
    <w:rsid w:val="52214A5D"/>
    <w:rsid w:val="523E73BD"/>
    <w:rsid w:val="52585AF3"/>
    <w:rsid w:val="52730954"/>
    <w:rsid w:val="528648C0"/>
    <w:rsid w:val="528943B0"/>
    <w:rsid w:val="52C13B4A"/>
    <w:rsid w:val="52C61160"/>
    <w:rsid w:val="52CD0741"/>
    <w:rsid w:val="52CF7A97"/>
    <w:rsid w:val="52D01FDF"/>
    <w:rsid w:val="52DE46FC"/>
    <w:rsid w:val="531B5950"/>
    <w:rsid w:val="531C3012"/>
    <w:rsid w:val="5322748C"/>
    <w:rsid w:val="532E5683"/>
    <w:rsid w:val="53361C36"/>
    <w:rsid w:val="534C2BE5"/>
    <w:rsid w:val="537A75A0"/>
    <w:rsid w:val="538A3436"/>
    <w:rsid w:val="53A26F10"/>
    <w:rsid w:val="53A45945"/>
    <w:rsid w:val="53BA0CC5"/>
    <w:rsid w:val="53BD07B5"/>
    <w:rsid w:val="53DB6E8D"/>
    <w:rsid w:val="5415227F"/>
    <w:rsid w:val="542054AA"/>
    <w:rsid w:val="54210D44"/>
    <w:rsid w:val="542E16B3"/>
    <w:rsid w:val="545C1D7C"/>
    <w:rsid w:val="546724CF"/>
    <w:rsid w:val="54755581"/>
    <w:rsid w:val="54E12281"/>
    <w:rsid w:val="54E3424B"/>
    <w:rsid w:val="5511700B"/>
    <w:rsid w:val="553B4087"/>
    <w:rsid w:val="556A2277"/>
    <w:rsid w:val="556D1D67"/>
    <w:rsid w:val="556F5ADF"/>
    <w:rsid w:val="55713AF3"/>
    <w:rsid w:val="55937A20"/>
    <w:rsid w:val="55B1434A"/>
    <w:rsid w:val="55B47996"/>
    <w:rsid w:val="55CC4CE0"/>
    <w:rsid w:val="55CE2806"/>
    <w:rsid w:val="55CF1F1C"/>
    <w:rsid w:val="55EE2390"/>
    <w:rsid w:val="55F84B33"/>
    <w:rsid w:val="55FD3462"/>
    <w:rsid w:val="55FF3307"/>
    <w:rsid w:val="563034C0"/>
    <w:rsid w:val="56344E50"/>
    <w:rsid w:val="56370A0D"/>
    <w:rsid w:val="5637484F"/>
    <w:rsid w:val="56513437"/>
    <w:rsid w:val="56690293"/>
    <w:rsid w:val="566E1159"/>
    <w:rsid w:val="568E01E7"/>
    <w:rsid w:val="56982E14"/>
    <w:rsid w:val="569B0D24"/>
    <w:rsid w:val="56A77B69"/>
    <w:rsid w:val="56B45E9F"/>
    <w:rsid w:val="56E60023"/>
    <w:rsid w:val="56ED13B1"/>
    <w:rsid w:val="56EE4DC6"/>
    <w:rsid w:val="570861EB"/>
    <w:rsid w:val="570D1A54"/>
    <w:rsid w:val="571A1A7B"/>
    <w:rsid w:val="57234DD3"/>
    <w:rsid w:val="574E13B2"/>
    <w:rsid w:val="57527466"/>
    <w:rsid w:val="57805D82"/>
    <w:rsid w:val="57855C4E"/>
    <w:rsid w:val="579637F7"/>
    <w:rsid w:val="57BE68AA"/>
    <w:rsid w:val="57BF2D4E"/>
    <w:rsid w:val="57C2283E"/>
    <w:rsid w:val="57D367F9"/>
    <w:rsid w:val="57EC78BB"/>
    <w:rsid w:val="57F10A2D"/>
    <w:rsid w:val="57F55EB3"/>
    <w:rsid w:val="57FA1FD8"/>
    <w:rsid w:val="58006EC2"/>
    <w:rsid w:val="580746F5"/>
    <w:rsid w:val="58201313"/>
    <w:rsid w:val="5830465A"/>
    <w:rsid w:val="58670CF0"/>
    <w:rsid w:val="58782EFD"/>
    <w:rsid w:val="587C0C3F"/>
    <w:rsid w:val="587F43BC"/>
    <w:rsid w:val="589715D5"/>
    <w:rsid w:val="58975A79"/>
    <w:rsid w:val="58BA73F7"/>
    <w:rsid w:val="58C3061C"/>
    <w:rsid w:val="58CD149A"/>
    <w:rsid w:val="58D04AE7"/>
    <w:rsid w:val="59060509"/>
    <w:rsid w:val="59172716"/>
    <w:rsid w:val="59195D48"/>
    <w:rsid w:val="59284923"/>
    <w:rsid w:val="593A6404"/>
    <w:rsid w:val="596C7AD9"/>
    <w:rsid w:val="59875AED"/>
    <w:rsid w:val="5991071A"/>
    <w:rsid w:val="59A33FA9"/>
    <w:rsid w:val="59B61F2F"/>
    <w:rsid w:val="59C17E20"/>
    <w:rsid w:val="59C208D3"/>
    <w:rsid w:val="59DD74BB"/>
    <w:rsid w:val="59E3084A"/>
    <w:rsid w:val="59EC5950"/>
    <w:rsid w:val="59EE791A"/>
    <w:rsid w:val="5A0013FC"/>
    <w:rsid w:val="5A1206D5"/>
    <w:rsid w:val="5A1F4CBC"/>
    <w:rsid w:val="5A221372"/>
    <w:rsid w:val="5A345F33"/>
    <w:rsid w:val="5A6E2809"/>
    <w:rsid w:val="5A8E2EAB"/>
    <w:rsid w:val="5AA0304C"/>
    <w:rsid w:val="5AA91A93"/>
    <w:rsid w:val="5AAC3332"/>
    <w:rsid w:val="5AB26B9A"/>
    <w:rsid w:val="5AB346C0"/>
    <w:rsid w:val="5ABA4615"/>
    <w:rsid w:val="5AC33195"/>
    <w:rsid w:val="5ACE32A8"/>
    <w:rsid w:val="5ADB421C"/>
    <w:rsid w:val="5AFC7E15"/>
    <w:rsid w:val="5B044468"/>
    <w:rsid w:val="5B060C94"/>
    <w:rsid w:val="5B127639"/>
    <w:rsid w:val="5B196181"/>
    <w:rsid w:val="5B214FC8"/>
    <w:rsid w:val="5B2F1F99"/>
    <w:rsid w:val="5B3144E4"/>
    <w:rsid w:val="5B363143"/>
    <w:rsid w:val="5B7B51DE"/>
    <w:rsid w:val="5B800A46"/>
    <w:rsid w:val="5B863B83"/>
    <w:rsid w:val="5B876AF2"/>
    <w:rsid w:val="5B995664"/>
    <w:rsid w:val="5BA04C44"/>
    <w:rsid w:val="5BAD110F"/>
    <w:rsid w:val="5BC2329E"/>
    <w:rsid w:val="5BC56551"/>
    <w:rsid w:val="5BC64B2D"/>
    <w:rsid w:val="5BC76675"/>
    <w:rsid w:val="5BD40D92"/>
    <w:rsid w:val="5BD96F60"/>
    <w:rsid w:val="5BDC37A3"/>
    <w:rsid w:val="5BE10896"/>
    <w:rsid w:val="5BE2700B"/>
    <w:rsid w:val="5BE72873"/>
    <w:rsid w:val="5C000048"/>
    <w:rsid w:val="5C401F83"/>
    <w:rsid w:val="5C5305C6"/>
    <w:rsid w:val="5C5B1DDF"/>
    <w:rsid w:val="5C7165E1"/>
    <w:rsid w:val="5C760D5E"/>
    <w:rsid w:val="5C797243"/>
    <w:rsid w:val="5C7A5495"/>
    <w:rsid w:val="5C9127DF"/>
    <w:rsid w:val="5C9D1184"/>
    <w:rsid w:val="5CB87D6C"/>
    <w:rsid w:val="5CBA7F88"/>
    <w:rsid w:val="5CD31049"/>
    <w:rsid w:val="5CD54DC2"/>
    <w:rsid w:val="5CDD77D2"/>
    <w:rsid w:val="5CF61AD7"/>
    <w:rsid w:val="5D215911"/>
    <w:rsid w:val="5D32349E"/>
    <w:rsid w:val="5D331782"/>
    <w:rsid w:val="5D3E7B72"/>
    <w:rsid w:val="5D42055B"/>
    <w:rsid w:val="5D457720"/>
    <w:rsid w:val="5D72616D"/>
    <w:rsid w:val="5D7C348F"/>
    <w:rsid w:val="5D995DEF"/>
    <w:rsid w:val="5DAA3B58"/>
    <w:rsid w:val="5DAD189A"/>
    <w:rsid w:val="5DCA7D57"/>
    <w:rsid w:val="5DD62B9F"/>
    <w:rsid w:val="5DDB1F64"/>
    <w:rsid w:val="5DEF4B2B"/>
    <w:rsid w:val="5DF474C9"/>
    <w:rsid w:val="5E0B036F"/>
    <w:rsid w:val="5E145476"/>
    <w:rsid w:val="5E1B4A56"/>
    <w:rsid w:val="5E222AB4"/>
    <w:rsid w:val="5E2356B9"/>
    <w:rsid w:val="5E2601FF"/>
    <w:rsid w:val="5E6379A5"/>
    <w:rsid w:val="5E775B46"/>
    <w:rsid w:val="5E8E5228"/>
    <w:rsid w:val="5EB11A7B"/>
    <w:rsid w:val="5EC24ED2"/>
    <w:rsid w:val="5EE74938"/>
    <w:rsid w:val="5EFA466C"/>
    <w:rsid w:val="5F643C20"/>
    <w:rsid w:val="5F677827"/>
    <w:rsid w:val="5F681F1D"/>
    <w:rsid w:val="5F70492E"/>
    <w:rsid w:val="5F73441E"/>
    <w:rsid w:val="5F784A8B"/>
    <w:rsid w:val="5F860448"/>
    <w:rsid w:val="5F8605F5"/>
    <w:rsid w:val="5F8736D1"/>
    <w:rsid w:val="5F9C1BC7"/>
    <w:rsid w:val="5FA62A45"/>
    <w:rsid w:val="5FBA204D"/>
    <w:rsid w:val="5FCB6008"/>
    <w:rsid w:val="5FD0361E"/>
    <w:rsid w:val="5FDC4B20"/>
    <w:rsid w:val="5FE570CA"/>
    <w:rsid w:val="5FFC08B7"/>
    <w:rsid w:val="601B093B"/>
    <w:rsid w:val="60303C60"/>
    <w:rsid w:val="60327E35"/>
    <w:rsid w:val="604A1623"/>
    <w:rsid w:val="6085124A"/>
    <w:rsid w:val="60A103D3"/>
    <w:rsid w:val="60AE7E03"/>
    <w:rsid w:val="60B552B6"/>
    <w:rsid w:val="60E0295D"/>
    <w:rsid w:val="60F34BA4"/>
    <w:rsid w:val="60FA5688"/>
    <w:rsid w:val="610D4CC9"/>
    <w:rsid w:val="612364FE"/>
    <w:rsid w:val="612B1454"/>
    <w:rsid w:val="612D51D2"/>
    <w:rsid w:val="613B0F6B"/>
    <w:rsid w:val="61411F20"/>
    <w:rsid w:val="614147D4"/>
    <w:rsid w:val="61494997"/>
    <w:rsid w:val="617701F5"/>
    <w:rsid w:val="61AC6C15"/>
    <w:rsid w:val="61C6117D"/>
    <w:rsid w:val="61C72A34"/>
    <w:rsid w:val="61CE1DDF"/>
    <w:rsid w:val="61E3588B"/>
    <w:rsid w:val="621F230B"/>
    <w:rsid w:val="623C31ED"/>
    <w:rsid w:val="62546789"/>
    <w:rsid w:val="626A1B08"/>
    <w:rsid w:val="626C652F"/>
    <w:rsid w:val="6277079A"/>
    <w:rsid w:val="62797F9D"/>
    <w:rsid w:val="628C7CD0"/>
    <w:rsid w:val="6291178B"/>
    <w:rsid w:val="62A25746"/>
    <w:rsid w:val="62AA45FB"/>
    <w:rsid w:val="62B2525D"/>
    <w:rsid w:val="62C03E1E"/>
    <w:rsid w:val="62C566C4"/>
    <w:rsid w:val="62D578C9"/>
    <w:rsid w:val="62D653F0"/>
    <w:rsid w:val="632C5010"/>
    <w:rsid w:val="633914DA"/>
    <w:rsid w:val="633F31E6"/>
    <w:rsid w:val="637B3BB3"/>
    <w:rsid w:val="637D586B"/>
    <w:rsid w:val="637F7835"/>
    <w:rsid w:val="63CD2E60"/>
    <w:rsid w:val="63D01E3F"/>
    <w:rsid w:val="63E47698"/>
    <w:rsid w:val="63E8362C"/>
    <w:rsid w:val="63F773CC"/>
    <w:rsid w:val="640815D9"/>
    <w:rsid w:val="64124205"/>
    <w:rsid w:val="641A130C"/>
    <w:rsid w:val="642E0E3C"/>
    <w:rsid w:val="643903FB"/>
    <w:rsid w:val="644F7208"/>
    <w:rsid w:val="64544CEC"/>
    <w:rsid w:val="64770F68"/>
    <w:rsid w:val="64801AB7"/>
    <w:rsid w:val="64835103"/>
    <w:rsid w:val="64925346"/>
    <w:rsid w:val="64990483"/>
    <w:rsid w:val="649A4F9E"/>
    <w:rsid w:val="64C86FBA"/>
    <w:rsid w:val="64D86AAF"/>
    <w:rsid w:val="64DF660A"/>
    <w:rsid w:val="64E21E2A"/>
    <w:rsid w:val="650B1E3A"/>
    <w:rsid w:val="650C334B"/>
    <w:rsid w:val="65206DF6"/>
    <w:rsid w:val="652470FF"/>
    <w:rsid w:val="652C579B"/>
    <w:rsid w:val="652C7549"/>
    <w:rsid w:val="655820EC"/>
    <w:rsid w:val="656942F9"/>
    <w:rsid w:val="659F7D1B"/>
    <w:rsid w:val="65A43146"/>
    <w:rsid w:val="65AC2438"/>
    <w:rsid w:val="65BB267B"/>
    <w:rsid w:val="65BF660F"/>
    <w:rsid w:val="65D87EA7"/>
    <w:rsid w:val="65DC0F6F"/>
    <w:rsid w:val="65DC32A2"/>
    <w:rsid w:val="65DF7812"/>
    <w:rsid w:val="65EA622C"/>
    <w:rsid w:val="65F20792"/>
    <w:rsid w:val="66224108"/>
    <w:rsid w:val="66272F36"/>
    <w:rsid w:val="663F0445"/>
    <w:rsid w:val="663F505A"/>
    <w:rsid w:val="66434B4A"/>
    <w:rsid w:val="665A3663"/>
    <w:rsid w:val="667473F9"/>
    <w:rsid w:val="6686712D"/>
    <w:rsid w:val="66990C0E"/>
    <w:rsid w:val="66AC6B93"/>
    <w:rsid w:val="66B5531C"/>
    <w:rsid w:val="66CA2E55"/>
    <w:rsid w:val="66D87988"/>
    <w:rsid w:val="66FE4F15"/>
    <w:rsid w:val="66FE6CC3"/>
    <w:rsid w:val="67050051"/>
    <w:rsid w:val="671E7365"/>
    <w:rsid w:val="672506F4"/>
    <w:rsid w:val="672F0459"/>
    <w:rsid w:val="67323E04"/>
    <w:rsid w:val="674525FC"/>
    <w:rsid w:val="677156E7"/>
    <w:rsid w:val="678C0773"/>
    <w:rsid w:val="679C1682"/>
    <w:rsid w:val="67AB6E4B"/>
    <w:rsid w:val="67B04649"/>
    <w:rsid w:val="67B53825"/>
    <w:rsid w:val="67BC2E06"/>
    <w:rsid w:val="67D6379C"/>
    <w:rsid w:val="67E934CF"/>
    <w:rsid w:val="67ED066F"/>
    <w:rsid w:val="683E1A6D"/>
    <w:rsid w:val="684352D5"/>
    <w:rsid w:val="684756A2"/>
    <w:rsid w:val="685C1370"/>
    <w:rsid w:val="68646FFA"/>
    <w:rsid w:val="68657DD6"/>
    <w:rsid w:val="688A4CB2"/>
    <w:rsid w:val="688B0A2A"/>
    <w:rsid w:val="689C6793"/>
    <w:rsid w:val="68C83A2C"/>
    <w:rsid w:val="68CB7079"/>
    <w:rsid w:val="68CE0F9D"/>
    <w:rsid w:val="68E819D9"/>
    <w:rsid w:val="68EF5AEF"/>
    <w:rsid w:val="69166546"/>
    <w:rsid w:val="691D5B26"/>
    <w:rsid w:val="692E543F"/>
    <w:rsid w:val="69320EA6"/>
    <w:rsid w:val="694C01BA"/>
    <w:rsid w:val="695B03FD"/>
    <w:rsid w:val="696A6892"/>
    <w:rsid w:val="697A5BAD"/>
    <w:rsid w:val="698D5DEC"/>
    <w:rsid w:val="69967687"/>
    <w:rsid w:val="69A00505"/>
    <w:rsid w:val="69DC778F"/>
    <w:rsid w:val="69F61ED3"/>
    <w:rsid w:val="6A0A6BC0"/>
    <w:rsid w:val="6A2B4273"/>
    <w:rsid w:val="6A2C4B95"/>
    <w:rsid w:val="6A301889"/>
    <w:rsid w:val="6A331379"/>
    <w:rsid w:val="6A3D7B02"/>
    <w:rsid w:val="6A4315BC"/>
    <w:rsid w:val="6A4D243B"/>
    <w:rsid w:val="6A7814E1"/>
    <w:rsid w:val="6A8959C7"/>
    <w:rsid w:val="6AA33E09"/>
    <w:rsid w:val="6AA656A7"/>
    <w:rsid w:val="6AA933EA"/>
    <w:rsid w:val="6AB37DC4"/>
    <w:rsid w:val="6ABA55F7"/>
    <w:rsid w:val="6ABC311D"/>
    <w:rsid w:val="6AC124E1"/>
    <w:rsid w:val="6AC5187F"/>
    <w:rsid w:val="6AC81AC2"/>
    <w:rsid w:val="6AEA7C8A"/>
    <w:rsid w:val="6AEC65C8"/>
    <w:rsid w:val="6B030D4C"/>
    <w:rsid w:val="6B040620"/>
    <w:rsid w:val="6B1637B6"/>
    <w:rsid w:val="6B2F3761"/>
    <w:rsid w:val="6B3158B9"/>
    <w:rsid w:val="6B384B42"/>
    <w:rsid w:val="6B431148"/>
    <w:rsid w:val="6B5D67DC"/>
    <w:rsid w:val="6B930322"/>
    <w:rsid w:val="6B9E2823"/>
    <w:rsid w:val="6BCC7750"/>
    <w:rsid w:val="6BD10E4A"/>
    <w:rsid w:val="6BDD334B"/>
    <w:rsid w:val="6BDD73DC"/>
    <w:rsid w:val="6BF863D7"/>
    <w:rsid w:val="6C134FBF"/>
    <w:rsid w:val="6C382C77"/>
    <w:rsid w:val="6C3C4515"/>
    <w:rsid w:val="6C537AB1"/>
    <w:rsid w:val="6C6972D4"/>
    <w:rsid w:val="6C733CAF"/>
    <w:rsid w:val="6C757A27"/>
    <w:rsid w:val="6C783074"/>
    <w:rsid w:val="6C7D068A"/>
    <w:rsid w:val="6C7F32EC"/>
    <w:rsid w:val="6C8163CC"/>
    <w:rsid w:val="6C871509"/>
    <w:rsid w:val="6C9360FF"/>
    <w:rsid w:val="6C9A669E"/>
    <w:rsid w:val="6CA81BAB"/>
    <w:rsid w:val="6CA84D8B"/>
    <w:rsid w:val="6CA87DFD"/>
    <w:rsid w:val="6CAD69DD"/>
    <w:rsid w:val="6CBD0F13"/>
    <w:rsid w:val="6CD26C28"/>
    <w:rsid w:val="6CE93F71"/>
    <w:rsid w:val="6CFC1EF7"/>
    <w:rsid w:val="6D056FFD"/>
    <w:rsid w:val="6D400035"/>
    <w:rsid w:val="6D7B72BF"/>
    <w:rsid w:val="6D91263F"/>
    <w:rsid w:val="6D940381"/>
    <w:rsid w:val="6DE5298B"/>
    <w:rsid w:val="6DE91562"/>
    <w:rsid w:val="6E0E5A3E"/>
    <w:rsid w:val="6E0E6E84"/>
    <w:rsid w:val="6E396833"/>
    <w:rsid w:val="6E3A0F28"/>
    <w:rsid w:val="6E445903"/>
    <w:rsid w:val="6E4753F3"/>
    <w:rsid w:val="6E494CC8"/>
    <w:rsid w:val="6E573888"/>
    <w:rsid w:val="6E5D69C5"/>
    <w:rsid w:val="6E8C2E06"/>
    <w:rsid w:val="6E942999"/>
    <w:rsid w:val="6EA63EC8"/>
    <w:rsid w:val="6EAB14DE"/>
    <w:rsid w:val="6EB365E5"/>
    <w:rsid w:val="6EED7D49"/>
    <w:rsid w:val="6EF72976"/>
    <w:rsid w:val="6F022C76"/>
    <w:rsid w:val="6F046E40"/>
    <w:rsid w:val="6F286FD3"/>
    <w:rsid w:val="6F3D5FD2"/>
    <w:rsid w:val="6F4D5330"/>
    <w:rsid w:val="6F4F27B2"/>
    <w:rsid w:val="6F6F075E"/>
    <w:rsid w:val="6F741089"/>
    <w:rsid w:val="6F751AEC"/>
    <w:rsid w:val="6F7C10CD"/>
    <w:rsid w:val="6FA431BE"/>
    <w:rsid w:val="6FBF77F0"/>
    <w:rsid w:val="6FC0720B"/>
    <w:rsid w:val="6FCC5BB0"/>
    <w:rsid w:val="6FDE3B35"/>
    <w:rsid w:val="6FE32EFA"/>
    <w:rsid w:val="6FE626F4"/>
    <w:rsid w:val="6FE74798"/>
    <w:rsid w:val="6FF83857"/>
    <w:rsid w:val="70090BB2"/>
    <w:rsid w:val="7027728A"/>
    <w:rsid w:val="703B0F88"/>
    <w:rsid w:val="7053007F"/>
    <w:rsid w:val="705F07D2"/>
    <w:rsid w:val="707E5C96"/>
    <w:rsid w:val="70A1703D"/>
    <w:rsid w:val="70B14DA6"/>
    <w:rsid w:val="70B7060E"/>
    <w:rsid w:val="70BC3E77"/>
    <w:rsid w:val="70C2594D"/>
    <w:rsid w:val="70CF2CF7"/>
    <w:rsid w:val="70DC62C7"/>
    <w:rsid w:val="70E138DD"/>
    <w:rsid w:val="71105F71"/>
    <w:rsid w:val="712437CA"/>
    <w:rsid w:val="712A5284"/>
    <w:rsid w:val="71453E6C"/>
    <w:rsid w:val="716562BC"/>
    <w:rsid w:val="71660384"/>
    <w:rsid w:val="716A391A"/>
    <w:rsid w:val="717007BD"/>
    <w:rsid w:val="71706A0F"/>
    <w:rsid w:val="71813AE6"/>
    <w:rsid w:val="71A30B93"/>
    <w:rsid w:val="71A3637F"/>
    <w:rsid w:val="71A843FB"/>
    <w:rsid w:val="71AD6C8E"/>
    <w:rsid w:val="71B2527A"/>
    <w:rsid w:val="71C31235"/>
    <w:rsid w:val="71E13469"/>
    <w:rsid w:val="71F118FE"/>
    <w:rsid w:val="72081FCD"/>
    <w:rsid w:val="720C6738"/>
    <w:rsid w:val="722E4900"/>
    <w:rsid w:val="72305734"/>
    <w:rsid w:val="72477770"/>
    <w:rsid w:val="724F5116"/>
    <w:rsid w:val="72523E7A"/>
    <w:rsid w:val="728C1627"/>
    <w:rsid w:val="729A1F96"/>
    <w:rsid w:val="729C3F60"/>
    <w:rsid w:val="72AC285D"/>
    <w:rsid w:val="72B648F6"/>
    <w:rsid w:val="72C139C6"/>
    <w:rsid w:val="72CA214F"/>
    <w:rsid w:val="72CC7222"/>
    <w:rsid w:val="72CE1FD6"/>
    <w:rsid w:val="72D74F98"/>
    <w:rsid w:val="72EC0317"/>
    <w:rsid w:val="73041B05"/>
    <w:rsid w:val="730668DC"/>
    <w:rsid w:val="731008EA"/>
    <w:rsid w:val="73166260"/>
    <w:rsid w:val="732122E7"/>
    <w:rsid w:val="73245D03"/>
    <w:rsid w:val="737A3B75"/>
    <w:rsid w:val="739C7F8F"/>
    <w:rsid w:val="739E5AB6"/>
    <w:rsid w:val="73BA21C4"/>
    <w:rsid w:val="73CA4A9F"/>
    <w:rsid w:val="73CF5C6F"/>
    <w:rsid w:val="73E22138"/>
    <w:rsid w:val="74026044"/>
    <w:rsid w:val="740B2A1F"/>
    <w:rsid w:val="74137DB7"/>
    <w:rsid w:val="741915E0"/>
    <w:rsid w:val="74235FBB"/>
    <w:rsid w:val="743326A2"/>
    <w:rsid w:val="745A5485"/>
    <w:rsid w:val="74746816"/>
    <w:rsid w:val="74806F69"/>
    <w:rsid w:val="74824CE7"/>
    <w:rsid w:val="748443A7"/>
    <w:rsid w:val="74855D90"/>
    <w:rsid w:val="7492574D"/>
    <w:rsid w:val="74C7103C"/>
    <w:rsid w:val="74CC21AE"/>
    <w:rsid w:val="74D472B5"/>
    <w:rsid w:val="74DD23E1"/>
    <w:rsid w:val="74DD260E"/>
    <w:rsid w:val="74F00593"/>
    <w:rsid w:val="74F31E31"/>
    <w:rsid w:val="752D5343"/>
    <w:rsid w:val="7541494A"/>
    <w:rsid w:val="75581C94"/>
    <w:rsid w:val="75865A22"/>
    <w:rsid w:val="759A04C0"/>
    <w:rsid w:val="75A60C51"/>
    <w:rsid w:val="75A66EA3"/>
    <w:rsid w:val="75E63744"/>
    <w:rsid w:val="75F80355"/>
    <w:rsid w:val="75F9181C"/>
    <w:rsid w:val="762A1882"/>
    <w:rsid w:val="764F753B"/>
    <w:rsid w:val="766A1C7F"/>
    <w:rsid w:val="767E397C"/>
    <w:rsid w:val="76805946"/>
    <w:rsid w:val="769562EF"/>
    <w:rsid w:val="76984A3E"/>
    <w:rsid w:val="76AC2297"/>
    <w:rsid w:val="76B13D52"/>
    <w:rsid w:val="76DB0DCF"/>
    <w:rsid w:val="76E539FB"/>
    <w:rsid w:val="76FD0D45"/>
    <w:rsid w:val="77004391"/>
    <w:rsid w:val="770245AD"/>
    <w:rsid w:val="770420D4"/>
    <w:rsid w:val="77110B96"/>
    <w:rsid w:val="771D7F9A"/>
    <w:rsid w:val="771E077E"/>
    <w:rsid w:val="772207AC"/>
    <w:rsid w:val="772E0EFE"/>
    <w:rsid w:val="773F4EBA"/>
    <w:rsid w:val="77530965"/>
    <w:rsid w:val="77626DFA"/>
    <w:rsid w:val="77784870"/>
    <w:rsid w:val="77811976"/>
    <w:rsid w:val="778356EE"/>
    <w:rsid w:val="779A2A38"/>
    <w:rsid w:val="77A86F03"/>
    <w:rsid w:val="77AE203F"/>
    <w:rsid w:val="77AE3DED"/>
    <w:rsid w:val="77D93560"/>
    <w:rsid w:val="77DF044B"/>
    <w:rsid w:val="77F51A1C"/>
    <w:rsid w:val="77F739E6"/>
    <w:rsid w:val="78163881"/>
    <w:rsid w:val="78174088"/>
    <w:rsid w:val="781E0F73"/>
    <w:rsid w:val="782D565A"/>
    <w:rsid w:val="782D7B8C"/>
    <w:rsid w:val="783764D9"/>
    <w:rsid w:val="78397882"/>
    <w:rsid w:val="783E0C02"/>
    <w:rsid w:val="784A620C"/>
    <w:rsid w:val="785B3F75"/>
    <w:rsid w:val="787B4617"/>
    <w:rsid w:val="788672E2"/>
    <w:rsid w:val="78956BE1"/>
    <w:rsid w:val="78A068E5"/>
    <w:rsid w:val="78B42070"/>
    <w:rsid w:val="78CA4C57"/>
    <w:rsid w:val="792F0F5E"/>
    <w:rsid w:val="794669D3"/>
    <w:rsid w:val="79BA49C2"/>
    <w:rsid w:val="79BC4EE7"/>
    <w:rsid w:val="79D20267"/>
    <w:rsid w:val="79D73B27"/>
    <w:rsid w:val="79EA1A55"/>
    <w:rsid w:val="79EC2C89"/>
    <w:rsid w:val="79EE2BC7"/>
    <w:rsid w:val="79F04B91"/>
    <w:rsid w:val="79FE72AE"/>
    <w:rsid w:val="7A001096"/>
    <w:rsid w:val="7A0128FA"/>
    <w:rsid w:val="7A1C065A"/>
    <w:rsid w:val="7A344A7E"/>
    <w:rsid w:val="7A3A405E"/>
    <w:rsid w:val="7A3D0B70"/>
    <w:rsid w:val="7A415522"/>
    <w:rsid w:val="7A561C74"/>
    <w:rsid w:val="7A6A4943"/>
    <w:rsid w:val="7A951295"/>
    <w:rsid w:val="7AB83901"/>
    <w:rsid w:val="7AC04563"/>
    <w:rsid w:val="7AD149C3"/>
    <w:rsid w:val="7AD4000F"/>
    <w:rsid w:val="7AD63D87"/>
    <w:rsid w:val="7B002BB2"/>
    <w:rsid w:val="7B072192"/>
    <w:rsid w:val="7B073F40"/>
    <w:rsid w:val="7B0C59FB"/>
    <w:rsid w:val="7B116B6D"/>
    <w:rsid w:val="7B166879"/>
    <w:rsid w:val="7B1D5512"/>
    <w:rsid w:val="7B2745E3"/>
    <w:rsid w:val="7B2965AD"/>
    <w:rsid w:val="7B3960C4"/>
    <w:rsid w:val="7B3E8204"/>
    <w:rsid w:val="7B424F78"/>
    <w:rsid w:val="7B592352"/>
    <w:rsid w:val="7B672C31"/>
    <w:rsid w:val="7B75534E"/>
    <w:rsid w:val="7B8173EE"/>
    <w:rsid w:val="7B9652C4"/>
    <w:rsid w:val="7BC03488"/>
    <w:rsid w:val="7BDD2EF3"/>
    <w:rsid w:val="7BED2B12"/>
    <w:rsid w:val="7BEF18BE"/>
    <w:rsid w:val="7C014E34"/>
    <w:rsid w:val="7C056250"/>
    <w:rsid w:val="7C0B180E"/>
    <w:rsid w:val="7C2B3C5E"/>
    <w:rsid w:val="7C2D79D7"/>
    <w:rsid w:val="7C2F5925"/>
    <w:rsid w:val="7C4F3DF1"/>
    <w:rsid w:val="7C705B15"/>
    <w:rsid w:val="7C725D31"/>
    <w:rsid w:val="7CA57EB5"/>
    <w:rsid w:val="7CC77E2B"/>
    <w:rsid w:val="7CE16A13"/>
    <w:rsid w:val="7CEF6249"/>
    <w:rsid w:val="7D2863F0"/>
    <w:rsid w:val="7D2F56AB"/>
    <w:rsid w:val="7D5F33E6"/>
    <w:rsid w:val="7D67516A"/>
    <w:rsid w:val="7D6B2EAC"/>
    <w:rsid w:val="7D9046C1"/>
    <w:rsid w:val="7DB06B11"/>
    <w:rsid w:val="7DB83C18"/>
    <w:rsid w:val="7DBB54B6"/>
    <w:rsid w:val="7DCF4ABD"/>
    <w:rsid w:val="7DDC7906"/>
    <w:rsid w:val="7DDF5567"/>
    <w:rsid w:val="7DE70059"/>
    <w:rsid w:val="7DE87481"/>
    <w:rsid w:val="7E0D49A7"/>
    <w:rsid w:val="7E1C7D03"/>
    <w:rsid w:val="7E1D60EB"/>
    <w:rsid w:val="7E26176B"/>
    <w:rsid w:val="7E2A1B19"/>
    <w:rsid w:val="7E370FE0"/>
    <w:rsid w:val="7E3808B5"/>
    <w:rsid w:val="7E3A63DB"/>
    <w:rsid w:val="7E490D14"/>
    <w:rsid w:val="7E6D055E"/>
    <w:rsid w:val="7E775881"/>
    <w:rsid w:val="7E834226"/>
    <w:rsid w:val="7E885398"/>
    <w:rsid w:val="7E93243A"/>
    <w:rsid w:val="7E9E544A"/>
    <w:rsid w:val="7EA1645A"/>
    <w:rsid w:val="7EA64DD5"/>
    <w:rsid w:val="7EBD5F8C"/>
    <w:rsid w:val="7EC108AA"/>
    <w:rsid w:val="7EC16AFC"/>
    <w:rsid w:val="7EC32874"/>
    <w:rsid w:val="7EED45ED"/>
    <w:rsid w:val="7EF02F3D"/>
    <w:rsid w:val="7F116DDE"/>
    <w:rsid w:val="7F1B26B0"/>
    <w:rsid w:val="7F270175"/>
    <w:rsid w:val="7F30384B"/>
    <w:rsid w:val="7F484B27"/>
    <w:rsid w:val="7F4C286A"/>
    <w:rsid w:val="7F822EBC"/>
    <w:rsid w:val="7F853FCE"/>
    <w:rsid w:val="7FB0104A"/>
    <w:rsid w:val="7FB16667"/>
    <w:rsid w:val="7FB875A7"/>
    <w:rsid w:val="7FCC5758"/>
    <w:rsid w:val="7FF2625C"/>
    <w:rsid w:val="7FFE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qFormat="1" w:uiPriority="99" w:semiHidden="0"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semiHidden="0"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51"/>
    <w:qFormat/>
    <w:uiPriority w:val="9"/>
    <w:pPr>
      <w:keepNext/>
      <w:keepLines/>
      <w:spacing w:before="340" w:after="330" w:line="360" w:lineRule="auto"/>
      <w:jc w:val="left"/>
      <w:outlineLvl w:val="0"/>
    </w:pPr>
    <w:rPr>
      <w:rFonts w:ascii="Times New Roman" w:hAnsi="Times New Roman" w:eastAsia="黑体" w:cs="Times New Roman"/>
      <w:bCs/>
      <w:kern w:val="44"/>
      <w:sz w:val="44"/>
      <w:szCs w:val="44"/>
    </w:rPr>
  </w:style>
  <w:style w:type="paragraph" w:styleId="6">
    <w:name w:val="heading 2"/>
    <w:basedOn w:val="1"/>
    <w:next w:val="1"/>
    <w:link w:val="45"/>
    <w:qFormat/>
    <w:uiPriority w:val="9"/>
    <w:pPr>
      <w:keepNext/>
      <w:keepLines/>
      <w:spacing w:before="260" w:after="260" w:line="360" w:lineRule="auto"/>
      <w:jc w:val="left"/>
      <w:outlineLvl w:val="1"/>
    </w:pPr>
    <w:rPr>
      <w:rFonts w:ascii="Cambria" w:hAnsi="Cambria" w:eastAsia="方正大标宋简体" w:cs="Times New Roman"/>
      <w:bCs/>
      <w:kern w:val="0"/>
      <w:sz w:val="36"/>
      <w:szCs w:val="32"/>
    </w:rPr>
  </w:style>
  <w:style w:type="paragraph" w:styleId="7">
    <w:name w:val="heading 3"/>
    <w:basedOn w:val="1"/>
    <w:next w:val="1"/>
    <w:link w:val="41"/>
    <w:qFormat/>
    <w:uiPriority w:val="9"/>
    <w:pPr>
      <w:keepNext/>
      <w:keepLines/>
      <w:adjustRightInd w:val="0"/>
      <w:spacing w:before="260" w:after="260" w:line="360" w:lineRule="auto"/>
      <w:jc w:val="left"/>
      <w:outlineLvl w:val="2"/>
    </w:pPr>
    <w:rPr>
      <w:rFonts w:ascii="Times New Roman" w:hAnsi="Times New Roman" w:eastAsia="黑体" w:cs="Times New Roman"/>
      <w:bCs/>
      <w:kern w:val="0"/>
      <w:sz w:val="32"/>
      <w:szCs w:val="32"/>
    </w:rPr>
  </w:style>
  <w:style w:type="paragraph" w:styleId="8">
    <w:name w:val="heading 4"/>
    <w:basedOn w:val="1"/>
    <w:next w:val="1"/>
    <w:link w:val="46"/>
    <w:qFormat/>
    <w:uiPriority w:val="9"/>
    <w:pPr>
      <w:keepNext/>
      <w:keepLines/>
      <w:spacing w:before="280" w:after="290" w:line="377" w:lineRule="auto"/>
      <w:ind w:firstLine="10" w:firstLineChars="10"/>
      <w:jc w:val="left"/>
      <w:outlineLvl w:val="3"/>
    </w:pPr>
    <w:rPr>
      <w:rFonts w:ascii="Cambria" w:hAnsi="Cambria" w:eastAsia="黑体" w:cs="Times New Roman"/>
      <w:bCs/>
      <w:kern w:val="0"/>
      <w:sz w:val="24"/>
      <w:szCs w:val="28"/>
    </w:rPr>
  </w:style>
  <w:style w:type="paragraph" w:styleId="2">
    <w:name w:val="heading 5"/>
    <w:basedOn w:val="3"/>
    <w:next w:val="4"/>
    <w:link w:val="47"/>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bCs/>
      <w:kern w:val="0"/>
      <w:sz w:val="20"/>
      <w:szCs w:val="28"/>
    </w:rPr>
  </w:style>
  <w:style w:type="paragraph" w:styleId="9">
    <w:name w:val="heading 6"/>
    <w:basedOn w:val="1"/>
    <w:next w:val="1"/>
    <w:link w:val="48"/>
    <w:qFormat/>
    <w:uiPriority w:val="9"/>
    <w:pPr>
      <w:keepNext/>
      <w:keepLines/>
      <w:spacing w:before="240" w:after="64" w:line="319" w:lineRule="auto"/>
      <w:ind w:firstLine="200" w:firstLineChars="200"/>
      <w:jc w:val="center"/>
      <w:outlineLvl w:val="5"/>
    </w:pPr>
    <w:rPr>
      <w:rFonts w:ascii="Cambria" w:hAnsi="Cambria" w:eastAsia="宋体" w:cs="Times New Roman"/>
      <w:b/>
      <w:bCs/>
      <w:kern w:val="0"/>
      <w:sz w:val="24"/>
      <w:szCs w:val="24"/>
    </w:rPr>
  </w:style>
  <w:style w:type="paragraph" w:styleId="10">
    <w:name w:val="heading 7"/>
    <w:basedOn w:val="1"/>
    <w:next w:val="1"/>
    <w:link w:val="49"/>
    <w:qFormat/>
    <w:uiPriority w:val="9"/>
    <w:pPr>
      <w:keepNext/>
      <w:keepLines/>
      <w:spacing w:before="240" w:after="64" w:line="319" w:lineRule="auto"/>
      <w:ind w:firstLine="200" w:firstLineChars="200"/>
      <w:jc w:val="center"/>
      <w:outlineLvl w:val="6"/>
    </w:pPr>
    <w:rPr>
      <w:rFonts w:ascii="Times New Roman" w:hAnsi="Times New Roman" w:eastAsia="宋体" w:cs="Times New Roman"/>
      <w:b/>
      <w:bCs/>
      <w:kern w:val="0"/>
      <w:sz w:val="24"/>
      <w:szCs w:val="24"/>
    </w:rPr>
  </w:style>
  <w:style w:type="paragraph" w:styleId="11">
    <w:name w:val="heading 8"/>
    <w:basedOn w:val="1"/>
    <w:next w:val="1"/>
    <w:link w:val="50"/>
    <w:qFormat/>
    <w:uiPriority w:val="9"/>
    <w:pPr>
      <w:keepNext/>
      <w:keepLines/>
      <w:spacing w:before="240" w:after="64" w:line="319" w:lineRule="auto"/>
      <w:ind w:firstLine="200" w:firstLineChars="200"/>
      <w:jc w:val="left"/>
      <w:outlineLvl w:val="7"/>
    </w:pPr>
    <w:rPr>
      <w:rFonts w:ascii="Cambria" w:hAnsi="Cambria" w:eastAsia="宋体" w:cs="Times New Roman"/>
      <w:kern w:val="0"/>
      <w:sz w:val="24"/>
      <w:szCs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99"/>
    <w:pPr>
      <w:numPr>
        <w:ilvl w:val="0"/>
        <w:numId w:val="1"/>
      </w:numPr>
    </w:pPr>
    <w:rPr>
      <w:rFonts w:ascii="Calibri" w:hAnsi="Calibri" w:eastAsia="宋体" w:cs="Times New Roman"/>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Normal Indent"/>
    <w:basedOn w:val="1"/>
    <w:qFormat/>
    <w:uiPriority w:val="0"/>
    <w:pPr>
      <w:spacing w:before="100" w:beforeAutospacing="1" w:after="100" w:afterAutospacing="1" w:line="360" w:lineRule="auto"/>
      <w:ind w:firstLine="482"/>
    </w:pPr>
    <w:rPr>
      <w:sz w:val="24"/>
    </w:rPr>
  </w:style>
  <w:style w:type="paragraph" w:styleId="13">
    <w:name w:val="Document Map"/>
    <w:basedOn w:val="1"/>
    <w:link w:val="52"/>
    <w:unhideWhenUsed/>
    <w:qFormat/>
    <w:uiPriority w:val="99"/>
    <w:rPr>
      <w:rFonts w:ascii="宋体" w:hAnsi="Times New Roman" w:eastAsia="宋体" w:cs="Times New Roman"/>
      <w:kern w:val="0"/>
      <w:sz w:val="18"/>
      <w:szCs w:val="18"/>
    </w:rPr>
  </w:style>
  <w:style w:type="paragraph" w:styleId="14">
    <w:name w:val="annotation text"/>
    <w:basedOn w:val="1"/>
    <w:link w:val="53"/>
    <w:unhideWhenUsed/>
    <w:qFormat/>
    <w:uiPriority w:val="99"/>
    <w:pPr>
      <w:jc w:val="left"/>
    </w:pPr>
    <w:rPr>
      <w:rFonts w:ascii="Calibri" w:hAnsi="Calibri" w:eastAsia="宋体" w:cs="Times New Roman"/>
    </w:rPr>
  </w:style>
  <w:style w:type="paragraph" w:styleId="15">
    <w:name w:val="Body Text"/>
    <w:basedOn w:val="1"/>
    <w:next w:val="1"/>
    <w:link w:val="42"/>
    <w:qFormat/>
    <w:uiPriority w:val="1"/>
    <w:rPr>
      <w:rFonts w:ascii="Times New Roman" w:hAnsi="Times New Roman" w:eastAsia="宋体" w:cs="Times New Roman"/>
      <w:b/>
      <w:kern w:val="0"/>
      <w:sz w:val="20"/>
      <w:szCs w:val="24"/>
    </w:rPr>
  </w:style>
  <w:style w:type="paragraph" w:styleId="16">
    <w:name w:val="Block Text"/>
    <w:basedOn w:val="1"/>
    <w:qFormat/>
    <w:uiPriority w:val="99"/>
    <w:pPr>
      <w:spacing w:line="400" w:lineRule="atLeast"/>
      <w:ind w:left="280" w:right="134" w:rightChars="134" w:firstLine="497"/>
    </w:pPr>
    <w:rPr>
      <w:rFonts w:ascii="宋体" w:hAnsi="宋体" w:eastAsia="楷体_GB2312"/>
      <w:sz w:val="24"/>
      <w:szCs w:val="20"/>
    </w:rPr>
  </w:style>
  <w:style w:type="paragraph" w:styleId="17">
    <w:name w:val="toc 3"/>
    <w:basedOn w:val="1"/>
    <w:next w:val="1"/>
    <w:unhideWhenUsed/>
    <w:qFormat/>
    <w:uiPriority w:val="39"/>
    <w:pPr>
      <w:ind w:left="840" w:leftChars="400"/>
    </w:pPr>
    <w:rPr>
      <w:rFonts w:ascii="Calibri" w:hAnsi="Calibri" w:eastAsia="宋体" w:cs="Times New Roman"/>
    </w:rPr>
  </w:style>
  <w:style w:type="paragraph" w:styleId="18">
    <w:name w:val="Plain Text"/>
    <w:basedOn w:val="1"/>
    <w:link w:val="54"/>
    <w:unhideWhenUsed/>
    <w:qFormat/>
    <w:uiPriority w:val="99"/>
    <w:rPr>
      <w:rFonts w:ascii="宋体" w:hAnsi="Courier New" w:eastAsia="宋体" w:cs="Times New Roman"/>
      <w:kern w:val="0"/>
      <w:sz w:val="20"/>
      <w:szCs w:val="21"/>
    </w:rPr>
  </w:style>
  <w:style w:type="paragraph" w:styleId="19">
    <w:name w:val="Balloon Text"/>
    <w:basedOn w:val="1"/>
    <w:link w:val="55"/>
    <w:unhideWhenUsed/>
    <w:qFormat/>
    <w:uiPriority w:val="99"/>
    <w:rPr>
      <w:rFonts w:ascii="Times New Roman" w:hAnsi="Times New Roman" w:eastAsia="宋体" w:cs="Times New Roman"/>
      <w:kern w:val="0"/>
      <w:sz w:val="18"/>
      <w:szCs w:val="18"/>
    </w:rPr>
  </w:style>
  <w:style w:type="paragraph" w:styleId="20">
    <w:name w:val="footer"/>
    <w:basedOn w:val="1"/>
    <w:link w:val="39"/>
    <w:unhideWhenUsed/>
    <w:qFormat/>
    <w:uiPriority w:val="99"/>
    <w:pPr>
      <w:tabs>
        <w:tab w:val="center" w:pos="4153"/>
        <w:tab w:val="right" w:pos="8306"/>
      </w:tabs>
      <w:snapToGrid w:val="0"/>
      <w:jc w:val="left"/>
    </w:pPr>
    <w:rPr>
      <w:sz w:val="18"/>
      <w:szCs w:val="18"/>
    </w:rPr>
  </w:style>
  <w:style w:type="paragraph" w:styleId="21">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rPr>
      <w:rFonts w:ascii="Calibri" w:hAnsi="Calibri" w:eastAsia="宋体" w:cs="Times New Roman"/>
    </w:rPr>
  </w:style>
  <w:style w:type="paragraph" w:styleId="23">
    <w:name w:val="footnote text"/>
    <w:basedOn w:val="1"/>
    <w:link w:val="56"/>
    <w:unhideWhenUsed/>
    <w:qFormat/>
    <w:uiPriority w:val="99"/>
    <w:pPr>
      <w:snapToGrid w:val="0"/>
      <w:jc w:val="left"/>
    </w:pPr>
    <w:rPr>
      <w:rFonts w:ascii="Times New Roman" w:hAnsi="Times New Roman" w:eastAsia="宋体" w:cs="Times New Roman"/>
      <w:kern w:val="0"/>
      <w:sz w:val="18"/>
      <w:szCs w:val="18"/>
    </w:rPr>
  </w:style>
  <w:style w:type="paragraph" w:styleId="24">
    <w:name w:val="toc 2"/>
    <w:basedOn w:val="1"/>
    <w:next w:val="1"/>
    <w:unhideWhenUsed/>
    <w:qFormat/>
    <w:uiPriority w:val="39"/>
    <w:pPr>
      <w:ind w:left="420" w:leftChars="200"/>
    </w:pPr>
    <w:rPr>
      <w:rFonts w:ascii="Calibri" w:hAnsi="Calibri" w:eastAsia="宋体" w:cs="Times New Roman"/>
    </w:rPr>
  </w:style>
  <w:style w:type="paragraph" w:styleId="25">
    <w:name w:val="List 4"/>
    <w:basedOn w:val="1"/>
    <w:unhideWhenUsed/>
    <w:qFormat/>
    <w:uiPriority w:val="99"/>
    <w:pPr>
      <w:ind w:left="100" w:leftChars="600" w:hanging="200" w:hangingChars="200"/>
      <w:contextualSpacing/>
    </w:pPr>
    <w:rPr>
      <w:rFonts w:ascii="Calibri" w:hAnsi="Calibri" w:eastAsia="宋体" w:cs="Times New Roman"/>
    </w:rPr>
  </w:style>
  <w:style w:type="paragraph" w:styleId="26">
    <w:name w:val="HTML Preformatted"/>
    <w:basedOn w:val="1"/>
    <w:link w:val="5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7">
    <w:name w:val="Title"/>
    <w:basedOn w:val="1"/>
    <w:next w:val="1"/>
    <w:link w:val="58"/>
    <w:qFormat/>
    <w:uiPriority w:val="1"/>
    <w:pPr>
      <w:spacing w:before="207"/>
      <w:ind w:left="1174" w:right="576"/>
      <w:jc w:val="center"/>
    </w:pPr>
    <w:rPr>
      <w:rFonts w:ascii="Arial Unicode MS" w:hAnsi="Arial Unicode MS" w:eastAsia="Arial Unicode MS" w:cs="Times New Roman"/>
      <w:kern w:val="0"/>
      <w:sz w:val="44"/>
      <w:szCs w:val="44"/>
    </w:rPr>
  </w:style>
  <w:style w:type="paragraph" w:styleId="28">
    <w:name w:val="annotation subject"/>
    <w:basedOn w:val="14"/>
    <w:next w:val="14"/>
    <w:link w:val="59"/>
    <w:unhideWhenUsed/>
    <w:qFormat/>
    <w:uiPriority w:val="0"/>
    <w:rPr>
      <w:rFonts w:ascii="Times New Roman" w:hAnsi="Times New Roman"/>
      <w:b/>
      <w:bCs/>
      <w:kern w:val="0"/>
      <w:sz w:val="20"/>
      <w:szCs w:val="20"/>
    </w:rPr>
  </w:style>
  <w:style w:type="table" w:styleId="30">
    <w:name w:val="Table Grid"/>
    <w:basedOn w:val="2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bCs/>
    </w:rPr>
  </w:style>
  <w:style w:type="character" w:styleId="33">
    <w:name w:val="page number"/>
    <w:basedOn w:val="31"/>
    <w:qFormat/>
    <w:uiPriority w:val="99"/>
  </w:style>
  <w:style w:type="character" w:styleId="34">
    <w:name w:val="Hyperlink"/>
    <w:unhideWhenUsed/>
    <w:qFormat/>
    <w:uiPriority w:val="99"/>
    <w:rPr>
      <w:color w:val="0000FF"/>
      <w:u w:val="single"/>
    </w:rPr>
  </w:style>
  <w:style w:type="character" w:styleId="35">
    <w:name w:val="annotation reference"/>
    <w:unhideWhenUsed/>
    <w:qFormat/>
    <w:uiPriority w:val="99"/>
    <w:rPr>
      <w:sz w:val="21"/>
      <w:szCs w:val="21"/>
    </w:rPr>
  </w:style>
  <w:style w:type="character" w:styleId="36">
    <w:name w:val="footnote reference"/>
    <w:unhideWhenUsed/>
    <w:qFormat/>
    <w:uiPriority w:val="99"/>
    <w:rPr>
      <w:vertAlign w:val="superscript"/>
    </w:rPr>
  </w:style>
  <w:style w:type="paragraph" w:customStyle="1" w:styleId="37">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38">
    <w:name w:val="页眉 Char"/>
    <w:basedOn w:val="31"/>
    <w:link w:val="21"/>
    <w:qFormat/>
    <w:uiPriority w:val="99"/>
    <w:rPr>
      <w:sz w:val="18"/>
      <w:szCs w:val="18"/>
    </w:rPr>
  </w:style>
  <w:style w:type="character" w:customStyle="1" w:styleId="39">
    <w:name w:val="页脚 Char"/>
    <w:basedOn w:val="31"/>
    <w:link w:val="20"/>
    <w:qFormat/>
    <w:uiPriority w:val="99"/>
    <w:rPr>
      <w:sz w:val="18"/>
      <w:szCs w:val="18"/>
    </w:rPr>
  </w:style>
  <w:style w:type="character" w:customStyle="1" w:styleId="40">
    <w:name w:val="标题 3 Char"/>
    <w:basedOn w:val="31"/>
    <w:link w:val="7"/>
    <w:qFormat/>
    <w:uiPriority w:val="0"/>
    <w:rPr>
      <w:b/>
      <w:bCs/>
      <w:sz w:val="32"/>
      <w:szCs w:val="32"/>
    </w:rPr>
  </w:style>
  <w:style w:type="character" w:customStyle="1" w:styleId="41">
    <w:name w:val="标题 3 Char1"/>
    <w:link w:val="7"/>
    <w:qFormat/>
    <w:uiPriority w:val="9"/>
    <w:rPr>
      <w:rFonts w:ascii="Times New Roman" w:hAnsi="Times New Roman" w:eastAsia="黑体" w:cs="Times New Roman"/>
      <w:bCs/>
      <w:kern w:val="0"/>
      <w:sz w:val="32"/>
      <w:szCs w:val="32"/>
    </w:rPr>
  </w:style>
  <w:style w:type="character" w:customStyle="1" w:styleId="42">
    <w:name w:val="正文文本 Char"/>
    <w:basedOn w:val="31"/>
    <w:link w:val="15"/>
    <w:qFormat/>
    <w:uiPriority w:val="1"/>
    <w:rPr>
      <w:rFonts w:ascii="Times New Roman" w:hAnsi="Times New Roman" w:eastAsia="宋体" w:cs="Times New Roman"/>
      <w:b/>
      <w:kern w:val="0"/>
      <w:sz w:val="20"/>
      <w:szCs w:val="24"/>
    </w:rPr>
  </w:style>
  <w:style w:type="paragraph" w:customStyle="1" w:styleId="43">
    <w:name w:val="null3"/>
    <w:qFormat/>
    <w:uiPriority w:val="0"/>
    <w:rPr>
      <w:rFonts w:hint="eastAsia" w:ascii="Calibri" w:hAnsi="Calibri" w:eastAsia="宋体" w:cs="Times New Roman"/>
      <w:kern w:val="0"/>
      <w:sz w:val="20"/>
      <w:szCs w:val="20"/>
      <w:lang w:val="en-US" w:eastAsia="zh-CN" w:bidi="ar-SA"/>
    </w:rPr>
  </w:style>
  <w:style w:type="character" w:customStyle="1" w:styleId="44">
    <w:name w:val="标题 1 Char"/>
    <w:basedOn w:val="31"/>
    <w:link w:val="5"/>
    <w:qFormat/>
    <w:uiPriority w:val="9"/>
    <w:rPr>
      <w:b/>
      <w:bCs/>
      <w:kern w:val="44"/>
      <w:sz w:val="44"/>
      <w:szCs w:val="44"/>
    </w:rPr>
  </w:style>
  <w:style w:type="character" w:customStyle="1" w:styleId="45">
    <w:name w:val="标题 2 Char"/>
    <w:basedOn w:val="31"/>
    <w:link w:val="6"/>
    <w:qFormat/>
    <w:uiPriority w:val="9"/>
    <w:rPr>
      <w:rFonts w:ascii="Cambria" w:hAnsi="Cambria" w:eastAsia="方正大标宋简体" w:cs="Times New Roman"/>
      <w:bCs/>
      <w:kern w:val="0"/>
      <w:sz w:val="36"/>
      <w:szCs w:val="32"/>
    </w:rPr>
  </w:style>
  <w:style w:type="character" w:customStyle="1" w:styleId="46">
    <w:name w:val="标题 4 Char"/>
    <w:basedOn w:val="31"/>
    <w:link w:val="8"/>
    <w:qFormat/>
    <w:uiPriority w:val="9"/>
    <w:rPr>
      <w:rFonts w:ascii="Cambria" w:hAnsi="Cambria" w:eastAsia="黑体" w:cs="Times New Roman"/>
      <w:bCs/>
      <w:kern w:val="0"/>
      <w:sz w:val="24"/>
      <w:szCs w:val="28"/>
    </w:rPr>
  </w:style>
  <w:style w:type="character" w:customStyle="1" w:styleId="47">
    <w:name w:val="标题 5 Char"/>
    <w:basedOn w:val="31"/>
    <w:link w:val="2"/>
    <w:qFormat/>
    <w:uiPriority w:val="9"/>
    <w:rPr>
      <w:rFonts w:ascii="Times New Roman" w:hAnsi="Times New Roman" w:eastAsia="仿宋_GB2312" w:cs="Times New Roman"/>
      <w:bCs/>
      <w:kern w:val="0"/>
      <w:sz w:val="20"/>
      <w:szCs w:val="28"/>
    </w:rPr>
  </w:style>
  <w:style w:type="character" w:customStyle="1" w:styleId="48">
    <w:name w:val="标题 6 Char"/>
    <w:basedOn w:val="31"/>
    <w:link w:val="9"/>
    <w:qFormat/>
    <w:uiPriority w:val="9"/>
    <w:rPr>
      <w:rFonts w:ascii="Cambria" w:hAnsi="Cambria" w:eastAsia="宋体" w:cs="Times New Roman"/>
      <w:b/>
      <w:bCs/>
      <w:kern w:val="0"/>
      <w:sz w:val="24"/>
      <w:szCs w:val="24"/>
    </w:rPr>
  </w:style>
  <w:style w:type="character" w:customStyle="1" w:styleId="49">
    <w:name w:val="标题 7 Char"/>
    <w:basedOn w:val="31"/>
    <w:link w:val="10"/>
    <w:qFormat/>
    <w:uiPriority w:val="9"/>
    <w:rPr>
      <w:rFonts w:ascii="Times New Roman" w:hAnsi="Times New Roman" w:eastAsia="宋体" w:cs="Times New Roman"/>
      <w:b/>
      <w:bCs/>
      <w:kern w:val="0"/>
      <w:sz w:val="24"/>
      <w:szCs w:val="24"/>
    </w:rPr>
  </w:style>
  <w:style w:type="character" w:customStyle="1" w:styleId="50">
    <w:name w:val="标题 8 Char"/>
    <w:basedOn w:val="31"/>
    <w:link w:val="11"/>
    <w:qFormat/>
    <w:uiPriority w:val="9"/>
    <w:rPr>
      <w:rFonts w:ascii="Cambria" w:hAnsi="Cambria" w:eastAsia="宋体" w:cs="Times New Roman"/>
      <w:kern w:val="0"/>
      <w:sz w:val="24"/>
      <w:szCs w:val="24"/>
    </w:rPr>
  </w:style>
  <w:style w:type="character" w:customStyle="1" w:styleId="51">
    <w:name w:val="标题 1 Char1"/>
    <w:link w:val="5"/>
    <w:qFormat/>
    <w:uiPriority w:val="9"/>
    <w:rPr>
      <w:rFonts w:ascii="Times New Roman" w:hAnsi="Times New Roman" w:eastAsia="黑体" w:cs="Times New Roman"/>
      <w:bCs/>
      <w:kern w:val="44"/>
      <w:sz w:val="44"/>
      <w:szCs w:val="44"/>
    </w:rPr>
  </w:style>
  <w:style w:type="character" w:customStyle="1" w:styleId="52">
    <w:name w:val="文档结构图 Char"/>
    <w:basedOn w:val="31"/>
    <w:link w:val="13"/>
    <w:qFormat/>
    <w:uiPriority w:val="99"/>
    <w:rPr>
      <w:rFonts w:ascii="宋体" w:hAnsi="Times New Roman" w:eastAsia="宋体" w:cs="Times New Roman"/>
      <w:kern w:val="0"/>
      <w:sz w:val="18"/>
      <w:szCs w:val="18"/>
    </w:rPr>
  </w:style>
  <w:style w:type="character" w:customStyle="1" w:styleId="53">
    <w:name w:val="批注文字 Char"/>
    <w:basedOn w:val="31"/>
    <w:link w:val="14"/>
    <w:qFormat/>
    <w:uiPriority w:val="99"/>
    <w:rPr>
      <w:rFonts w:ascii="Calibri" w:hAnsi="Calibri" w:eastAsia="宋体" w:cs="Times New Roman"/>
    </w:rPr>
  </w:style>
  <w:style w:type="character" w:customStyle="1" w:styleId="54">
    <w:name w:val="纯文本 Char"/>
    <w:basedOn w:val="31"/>
    <w:link w:val="18"/>
    <w:qFormat/>
    <w:uiPriority w:val="99"/>
    <w:rPr>
      <w:rFonts w:ascii="宋体" w:hAnsi="Courier New" w:eastAsia="宋体" w:cs="Times New Roman"/>
      <w:kern w:val="0"/>
      <w:sz w:val="20"/>
      <w:szCs w:val="21"/>
    </w:rPr>
  </w:style>
  <w:style w:type="character" w:customStyle="1" w:styleId="55">
    <w:name w:val="批注框文本 Char"/>
    <w:basedOn w:val="31"/>
    <w:link w:val="19"/>
    <w:qFormat/>
    <w:uiPriority w:val="99"/>
    <w:rPr>
      <w:rFonts w:ascii="Times New Roman" w:hAnsi="Times New Roman" w:eastAsia="宋体" w:cs="Times New Roman"/>
      <w:kern w:val="0"/>
      <w:sz w:val="18"/>
      <w:szCs w:val="18"/>
    </w:rPr>
  </w:style>
  <w:style w:type="character" w:customStyle="1" w:styleId="56">
    <w:name w:val="脚注文本 Char"/>
    <w:basedOn w:val="31"/>
    <w:link w:val="23"/>
    <w:qFormat/>
    <w:uiPriority w:val="99"/>
    <w:rPr>
      <w:rFonts w:ascii="Times New Roman" w:hAnsi="Times New Roman" w:eastAsia="宋体" w:cs="Times New Roman"/>
      <w:kern w:val="0"/>
      <w:sz w:val="18"/>
      <w:szCs w:val="18"/>
    </w:rPr>
  </w:style>
  <w:style w:type="character" w:customStyle="1" w:styleId="57">
    <w:name w:val="HTML 预设格式 Char"/>
    <w:basedOn w:val="31"/>
    <w:link w:val="26"/>
    <w:qFormat/>
    <w:uiPriority w:val="99"/>
    <w:rPr>
      <w:rFonts w:ascii="宋体" w:hAnsi="宋体" w:eastAsia="宋体" w:cs="Times New Roman"/>
      <w:kern w:val="0"/>
      <w:sz w:val="24"/>
      <w:szCs w:val="24"/>
    </w:rPr>
  </w:style>
  <w:style w:type="character" w:customStyle="1" w:styleId="58">
    <w:name w:val="标题 Char"/>
    <w:basedOn w:val="31"/>
    <w:link w:val="27"/>
    <w:qFormat/>
    <w:uiPriority w:val="1"/>
    <w:rPr>
      <w:rFonts w:ascii="Arial Unicode MS" w:hAnsi="Arial Unicode MS" w:eastAsia="Arial Unicode MS" w:cs="Times New Roman"/>
      <w:kern w:val="0"/>
      <w:sz w:val="44"/>
      <w:szCs w:val="44"/>
    </w:rPr>
  </w:style>
  <w:style w:type="character" w:customStyle="1" w:styleId="59">
    <w:name w:val="批注主题 Char"/>
    <w:basedOn w:val="53"/>
    <w:link w:val="28"/>
    <w:qFormat/>
    <w:uiPriority w:val="0"/>
    <w:rPr>
      <w:rFonts w:ascii="Times New Roman" w:hAnsi="Times New Roman"/>
      <w:b/>
      <w:bCs/>
      <w:kern w:val="0"/>
      <w:sz w:val="20"/>
      <w:szCs w:val="20"/>
    </w:rPr>
  </w:style>
  <w:style w:type="paragraph" w:customStyle="1" w:styleId="60">
    <w:name w:val="Normal Indent1"/>
    <w:qFormat/>
    <w:uiPriority w:val="0"/>
    <w:pPr>
      <w:spacing w:afterLines="50" w:line="360" w:lineRule="auto"/>
      <w:ind w:firstLine="420" w:firstLineChars="200"/>
    </w:pPr>
    <w:rPr>
      <w:rFonts w:ascii="Times New Roman" w:hAnsi="Times New Roman" w:eastAsia="宋体" w:cs="Times New Roman"/>
      <w:kern w:val="0"/>
      <w:sz w:val="20"/>
      <w:szCs w:val="20"/>
      <w:lang w:val="en-US" w:eastAsia="zh-CN" w:bidi="ar-SA"/>
    </w:rPr>
  </w:style>
  <w:style w:type="paragraph" w:styleId="61">
    <w:name w:val="List Paragraph"/>
    <w:basedOn w:val="1"/>
    <w:qFormat/>
    <w:uiPriority w:val="34"/>
    <w:pPr>
      <w:ind w:firstLine="420" w:firstLineChars="200"/>
    </w:pPr>
    <w:rPr>
      <w:rFonts w:ascii="Calibri" w:hAnsi="Calibri" w:eastAsia="宋体" w:cs="Times New Roman"/>
    </w:rPr>
  </w:style>
  <w:style w:type="character" w:styleId="62">
    <w:name w:val="Placeholder Text"/>
    <w:unhideWhenUsed/>
    <w:qFormat/>
    <w:uiPriority w:val="99"/>
    <w:rPr>
      <w:color w:val="808080"/>
    </w:rPr>
  </w:style>
  <w:style w:type="character" w:customStyle="1" w:styleId="63">
    <w:name w:val="bjh-p"/>
    <w:qFormat/>
    <w:uiPriority w:val="0"/>
  </w:style>
  <w:style w:type="character" w:customStyle="1" w:styleId="64">
    <w:name w:val="bjh-strong"/>
    <w:qFormat/>
    <w:uiPriority w:val="0"/>
  </w:style>
  <w:style w:type="paragraph" w:customStyle="1" w:styleId="65">
    <w:name w:val="表格文字 居中加粗"/>
    <w:basedOn w:val="1"/>
    <w:qFormat/>
    <w:uiPriority w:val="99"/>
    <w:pPr>
      <w:widowControl/>
      <w:overflowPunct w:val="0"/>
      <w:autoSpaceDE w:val="0"/>
      <w:autoSpaceDN w:val="0"/>
      <w:adjustRightInd w:val="0"/>
      <w:jc w:val="center"/>
      <w:textAlignment w:val="baseline"/>
    </w:pPr>
    <w:rPr>
      <w:rFonts w:ascii="Times New Roman" w:hAnsi="Times New Roman" w:eastAsia="宋体" w:cs="宋体"/>
      <w:b/>
      <w:bCs/>
      <w:kern w:val="0"/>
      <w:szCs w:val="20"/>
    </w:rPr>
  </w:style>
  <w:style w:type="paragraph" w:customStyle="1" w:styleId="66">
    <w:name w:val="表格文字 居中"/>
    <w:basedOn w:val="1"/>
    <w:qFormat/>
    <w:uiPriority w:val="99"/>
    <w:pPr>
      <w:widowControl/>
      <w:overflowPunct w:val="0"/>
      <w:autoSpaceDE w:val="0"/>
      <w:autoSpaceDN w:val="0"/>
      <w:adjustRightInd w:val="0"/>
      <w:jc w:val="center"/>
      <w:textAlignment w:val="baseline"/>
    </w:pPr>
    <w:rPr>
      <w:rFonts w:ascii="Times New Roman" w:hAnsi="Times New Roman" w:eastAsia="宋体" w:cs="Times New Roman"/>
      <w:kern w:val="0"/>
      <w:szCs w:val="20"/>
    </w:rPr>
  </w:style>
  <w:style w:type="paragraph" w:customStyle="1" w:styleId="67">
    <w:name w:val="表格文字 左对齐"/>
    <w:basedOn w:val="66"/>
    <w:qFormat/>
    <w:uiPriority w:val="99"/>
    <w:pPr>
      <w:jc w:val="both"/>
    </w:pPr>
  </w:style>
  <w:style w:type="paragraph" w:customStyle="1" w:styleId="68">
    <w:name w:val="修订1"/>
    <w:unhideWhenUsed/>
    <w:qFormat/>
    <w:uiPriority w:val="99"/>
    <w:rPr>
      <w:rFonts w:ascii="Calibri" w:hAnsi="Calibri" w:eastAsia="宋体" w:cs="Times New Roman"/>
      <w:kern w:val="2"/>
      <w:sz w:val="21"/>
      <w:szCs w:val="22"/>
      <w:lang w:val="en-US" w:eastAsia="zh-CN" w:bidi="ar-SA"/>
    </w:rPr>
  </w:style>
  <w:style w:type="paragraph" w:customStyle="1" w:styleId="69">
    <w:name w:val="WPSOffice手动目录 1"/>
    <w:qFormat/>
    <w:uiPriority w:val="0"/>
    <w:rPr>
      <w:rFonts w:ascii="Calibri" w:hAnsi="Calibri" w:eastAsia="宋体" w:cs="Times New Roman"/>
      <w:kern w:val="0"/>
      <w:sz w:val="24"/>
      <w:szCs w:val="20"/>
      <w:lang w:val="en-US" w:eastAsia="zh-CN" w:bidi="ar-SA"/>
    </w:rPr>
  </w:style>
  <w:style w:type="paragraph" w:customStyle="1" w:styleId="70">
    <w:name w:val="WPSOffice手动目录 2"/>
    <w:qFormat/>
    <w:uiPriority w:val="0"/>
    <w:pPr>
      <w:ind w:leftChars="200"/>
    </w:pPr>
    <w:rPr>
      <w:rFonts w:ascii="Calibri" w:hAnsi="Calibri" w:eastAsia="宋体" w:cs="Times New Roman"/>
      <w:kern w:val="0"/>
      <w:sz w:val="24"/>
      <w:szCs w:val="20"/>
      <w:lang w:val="en-US" w:eastAsia="zh-CN" w:bidi="ar-SA"/>
    </w:rPr>
  </w:style>
  <w:style w:type="paragraph" w:customStyle="1" w:styleId="71">
    <w:name w:val="WPSOffice手动目录 3"/>
    <w:qFormat/>
    <w:uiPriority w:val="0"/>
    <w:pPr>
      <w:ind w:leftChars="400"/>
    </w:pPr>
    <w:rPr>
      <w:rFonts w:ascii="Calibri" w:hAnsi="Calibri" w:eastAsia="宋体" w:cs="Times New Roman"/>
      <w:kern w:val="0"/>
      <w:sz w:val="24"/>
      <w:szCs w:val="20"/>
      <w:lang w:val="en-US" w:eastAsia="zh-CN" w:bidi="ar-SA"/>
    </w:rPr>
  </w:style>
  <w:style w:type="paragraph" w:customStyle="1" w:styleId="72">
    <w:name w:val="样式1"/>
    <w:basedOn w:val="1"/>
    <w:qFormat/>
    <w:uiPriority w:val="0"/>
    <w:pPr>
      <w:jc w:val="center"/>
    </w:pPr>
    <w:rPr>
      <w:rFonts w:ascii="Calibri" w:hAnsi="Calibri" w:eastAsia="方正大标宋简体" w:cs="Times New Roman"/>
      <w:sz w:val="52"/>
    </w:rPr>
  </w:style>
  <w:style w:type="paragraph" w:customStyle="1" w:styleId="73">
    <w:name w:val="Table Paragraph"/>
    <w:basedOn w:val="1"/>
    <w:qFormat/>
    <w:uiPriority w:val="1"/>
    <w:pPr>
      <w:jc w:val="left"/>
    </w:pPr>
    <w:rPr>
      <w:rFonts w:ascii="Calibri" w:hAnsi="Calibri" w:eastAsia="Calibri" w:cs="黑体"/>
      <w:kern w:val="0"/>
      <w:sz w:val="22"/>
      <w:lang w:eastAsia="en-US"/>
    </w:rPr>
  </w:style>
  <w:style w:type="paragraph" w:customStyle="1" w:styleId="74">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75">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76">
    <w:name w:val="_正文"/>
    <w:basedOn w:val="1"/>
    <w:qFormat/>
    <w:uiPriority w:val="0"/>
    <w:pPr>
      <w:snapToGrid w:val="0"/>
      <w:spacing w:line="360" w:lineRule="auto"/>
      <w:ind w:firstLine="200" w:firstLineChars="200"/>
    </w:pPr>
    <w:rPr>
      <w:sz w:val="24"/>
      <w:szCs w:val="24"/>
    </w:rPr>
  </w:style>
  <w:style w:type="paragraph" w:customStyle="1" w:styleId="77">
    <w:name w:val="Normal_0"/>
    <w:next w:val="1"/>
    <w:qFormat/>
    <w:uiPriority w:val="0"/>
    <w:pPr>
      <w:widowControl w:val="0"/>
      <w:spacing w:line="360" w:lineRule="auto"/>
      <w:ind w:firstLine="883" w:firstLineChars="200"/>
      <w:jc w:val="both"/>
    </w:pPr>
    <w:rPr>
      <w:rFonts w:ascii="仿宋_GB2312" w:hAnsi="仿宋_GB2312" w:eastAsia="仿宋_GB2312" w:cs="Times New Roman"/>
      <w:kern w:val="2"/>
      <w:sz w:val="32"/>
      <w:szCs w:val="24"/>
      <w:lang w:val="en-US" w:eastAsia="zh-CN" w:bidi="ar-SA"/>
    </w:rPr>
  </w:style>
  <w:style w:type="character" w:customStyle="1" w:styleId="78">
    <w:name w:val="NormalCharacter"/>
    <w:qFormat/>
    <w:uiPriority w:val="99"/>
  </w:style>
  <w:style w:type="paragraph" w:customStyle="1" w:styleId="79">
    <w:name w:val="HtmlNormal"/>
    <w:basedOn w:val="1"/>
    <w:qFormat/>
    <w:uiPriority w:val="99"/>
    <w:pPr>
      <w:widowControl/>
    </w:pPr>
    <w:rPr>
      <w:sz w:val="24"/>
      <w:szCs w:val="24"/>
    </w:rPr>
  </w:style>
  <w:style w:type="paragraph" w:customStyle="1" w:styleId="80">
    <w:name w:val="Fließtext"/>
    <w:basedOn w:val="1"/>
    <w:qFormat/>
    <w:uiPriority w:val="99"/>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105</Pages>
  <Words>54812</Words>
  <Characters>57790</Characters>
  <Lines>197</Lines>
  <Paragraphs>55</Paragraphs>
  <TotalTime>13</TotalTime>
  <ScaleCrop>false</ScaleCrop>
  <LinksUpToDate>false</LinksUpToDate>
  <CharactersWithSpaces>59722</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2024-06-18T20:42:00Z</dcterms:created>
  <dc:creator>30</dc:creator>
  <cp:lastModifiedBy>kylin</cp:lastModifiedBy>
  <dcterms:modified xsi:type="dcterms:W3CDTF">2024-09-26T16:55:47Z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0CF2C60977364B3CABFCC98EBCC95504_13</vt:lpwstr>
  </property>
</Properties>
</file>