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cs="宋体"/>
          <w:b w:val="0"/>
          <w:color w:val="000000" w:themeColor="text1"/>
          <w:sz w:val="36"/>
          <w:szCs w:val="36"/>
        </w:rPr>
      </w:pPr>
      <w:r>
        <w:rPr>
          <w:rFonts w:hint="eastAsia" w:ascii="黑体" w:hAnsi="黑体" w:eastAsia="黑体" w:cstheme="minorEastAsia"/>
          <w:b w:val="0"/>
          <w:color w:val="000000" w:themeColor="text1"/>
          <w:sz w:val="36"/>
          <w:szCs w:val="36"/>
        </w:rPr>
        <w:t>国家税务总局莆田市税务局12366热线坐席服务外包</w:t>
      </w:r>
      <w:r>
        <w:rPr>
          <w:rFonts w:hint="eastAsia" w:ascii="黑体" w:hAnsi="黑体" w:eastAsia="黑体" w:cs="宋体"/>
          <w:b w:val="0"/>
          <w:color w:val="000000" w:themeColor="text1"/>
          <w:sz w:val="36"/>
          <w:szCs w:val="36"/>
        </w:rPr>
        <w:t>项目采购需求</w:t>
      </w:r>
      <w:bookmarkStart w:id="0" w:name="_Toc489257066"/>
      <w:r>
        <w:rPr>
          <w:rFonts w:hint="eastAsia" w:ascii="黑体" w:hAnsi="黑体" w:eastAsia="黑体" w:cs="宋体"/>
          <w:b w:val="0"/>
          <w:color w:val="000000" w:themeColor="text1"/>
          <w:sz w:val="36"/>
          <w:szCs w:val="36"/>
        </w:rPr>
        <w:t>方案</w:t>
      </w:r>
    </w:p>
    <w:bookmarkEnd w:id="0"/>
    <w:p>
      <w:pPr>
        <w:tabs>
          <w:tab w:val="left" w:pos="525"/>
          <w:tab w:val="left" w:pos="737"/>
        </w:tabs>
        <w:snapToGrid w:val="0"/>
        <w:spacing w:line="60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一、项目概述</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国家税务总局莆田市税务局12366（以下简称“12366 ”），采用省级集中接入集中控制，集中呼出的热线服务模式，统一使用国家信息产业部核批的税务机关特服号12366开展语音（包括自动语音咨询和人工坐席咨询）自动语音咨询提供全天候24小时服务，人工坐席在工作日8:30-17:30期间提供人工接听服务。主要功能为：纳税咨询、投诉举报、办税指引、意见建议等 。</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本次服务外包，采购服务外包坐席服务人员15人，对服务外包项目的管理以中标人为主、国家税务总局莆田市税务局为辅的管理模式实施，服务期限自合同规定服务期限生效起三年，</w:t>
      </w:r>
      <w:r>
        <w:rPr>
          <w:rFonts w:hint="eastAsia" w:ascii="宋体" w:hAnsi="宋体" w:cs="宋体"/>
          <w:color w:val="000000" w:themeColor="text1"/>
          <w:szCs w:val="21"/>
          <w:lang w:eastAsia="zh-CN"/>
        </w:rPr>
        <w:t>每年经费预算</w:t>
      </w:r>
      <w:r>
        <w:rPr>
          <w:rFonts w:hint="eastAsia" w:ascii="宋体" w:hAnsi="宋体" w:cs="宋体"/>
          <w:color w:val="000000" w:themeColor="text1"/>
          <w:szCs w:val="21"/>
          <w:lang w:val="en-US" w:eastAsia="zh-CN"/>
        </w:rPr>
        <w:t>141万元，三年合计总预算423万元，</w:t>
      </w:r>
      <w:r>
        <w:rPr>
          <w:rFonts w:hint="eastAsia" w:ascii="宋体" w:hAnsi="宋体"/>
          <w:color w:val="000000" w:themeColor="text1"/>
          <w:szCs w:val="21"/>
        </w:rPr>
        <w:t>按年签订服务合同，每个年度终了，经过采购人评估合格后可以续签，不合格不再续签</w:t>
      </w:r>
      <w:r>
        <w:rPr>
          <w:rFonts w:hint="eastAsia" w:ascii="宋体" w:hAnsi="宋体" w:cs="宋体"/>
          <w:color w:val="000000" w:themeColor="text1"/>
          <w:szCs w:val="21"/>
        </w:rPr>
        <w:t>。</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该项目立足于将国家税务总局莆田市税务局12366纳税服务中心打造成税务机关连接纳税人的桥梁纽带，实时了解纳税人需求、给予纳税人及时准确服务，展现税务机关为纳税人优质服务的精神风貌。</w:t>
      </w:r>
    </w:p>
    <w:p>
      <w:pPr>
        <w:tabs>
          <w:tab w:val="left" w:pos="525"/>
          <w:tab w:val="left" w:pos="737"/>
        </w:tabs>
        <w:snapToGrid w:val="0"/>
        <w:spacing w:line="600" w:lineRule="exact"/>
        <w:ind w:firstLine="420" w:firstLineChars="200"/>
        <w:rPr>
          <w:rFonts w:ascii="宋体" w:hAnsi="宋体" w:cs="宋体"/>
          <w:b/>
          <w:bCs/>
          <w:color w:val="000000" w:themeColor="text1"/>
          <w:szCs w:val="21"/>
        </w:rPr>
      </w:pPr>
      <w:r>
        <w:rPr>
          <w:rFonts w:hint="eastAsia" w:hAnsi="宋体" w:cs="宋体"/>
          <w:color w:val="000000" w:themeColor="text1"/>
        </w:rPr>
        <w:t>★</w:t>
      </w:r>
      <w:r>
        <w:rPr>
          <w:rFonts w:hint="eastAsia" w:ascii="宋体" w:hAnsi="宋体" w:cs="宋体"/>
          <w:b/>
          <w:bCs/>
          <w:color w:val="000000" w:themeColor="text1"/>
          <w:szCs w:val="21"/>
        </w:rPr>
        <w:t>二、外包服务要求</w:t>
      </w:r>
    </w:p>
    <w:p>
      <w:pPr>
        <w:tabs>
          <w:tab w:val="left" w:pos="525"/>
          <w:tab w:val="left" w:pos="737"/>
        </w:tabs>
        <w:snapToGrid w:val="0"/>
        <w:spacing w:line="600" w:lineRule="exact"/>
        <w:ind w:firstLine="316" w:firstLineChars="150"/>
        <w:rPr>
          <w:rFonts w:ascii="宋体" w:hAnsi="宋体" w:cs="宋体"/>
          <w:b/>
          <w:color w:val="000000" w:themeColor="text1"/>
          <w:szCs w:val="21"/>
        </w:rPr>
      </w:pPr>
      <w:r>
        <w:rPr>
          <w:rFonts w:hint="eastAsia" w:ascii="宋体" w:hAnsi="宋体" w:cs="宋体"/>
          <w:b/>
          <w:color w:val="000000" w:themeColor="text1"/>
          <w:szCs w:val="21"/>
        </w:rPr>
        <w:t>（一）总体要求</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国家税务总局莆田市税务局12366 为纳税人提供优质高效的专业化服务，包括12366纳税服务热线、12366网站咨询等多种服务渠道。纳税人能够通过电话、传真、留言、互联网等方式向12366请求服务，中心可选择采取自动语音、人工坐席、传真回复、短信、留言、电子邮件、互联网等服务方式，向纳税人提供自动或人工的应答服务。</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次服务外包岗位15个，中标人负责对服务外包人员进行人事和业务流程的全面管理，保证服务外包人员上线率，做好对国家税务总局莆田市税务局12366服务外包的管理工作，制定业务考核办法等系统建设工作，负责招聘坐席服务人员、岗前培训（含基本礼仪培训、基本服务技能培训、税收基础和会计基础培训、各税、费基础政策培训、企业所得税年度汇算清缴、营改增政策及申报实务、出口退税申报实务、财会知识以及12366系统操作培训等专业培训）、日常培训（包括税收业务新政策、典型案例分析、沟通技巧学习等）等。中标人负责服务外包人员的日常管理、薪资福利管理、质量监测、绩效考核、党工青妇活动等，为服务外包人员提供必要的工作电脑、打印机，并提供统一的税务着装，依照劳动合同对服务外包人员进行管理等。</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国家税务总局莆田市税务局负责对合同约定的工作进行督促检查，并协助中标人对服务外包人员进行质量监测，提供招聘条件、岗位职责标准、考核指标要求、薪酬和考核建议、工作环境和部分工作用品、提供 12366 中心话务系统和业务支持。</w:t>
      </w:r>
    </w:p>
    <w:p>
      <w:pPr>
        <w:tabs>
          <w:tab w:val="left" w:pos="525"/>
          <w:tab w:val="left" w:pos="737"/>
        </w:tabs>
        <w:snapToGrid w:val="0"/>
        <w:spacing w:line="60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（二）服务外包人员要求</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中标人根据采购人的要求，在全社会公开招聘服务外包坐席人员15人。考虑到工作的延续性，在同等条件下建议优先从国家税务总局莆田市税务局12366现有坐席人员中选聘。</w:t>
      </w:r>
    </w:p>
    <w:p>
      <w:pPr>
        <w:tabs>
          <w:tab w:val="left" w:pos="525"/>
          <w:tab w:val="left" w:pos="737"/>
        </w:tabs>
        <w:snapToGrid w:val="0"/>
        <w:spacing w:line="60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1.人员要求</w:t>
      </w:r>
    </w:p>
    <w:p>
      <w:pPr>
        <w:tabs>
          <w:tab w:val="left" w:pos="525"/>
          <w:tab w:val="left" w:pos="737"/>
        </w:tabs>
        <w:snapToGrid w:val="0"/>
        <w:spacing w:line="5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坐席人员15人，负责为纳税人提供以电话、传真、留言或网上咨询的形式发起的政策咨询、办税指引、投诉举报和意见建议等热线呼入呼出、在线网络咨询等服务，以及工单转办、热点难点问题及案例的整理等事项。</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 xml:space="preserve">人员应具备以下条件： </w:t>
      </w:r>
    </w:p>
    <w:p>
      <w:pPr>
        <w:tabs>
          <w:tab w:val="left" w:pos="525"/>
          <w:tab w:val="left" w:pos="737"/>
        </w:tabs>
        <w:snapToGrid w:val="0"/>
        <w:spacing w:line="600" w:lineRule="exact"/>
        <w:ind w:left="320"/>
        <w:rPr>
          <w:rFonts w:ascii="宋体" w:hAnsi="宋体" w:cs="宋体"/>
          <w:color w:val="000000" w:themeColor="text1"/>
          <w:szCs w:val="21"/>
        </w:rPr>
      </w:pPr>
      <w:r>
        <w:rPr>
          <w:rFonts w:hint="eastAsia" w:ascii="宋体" w:hAnsi="宋体" w:cs="宋体"/>
          <w:color w:val="000000" w:themeColor="text1"/>
          <w:szCs w:val="21"/>
        </w:rPr>
        <w:t>（1）本科学历，财务会计类、税收、管理、计算机、法律等相关专业（中标人按照投标文件中所承诺的比例配备财会、税收类人员）；年龄不超过</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周岁（截止202</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年12月31日）；</w:t>
      </w:r>
    </w:p>
    <w:p>
      <w:pPr>
        <w:tabs>
          <w:tab w:val="left" w:pos="525"/>
          <w:tab w:val="left" w:pos="737"/>
        </w:tabs>
        <w:snapToGrid w:val="0"/>
        <w:spacing w:line="6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（2）普通话标准、语音甜美、口齿清晰；</w:t>
      </w:r>
    </w:p>
    <w:p>
      <w:pPr>
        <w:tabs>
          <w:tab w:val="left" w:pos="525"/>
          <w:tab w:val="left" w:pos="737"/>
        </w:tabs>
        <w:snapToGrid w:val="0"/>
        <w:spacing w:line="6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（3）汉字录入速度不低于 60 字/分钟；</w:t>
      </w:r>
    </w:p>
    <w:p>
      <w:pPr>
        <w:tabs>
          <w:tab w:val="left" w:pos="525"/>
          <w:tab w:val="left" w:pos="737"/>
        </w:tabs>
        <w:snapToGrid w:val="0"/>
        <w:spacing w:line="6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（4）具备较强的服务意识和语言表达能力、良好的沟通能力、记忆能力、心理承受能力和学习能力；</w:t>
      </w:r>
    </w:p>
    <w:p>
      <w:pPr>
        <w:tabs>
          <w:tab w:val="left" w:pos="525"/>
          <w:tab w:val="left" w:pos="737"/>
        </w:tabs>
        <w:snapToGrid w:val="0"/>
        <w:spacing w:line="6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（5）身体健康；</w:t>
      </w:r>
    </w:p>
    <w:p>
      <w:pPr>
        <w:tabs>
          <w:tab w:val="left" w:pos="525"/>
          <w:tab w:val="left" w:pos="737"/>
        </w:tabs>
        <w:snapToGrid w:val="0"/>
        <w:spacing w:line="600" w:lineRule="exact"/>
        <w:ind w:firstLine="210" w:firstLineChars="100"/>
        <w:rPr>
          <w:rFonts w:ascii="宋体" w:hAnsi="宋体" w:cs="宋体"/>
          <w:strike/>
          <w:color w:val="000000" w:themeColor="text1"/>
          <w:szCs w:val="21"/>
        </w:rPr>
      </w:pPr>
      <w:r>
        <w:rPr>
          <w:rFonts w:hint="eastAsia" w:ascii="宋体" w:hAnsi="宋体" w:cs="宋体"/>
          <w:color w:val="000000" w:themeColor="text1"/>
          <w:szCs w:val="21"/>
        </w:rPr>
        <w:t>（6）承接国家税务总局莆田市税务局12366现有的坐席和纳税服务优秀人员不受年龄限制，不参与坐席人员中财会、税收类学历所占比重的计算，学历适当放宽。</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坐席人员上岗前由中标人组织培训，经采购人测试合格后方能上岗。中标人应安排人员对坐席进行日常管理、录音监听、提供针对性辅导，提高坐席应答能力及服务品质；负责每月将坐席整体工作情况书面反馈至采购人管理层。</w:t>
      </w:r>
    </w:p>
    <w:p>
      <w:pPr>
        <w:tabs>
          <w:tab w:val="left" w:pos="525"/>
          <w:tab w:val="left" w:pos="737"/>
        </w:tabs>
        <w:snapToGrid w:val="0"/>
        <w:spacing w:line="60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2.人才储备</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中标人制定人才储备计划，建立人才需求库。中标人需按本项目要求，针对本项目坐席人员需求的波动及 12366 中心正常的人员流失率等情况，制订人员管理规范，保障有充分的人员补充渠道，确保人员出勤率，满足项目用人需求。</w:t>
      </w:r>
    </w:p>
    <w:p>
      <w:pPr>
        <w:tabs>
          <w:tab w:val="left" w:pos="525"/>
          <w:tab w:val="left" w:pos="737"/>
        </w:tabs>
        <w:snapToGrid w:val="0"/>
        <w:spacing w:line="600" w:lineRule="exact"/>
        <w:ind w:firstLine="316" w:firstLineChars="150"/>
        <w:rPr>
          <w:rFonts w:ascii="宋体" w:hAnsi="宋体" w:cs="宋体"/>
          <w:b/>
          <w:color w:val="000000" w:themeColor="text1"/>
          <w:szCs w:val="21"/>
        </w:rPr>
      </w:pPr>
      <w:r>
        <w:rPr>
          <w:rFonts w:hint="eastAsia" w:ascii="宋体" w:hAnsi="宋体" w:cs="宋体"/>
          <w:b/>
          <w:color w:val="000000" w:themeColor="text1"/>
          <w:szCs w:val="21"/>
        </w:rPr>
        <w:t>3.人员到位</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（1）服务外包招录人员经采购人确认符合条件后，要在签订合同后 7 天内完成。</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（2）服务外包人员要组织一个月以上的岗前业务培训。</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（3）服务外包人员变动或因连续超过一个月的假期需要补充人员的，要在接到采购人通知的7日内完成。</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（4）中标人应在合同生效之日起10日内完成合同规定人数的80%（含）以上具有税务12366服务工作经验、采购人确认符合条件的坐席、管理人员和业务支持人员到岗。</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（5）中标人要做好国家税务总局莆田市税务局12366原来的服务外包合同衔接期的平稳过渡工作，保证国家税务总局莆田市税务局12366平稳、正常、有序运转。</w:t>
      </w:r>
    </w:p>
    <w:p>
      <w:pPr>
        <w:tabs>
          <w:tab w:val="left" w:pos="525"/>
          <w:tab w:val="left" w:pos="737"/>
        </w:tabs>
        <w:snapToGrid w:val="0"/>
        <w:spacing w:line="600" w:lineRule="exact"/>
        <w:ind w:firstLine="316" w:firstLineChars="150"/>
        <w:rPr>
          <w:rFonts w:ascii="宋体" w:hAnsi="宋体" w:cs="宋体"/>
          <w:b/>
          <w:color w:val="000000" w:themeColor="text1"/>
          <w:szCs w:val="21"/>
        </w:rPr>
      </w:pPr>
      <w:r>
        <w:rPr>
          <w:rFonts w:hint="eastAsia" w:ascii="宋体" w:hAnsi="宋体" w:cs="宋体"/>
          <w:b/>
          <w:color w:val="000000" w:themeColor="text1"/>
          <w:szCs w:val="21"/>
        </w:rPr>
        <w:t>4.人员管理</w:t>
      </w:r>
    </w:p>
    <w:p>
      <w:pPr>
        <w:tabs>
          <w:tab w:val="left" w:pos="525"/>
          <w:tab w:val="left" w:pos="737"/>
        </w:tabs>
        <w:snapToGrid w:val="0"/>
        <w:spacing w:line="56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（1）为了便于现场管理，在15名坐席人员之外，</w:t>
      </w:r>
      <w:r>
        <w:rPr>
          <w:rFonts w:hint="eastAsia" w:ascii="宋体" w:hAnsi="宋体" w:eastAsia="宋体" w:cs="宋体"/>
          <w:color w:val="000000" w:themeColor="text1"/>
          <w:szCs w:val="21"/>
        </w:rPr>
        <w:t>服务商应配备</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名专职现场管理人员，负责服务外包人员的日常管理工作，具体负责人员的出勤、培训、服务质检，负责对服务人员的月度考核，负责与采购人进行协调沟通，负责每月将运行分析报告、薪酬支付情况、热点问题专题分析等材料书面反馈至采购人。</w:t>
      </w:r>
    </w:p>
    <w:p>
      <w:pPr>
        <w:tabs>
          <w:tab w:val="left" w:pos="525"/>
          <w:tab w:val="left" w:pos="737"/>
        </w:tabs>
        <w:snapToGrid w:val="0"/>
        <w:spacing w:line="600" w:lineRule="exact"/>
        <w:ind w:firstLine="315" w:firstLineChars="150"/>
        <w:rPr>
          <w:rFonts w:ascii="宋体" w:hAnsi="宋体" w:cs="宋体"/>
          <w:color w:val="FF0000"/>
          <w:szCs w:val="21"/>
        </w:rPr>
      </w:pPr>
      <w:r>
        <w:rPr>
          <w:rFonts w:hint="eastAsia" w:ascii="宋体" w:hAnsi="宋体" w:cs="宋体"/>
          <w:color w:val="000000" w:themeColor="text1"/>
          <w:szCs w:val="21"/>
        </w:rPr>
        <w:t>（2）</w:t>
      </w:r>
      <w:r>
        <w:rPr>
          <w:rFonts w:hint="eastAsia" w:ascii="宋体" w:hAnsi="宋体" w:eastAsia="宋体" w:cs="宋体"/>
          <w:color w:val="000000" w:themeColor="text1"/>
          <w:szCs w:val="21"/>
        </w:rPr>
        <w:t>服务商应按规定</w:t>
      </w:r>
      <w:r>
        <w:rPr>
          <w:rFonts w:hint="eastAsia" w:ascii="宋体" w:hAnsi="宋体" w:cs="宋体"/>
          <w:color w:val="FF0000"/>
          <w:szCs w:val="21"/>
          <w:lang w:eastAsia="zh-CN"/>
        </w:rPr>
        <w:t>签订劳动合同，</w:t>
      </w:r>
      <w:r>
        <w:rPr>
          <w:rFonts w:hint="eastAsia" w:ascii="宋体" w:hAnsi="宋体" w:eastAsia="宋体" w:cs="宋体"/>
          <w:color w:val="000000" w:themeColor="text1"/>
          <w:szCs w:val="21"/>
        </w:rPr>
        <w:t>支付坐席人员工资薪金、五险一金、伙食补助、防暑降温、加班补助、过节费等，坐席人员工资水平应符合相关法律法规规定，</w:t>
      </w:r>
      <w:r>
        <w:rPr>
          <w:rFonts w:hint="eastAsia" w:ascii="宋体" w:hAnsi="宋体" w:cs="宋体"/>
          <w:color w:val="000000" w:themeColor="text1"/>
          <w:szCs w:val="21"/>
        </w:rPr>
        <w:t>参照同行业水平计算标准，</w:t>
      </w:r>
      <w:r>
        <w:rPr>
          <w:rFonts w:hint="eastAsia" w:ascii="宋体" w:hAnsi="宋体" w:cs="宋体"/>
          <w:color w:val="FF0000"/>
          <w:szCs w:val="21"/>
        </w:rPr>
        <w:t>用于坐席人员的劳务报酬总额占合同总价的比例、用于教育培训费用总额占合同总价的比例必须按照中标人投标文件中所承诺的比例执行。</w:t>
      </w:r>
      <w:r>
        <w:rPr>
          <w:rFonts w:hint="eastAsia" w:ascii="宋体" w:hAnsi="宋体" w:cs="宋体"/>
          <w:color w:val="FF0000"/>
          <w:szCs w:val="21"/>
          <w:lang w:eastAsia="zh-CN"/>
        </w:rPr>
        <w:t>劳动合同提供给采购方备存。</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对从国家税务总局莆田市税务局12366现有人员中选用坐席和管理人员，承诺其工薪和待遇水平不低于原有水平。</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国家税务总局莆田市税务局</w:t>
      </w:r>
      <w:r>
        <w:rPr>
          <w:rFonts w:hint="eastAsia" w:ascii="宋体" w:hAnsi="宋体" w:cs="宋体"/>
          <w:color w:val="000000" w:themeColor="text1"/>
          <w:szCs w:val="21"/>
          <w:lang w:eastAsia="zh-CN"/>
        </w:rPr>
        <w:t>纳税服务中心（税收宣传中心）</w:t>
      </w:r>
      <w:r>
        <w:rPr>
          <w:rFonts w:hint="eastAsia" w:ascii="宋体" w:hAnsi="宋体" w:cs="宋体"/>
          <w:color w:val="000000" w:themeColor="text1"/>
          <w:szCs w:val="21"/>
        </w:rPr>
        <w:t>有权掌握和督促落实中标人支付坐席人员的劳务报酬和教育培训费用支出情况。</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（3）采购人对以下情形，有提出撤换人员的权利。中标人应按采购人要求进行撤换，并在采购人指定时间内完成。</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一是对于连续三个月考核成绩位于服务外包人员考核成绩中倒数第一名的；</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二是违反莆田市税务局机关管理和12366管理规定，拒不接受教育、改正的；</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三是严重影响税务形象，被有关部门通报的；</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四是在一个工作年度内，被投诉三次以上的（含三次）；</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五是经过岗前测试不合格、补考后仍旧不符合岗位要求的；</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六是因个人身体原因，不适合服务外包岗位的。</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七是其它影响工作的情形。</w:t>
      </w:r>
    </w:p>
    <w:p>
      <w:pPr>
        <w:tabs>
          <w:tab w:val="left" w:pos="525"/>
          <w:tab w:val="left" w:pos="737"/>
        </w:tabs>
        <w:snapToGrid w:val="0"/>
        <w:spacing w:line="600" w:lineRule="exact"/>
        <w:ind w:firstLine="316" w:firstLineChars="150"/>
        <w:rPr>
          <w:rFonts w:ascii="宋体" w:hAnsi="宋体" w:cs="宋体"/>
          <w:b/>
          <w:color w:val="000000" w:themeColor="text1"/>
          <w:szCs w:val="21"/>
        </w:rPr>
      </w:pPr>
      <w:r>
        <w:rPr>
          <w:rFonts w:hint="eastAsia" w:ascii="宋体" w:hAnsi="宋体" w:cs="宋体"/>
          <w:b/>
          <w:color w:val="000000" w:themeColor="text1"/>
          <w:szCs w:val="21"/>
        </w:rPr>
        <w:t>（三）设备要求</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中标人必需提供必要的工作设备，包括工作电脑、打印机等。</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1.工作电脑（要求为品牌机）</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共配置1</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 xml:space="preserve">台工作电脑， </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工作电脑参考配置为：CPU:i5-7400的 m版或hq版；内存:8GB DDR4 2400；硬盘：1TB SATA 7200rpm；集成声卡；显卡: intel GT710 2G DDR3 独立显卡；光驱：DVDRW；主板: intel B250；显示器：21.5 LED液晶；键鼠：USB键鼠；系统：win7旗舰版或专业版；支持</w:t>
      </w:r>
      <w:r>
        <w:rPr>
          <w:rFonts w:ascii="宋体" w:hAnsi="宋体" w:cs="宋体"/>
          <w:color w:val="000000" w:themeColor="text1"/>
          <w:szCs w:val="21"/>
        </w:rPr>
        <w:t>I</w:t>
      </w:r>
      <w:r>
        <w:rPr>
          <w:rFonts w:hint="eastAsia" w:ascii="宋体" w:hAnsi="宋体" w:cs="宋体"/>
          <w:color w:val="000000" w:themeColor="text1"/>
          <w:szCs w:val="21"/>
        </w:rPr>
        <w:t>e8。</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由于12366热线系统为国家税务总局统一开发部署于税务专网的应用系统，若今后国家税务总局明确要求工作电脑必须为信创版，则服务商必须无条件遵从，予以更换。</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2.打印机</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共配置激光黑白双面打印机2台，兼容Windows 2000/XP Home/XP Professional/Server 2003/Vista系统；首页输出时间≤8秒，月打印负荷50000页；打印速度（A4）黑白：≥33ppm；打印接口（接口必须内置，不可外接转换接口）。</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 xml:space="preserve"> 3.维护和响应</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中标人需对工作电脑和打印机进行维护和响应，保证设备的稳定和服务不间断，工作电脑的可用率不低于95%，对于故障设备的更换，时间不超过7天。</w:t>
      </w:r>
    </w:p>
    <w:p>
      <w:pPr>
        <w:tabs>
          <w:tab w:val="left" w:pos="525"/>
          <w:tab w:val="left" w:pos="737"/>
        </w:tabs>
        <w:snapToGrid w:val="0"/>
        <w:spacing w:line="600" w:lineRule="exact"/>
        <w:ind w:firstLine="413" w:firstLineChars="196"/>
        <w:rPr>
          <w:rFonts w:ascii="宋体" w:hAnsi="宋体" w:cs="宋体"/>
          <w:color w:val="000000" w:themeColor="text1"/>
          <w:szCs w:val="21"/>
        </w:rPr>
      </w:pPr>
      <w:r>
        <w:rPr>
          <w:rFonts w:hint="eastAsia" w:ascii="宋体" w:hAnsi="宋体" w:cs="宋体"/>
          <w:b/>
          <w:color w:val="000000" w:themeColor="text1"/>
          <w:szCs w:val="21"/>
        </w:rPr>
        <w:t>（四）工作环境维护</w:t>
      </w:r>
    </w:p>
    <w:p>
      <w:pPr>
        <w:tabs>
          <w:tab w:val="left" w:pos="525"/>
          <w:tab w:val="left" w:pos="737"/>
        </w:tabs>
        <w:snapToGrid w:val="0"/>
        <w:spacing w:line="6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中标人需负责工作环境的维护，保持工作场地整洁、卫生，配备保洁人员并承担相应的保洁费用。</w:t>
      </w:r>
    </w:p>
    <w:p>
      <w:pPr>
        <w:tabs>
          <w:tab w:val="left" w:pos="525"/>
          <w:tab w:val="left" w:pos="737"/>
        </w:tabs>
        <w:snapToGrid w:val="0"/>
        <w:spacing w:line="600" w:lineRule="exact"/>
        <w:ind w:firstLine="316" w:firstLineChars="150"/>
        <w:rPr>
          <w:rFonts w:ascii="宋体" w:hAnsi="宋体" w:cs="宋体"/>
          <w:b/>
          <w:color w:val="000000" w:themeColor="text1"/>
          <w:szCs w:val="21"/>
        </w:rPr>
      </w:pPr>
      <w:r>
        <w:rPr>
          <w:rFonts w:hint="eastAsia" w:ascii="宋体" w:hAnsi="宋体" w:cs="宋体"/>
          <w:b/>
          <w:color w:val="000000" w:themeColor="text1"/>
          <w:szCs w:val="21"/>
        </w:rPr>
        <w:t>（五）统一着装要求</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服务外包人员（包括管理人员）上岗时应统一着装税务制服，包括夏装短袖、夏装衬衫、春秋装和冬装。服装的颜色款式和质量要求可以咨询制服生产厂商。</w:t>
      </w:r>
    </w:p>
    <w:p>
      <w:pPr>
        <w:tabs>
          <w:tab w:val="left" w:pos="525"/>
          <w:tab w:val="left" w:pos="737"/>
        </w:tabs>
        <w:snapToGrid w:val="0"/>
        <w:spacing w:line="600" w:lineRule="exact"/>
        <w:ind w:firstLine="316" w:firstLineChars="150"/>
        <w:rPr>
          <w:rFonts w:hint="eastAsia" w:ascii="宋体" w:hAnsi="宋体" w:cs="宋体"/>
          <w:b/>
          <w:color w:val="000000" w:themeColor="text1"/>
          <w:szCs w:val="21"/>
        </w:rPr>
      </w:pPr>
      <w:r>
        <w:rPr>
          <w:rFonts w:hint="eastAsia" w:ascii="宋体" w:hAnsi="宋体" w:cs="宋体"/>
          <w:b/>
          <w:color w:val="000000" w:themeColor="text1"/>
          <w:szCs w:val="21"/>
        </w:rPr>
        <w:t>（</w:t>
      </w:r>
      <w:r>
        <w:rPr>
          <w:rFonts w:hint="eastAsia" w:ascii="宋体" w:hAnsi="宋体" w:cs="宋体"/>
          <w:b/>
          <w:color w:val="000000" w:themeColor="text1"/>
          <w:szCs w:val="21"/>
          <w:lang w:eastAsia="zh-CN"/>
        </w:rPr>
        <w:t>六</w:t>
      </w:r>
      <w:r>
        <w:rPr>
          <w:rFonts w:hint="eastAsia" w:ascii="宋体" w:hAnsi="宋体" w:cs="宋体"/>
          <w:b/>
          <w:color w:val="000000" w:themeColor="text1"/>
          <w:szCs w:val="21"/>
        </w:rPr>
        <w:t>）安全管理</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1.服务商应对管理人员和坐席加强网络安全管理，必须按照要求:（1）签订保密协议和网络安全承诺书；（2）进行网络安全和数据安全相关规定培训及警示教育；（3）服务商要保证员工背景符合要求。</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2.服务商未经采购人同意，不得访问、修改、披露、利用、转让、销毁税务数据，并严格按照个人信息保护和数据安全相关法律和制度要求，履行责任义务，切实加强个人信息保护。</w:t>
      </w:r>
    </w:p>
    <w:p>
      <w:pPr>
        <w:tabs>
          <w:tab w:val="left" w:pos="525"/>
          <w:tab w:val="left" w:pos="737"/>
        </w:tabs>
        <w:snapToGrid w:val="0"/>
        <w:spacing w:line="6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3.严格区分内外网，严禁接入过互联网的终端接入税务内网。为保证安全，在服务期间，服务商的所有终端必须经过采购人安全处置后方可使用，并履行报备手续，严禁私自接入相关网络及设备。在服务期及服务期结束后的1个月内不得带离办公地点。采购人有权对终端的安全设置进行检查和加固，终端离场时需要经采购人审批，由采购人对硬盘进行格式化或对使用过的硬盘进行拆卸并封存，服务商不得拒绝。</w:t>
      </w:r>
    </w:p>
    <w:p>
      <w:pPr>
        <w:tabs>
          <w:tab w:val="left" w:pos="525"/>
          <w:tab w:val="left" w:pos="737"/>
        </w:tabs>
        <w:snapToGrid w:val="0"/>
        <w:spacing w:line="600" w:lineRule="exact"/>
        <w:ind w:firstLine="420" w:firstLineChars="200"/>
        <w:rPr>
          <w:color w:val="000000" w:themeColor="text1"/>
        </w:rPr>
      </w:pPr>
      <w:r>
        <w:rPr>
          <w:rFonts w:hint="eastAsia" w:ascii="宋体" w:hAnsi="宋体" w:cs="宋体"/>
          <w:color w:val="000000" w:themeColor="text1"/>
          <w:szCs w:val="21"/>
        </w:rPr>
        <w:t xml:space="preserve">4. 服务商要对坐席人员及管理人员投保人身意外险。坐席人员及管理人员在12366工作期间发生工伤、经济补偿、劳动纠纷等问题均由服务商承担。 </w:t>
      </w:r>
      <w:r>
        <w:rPr>
          <w:rFonts w:hint="eastAsia" w:ascii="宋体" w:hAnsi="宋体" w:eastAsia="宋体" w:cs="宋体"/>
          <w:color w:val="000000" w:themeColor="text1"/>
          <w:sz w:val="24"/>
          <w:szCs w:val="24"/>
        </w:rPr>
        <w:t xml:space="preserve">  </w:t>
      </w:r>
    </w:p>
    <w:p>
      <w:pPr>
        <w:tabs>
          <w:tab w:val="left" w:pos="525"/>
          <w:tab w:val="left" w:pos="737"/>
        </w:tabs>
        <w:snapToGrid w:val="0"/>
        <w:spacing w:line="600" w:lineRule="exact"/>
        <w:ind w:firstLine="420" w:firstLineChars="200"/>
        <w:rPr>
          <w:rFonts w:ascii="宋体" w:hAnsi="宋体" w:cs="宋体"/>
          <w:b/>
          <w:color w:val="000000" w:themeColor="text1"/>
          <w:szCs w:val="21"/>
        </w:rPr>
      </w:pPr>
      <w:r>
        <w:rPr>
          <w:rFonts w:hint="eastAsia" w:hAnsi="宋体" w:cs="宋体"/>
          <w:color w:val="000000" w:themeColor="text1"/>
        </w:rPr>
        <w:t>★</w:t>
      </w:r>
      <w:r>
        <w:rPr>
          <w:rFonts w:hint="eastAsia" w:ascii="宋体" w:hAnsi="宋体" w:cs="宋体"/>
          <w:b/>
          <w:color w:val="000000" w:themeColor="text1"/>
          <w:szCs w:val="21"/>
        </w:rPr>
        <w:t>三、运营管理</w:t>
      </w:r>
    </w:p>
    <w:p>
      <w:pPr>
        <w:tabs>
          <w:tab w:val="left" w:pos="525"/>
          <w:tab w:val="left" w:pos="737"/>
        </w:tabs>
        <w:snapToGrid w:val="0"/>
        <w:spacing w:line="600" w:lineRule="exact"/>
        <w:ind w:firstLine="373" w:firstLineChars="177"/>
        <w:rPr>
          <w:rFonts w:ascii="宋体" w:hAnsi="宋体" w:cs="宋体"/>
          <w:b/>
          <w:color w:val="000000" w:themeColor="text1"/>
          <w:szCs w:val="21"/>
        </w:rPr>
      </w:pPr>
      <w:r>
        <w:rPr>
          <w:rFonts w:hint="eastAsia" w:ascii="宋体" w:hAnsi="宋体" w:cs="宋体"/>
          <w:b/>
          <w:color w:val="000000" w:themeColor="text1"/>
          <w:szCs w:val="21"/>
        </w:rPr>
        <w:t>（一）中标人与采购人的沟通协调机制</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为保障本项目有效运作，中标人与采购人应建立有效的沟通机制。</w:t>
      </w:r>
    </w:p>
    <w:p>
      <w:pPr>
        <w:tabs>
          <w:tab w:val="left" w:pos="525"/>
          <w:tab w:val="left" w:pos="737"/>
        </w:tabs>
        <w:snapToGrid w:val="0"/>
        <w:spacing w:line="60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中标人每月须根据双方确定的要求，提供月度运营分析报告、薪酬支付情况、月度热点问题专题分析等运营分析材料给采购人，并根据运营的情况，及时发现存在的问题，提出完善和解决方案。中标人支付服务外包人员工资薪金、五险一金、伙食补助、防暑降温、加班补助执行标准等需事前报备国家税务总局莆田市税务局</w:t>
      </w:r>
      <w:r>
        <w:rPr>
          <w:rFonts w:hint="eastAsia" w:ascii="宋体" w:hAnsi="宋体" w:cs="宋体"/>
          <w:color w:val="000000" w:themeColor="text1"/>
          <w:szCs w:val="21"/>
          <w:lang w:eastAsia="zh-CN"/>
        </w:rPr>
        <w:t>纳税服务中心（税收宣传中心）</w:t>
      </w:r>
      <w:r>
        <w:rPr>
          <w:rFonts w:hint="eastAsia" w:ascii="宋体" w:hAnsi="宋体" w:cs="宋体"/>
          <w:color w:val="000000" w:themeColor="text1"/>
          <w:szCs w:val="21"/>
        </w:rPr>
        <w:t>。</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采购人对中标人的坐席忙闲情况、话务情况进行实时监控，对外包坐席实施实时监听及录音质检，调取中标人的各类话务统计报表等，中标人应当予以配合，并按时将资料准备好，随时接受采购人的查阅，避免事后准备的情况出现。</w:t>
      </w:r>
    </w:p>
    <w:p>
      <w:pPr>
        <w:tabs>
          <w:tab w:val="left" w:pos="525"/>
          <w:tab w:val="left" w:pos="737"/>
        </w:tabs>
        <w:snapToGrid w:val="0"/>
        <w:spacing w:line="600" w:lineRule="exact"/>
        <w:ind w:firstLine="373" w:firstLineChars="177"/>
        <w:rPr>
          <w:rFonts w:ascii="宋体" w:hAnsi="宋体" w:cs="宋体"/>
          <w:b/>
          <w:color w:val="000000" w:themeColor="text1"/>
          <w:szCs w:val="21"/>
        </w:rPr>
      </w:pPr>
      <w:r>
        <w:rPr>
          <w:rFonts w:hint="eastAsia" w:ascii="宋体" w:hAnsi="宋体" w:cs="宋体"/>
          <w:b/>
          <w:color w:val="000000" w:themeColor="text1"/>
          <w:szCs w:val="21"/>
        </w:rPr>
        <w:t>（二）工作流程</w:t>
      </w:r>
    </w:p>
    <w:p>
      <w:pPr>
        <w:tabs>
          <w:tab w:val="left" w:pos="525"/>
          <w:tab w:val="left" w:pos="737"/>
        </w:tabs>
        <w:snapToGrid w:val="0"/>
        <w:spacing w:line="600" w:lineRule="exact"/>
        <w:ind w:firstLine="474" w:firstLineChars="226"/>
        <w:rPr>
          <w:rFonts w:ascii="宋体" w:hAnsi="宋体" w:cs="宋体"/>
          <w:color w:val="000000" w:themeColor="text1"/>
          <w:szCs w:val="21"/>
        </w:rPr>
      </w:pPr>
      <w:r>
        <w:rPr>
          <w:rFonts w:hint="eastAsia" w:ascii="宋体" w:hAnsi="宋体" w:cs="宋体"/>
          <w:color w:val="000000" w:themeColor="text1"/>
          <w:szCs w:val="21"/>
        </w:rPr>
        <w:t>中标人在采购人的指导和要求下，以 12366 行业标准为基础，按照福建省税务局12366业务规范及流程操作。</w:t>
      </w:r>
    </w:p>
    <w:p>
      <w:pPr>
        <w:tabs>
          <w:tab w:val="left" w:pos="525"/>
          <w:tab w:val="left" w:pos="737"/>
        </w:tabs>
        <w:snapToGrid w:val="0"/>
        <w:spacing w:line="600" w:lineRule="exact"/>
        <w:ind w:firstLine="474" w:firstLineChars="226"/>
        <w:rPr>
          <w:rFonts w:ascii="宋体" w:hAnsi="宋体" w:cs="宋体"/>
          <w:color w:val="000000" w:themeColor="text1"/>
          <w:szCs w:val="21"/>
        </w:rPr>
      </w:pPr>
      <w:r>
        <w:rPr>
          <w:rFonts w:hint="eastAsia" w:ascii="宋体" w:hAnsi="宋体" w:cs="宋体"/>
          <w:color w:val="000000" w:themeColor="text1"/>
          <w:szCs w:val="21"/>
        </w:rPr>
        <w:t>纳税人以拨打电话、传真、留言或网上咨询的形式，呼叫 12366 中心。接到纳税人的呼叫后，坐席人员根据呼叫内容（涉税查询、咨询、投诉、举报、建议以及其他），予以相应的处理。对查询、咨询类的呼叫，坐席人员根据知识库、征管系统等支持系统信息给予解答，无法立即解决的复杂政策问题人工坐席可以先记录，通过派工单转给相应的后台管理人员，由后台人员在规定的时间转派相关部门处理，工单处理完毕后，反馈给12366 以人工呼叫的方式给纳税（缴费）人回复或直接反馈给纳税（缴费）人。对于投诉举报的呼叫，坐席人员应记录后转交给相应的部门处理，涉税违法举报转交给税务征管部门、稽查部门或者督察内审部门处理，投诉建议转交给纳税服务部门处理，税务机关及工作人员违纪举报由纪检部门处理；相关部门处理完毕后，通过 12366 将结果反馈给呼叫人或直接反馈给呼叫人。</w:t>
      </w:r>
    </w:p>
    <w:p>
      <w:pPr>
        <w:tabs>
          <w:tab w:val="left" w:pos="525"/>
          <w:tab w:val="left" w:pos="737"/>
        </w:tabs>
        <w:snapToGrid w:val="0"/>
        <w:spacing w:line="600" w:lineRule="exact"/>
        <w:ind w:firstLine="373" w:firstLineChars="177"/>
        <w:rPr>
          <w:rFonts w:ascii="宋体" w:hAnsi="宋体" w:cs="宋体"/>
          <w:b/>
          <w:color w:val="000000" w:themeColor="text1"/>
          <w:szCs w:val="21"/>
        </w:rPr>
      </w:pPr>
      <w:r>
        <w:rPr>
          <w:rFonts w:hint="eastAsia" w:ascii="宋体" w:hAnsi="宋体" w:cs="宋体"/>
          <w:b/>
          <w:color w:val="000000" w:themeColor="text1"/>
          <w:szCs w:val="21"/>
        </w:rPr>
        <w:t>（三）工作要求</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为了确保服务外包之后， 12366 对外提供的服务水平和服务质量能达到预期的目标，需要对中标人提供的服务行为进行规范，主要如下：</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1.中标人需配合采购人做好专项工作保障。对于税务局组织的视察、宣传、展示等重要专项工作，服务商应根据采购人要求提供人员支持与保障。</w:t>
      </w:r>
    </w:p>
    <w:p>
      <w:pPr>
        <w:tabs>
          <w:tab w:val="left" w:pos="525"/>
          <w:tab w:val="left" w:pos="737"/>
        </w:tabs>
        <w:snapToGrid w:val="0"/>
        <w:spacing w:line="600" w:lineRule="exact"/>
        <w:ind w:firstLine="474" w:firstLineChars="226"/>
        <w:rPr>
          <w:rFonts w:ascii="宋体" w:hAnsi="宋体" w:cs="宋体"/>
          <w:color w:val="000000" w:themeColor="text1"/>
          <w:szCs w:val="21"/>
        </w:rPr>
      </w:pPr>
      <w:r>
        <w:rPr>
          <w:rFonts w:hint="eastAsia" w:ascii="宋体" w:hAnsi="宋体" w:cs="宋体"/>
          <w:color w:val="000000" w:themeColor="text1"/>
          <w:szCs w:val="21"/>
        </w:rPr>
        <w:t>2.人工坐席和网络咨询在正常工作时间提供人工接听和网络咨询服务。</w:t>
      </w:r>
    </w:p>
    <w:p>
      <w:pPr>
        <w:tabs>
          <w:tab w:val="left" w:pos="525"/>
          <w:tab w:val="left" w:pos="737"/>
        </w:tabs>
        <w:snapToGrid w:val="0"/>
        <w:spacing w:line="600" w:lineRule="exact"/>
        <w:ind w:firstLine="474" w:firstLineChars="226"/>
        <w:rPr>
          <w:rFonts w:ascii="宋体" w:hAnsi="宋体" w:cs="宋体"/>
          <w:color w:val="000000" w:themeColor="text1"/>
          <w:szCs w:val="21"/>
        </w:rPr>
      </w:pPr>
      <w:r>
        <w:rPr>
          <w:rFonts w:hint="eastAsia" w:ascii="宋体" w:hAnsi="宋体" w:cs="宋体"/>
          <w:color w:val="000000" w:themeColor="text1"/>
          <w:szCs w:val="21"/>
        </w:rPr>
        <w:t>如因为税务总局、福建省税务局和莆田市税务局特别业务需求，需要临时在正常工作时间之外提供人工接听和网络在线服务的，由中标人通过排班调整等方式，安排人员提供人工接听和网络在线服务，不另外收费。</w:t>
      </w:r>
    </w:p>
    <w:p>
      <w:pPr>
        <w:tabs>
          <w:tab w:val="left" w:pos="525"/>
          <w:tab w:val="left" w:pos="737"/>
        </w:tabs>
        <w:snapToGrid w:val="0"/>
        <w:spacing w:line="600" w:lineRule="exact"/>
        <w:ind w:firstLine="474" w:firstLineChars="226"/>
        <w:rPr>
          <w:rFonts w:ascii="宋体" w:hAnsi="宋体" w:cs="宋体"/>
          <w:color w:val="000000" w:themeColor="text1"/>
          <w:szCs w:val="21"/>
        </w:rPr>
      </w:pPr>
      <w:r>
        <w:rPr>
          <w:rFonts w:hint="eastAsia" w:ascii="宋体" w:hAnsi="宋体" w:cs="宋体"/>
          <w:color w:val="000000" w:themeColor="text1"/>
          <w:szCs w:val="21"/>
        </w:rPr>
        <w:t>若确因特殊需求，需要中标人提供额外人工接听和网络在线服务而增加费用的，由采购人和中标人双方磋商确定。</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3. 中标人需配备具有</w:t>
      </w:r>
      <w:r>
        <w:rPr>
          <w:rFonts w:hint="eastAsia" w:ascii="宋体" w:hAnsi="宋体" w:cs="宋体"/>
          <w:color w:val="000000" w:themeColor="text1"/>
          <w:szCs w:val="21"/>
          <w:lang w:val="en-US" w:eastAsia="zh-CN"/>
        </w:rPr>
        <w:t>2020年1月1日以来2年（含）以上</w:t>
      </w:r>
      <w:r>
        <w:rPr>
          <w:rFonts w:hint="eastAsia" w:ascii="宋体" w:hAnsi="宋体" w:cs="宋体"/>
          <w:color w:val="000000" w:themeColor="text1"/>
          <w:szCs w:val="21"/>
        </w:rPr>
        <w:t>培训税务呼叫服务坐席工作经历的自有培训师资</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人（可由业务支持人员兼任）。</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4.中标人应严格要求服务外包人员遵守国家税务总局莆田市税务局机关和12366各项管理规定，包括保密制度、门禁制度、信息安全管理规定、环境卫生制度及12366运行管理制度规定等。</w:t>
      </w:r>
    </w:p>
    <w:p>
      <w:pPr>
        <w:tabs>
          <w:tab w:val="left" w:pos="525"/>
          <w:tab w:val="left" w:pos="737"/>
        </w:tabs>
        <w:snapToGrid w:val="0"/>
        <w:spacing w:line="600" w:lineRule="exact"/>
        <w:ind w:firstLine="373" w:firstLineChars="177"/>
        <w:rPr>
          <w:rFonts w:hint="eastAsia" w:ascii="宋体" w:hAnsi="宋体" w:cs="宋体"/>
          <w:color w:val="000000" w:themeColor="text1"/>
          <w:szCs w:val="21"/>
        </w:rPr>
      </w:pPr>
      <w:r>
        <w:rPr>
          <w:rFonts w:hint="eastAsia" w:ascii="宋体" w:hAnsi="宋体" w:cs="宋体"/>
          <w:b/>
          <w:color w:val="000000" w:themeColor="text1"/>
          <w:szCs w:val="21"/>
        </w:rPr>
        <w:t>（四）运营质量要求</w:t>
      </w:r>
      <w:r>
        <w:rPr>
          <w:rFonts w:hint="eastAsia" w:ascii="宋体" w:hAnsi="宋体" w:cs="宋体"/>
          <w:color w:val="000000" w:themeColor="text1"/>
          <w:szCs w:val="21"/>
        </w:rPr>
        <w:t>（以下运营质量要求根据中标人的具体承诺进行签订合同）</w:t>
      </w:r>
    </w:p>
    <w:p>
      <w:pPr>
        <w:tabs>
          <w:tab w:val="left" w:pos="525"/>
          <w:tab w:val="left" w:pos="737"/>
        </w:tabs>
        <w:snapToGrid w:val="0"/>
        <w:spacing w:line="560" w:lineRule="exact"/>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采购人将围绕人工接通率、</w:t>
      </w:r>
      <w:r>
        <w:rPr>
          <w:rFonts w:hint="eastAsia" w:ascii="宋体" w:hAnsi="宋体" w:eastAsia="宋体" w:cs="宋体"/>
          <w:color w:val="000000" w:themeColor="text1"/>
          <w:szCs w:val="21"/>
          <w:lang w:eastAsia="zh-CN"/>
        </w:rPr>
        <w:t>平均</w:t>
      </w:r>
      <w:r>
        <w:rPr>
          <w:rFonts w:hint="eastAsia" w:ascii="宋体" w:hAnsi="宋体" w:eastAsia="宋体" w:cs="宋体"/>
          <w:color w:val="000000" w:themeColor="text1"/>
          <w:szCs w:val="21"/>
        </w:rPr>
        <w:t>等待时长、即时答复率、服务满意率、解答</w:t>
      </w:r>
      <w:r>
        <w:rPr>
          <w:rFonts w:hint="eastAsia" w:ascii="宋体" w:hAnsi="宋体" w:eastAsia="宋体" w:cs="宋体"/>
          <w:color w:val="000000" w:themeColor="text1"/>
          <w:szCs w:val="21"/>
          <w:lang w:eastAsia="zh-CN"/>
        </w:rPr>
        <w:t>质量</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业务培训、</w:t>
      </w:r>
      <w:r>
        <w:rPr>
          <w:rFonts w:hint="eastAsia" w:ascii="宋体" w:hAnsi="宋体" w:eastAsia="宋体" w:cs="宋体"/>
          <w:color w:val="000000" w:themeColor="text1"/>
          <w:szCs w:val="21"/>
        </w:rPr>
        <w:t>业务测试通过率、服务投诉等指标，按</w:t>
      </w:r>
      <w:r>
        <w:rPr>
          <w:rFonts w:hint="eastAsia" w:ascii="宋体" w:hAnsi="宋体" w:eastAsia="宋体" w:cs="宋体"/>
          <w:color w:val="000000" w:themeColor="text1"/>
          <w:szCs w:val="21"/>
          <w:lang w:eastAsia="zh-CN"/>
        </w:rPr>
        <w:t>季</w:t>
      </w:r>
      <w:r>
        <w:rPr>
          <w:rFonts w:hint="eastAsia" w:ascii="宋体" w:hAnsi="宋体" w:eastAsia="宋体" w:cs="宋体"/>
          <w:color w:val="000000" w:themeColor="text1"/>
          <w:szCs w:val="21"/>
        </w:rPr>
        <w:t>对中标人进行考核，如福建省税务局、市政府等上级部门对市局的工作要求发生变化的，考核内容和要求将结合采购人实际工作情况予以调整。如因采购人原因或其他不可抗力因素影响服务商服务质效的，不计入绩效考核。</w:t>
      </w:r>
    </w:p>
    <w:p>
      <w:pPr>
        <w:spacing w:line="560" w:lineRule="exact"/>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指标说明：1.人工接通率是指当季人工接听量与转接人工量的比率；2.</w:t>
      </w:r>
      <w:r>
        <w:rPr>
          <w:rFonts w:hint="eastAsia" w:ascii="宋体" w:hAnsi="宋体" w:eastAsia="宋体" w:cs="宋体"/>
          <w:color w:val="000000" w:themeColor="text1"/>
          <w:szCs w:val="21"/>
          <w:lang w:eastAsia="zh-CN"/>
        </w:rPr>
        <w:t>平均</w:t>
      </w:r>
      <w:r>
        <w:rPr>
          <w:rFonts w:hint="eastAsia" w:ascii="宋体" w:hAnsi="宋体" w:eastAsia="宋体" w:cs="宋体"/>
          <w:color w:val="000000" w:themeColor="text1"/>
          <w:szCs w:val="21"/>
        </w:rPr>
        <w:t>等待时长是指当季人工接听的总等待时长与当季人工接听量的比，其中等待时长是指纳税人缴费人选择转人工后至自动语音播报坐席工号前的时长。3.即时答复率。指当季12366坐席当场答复纳税人缴费人并办结的比率；咨询类总量是指当季业务类别为咨询的人工语音服务量；直接办结数量是指当季咨询类总量中小结类型选择直接办结的数量。4.服务满意率。由当季“好差评”推送率和当季答复好评率组成，“好差评”推送率是指当季热线推送“好差评”评价的数量与人工接听及外呼的业务记录数量的比率；答复好评率是指当季热线纳税人缴费人“好评”的数量与热线推送“好差评”评价的数量的比率。5.解答</w:t>
      </w:r>
      <w:r>
        <w:rPr>
          <w:rFonts w:hint="eastAsia" w:ascii="宋体" w:hAnsi="宋体" w:eastAsia="宋体" w:cs="宋体"/>
          <w:color w:val="000000" w:themeColor="text1"/>
          <w:szCs w:val="21"/>
          <w:lang w:eastAsia="zh-CN"/>
        </w:rPr>
        <w:t>质量</w:t>
      </w:r>
      <w:r>
        <w:rPr>
          <w:rFonts w:hint="eastAsia" w:ascii="宋体" w:hAnsi="宋体" w:eastAsia="宋体" w:cs="宋体"/>
          <w:color w:val="000000" w:themeColor="text1"/>
          <w:szCs w:val="21"/>
        </w:rPr>
        <w:t>。由总局解答质量得分和省局解答质量得分组成，总局解答质量得分以税务总局通报为准；省局解答质量得分以当季省局质量监控（形式不限）测评得分为准。6.业务测试通过率。指通过业务测试的坐席人数占应参加业务测试坐席总数的比例，主要考评坐席人员是否掌握应知应会的税（费）知识。其中老坐席是指上线时间达到6个月(含本数）的坐席，新坐席是指上线时间未达6个月的坐席。业务测试按月组织。7.业务培训。要求服务商对坐席每月开展4次（含 ）以上专项培训，4次（含 ）以上分组培训（其中不少于2次服务规范培训），服务商每月制定培训方案和情况记录并向采购人报备。</w:t>
      </w:r>
      <w:r>
        <w:rPr>
          <w:rFonts w:hint="eastAsia" w:ascii="宋体" w:hAnsi="宋体" w:eastAsia="宋体" w:cs="宋体"/>
          <w:color w:val="000000" w:themeColor="text1"/>
          <w:szCs w:val="21"/>
          <w:lang w:val="en-US" w:eastAsia="zh-CN"/>
        </w:rPr>
        <w:t>8.</w:t>
      </w:r>
      <w:r>
        <w:rPr>
          <w:rFonts w:hint="eastAsia" w:ascii="宋体" w:hAnsi="宋体" w:eastAsia="宋体" w:cs="宋体"/>
          <w:color w:val="000000" w:themeColor="text1"/>
          <w:szCs w:val="21"/>
        </w:rPr>
        <w:t>服务投诉。指纳税人缴费人当季通过各类渠道对话务坐席服务质量的投诉，经调查属实的。若当季存在投诉属实且造成严重后果或恶劣影响的该指标不得分，严重后果及恶劣影响由采购方根据实际情况予以评估。</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1.人工接通率：人工接通率不低于9</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%（含）；</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平均</w:t>
      </w:r>
      <w:r>
        <w:rPr>
          <w:rFonts w:hint="eastAsia" w:ascii="宋体" w:hAnsi="宋体" w:cs="宋体"/>
          <w:color w:val="000000" w:themeColor="text1"/>
          <w:szCs w:val="21"/>
        </w:rPr>
        <w:t>等待时长：平均等待时长不高于30秒；</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3.即时答复率：咨询即时答复率不低于90%（含）；</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4.服务满意率：“好差评”推送率达全省热线当季平均值，答复好评率达到99%（含）以上；</w:t>
      </w:r>
    </w:p>
    <w:p>
      <w:pPr>
        <w:tabs>
          <w:tab w:val="left" w:pos="525"/>
          <w:tab w:val="left" w:pos="737"/>
        </w:tabs>
        <w:snapToGrid w:val="0"/>
        <w:spacing w:line="600" w:lineRule="exact"/>
        <w:ind w:firstLine="474" w:firstLineChars="226"/>
        <w:rPr>
          <w:rFonts w:hint="eastAsia"/>
          <w:color w:val="000000" w:themeColor="text1"/>
        </w:rPr>
      </w:pPr>
      <w:r>
        <w:rPr>
          <w:rFonts w:hint="eastAsia" w:ascii="宋体" w:hAnsi="宋体" w:cs="宋体"/>
          <w:color w:val="000000" w:themeColor="text1"/>
          <w:szCs w:val="21"/>
        </w:rPr>
        <w:t>5.</w:t>
      </w:r>
      <w:r>
        <w:rPr>
          <w:rFonts w:hint="eastAsia" w:ascii="宋体" w:hAnsi="宋体" w:cs="宋体"/>
          <w:color w:val="000000" w:themeColor="text1"/>
          <w:szCs w:val="21"/>
          <w:lang w:eastAsia="zh-CN"/>
        </w:rPr>
        <w:t>解答质量</w:t>
      </w:r>
      <w:r>
        <w:rPr>
          <w:rFonts w:hint="eastAsia" w:ascii="宋体" w:hAnsi="宋体" w:cs="宋体"/>
          <w:color w:val="000000" w:themeColor="text1"/>
          <w:szCs w:val="21"/>
        </w:rPr>
        <w:t>：平均9</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分（含）以上；</w:t>
      </w:r>
    </w:p>
    <w:p>
      <w:pPr>
        <w:tabs>
          <w:tab w:val="left" w:pos="525"/>
          <w:tab w:val="left" w:pos="737"/>
        </w:tabs>
        <w:snapToGrid w:val="0"/>
        <w:spacing w:line="600" w:lineRule="exact"/>
        <w:ind w:firstLine="474" w:firstLineChars="226"/>
        <w:rPr>
          <w:rFonts w:hint="eastAsia" w:ascii="宋体" w:hAnsi="宋体" w:eastAsia="宋体" w:cs="宋体"/>
          <w:color w:val="000000" w:themeColor="text1"/>
          <w:szCs w:val="21"/>
        </w:rPr>
      </w:pPr>
      <w:r>
        <w:rPr>
          <w:rFonts w:hint="eastAsia" w:ascii="宋体" w:hAnsi="宋体" w:eastAsia="宋体" w:cs="宋体"/>
          <w:color w:val="000000" w:themeColor="text1"/>
          <w:szCs w:val="21"/>
        </w:rPr>
        <w:t>6.业务测试通过率：业务测试通过率不低于90%；</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eastAsia="宋体" w:cs="宋体"/>
          <w:color w:val="000000" w:themeColor="text1"/>
          <w:szCs w:val="21"/>
        </w:rPr>
        <w:t>7.</w:t>
      </w:r>
      <w:r>
        <w:rPr>
          <w:rFonts w:hint="eastAsia" w:ascii="宋体" w:hAnsi="宋体" w:eastAsia="宋体" w:cs="宋体"/>
          <w:color w:val="000000" w:themeColor="text1"/>
          <w:szCs w:val="21"/>
          <w:lang w:eastAsia="zh-CN"/>
        </w:rPr>
        <w:t>业务培训</w:t>
      </w:r>
      <w:r>
        <w:rPr>
          <w:rFonts w:hint="eastAsia" w:ascii="宋体" w:hAnsi="宋体" w:cs="宋体"/>
          <w:color w:val="000000" w:themeColor="text1"/>
          <w:szCs w:val="21"/>
          <w:lang w:eastAsia="zh-CN"/>
        </w:rPr>
        <w:t>：</w:t>
      </w:r>
      <w:r>
        <w:rPr>
          <w:rFonts w:hint="eastAsia" w:ascii="宋体" w:hAnsi="宋体" w:eastAsia="宋体" w:cs="宋体"/>
          <w:color w:val="000000" w:themeColor="text1"/>
          <w:szCs w:val="21"/>
          <w:lang w:eastAsia="zh-CN"/>
        </w:rPr>
        <w:t>要求服务商对坐席每月开展4次（含 ）以上专项培训，4次（含 ）以上分组培训（其中不少于2次服务规范培训）；</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8.服务投诉：对服务外包人员的服务投诉，月均不得超过2次；</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上述8项指标为按</w:t>
      </w:r>
      <w:r>
        <w:rPr>
          <w:rFonts w:hint="eastAsia" w:ascii="宋体" w:hAnsi="宋体" w:cs="宋体"/>
          <w:color w:val="000000" w:themeColor="text1"/>
          <w:szCs w:val="21"/>
          <w:lang w:eastAsia="zh-CN"/>
        </w:rPr>
        <w:t>季度考核</w:t>
      </w:r>
      <w:r>
        <w:rPr>
          <w:rFonts w:hint="eastAsia" w:ascii="宋体" w:hAnsi="宋体" w:cs="宋体"/>
          <w:color w:val="000000" w:themeColor="text1"/>
          <w:szCs w:val="21"/>
        </w:rPr>
        <w:t>运营质量要求，如省局对12366热线绩效考核、纳税人满意度调查等要求发生变化的，将结合</w:t>
      </w:r>
      <w:r>
        <w:rPr>
          <w:rFonts w:hint="eastAsia" w:ascii="宋体" w:hAnsi="宋体" w:cs="宋体"/>
          <w:color w:val="000000" w:themeColor="text1"/>
          <w:szCs w:val="21"/>
          <w:lang w:eastAsia="zh-CN"/>
        </w:rPr>
        <w:t>莆田</w:t>
      </w:r>
      <w:r>
        <w:rPr>
          <w:rFonts w:hint="eastAsia" w:ascii="宋体" w:hAnsi="宋体" w:cs="宋体"/>
          <w:color w:val="000000" w:themeColor="text1"/>
          <w:szCs w:val="21"/>
        </w:rPr>
        <w:t>12366热线实际工作情况予以动态调整。</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9.员工的稳定性：合同期每年员工流失率不得高于中标人在投标文件中所承诺的相应比例；</w:t>
      </w:r>
    </w:p>
    <w:p>
      <w:pPr>
        <w:tabs>
          <w:tab w:val="left" w:pos="525"/>
          <w:tab w:val="left" w:pos="737"/>
        </w:tabs>
        <w:snapToGrid w:val="0"/>
        <w:spacing w:line="600" w:lineRule="exact"/>
        <w:ind w:firstLine="474" w:firstLineChars="226"/>
        <w:rPr>
          <w:rFonts w:hint="eastAsia"/>
          <w:color w:val="000000" w:themeColor="text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中标人需制定坐席人员的话务质检方案，配备20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年1月1日以来有从事税务呼叫中心话务质检2年以上的质检工作经历的人员</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人（含）以上（可由业务支持人员兼任），且每月抽取监听有效样本总量不得低于中标人在投标文件中所承诺人工服务总量的相应比例。</w:t>
      </w:r>
    </w:p>
    <w:p>
      <w:pPr>
        <w:tabs>
          <w:tab w:val="left" w:pos="525"/>
          <w:tab w:val="left" w:pos="737"/>
        </w:tabs>
        <w:snapToGrid w:val="0"/>
        <w:spacing w:line="600" w:lineRule="exact"/>
        <w:ind w:firstLine="474" w:firstLineChars="226"/>
        <w:rPr>
          <w:rFonts w:hint="eastAsia"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.人工坐席和网络咨询的正常工作时间为工作日8:30-17:30；若因税务总局、福建省税务局以及</w:t>
      </w:r>
      <w:r>
        <w:rPr>
          <w:rFonts w:hint="eastAsia" w:ascii="宋体" w:hAnsi="宋体" w:cs="宋体"/>
          <w:color w:val="000000" w:themeColor="text1"/>
          <w:szCs w:val="21"/>
          <w:lang w:eastAsia="zh-CN"/>
        </w:rPr>
        <w:t>莆田</w:t>
      </w:r>
      <w:r>
        <w:rPr>
          <w:rFonts w:hint="eastAsia" w:ascii="宋体" w:hAnsi="宋体" w:cs="宋体"/>
          <w:color w:val="000000" w:themeColor="text1"/>
          <w:szCs w:val="21"/>
        </w:rPr>
        <w:t>市税务局临时性特殊工作需求，要在正常工作时间以外时间提供 12366 人工坐席和网络咨询的，中标人应积极配合，合理调整坐席排班并予以满足。</w:t>
      </w:r>
    </w:p>
    <w:p>
      <w:pPr>
        <w:tabs>
          <w:tab w:val="left" w:pos="525"/>
          <w:tab w:val="left" w:pos="737"/>
        </w:tabs>
        <w:snapToGrid w:val="0"/>
        <w:spacing w:line="600" w:lineRule="exact"/>
        <w:ind w:firstLine="373" w:firstLineChars="177"/>
        <w:rPr>
          <w:rFonts w:ascii="宋体" w:hAnsi="宋体" w:cs="宋体"/>
          <w:b/>
          <w:color w:val="000000" w:themeColor="text1"/>
          <w:szCs w:val="21"/>
        </w:rPr>
      </w:pPr>
      <w:r>
        <w:rPr>
          <w:rFonts w:hint="eastAsia" w:ascii="宋体" w:hAnsi="宋体" w:cs="宋体"/>
          <w:b/>
          <w:color w:val="000000" w:themeColor="text1"/>
          <w:szCs w:val="21"/>
        </w:rPr>
        <w:t>（五）服务期限</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采购期限为三年，一</w:t>
      </w:r>
      <w:r>
        <w:rPr>
          <w:rFonts w:hint="eastAsia" w:ascii="宋体" w:hAnsi="宋体"/>
          <w:color w:val="000000" w:themeColor="text1"/>
          <w:szCs w:val="21"/>
        </w:rPr>
        <w:t>年为</w:t>
      </w:r>
      <w:r>
        <w:rPr>
          <w:rFonts w:hint="eastAsia" w:ascii="宋体" w:hAnsi="宋体" w:cs="宋体"/>
          <w:color w:val="000000" w:themeColor="text1"/>
          <w:szCs w:val="21"/>
        </w:rPr>
        <w:t>一个服务期</w:t>
      </w:r>
      <w:r>
        <w:rPr>
          <w:rFonts w:hint="eastAsia" w:ascii="宋体" w:hAnsi="宋体"/>
          <w:color w:val="000000" w:themeColor="text1"/>
          <w:szCs w:val="21"/>
        </w:rPr>
        <w:t>，有权根据自身工作及考核情况决定是否续签次年合同</w:t>
      </w:r>
      <w:r>
        <w:rPr>
          <w:rFonts w:hint="eastAsia" w:ascii="宋体" w:hAnsi="宋体" w:cs="宋体"/>
          <w:color w:val="000000" w:themeColor="text1"/>
          <w:szCs w:val="21"/>
        </w:rPr>
        <w:t>。</w:t>
      </w:r>
    </w:p>
    <w:p>
      <w:pPr>
        <w:tabs>
          <w:tab w:val="left" w:pos="525"/>
          <w:tab w:val="left" w:pos="737"/>
        </w:tabs>
        <w:snapToGrid w:val="0"/>
        <w:spacing w:line="600" w:lineRule="exact"/>
        <w:ind w:firstLine="371" w:firstLineChars="177"/>
        <w:rPr>
          <w:rFonts w:hint="eastAsia" w:ascii="宋体" w:hAnsi="宋体" w:cs="宋体"/>
          <w:b/>
          <w:color w:val="000000" w:themeColor="text1"/>
          <w:szCs w:val="21"/>
        </w:rPr>
      </w:pPr>
      <w:r>
        <w:rPr>
          <w:rFonts w:hint="eastAsia" w:hAnsi="宋体" w:cs="宋体"/>
          <w:color w:val="000000" w:themeColor="text1"/>
        </w:rPr>
        <w:t>★</w:t>
      </w:r>
      <w:r>
        <w:rPr>
          <w:rFonts w:hint="eastAsia" w:ascii="宋体" w:hAnsi="宋体" w:cs="宋体"/>
          <w:b/>
          <w:color w:val="000000" w:themeColor="text1"/>
          <w:szCs w:val="21"/>
        </w:rPr>
        <w:t>四、考核内容</w:t>
      </w:r>
    </w:p>
    <w:p>
      <w:pPr>
        <w:pStyle w:val="2"/>
        <w:rPr>
          <w:color w:val="000000" w:themeColor="text1"/>
        </w:rPr>
      </w:pPr>
    </w:p>
    <w:p>
      <w:pPr>
        <w:numPr>
          <w:ilvl w:val="0"/>
          <w:numId w:val="1"/>
        </w:numPr>
        <w:tabs>
          <w:tab w:val="left" w:pos="525"/>
          <w:tab w:val="left" w:pos="737"/>
        </w:tabs>
        <w:snapToGrid w:val="0"/>
        <w:spacing w:line="276" w:lineRule="auto"/>
        <w:ind w:firstLine="373" w:firstLineChars="177"/>
        <w:rPr>
          <w:color w:val="000000" w:themeColor="text1"/>
        </w:rPr>
      </w:pPr>
      <w:r>
        <w:rPr>
          <w:rFonts w:hint="eastAsia" w:ascii="宋体" w:hAnsi="宋体" w:cs="宋体"/>
          <w:b/>
          <w:color w:val="000000" w:themeColor="text1"/>
          <w:sz w:val="21"/>
          <w:szCs w:val="21"/>
        </w:rPr>
        <w:t>考核指标及内容</w:t>
      </w:r>
    </w:p>
    <w:p>
      <w:pPr>
        <w:pStyle w:val="2"/>
        <w:widowControl w:val="0"/>
        <w:numPr>
          <w:ilvl w:val="0"/>
          <w:numId w:val="0"/>
        </w:numPr>
        <w:jc w:val="both"/>
        <w:rPr>
          <w:color w:val="000000" w:themeColor="text1"/>
        </w:rPr>
      </w:pPr>
    </w:p>
    <w:tbl>
      <w:tblPr>
        <w:tblStyle w:val="7"/>
        <w:tblW w:w="8969" w:type="dxa"/>
        <w:tblInd w:w="-72" w:type="dxa"/>
        <w:tblLayout w:type="fixed"/>
        <w:tblCellMar>
          <w:top w:w="0" w:type="dxa"/>
          <w:left w:w="108" w:type="dxa"/>
          <w:bottom w:w="0" w:type="dxa"/>
          <w:right w:w="108" w:type="dxa"/>
        </w:tblCellMar>
      </w:tblPr>
      <w:tblGrid>
        <w:gridCol w:w="1260"/>
        <w:gridCol w:w="720"/>
        <w:gridCol w:w="3870"/>
        <w:gridCol w:w="1276"/>
        <w:gridCol w:w="1843"/>
      </w:tblGrid>
      <w:tr>
        <w:tblPrEx>
          <w:tblCellMar>
            <w:top w:w="0" w:type="dxa"/>
            <w:left w:w="108" w:type="dxa"/>
            <w:bottom w:w="0" w:type="dxa"/>
            <w:right w:w="108" w:type="dxa"/>
          </w:tblCellMar>
        </w:tblPrEx>
        <w:trPr>
          <w:trHeight w:val="570"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指标名称</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分值</w:t>
            </w:r>
          </w:p>
        </w:tc>
        <w:tc>
          <w:tcPr>
            <w:tcW w:w="3870"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计算方法</w:t>
            </w:r>
          </w:p>
        </w:tc>
        <w:tc>
          <w:tcPr>
            <w:tcW w:w="1276"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目标区间值</w:t>
            </w:r>
          </w:p>
        </w:tc>
        <w:tc>
          <w:tcPr>
            <w:tcW w:w="1843"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考核细则</w:t>
            </w:r>
          </w:p>
        </w:tc>
      </w:tr>
      <w:tr>
        <w:tblPrEx>
          <w:tblCellMar>
            <w:top w:w="0" w:type="dxa"/>
            <w:left w:w="108" w:type="dxa"/>
            <w:bottom w:w="0" w:type="dxa"/>
            <w:right w:w="108" w:type="dxa"/>
          </w:tblCellMar>
        </w:tblPrEx>
        <w:trPr>
          <w:trHeight w:val="1425"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人工接通率</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人工接通率= 12366热线人工接听量÷12366热线转接人工量</w:t>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不低于</w:t>
            </w:r>
            <w:r>
              <w:rPr>
                <w:rFonts w:hint="eastAsia" w:ascii="宋体" w:hAnsi="宋体" w:cs="宋体"/>
                <w:color w:val="000000" w:themeColor="text1"/>
                <w:kern w:val="0"/>
                <w:sz w:val="21"/>
                <w:szCs w:val="21"/>
                <w:lang w:val="en-US" w:eastAsia="zh-CN"/>
              </w:rPr>
              <w:t>96</w:t>
            </w:r>
            <w:r>
              <w:rPr>
                <w:rFonts w:hint="eastAsia" w:ascii="宋体" w:hAnsi="宋体" w:eastAsia="宋体" w:cs="宋体"/>
                <w:color w:val="000000" w:themeColor="text1"/>
                <w:kern w:val="0"/>
                <w:sz w:val="21"/>
                <w:szCs w:val="21"/>
              </w:rPr>
              <w:t>%（含）</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人工接通率较目标值每下降 1%扣1分。扣完为止。 </w:t>
            </w:r>
          </w:p>
        </w:tc>
      </w:tr>
      <w:tr>
        <w:tblPrEx>
          <w:tblCellMar>
            <w:top w:w="0" w:type="dxa"/>
            <w:left w:w="108" w:type="dxa"/>
            <w:bottom w:w="0" w:type="dxa"/>
            <w:right w:w="108" w:type="dxa"/>
          </w:tblCellMar>
        </w:tblPrEx>
        <w:trPr>
          <w:trHeight w:val="855"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平均等待时长</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平均等待时长=人工接听的总等待时长/人工接听量</w:t>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平均不超过30秒</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平均等待时长较目标值每超过1 秒扣 1 分。扣完为止。</w:t>
            </w:r>
          </w:p>
        </w:tc>
      </w:tr>
      <w:tr>
        <w:tblPrEx>
          <w:tblCellMar>
            <w:top w:w="0" w:type="dxa"/>
            <w:left w:w="108" w:type="dxa"/>
            <w:bottom w:w="0" w:type="dxa"/>
            <w:right w:w="108" w:type="dxa"/>
          </w:tblCellMar>
        </w:tblPrEx>
        <w:trPr>
          <w:trHeight w:val="855"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即时答复率</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咨询即时答复率=（热线人工语音服务量中咨询类直接办结数量/热线人工语音服务量中咨询类总量）</w:t>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咨询即时答复率不低于90%（含）</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咨询即时答复率较目标区间值每下降1%，该指标分值扣1分。扣完为止。</w:t>
            </w:r>
          </w:p>
        </w:tc>
      </w:tr>
      <w:tr>
        <w:tblPrEx>
          <w:tblCellMar>
            <w:top w:w="0" w:type="dxa"/>
            <w:left w:w="108" w:type="dxa"/>
            <w:bottom w:w="0" w:type="dxa"/>
            <w:right w:w="108" w:type="dxa"/>
          </w:tblCellMar>
        </w:tblPrEx>
        <w:trPr>
          <w:trHeight w:val="1710"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服务满意率</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满意度推送率=（12366热线实际推送好差评评价的数量/应推送好差评调查数量） *100%               </w:t>
            </w:r>
          </w:p>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答复好评率=（12366热线纳税人评价为满意的数量÷12366热线实际推送好差评评价的数量）*100%。</w:t>
            </w:r>
          </w:p>
        </w:tc>
        <w:tc>
          <w:tcPr>
            <w:tcW w:w="1276" w:type="dxa"/>
            <w:tcBorders>
              <w:top w:val="nil"/>
              <w:left w:val="nil"/>
              <w:bottom w:val="single" w:color="auto" w:sz="4" w:space="0"/>
              <w:right w:val="single" w:color="auto" w:sz="4" w:space="0"/>
            </w:tcBorders>
            <w:noWrap/>
            <w:vAlign w:val="center"/>
          </w:tcPr>
          <w:p>
            <w:pPr>
              <w:widowControl/>
              <w:snapToGrid w:val="0"/>
              <w:spacing w:line="276" w:lineRule="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“好差评”推送率达全省热线当季平均值，答复好评率达到99%（含）以上</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 好差评推送率较目标值每下降2%扣1分；答复好评率较目标值每下降 1%扣 1 分。扣完为止。</w:t>
            </w:r>
          </w:p>
        </w:tc>
      </w:tr>
      <w:tr>
        <w:tblPrEx>
          <w:tblCellMar>
            <w:top w:w="0" w:type="dxa"/>
            <w:left w:w="108" w:type="dxa"/>
            <w:bottom w:w="0" w:type="dxa"/>
            <w:right w:w="108" w:type="dxa"/>
          </w:tblCellMar>
        </w:tblPrEx>
        <w:trPr>
          <w:trHeight w:val="1282"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解答质量</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cs="宋体"/>
                <w:color w:val="000000" w:themeColor="text1"/>
                <w:kern w:val="0"/>
                <w:sz w:val="21"/>
                <w:szCs w:val="21"/>
                <w:lang w:eastAsia="zh-CN"/>
              </w:rPr>
              <w:t>解答质量</w:t>
            </w:r>
            <w:r>
              <w:rPr>
                <w:rFonts w:hint="eastAsia" w:ascii="宋体" w:hAnsi="宋体" w:eastAsia="宋体" w:cs="宋体"/>
                <w:color w:val="000000" w:themeColor="text1"/>
                <w:kern w:val="0"/>
                <w:sz w:val="21"/>
                <w:szCs w:val="21"/>
              </w:rPr>
              <w:t>得分=咨询答复准确率得分+服务规范性得分+小结规范性得分</w:t>
            </w:r>
          </w:p>
          <w:p>
            <w:pPr>
              <w:widowControl/>
              <w:snapToGrid w:val="0"/>
              <w:spacing w:line="276" w:lineRule="auto"/>
              <w:jc w:val="left"/>
              <w:rPr>
                <w:rFonts w:hint="eastAsia" w:ascii="宋体" w:hAnsi="宋体" w:eastAsia="宋体" w:cs="宋体"/>
                <w:color w:val="000000" w:themeColor="text1"/>
                <w:kern w:val="0"/>
                <w:sz w:val="21"/>
                <w:szCs w:val="21"/>
              </w:rPr>
            </w:pPr>
          </w:p>
        </w:tc>
        <w:tc>
          <w:tcPr>
            <w:tcW w:w="1276" w:type="dxa"/>
            <w:tcBorders>
              <w:top w:val="nil"/>
              <w:left w:val="nil"/>
              <w:bottom w:val="single" w:color="auto" w:sz="4" w:space="0"/>
              <w:right w:val="single" w:color="auto" w:sz="4" w:space="0"/>
            </w:tcBorders>
            <w:vAlign w:val="center"/>
          </w:tcPr>
          <w:p>
            <w:pPr>
              <w:widowControl/>
              <w:snapToGrid w:val="0"/>
              <w:spacing w:line="276" w:lineRule="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平均90分（含）以上</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cs="宋体"/>
                <w:color w:val="000000" w:themeColor="text1"/>
                <w:kern w:val="0"/>
                <w:sz w:val="21"/>
                <w:szCs w:val="21"/>
                <w:lang w:eastAsia="zh-CN"/>
              </w:rPr>
              <w:t>解答质量</w:t>
            </w:r>
            <w:r>
              <w:rPr>
                <w:rFonts w:hint="eastAsia" w:ascii="宋体" w:hAnsi="宋体" w:eastAsia="宋体" w:cs="宋体"/>
                <w:color w:val="000000" w:themeColor="text1"/>
                <w:kern w:val="0"/>
                <w:sz w:val="21"/>
                <w:szCs w:val="21"/>
              </w:rPr>
              <w:t>得分较目标值每下降1分的扣2分。扣完为止。</w:t>
            </w:r>
          </w:p>
        </w:tc>
      </w:tr>
      <w:tr>
        <w:tblPrEx>
          <w:tblCellMar>
            <w:top w:w="0" w:type="dxa"/>
            <w:left w:w="108" w:type="dxa"/>
            <w:bottom w:w="0" w:type="dxa"/>
            <w:right w:w="108" w:type="dxa"/>
          </w:tblCellMar>
        </w:tblPrEx>
        <w:trPr>
          <w:trHeight w:val="570"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测试通过率</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 xml:space="preserve">业务测试通过率=（业务测试得分80分以上的老坐席总数+业务测试得分70分以上的新坐席总数）/应参加业务测试坐席总数*100% </w:t>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业务测试通过率不低于90%（含）</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业务测试通过率较目标值每下降5%扣1分。扣完为止。</w:t>
            </w:r>
          </w:p>
        </w:tc>
      </w:tr>
      <w:tr>
        <w:tblPrEx>
          <w:tblCellMar>
            <w:top w:w="0" w:type="dxa"/>
            <w:left w:w="108" w:type="dxa"/>
            <w:bottom w:w="0" w:type="dxa"/>
            <w:right w:w="108" w:type="dxa"/>
          </w:tblCellMar>
        </w:tblPrEx>
        <w:trPr>
          <w:trHeight w:val="570"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业务培训</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autoSpaceDE w:val="0"/>
              <w:autoSpaceDN w:val="0"/>
              <w:adjustRightInd w:val="0"/>
              <w:spacing w:line="400" w:lineRule="atLeast"/>
              <w:rPr>
                <w:rFonts w:hint="eastAsia" w:ascii="宋体" w:hAnsi="宋体" w:eastAsia="宋体" w:cs="宋体"/>
                <w:color w:val="000000" w:themeColor="text1"/>
                <w:kern w:val="0"/>
                <w:sz w:val="21"/>
                <w:szCs w:val="21"/>
              </w:rPr>
            </w:pPr>
            <w:r>
              <w:rPr>
                <w:rFonts w:hint="eastAsia" w:ascii="宋体" w:cs="宋体"/>
                <w:color w:val="000000" w:themeColor="text1"/>
                <w:spacing w:val="-2"/>
                <w:kern w:val="0"/>
                <w:szCs w:val="21"/>
                <w:lang w:val="zh-CN"/>
              </w:rPr>
              <w:t>每月不低于4次专项培训，不低于4次分组培训（其中不少于2次服务规范培训）且每月须制定培训方案和情况记录</w:t>
            </w:r>
          </w:p>
        </w:tc>
        <w:tc>
          <w:tcPr>
            <w:tcW w:w="1276" w:type="dxa"/>
            <w:tcBorders>
              <w:top w:val="nil"/>
              <w:left w:val="nil"/>
              <w:bottom w:val="single" w:color="auto" w:sz="4" w:space="0"/>
              <w:right w:val="single" w:color="auto" w:sz="4" w:space="0"/>
            </w:tcBorders>
            <w:vAlign w:val="center"/>
          </w:tcPr>
          <w:p>
            <w:pPr>
              <w:autoSpaceDE w:val="0"/>
              <w:autoSpaceDN w:val="0"/>
              <w:adjustRightInd w:val="0"/>
              <w:spacing w:line="400" w:lineRule="atLeast"/>
              <w:rPr>
                <w:rFonts w:hint="eastAsia" w:ascii="宋体" w:hAnsi="宋体" w:eastAsia="宋体" w:cs="宋体"/>
                <w:color w:val="000000" w:themeColor="text1"/>
                <w:kern w:val="0"/>
                <w:sz w:val="21"/>
                <w:szCs w:val="21"/>
              </w:rPr>
            </w:pPr>
            <w:r>
              <w:rPr>
                <w:rFonts w:hint="eastAsia" w:ascii="宋体" w:cs="宋体"/>
                <w:color w:val="000000" w:themeColor="text1"/>
                <w:spacing w:val="-2"/>
                <w:kern w:val="0"/>
                <w:szCs w:val="21"/>
                <w:lang w:val="zh-CN"/>
              </w:rPr>
              <w:t>月均专项培训和分组培训的培训次数不得低于投标文件所承诺的次数，且每月须制定培训方案和情况记录</w:t>
            </w:r>
          </w:p>
        </w:tc>
        <w:tc>
          <w:tcPr>
            <w:tcW w:w="1843" w:type="dxa"/>
            <w:tcBorders>
              <w:top w:val="nil"/>
              <w:left w:val="nil"/>
              <w:bottom w:val="single" w:color="auto" w:sz="4" w:space="0"/>
              <w:right w:val="single" w:color="auto" w:sz="4" w:space="0"/>
            </w:tcBorders>
            <w:vAlign w:val="center"/>
          </w:tcPr>
          <w:p>
            <w:pPr>
              <w:autoSpaceDE w:val="0"/>
              <w:autoSpaceDN w:val="0"/>
              <w:adjustRightInd w:val="0"/>
              <w:spacing w:line="400" w:lineRule="atLeast"/>
              <w:rPr>
                <w:rFonts w:hint="eastAsia" w:ascii="宋体" w:hAnsi="宋体" w:eastAsia="宋体" w:cs="宋体"/>
                <w:color w:val="000000" w:themeColor="text1"/>
                <w:kern w:val="0"/>
                <w:sz w:val="21"/>
                <w:szCs w:val="21"/>
              </w:rPr>
            </w:pPr>
            <w:r>
              <w:rPr>
                <w:rFonts w:hint="eastAsia" w:ascii="宋体" w:cs="宋体"/>
                <w:color w:val="000000" w:themeColor="text1"/>
                <w:spacing w:val="-2"/>
                <w:kern w:val="0"/>
                <w:szCs w:val="21"/>
                <w:lang w:val="zh-CN"/>
              </w:rPr>
              <w:t>每少一次培训扣0.5分，扣完为止。</w:t>
            </w:r>
          </w:p>
        </w:tc>
      </w:tr>
      <w:tr>
        <w:tblPrEx>
          <w:tblCellMar>
            <w:top w:w="0" w:type="dxa"/>
            <w:left w:w="108" w:type="dxa"/>
            <w:bottom w:w="0" w:type="dxa"/>
            <w:right w:w="108" w:type="dxa"/>
          </w:tblCellMar>
        </w:tblPrEx>
        <w:trPr>
          <w:trHeight w:val="570"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服务投诉</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纳税人通过热线、网站、邮箱等方式投诉，经调查属实的；</w:t>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每月累计不超过2次</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服务投诉超过目标值的，每次扣1分。扣完为止。造成严重后果或恶劣影响的该指标不得分</w:t>
            </w:r>
          </w:p>
        </w:tc>
      </w:tr>
      <w:tr>
        <w:tblPrEx>
          <w:tblCellMar>
            <w:top w:w="0" w:type="dxa"/>
            <w:left w:w="108" w:type="dxa"/>
            <w:bottom w:w="0" w:type="dxa"/>
            <w:right w:w="108" w:type="dxa"/>
          </w:tblCellMar>
        </w:tblPrEx>
        <w:trPr>
          <w:trHeight w:val="1140" w:hRule="atLeast"/>
        </w:trPr>
        <w:tc>
          <w:tcPr>
            <w:tcW w:w="1260" w:type="dxa"/>
            <w:tcBorders>
              <w:top w:val="nil"/>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员工稳定性</w:t>
            </w:r>
          </w:p>
        </w:tc>
        <w:tc>
          <w:tcPr>
            <w:tcW w:w="720" w:type="dxa"/>
            <w:tcBorders>
              <w:top w:val="nil"/>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单列考核</w:t>
            </w:r>
          </w:p>
        </w:tc>
        <w:tc>
          <w:tcPr>
            <w:tcW w:w="3870"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员工稳定性=1-员工流失率</w:t>
            </w:r>
          </w:p>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员工流失率=咨询员变动数（离职）/[（咨询员期初总数+咨询员期末总数）/2]</w:t>
            </w:r>
            <w:r>
              <w:rPr>
                <w:rFonts w:hint="eastAsia" w:ascii="宋体" w:hAnsi="宋体" w:eastAsia="宋体" w:cs="宋体"/>
                <w:color w:val="000000" w:themeColor="text1"/>
                <w:kern w:val="0"/>
                <w:sz w:val="21"/>
                <w:szCs w:val="21"/>
              </w:rPr>
              <w:tab/>
            </w:r>
            <w:r>
              <w:rPr>
                <w:rFonts w:hint="eastAsia" w:ascii="宋体" w:hAnsi="宋体" w:eastAsia="宋体" w:cs="宋体"/>
                <w:color w:val="000000" w:themeColor="text1"/>
                <w:kern w:val="0"/>
                <w:sz w:val="21"/>
                <w:szCs w:val="21"/>
              </w:rPr>
              <w:tab/>
            </w:r>
          </w:p>
        </w:tc>
        <w:tc>
          <w:tcPr>
            <w:tcW w:w="1276"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合同期每半年累计员工稳定性不低于中标人投标文件所承诺的比例</w:t>
            </w:r>
          </w:p>
        </w:tc>
        <w:tc>
          <w:tcPr>
            <w:tcW w:w="1843" w:type="dxa"/>
            <w:tcBorders>
              <w:top w:val="nil"/>
              <w:left w:val="nil"/>
              <w:bottom w:val="single" w:color="auto" w:sz="4" w:space="0"/>
              <w:right w:val="single" w:color="auto" w:sz="4" w:space="0"/>
            </w:tcBorders>
            <w:vAlign w:val="center"/>
          </w:tcPr>
          <w:p>
            <w:pPr>
              <w:widowControl/>
              <w:snapToGrid w:val="0"/>
              <w:spacing w:line="276" w:lineRule="auto"/>
              <w:jc w:val="left"/>
              <w:rPr>
                <w:rFonts w:hint="eastAsia" w:ascii="宋体" w:hAnsi="宋体" w:eastAsia="宋体" w:cs="宋体"/>
                <w:color w:val="000000" w:themeColor="text1"/>
                <w:kern w:val="0"/>
                <w:sz w:val="21"/>
                <w:szCs w:val="21"/>
              </w:rPr>
            </w:pPr>
          </w:p>
        </w:tc>
      </w:tr>
    </w:tbl>
    <w:p>
      <w:pPr>
        <w:tabs>
          <w:tab w:val="left" w:pos="525"/>
          <w:tab w:val="left" w:pos="737"/>
        </w:tabs>
        <w:snapToGrid w:val="0"/>
        <w:spacing w:line="276" w:lineRule="auto"/>
        <w:ind w:firstLine="420" w:firstLineChars="200"/>
        <w:rPr>
          <w:rFonts w:ascii="宋体" w:hAnsi="宋体" w:cs="宋体"/>
          <w:color w:val="000000" w:themeColor="text1"/>
          <w:sz w:val="24"/>
        </w:rPr>
      </w:pPr>
      <w:r>
        <w:rPr>
          <w:rFonts w:hint="eastAsia" w:ascii="宋体" w:hAnsi="宋体" w:eastAsia="宋体" w:cs="宋体"/>
          <w:color w:val="000000" w:themeColor="text1"/>
          <w:sz w:val="21"/>
          <w:szCs w:val="21"/>
        </w:rPr>
        <w:t>注：1、流失人员定义统计不含内部岗位调动人员和岗前培训期间离职人员</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在服务外包人员要求中第四条第三款所涉及的人员</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服务商根据其员工管理办法对不符合工作要求主动予以劝退（开除）的人员；2、接通率、</w:t>
      </w:r>
      <w:r>
        <w:rPr>
          <w:rFonts w:hint="eastAsia" w:ascii="宋体" w:hAnsi="宋体" w:eastAsia="宋体" w:cs="宋体"/>
          <w:color w:val="000000" w:themeColor="text1"/>
          <w:kern w:val="0"/>
          <w:sz w:val="21"/>
          <w:szCs w:val="21"/>
        </w:rPr>
        <w:t>平均</w:t>
      </w:r>
      <w:r>
        <w:rPr>
          <w:rFonts w:hint="eastAsia" w:ascii="宋体" w:hAnsi="宋体" w:eastAsia="宋体" w:cs="宋体"/>
          <w:color w:val="000000" w:themeColor="text1"/>
          <w:sz w:val="21"/>
          <w:szCs w:val="21"/>
        </w:rPr>
        <w:t>等待时长、服务满意率通过12366热线系统采集，分析计算；3.考核期内如遇临时增加系统类辅导咨询服务内容或其他不可抗力导致当期话务量大量增长，则当月数据可不计入语音等待时长考核指标。</w:t>
      </w:r>
    </w:p>
    <w:p>
      <w:pPr>
        <w:tabs>
          <w:tab w:val="left" w:pos="525"/>
          <w:tab w:val="left" w:pos="737"/>
        </w:tabs>
        <w:snapToGrid w:val="0"/>
        <w:spacing w:line="600" w:lineRule="exact"/>
        <w:ind w:firstLine="373" w:firstLineChars="177"/>
        <w:rPr>
          <w:rFonts w:hint="eastAsia" w:ascii="宋体" w:hAnsi="宋体" w:eastAsia="宋体" w:cs="宋体"/>
          <w:b/>
          <w:color w:val="000000" w:themeColor="text1"/>
          <w:szCs w:val="21"/>
          <w:lang w:eastAsia="zh-CN"/>
        </w:rPr>
      </w:pPr>
      <w:r>
        <w:rPr>
          <w:rFonts w:hint="eastAsia" w:ascii="宋体" w:hAnsi="宋体" w:cs="宋体"/>
          <w:b/>
          <w:color w:val="000000" w:themeColor="text1"/>
          <w:szCs w:val="21"/>
        </w:rPr>
        <w:t>（二）考核标准</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1.未达到上述（一）考核标准的，分档核扣当</w:t>
      </w:r>
      <w:r>
        <w:rPr>
          <w:rFonts w:hint="eastAsia" w:ascii="宋体" w:hAnsi="宋体" w:cs="宋体"/>
          <w:color w:val="000000" w:themeColor="text1"/>
          <w:szCs w:val="21"/>
          <w:lang w:eastAsia="zh-CN"/>
        </w:rPr>
        <w:t>月</w:t>
      </w:r>
      <w:r>
        <w:rPr>
          <w:rFonts w:hint="eastAsia" w:ascii="宋体" w:hAnsi="宋体" w:cs="宋体"/>
          <w:color w:val="000000" w:themeColor="text1"/>
          <w:szCs w:val="21"/>
        </w:rPr>
        <w:t>应付合同款，其中员工稳定性”单列考核；</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2.总分值扣5分（含）-10分（不含）的，采购人核扣</w:t>
      </w:r>
      <w:r>
        <w:rPr>
          <w:rFonts w:hint="eastAsia" w:ascii="宋体" w:hAnsi="宋体" w:cs="宋体"/>
          <w:color w:val="000000" w:themeColor="text1"/>
          <w:szCs w:val="21"/>
          <w:lang w:val="en-US" w:eastAsia="zh-CN"/>
        </w:rPr>
        <w:t>0.5</w:t>
      </w:r>
      <w:r>
        <w:rPr>
          <w:rFonts w:hint="eastAsia" w:ascii="宋体" w:hAnsi="宋体" w:cs="宋体"/>
          <w:color w:val="000000" w:themeColor="text1"/>
          <w:szCs w:val="21"/>
        </w:rPr>
        <w:t>%的当月应付合同款；总分值扣减10分（含）-15分（不含）的，采购人核扣</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%的当月应付合同款；总分值扣减15分（含）-20分（不含）的，采购人核扣</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%的当月应付合同款；总分值扣减20分（含）以上的，采购人核扣</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%的当月应付合同款。</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员工稳定性”按半年单独考核：低于中标人投标文件承诺事项5%（含）的，采购人另外核扣0.5%的半年考核期合同款，在考核期次月序时进度款中扣除；低于中标人投标文件承诺事项5%（不含）-10%（含）的，采购人另外核扣1%的半年考核期合同款，在考核期次月序时进度款中扣除；低于中标人投标文件承诺事项10%（不含）-15%（含）的，采购人另外核扣3%的半年考核期合同款，在考核期次月序时进度款中扣除；低于中标人投标文件承诺事项15%（不含）及以上的，采购人另外核扣6%的半年考核期合同款，在考核期次月序时进度款中扣除。补充的人员必须具有2年（含）以上财税工作经历，</w:t>
      </w:r>
      <w:r>
        <w:rPr>
          <w:rFonts w:hint="eastAsia" w:ascii="宋体" w:hAnsi="宋体" w:cs="宋体"/>
          <w:color w:val="000000" w:themeColor="text1"/>
          <w:szCs w:val="21"/>
          <w:lang w:eastAsia="zh-CN"/>
        </w:rPr>
        <w:t>原则上</w:t>
      </w:r>
      <w:r>
        <w:rPr>
          <w:rFonts w:hint="eastAsia" w:ascii="宋体" w:hAnsi="宋体" w:cs="宋体"/>
          <w:color w:val="000000" w:themeColor="text1"/>
          <w:szCs w:val="21"/>
        </w:rPr>
        <w:t>年龄不超过</w:t>
      </w:r>
      <w:r>
        <w:rPr>
          <w:rFonts w:hint="eastAsia" w:ascii="宋体" w:hAnsi="宋体" w:cs="宋体"/>
          <w:color w:val="000000" w:themeColor="text1"/>
          <w:szCs w:val="21"/>
          <w:lang w:val="en-US" w:eastAsia="zh-CN"/>
        </w:rPr>
        <w:t>30</w:t>
      </w:r>
      <w:bookmarkStart w:id="2" w:name="_GoBack"/>
      <w:bookmarkEnd w:id="2"/>
      <w:r>
        <w:rPr>
          <w:rFonts w:hint="eastAsia" w:ascii="宋体" w:hAnsi="宋体" w:cs="宋体"/>
          <w:color w:val="000000" w:themeColor="text1"/>
          <w:szCs w:val="21"/>
        </w:rPr>
        <w:t>周岁。</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3.服务外包人员在工作中出现影响国家税务总局莆田市税务局形象的舆情事件，经调查属实的，每次扣当年合同款的1%。</w:t>
      </w:r>
    </w:p>
    <w:p>
      <w:pPr>
        <w:tabs>
          <w:tab w:val="left" w:pos="525"/>
          <w:tab w:val="left" w:pos="737"/>
        </w:tabs>
        <w:snapToGrid w:val="0"/>
        <w:spacing w:line="6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4. 服务外包人员在工作中出现违反</w:t>
      </w:r>
      <w:r>
        <w:rPr>
          <w:rFonts w:ascii="宋体" w:hAnsi="宋体" w:cs="宋体"/>
          <w:color w:val="000000" w:themeColor="text1"/>
          <w:szCs w:val="21"/>
        </w:rPr>
        <w:t>业务</w:t>
      </w:r>
      <w:r>
        <w:rPr>
          <w:rFonts w:hint="eastAsia" w:ascii="宋体" w:hAnsi="宋体" w:cs="宋体"/>
          <w:color w:val="000000" w:themeColor="text1"/>
          <w:szCs w:val="21"/>
        </w:rPr>
        <w:t>、管理制度和工作纪律等，导致被上级和地方政府部门通报的，经调查属实的，每次扣当年合同款的1%。</w:t>
      </w:r>
    </w:p>
    <w:p>
      <w:pPr>
        <w:tabs>
          <w:tab w:val="left" w:pos="525"/>
          <w:tab w:val="left" w:pos="737"/>
        </w:tabs>
        <w:snapToGrid w:val="0"/>
        <w:spacing w:line="600" w:lineRule="exact"/>
        <w:ind w:firstLine="371" w:firstLineChars="177"/>
        <w:rPr>
          <w:rFonts w:hint="eastAsia" w:ascii="宋体" w:hAnsi="宋体" w:cs="宋体"/>
          <w:color w:val="000000" w:themeColor="text1"/>
          <w:szCs w:val="21"/>
        </w:rPr>
      </w:pPr>
      <w:r>
        <w:rPr>
          <w:rFonts w:hint="eastAsia" w:ascii="宋体" w:hAnsi="宋体" w:cs="宋体"/>
          <w:color w:val="000000" w:themeColor="text1"/>
          <w:szCs w:val="21"/>
        </w:rPr>
        <w:t>5.在实际执行中，中标人未按投标文件落实其在评分表中相关承诺事项的，采购人有权根据该未履行事项在评分表中分值占总分中的比重相应扣减当年合同款（</w:t>
      </w:r>
      <w:r>
        <w:rPr>
          <w:rFonts w:hint="eastAsia" w:ascii="宋体" w:hAnsi="宋体" w:cs="宋体"/>
          <w:color w:val="000000" w:themeColor="text1"/>
          <w:kern w:val="0"/>
          <w:szCs w:val="21"/>
        </w:rPr>
        <w:t>员工稳定性考核除外</w:t>
      </w:r>
      <w:r>
        <w:rPr>
          <w:rFonts w:hint="eastAsia" w:ascii="宋体" w:hAnsi="宋体" w:cs="宋体"/>
          <w:color w:val="000000" w:themeColor="text1"/>
          <w:szCs w:val="21"/>
        </w:rPr>
        <w:t>）。</w:t>
      </w:r>
    </w:p>
    <w:p>
      <w:pPr>
        <w:tabs>
          <w:tab w:val="left" w:pos="525"/>
          <w:tab w:val="left" w:pos="737"/>
        </w:tabs>
        <w:snapToGrid w:val="0"/>
        <w:spacing w:line="600" w:lineRule="exact"/>
        <w:ind w:firstLine="371" w:firstLineChars="177"/>
        <w:rPr>
          <w:rFonts w:hint="eastAsia" w:ascii="宋体" w:hAnsi="宋体" w:cs="宋体"/>
          <w:color w:val="000000" w:themeColor="text1"/>
          <w:szCs w:val="21"/>
        </w:rPr>
      </w:pPr>
      <w:r>
        <w:rPr>
          <w:rFonts w:hint="eastAsia" w:ascii="宋体" w:hAnsi="宋体" w:cs="宋体"/>
          <w:color w:val="000000" w:themeColor="text1"/>
          <w:szCs w:val="21"/>
        </w:rPr>
        <w:t>６、</w:t>
      </w:r>
      <w:r>
        <w:rPr>
          <w:rFonts w:hint="eastAsia" w:ascii="宋体" w:hAnsi="宋体" w:cs="宋体"/>
          <w:color w:val="000000" w:themeColor="text1"/>
          <w:szCs w:val="21"/>
          <w:lang w:eastAsia="zh-CN"/>
        </w:rPr>
        <w:t>无特殊原因</w:t>
      </w:r>
      <w:r>
        <w:rPr>
          <w:rFonts w:hint="eastAsia" w:ascii="宋体" w:hAnsi="宋体" w:cs="宋体"/>
          <w:color w:val="000000" w:themeColor="text1"/>
          <w:szCs w:val="21"/>
        </w:rPr>
        <w:t>考核</w:t>
      </w:r>
      <w:r>
        <w:rPr>
          <w:rFonts w:hint="eastAsia" w:ascii="宋体" w:hAnsi="宋体" w:cs="宋体"/>
          <w:color w:val="000000" w:themeColor="text1"/>
          <w:szCs w:val="21"/>
          <w:lang w:eastAsia="zh-CN"/>
        </w:rPr>
        <w:t>分</w:t>
      </w:r>
      <w:r>
        <w:rPr>
          <w:rFonts w:hint="eastAsia" w:ascii="宋体" w:hAnsi="宋体" w:cs="宋体"/>
          <w:color w:val="000000" w:themeColor="text1"/>
          <w:szCs w:val="21"/>
        </w:rPr>
        <w:t>低于</w:t>
      </w:r>
      <w:r>
        <w:rPr>
          <w:rFonts w:hint="eastAsia" w:ascii="宋体" w:hAnsi="宋体" w:cs="宋体"/>
          <w:color w:val="000000" w:themeColor="text1"/>
          <w:szCs w:val="21"/>
          <w:lang w:val="en-US" w:eastAsia="zh-CN"/>
        </w:rPr>
        <w:t>80分</w:t>
      </w:r>
      <w:r>
        <w:rPr>
          <w:rFonts w:hint="eastAsia" w:ascii="宋体" w:hAnsi="宋体" w:cs="宋体"/>
          <w:color w:val="000000" w:themeColor="text1"/>
          <w:szCs w:val="21"/>
        </w:rPr>
        <w:t>，</w:t>
      </w:r>
      <w:r>
        <w:rPr>
          <w:rFonts w:hint="eastAsia" w:ascii="宋体" w:hAnsi="宋体" w:cs="宋体"/>
          <w:color w:val="000000" w:themeColor="text1"/>
          <w:szCs w:val="21"/>
          <w:lang w:eastAsia="zh-CN"/>
        </w:rPr>
        <w:t>采购人</w:t>
      </w:r>
      <w:r>
        <w:rPr>
          <w:rFonts w:hint="eastAsia" w:ascii="宋体" w:hAnsi="宋体" w:cs="宋体"/>
          <w:color w:val="000000" w:themeColor="text1"/>
          <w:szCs w:val="21"/>
        </w:rPr>
        <w:t>有权</w:t>
      </w:r>
      <w:r>
        <w:rPr>
          <w:rFonts w:hint="eastAsia" w:ascii="宋体" w:hAnsi="宋体" w:cs="宋体"/>
          <w:color w:val="000000" w:themeColor="text1"/>
          <w:szCs w:val="21"/>
          <w:lang w:eastAsia="zh-CN"/>
        </w:rPr>
        <w:t>决定</w:t>
      </w:r>
      <w:r>
        <w:rPr>
          <w:rFonts w:hint="eastAsia" w:ascii="宋体" w:hAnsi="宋体" w:cs="宋体"/>
          <w:color w:val="000000" w:themeColor="text1"/>
          <w:szCs w:val="21"/>
        </w:rPr>
        <w:t>不再续签次年合同并重新组织采购，仅延续采购结束并双方顺利交接。</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★五、预算及付款</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（一）预算总价</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本项目服务期限为三年，每年预算14</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eastAsia="zh-CN"/>
        </w:rPr>
        <w:t>万元，三年合计预算</w:t>
      </w:r>
      <w:r>
        <w:rPr>
          <w:rFonts w:hint="eastAsia" w:ascii="宋体" w:hAnsi="宋体" w:eastAsia="宋体" w:cs="宋体"/>
          <w:color w:val="000000" w:themeColor="text1"/>
          <w:szCs w:val="21"/>
          <w:lang w:val="en-US" w:eastAsia="zh-CN"/>
        </w:rPr>
        <w:t>42</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eastAsia="zh-CN"/>
        </w:rPr>
        <w:t>万元。本项目下所有服务的全部税费均已包含于预算总价。</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（二）付款方式</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bookmarkStart w:id="1" w:name="_Hlk79658412"/>
      <w:r>
        <w:rPr>
          <w:rFonts w:hint="eastAsia" w:ascii="宋体" w:hAnsi="宋体" w:eastAsia="宋体" w:cs="宋体"/>
          <w:color w:val="000000" w:themeColor="text1"/>
          <w:szCs w:val="21"/>
          <w:lang w:eastAsia="zh-CN"/>
        </w:rPr>
        <w:t>本项目采取一招三年、合同一年一签的方式，第一期合同期限自202</w:t>
      </w: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lang w:eastAsia="zh-CN"/>
        </w:rPr>
        <w:t>年</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lang w:eastAsia="zh-CN"/>
        </w:rPr>
        <w:t>月1日起至202</w:t>
      </w: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lang w:eastAsia="zh-CN"/>
        </w:rPr>
        <w:t>年</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lang w:eastAsia="zh-CN"/>
        </w:rPr>
        <w:t>月</w:t>
      </w:r>
      <w:r>
        <w:rPr>
          <w:rFonts w:hint="eastAsia" w:ascii="宋体" w:hAnsi="宋体" w:eastAsia="宋体" w:cs="宋体"/>
          <w:color w:val="000000" w:themeColor="text1"/>
          <w:szCs w:val="21"/>
          <w:lang w:val="en-US" w:eastAsia="zh-CN"/>
        </w:rPr>
        <w:t>28</w:t>
      </w:r>
      <w:r>
        <w:rPr>
          <w:rFonts w:hint="eastAsia" w:ascii="宋体" w:hAnsi="宋体" w:eastAsia="宋体" w:cs="宋体"/>
          <w:color w:val="000000" w:themeColor="text1"/>
          <w:szCs w:val="21"/>
          <w:lang w:eastAsia="zh-CN"/>
        </w:rPr>
        <w:t>日止，以后根据每个合同年度合同履行情况进行验收考核，决定是否续签或重新采购。第一期合同生效起且人员按要求到位后，凭服务商付款申请报告和发票，采购人相应支付第一期合同款项的20%，用于采购电脑、打印机、制服等；当期后续合同款项的80%凭服务商付款申请报告、发票及经采购人考核的评估报告，按季支付。采购人在收到上述材料后的二十个工作日内支付应付款项。</w:t>
      </w:r>
      <w:bookmarkEnd w:id="1"/>
      <w:r>
        <w:rPr>
          <w:rFonts w:hint="eastAsia" w:ascii="宋体" w:hAnsi="宋体" w:eastAsia="宋体" w:cs="宋体"/>
          <w:color w:val="000000" w:themeColor="text1"/>
          <w:szCs w:val="21"/>
          <w:lang w:eastAsia="zh-CN"/>
        </w:rPr>
        <w:t>第二、三期合同款项凭服务商付款申请报告、发票和经采购人考核的评估报告，按季支付。</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六、违约责任</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（一）合同签订后，202</w:t>
      </w: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lang w:eastAsia="zh-CN"/>
        </w:rPr>
        <w:t>年</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lang w:eastAsia="zh-CN"/>
        </w:rPr>
        <w:t>月1日起中标人应提供至少</w:t>
      </w:r>
      <w:r>
        <w:rPr>
          <w:rFonts w:hint="eastAsia" w:ascii="宋体" w:hAnsi="宋体" w:eastAsia="宋体" w:cs="宋体"/>
          <w:color w:val="000000" w:themeColor="text1"/>
          <w:szCs w:val="21"/>
          <w:lang w:val="en-US" w:eastAsia="zh-CN"/>
        </w:rPr>
        <w:t>15</w:t>
      </w:r>
      <w:r>
        <w:rPr>
          <w:rFonts w:hint="eastAsia" w:ascii="宋体" w:hAnsi="宋体" w:eastAsia="宋体" w:cs="宋体"/>
          <w:color w:val="000000" w:themeColor="text1"/>
          <w:szCs w:val="21"/>
          <w:lang w:eastAsia="zh-CN"/>
        </w:rPr>
        <w:t>人以上的符合条件的坐席上线服务，如未达要求，每逾期一日，中标人应向采购人支付当年合同总价款的千分之一作为违约金，若逾期超过十五日，采购人有权单方面解除合同，并要求中标人支付当年合同总价款的20%作为违约金。</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 xml:space="preserve">（二）中标人当季服务质效考核得分低于80分的，采购人有权要求中标人查找原因并于采购人通知的一个月期限内整改，逾期未整改的或整改一次后仍不能符合要求的，采购人有权单方面解除合同，中标人应赔偿当年合同总价款的20%作为违约金。     </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三）中标人未履行投标承诺，影响采购人正常运行的，采购人有权要求中标人在指定期限内整改，采购人逾期未整改的，每逾期一日，按照当年合同总价款的千分之一承担违约金并赔偿采购人因此受到的损失；逾期超过十五日，采购人有权单方面解除合同，并要求中标人支付当年合同总价款的</w:t>
      </w:r>
      <w:r>
        <w:rPr>
          <w:rFonts w:hint="eastAsia" w:ascii="宋体" w:hAnsi="宋体" w:cs="宋体"/>
          <w:color w:val="FF0000"/>
          <w:szCs w:val="21"/>
          <w:lang w:val="en-US" w:eastAsia="zh-CN"/>
        </w:rPr>
        <w:t>2</w:t>
      </w:r>
      <w:r>
        <w:rPr>
          <w:rFonts w:hint="eastAsia" w:ascii="宋体" w:hAnsi="宋体" w:eastAsia="宋体" w:cs="宋体"/>
          <w:color w:val="FF0000"/>
          <w:szCs w:val="21"/>
          <w:lang w:eastAsia="zh-CN"/>
        </w:rPr>
        <w:t>0%</w:t>
      </w:r>
      <w:r>
        <w:rPr>
          <w:rFonts w:hint="eastAsia" w:ascii="宋体" w:hAnsi="宋体" w:eastAsia="宋体" w:cs="宋体"/>
          <w:color w:val="000000" w:themeColor="text1"/>
          <w:szCs w:val="21"/>
          <w:lang w:eastAsia="zh-CN"/>
        </w:rPr>
        <w:t>作为违约金。</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四）中标人服务人员违反采购人的保密制度和安全管理制度，采购人有权要求中标人立即撤换有关服务人员，中标人应将对泄密人员的处理意见于三个工作日内报采购人，对于由此给采购人及纳税人造成利益损害的，中标人应承担相关法律责任，每出现一次，中标人应按照当年合同总价款的</w:t>
      </w:r>
      <w:r>
        <w:rPr>
          <w:rFonts w:hint="eastAsia" w:ascii="宋体" w:hAnsi="宋体" w:cs="宋体"/>
          <w:color w:val="FF0000"/>
          <w:szCs w:val="21"/>
          <w:lang w:val="en-US" w:eastAsia="zh-CN"/>
        </w:rPr>
        <w:t>20</w:t>
      </w:r>
      <w:r>
        <w:rPr>
          <w:rFonts w:hint="eastAsia" w:ascii="宋体" w:hAnsi="宋体" w:eastAsia="宋体" w:cs="宋体"/>
          <w:color w:val="FF0000"/>
          <w:szCs w:val="21"/>
          <w:lang w:eastAsia="zh-CN"/>
        </w:rPr>
        <w:t>%</w:t>
      </w:r>
      <w:r>
        <w:rPr>
          <w:rFonts w:hint="eastAsia" w:ascii="宋体" w:hAnsi="宋体" w:eastAsia="宋体" w:cs="宋体"/>
          <w:color w:val="000000" w:themeColor="text1"/>
          <w:szCs w:val="21"/>
          <w:lang w:eastAsia="zh-CN"/>
        </w:rPr>
        <w:t>承担违约金并赔偿采购人因此受到的损失。</w:t>
      </w:r>
    </w:p>
    <w:p>
      <w:pPr>
        <w:tabs>
          <w:tab w:val="left" w:pos="525"/>
          <w:tab w:val="left" w:pos="737"/>
        </w:tabs>
        <w:snapToGrid w:val="0"/>
        <w:spacing w:line="600" w:lineRule="exact"/>
        <w:ind w:firstLine="371" w:firstLineChars="177"/>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（五）服务商发生信息安全事故，如信息泄露、数据丢失、数据篡改等，每发生一次扣除当年合同总价款的</w:t>
      </w:r>
      <w:r>
        <w:rPr>
          <w:rFonts w:hint="eastAsia" w:ascii="宋体" w:hAnsi="宋体" w:cs="宋体"/>
          <w:color w:val="FF0000"/>
          <w:szCs w:val="21"/>
          <w:lang w:val="en-US" w:eastAsia="zh-CN"/>
        </w:rPr>
        <w:t>20</w:t>
      </w:r>
      <w:r>
        <w:rPr>
          <w:rFonts w:hint="eastAsia" w:ascii="宋体" w:hAnsi="宋体" w:eastAsia="宋体" w:cs="宋体"/>
          <w:color w:val="FF0000"/>
          <w:szCs w:val="21"/>
          <w:lang w:eastAsia="zh-CN"/>
        </w:rPr>
        <w:t>%</w:t>
      </w:r>
      <w:r>
        <w:rPr>
          <w:rFonts w:hint="eastAsia" w:ascii="宋体" w:hAnsi="宋体" w:eastAsia="宋体" w:cs="宋体"/>
          <w:color w:val="000000" w:themeColor="text1"/>
          <w:szCs w:val="21"/>
          <w:lang w:eastAsia="zh-CN"/>
        </w:rPr>
        <w:t>；造成严重后果的，采购人有权终止合同并追究服务商相关法律责任。</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tabs>
        <w:tab w:val="left" w:pos="1170"/>
      </w:tabs>
      <w:ind w:firstLine="48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587DE"/>
    <w:multiLevelType w:val="singleLevel"/>
    <w:tmpl w:val="C2F587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249E"/>
    <w:rsid w:val="00104311"/>
    <w:rsid w:val="00120560"/>
    <w:rsid w:val="00187641"/>
    <w:rsid w:val="0023058A"/>
    <w:rsid w:val="00296985"/>
    <w:rsid w:val="003E0489"/>
    <w:rsid w:val="0047022A"/>
    <w:rsid w:val="004D2588"/>
    <w:rsid w:val="00573BF0"/>
    <w:rsid w:val="005C2180"/>
    <w:rsid w:val="005C3B34"/>
    <w:rsid w:val="005E2E66"/>
    <w:rsid w:val="006B4D25"/>
    <w:rsid w:val="007054D7"/>
    <w:rsid w:val="00737F2C"/>
    <w:rsid w:val="007A4A33"/>
    <w:rsid w:val="00872A13"/>
    <w:rsid w:val="008B1647"/>
    <w:rsid w:val="009565D3"/>
    <w:rsid w:val="009B56C8"/>
    <w:rsid w:val="00A46881"/>
    <w:rsid w:val="00A51FE3"/>
    <w:rsid w:val="00AE1118"/>
    <w:rsid w:val="00B75D11"/>
    <w:rsid w:val="00C163A5"/>
    <w:rsid w:val="00C56E6A"/>
    <w:rsid w:val="00CA7D9B"/>
    <w:rsid w:val="00CE0996"/>
    <w:rsid w:val="00CE6DFF"/>
    <w:rsid w:val="00E75635"/>
    <w:rsid w:val="00E85985"/>
    <w:rsid w:val="00EF249E"/>
    <w:rsid w:val="00F040A5"/>
    <w:rsid w:val="00FC6A6A"/>
    <w:rsid w:val="00FE5F0E"/>
    <w:rsid w:val="011533E2"/>
    <w:rsid w:val="07F20992"/>
    <w:rsid w:val="08D52D89"/>
    <w:rsid w:val="095A03E4"/>
    <w:rsid w:val="098445E7"/>
    <w:rsid w:val="0A3D54B6"/>
    <w:rsid w:val="0A982BB0"/>
    <w:rsid w:val="0B3071E7"/>
    <w:rsid w:val="0C0779BB"/>
    <w:rsid w:val="0D121148"/>
    <w:rsid w:val="0F817EA4"/>
    <w:rsid w:val="123F3E1A"/>
    <w:rsid w:val="15234EE9"/>
    <w:rsid w:val="157C7412"/>
    <w:rsid w:val="17F83E90"/>
    <w:rsid w:val="194E5733"/>
    <w:rsid w:val="1C2B6DC4"/>
    <w:rsid w:val="1EA107DC"/>
    <w:rsid w:val="224C0F42"/>
    <w:rsid w:val="23C94039"/>
    <w:rsid w:val="269D2155"/>
    <w:rsid w:val="28E60147"/>
    <w:rsid w:val="2F3D34D9"/>
    <w:rsid w:val="335E000F"/>
    <w:rsid w:val="34766043"/>
    <w:rsid w:val="34CA5F8C"/>
    <w:rsid w:val="3509234F"/>
    <w:rsid w:val="35575A37"/>
    <w:rsid w:val="360910AC"/>
    <w:rsid w:val="364A5A05"/>
    <w:rsid w:val="36914ED7"/>
    <w:rsid w:val="36D01864"/>
    <w:rsid w:val="37FB722B"/>
    <w:rsid w:val="397F6BBC"/>
    <w:rsid w:val="3B10163A"/>
    <w:rsid w:val="3E245C68"/>
    <w:rsid w:val="3EE7752B"/>
    <w:rsid w:val="42E51BFF"/>
    <w:rsid w:val="42FC3BC8"/>
    <w:rsid w:val="44AD126B"/>
    <w:rsid w:val="452F3250"/>
    <w:rsid w:val="469F4A26"/>
    <w:rsid w:val="46D32357"/>
    <w:rsid w:val="476B23B5"/>
    <w:rsid w:val="49486E74"/>
    <w:rsid w:val="49C50930"/>
    <w:rsid w:val="4B1D7D59"/>
    <w:rsid w:val="4D572729"/>
    <w:rsid w:val="524F443E"/>
    <w:rsid w:val="53D019B0"/>
    <w:rsid w:val="5B8702DE"/>
    <w:rsid w:val="5BFF79E9"/>
    <w:rsid w:val="5C566744"/>
    <w:rsid w:val="5F710388"/>
    <w:rsid w:val="6178780D"/>
    <w:rsid w:val="64095178"/>
    <w:rsid w:val="667312C6"/>
    <w:rsid w:val="6919001D"/>
    <w:rsid w:val="6AF62730"/>
    <w:rsid w:val="6EAA248A"/>
    <w:rsid w:val="72B91336"/>
    <w:rsid w:val="75E91C8D"/>
    <w:rsid w:val="75FE2A67"/>
    <w:rsid w:val="76856E7E"/>
    <w:rsid w:val="7B840159"/>
    <w:rsid w:val="7BCE6FBD"/>
    <w:rsid w:val="7CB23CC4"/>
    <w:rsid w:val="7E9F6D88"/>
    <w:rsid w:val="7EC474D4"/>
    <w:rsid w:val="7F6164AC"/>
    <w:rsid w:val="7FDB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7"/>
    <w:basedOn w:val="1"/>
    <w:next w:val="1"/>
    <w:link w:val="12"/>
    <w:qFormat/>
    <w:uiPriority w:val="0"/>
    <w:pPr>
      <w:keepNext/>
      <w:keepLines/>
      <w:spacing w:before="240" w:after="64" w:line="320" w:lineRule="auto"/>
      <w:outlineLvl w:val="6"/>
    </w:pPr>
    <w:rPr>
      <w:b/>
      <w:bCs/>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pPr>
    <w:rPr>
      <w:szCs w:val="20"/>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7 Char"/>
    <w:basedOn w:val="9"/>
    <w:link w:val="3"/>
    <w:qFormat/>
    <w:uiPriority w:val="0"/>
    <w:rPr>
      <w:rFonts w:ascii="Calibri" w:hAnsi="Calibri" w:eastAsia="宋体" w:cs="Times New Roman"/>
      <w:b/>
      <w:bCs/>
      <w:sz w:val="24"/>
      <w:szCs w:val="24"/>
    </w:rPr>
  </w:style>
  <w:style w:type="paragraph" w:customStyle="1" w:styleId="13">
    <w:name w:val="_正文"/>
    <w:basedOn w:val="1"/>
    <w:qFormat/>
    <w:uiPriority w:val="0"/>
    <w:pPr>
      <w:adjustRightInd w:val="0"/>
      <w:snapToGrid w:val="0"/>
      <w:spacing w:line="360" w:lineRule="auto"/>
      <w:ind w:firstLine="200" w:firstLineChars="200"/>
    </w:pPr>
    <w:rPr>
      <w:sz w:val="24"/>
    </w:rPr>
  </w:style>
  <w:style w:type="paragraph" w:customStyle="1" w:styleId="14">
    <w:name w:val="！正文"/>
    <w:basedOn w:val="1"/>
    <w:qFormat/>
    <w:uiPriority w:val="0"/>
    <w:pPr>
      <w:adjustRightInd w:val="0"/>
      <w:snapToGrid w:val="0"/>
      <w:spacing w:line="360" w:lineRule="auto"/>
      <w:ind w:firstLine="480" w:firstLineChars="200"/>
    </w:pPr>
    <w:rPr>
      <w:rFonts w:eastAsia="仿宋"/>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1135</Words>
  <Characters>6472</Characters>
  <Lines>53</Lines>
  <Paragraphs>15</Paragraphs>
  <TotalTime>0</TotalTime>
  <ScaleCrop>false</ScaleCrop>
  <LinksUpToDate>false</LinksUpToDate>
  <CharactersWithSpaces>7592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2020-09-03T00:43:00Z</dcterms:created>
  <dc:creator>刘军梅</dc:creator>
  <cp:lastModifiedBy>黄记望</cp:lastModifiedBy>
  <dcterms:modified xsi:type="dcterms:W3CDTF">2024-01-19T09:04:55Z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