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jc w:val="center"/>
        <w:rPr>
          <w:rFonts w:hint="eastAsia" w:ascii="宋体" w:hAnsi="宋体" w:eastAsia="宋体"/>
          <w:b/>
          <w:sz w:val="44"/>
          <w:szCs w:val="44"/>
          <w:lang w:eastAsia="zh-CN"/>
        </w:rPr>
      </w:pPr>
      <w:bookmarkStart w:id="5" w:name="_GoBack"/>
      <w:bookmarkEnd w:id="5"/>
      <w:r>
        <w:rPr>
          <w:rFonts w:hint="eastAsia" w:ascii="宋体" w:hAnsi="宋体"/>
          <w:b/>
          <w:sz w:val="44"/>
          <w:szCs w:val="44"/>
          <w:lang w:eastAsia="zh-CN"/>
        </w:rPr>
        <w:t>国家税务总局泉州市鲤城区税务局临江税务分局</w:t>
      </w:r>
    </w:p>
    <w:p>
      <w:pPr>
        <w:spacing w:line="360" w:lineRule="auto"/>
        <w:ind w:firstLine="0"/>
        <w:jc w:val="center"/>
        <w:rPr>
          <w:rFonts w:hint="eastAsia" w:ascii="宋体" w:hAnsi="宋体"/>
          <w:b/>
          <w:sz w:val="52"/>
          <w:szCs w:val="52"/>
        </w:rPr>
      </w:pPr>
      <w:r>
        <w:rPr>
          <w:rFonts w:hint="eastAsia" w:ascii="宋体" w:hAnsi="宋体"/>
          <w:b/>
          <w:sz w:val="52"/>
          <w:szCs w:val="52"/>
        </w:rPr>
        <w:t>责令限期改正通知书</w:t>
      </w:r>
    </w:p>
    <w:p>
      <w:pPr>
        <w:ind w:firstLine="0"/>
        <w:jc w:val="center"/>
        <w:outlineLvl w:val="0"/>
        <w:rPr>
          <w:rFonts w:hint="eastAsia" w:ascii="仿宋_GB2312" w:hAnsi="仿宋" w:eastAsia="仿宋_GB2312"/>
          <w:sz w:val="32"/>
          <w:lang w:eastAsia="zh-CN"/>
        </w:rPr>
      </w:pPr>
      <w:bookmarkStart w:id="0" w:name="wszg"/>
      <w:bookmarkEnd w:id="0"/>
      <w:r>
        <w:rPr>
          <w:rFonts w:hint="eastAsia" w:ascii="仿宋_GB2312" w:hAnsi="仿宋" w:eastAsia="仿宋_GB2312"/>
          <w:sz w:val="32"/>
          <w:lang w:eastAsia="zh-CN"/>
        </w:rPr>
        <w:t>泉鲤税临江限改〔2025〕</w:t>
      </w:r>
      <w:r>
        <w:rPr>
          <w:rFonts w:hint="eastAsia" w:ascii="仿宋_GB2312" w:hAnsi="仿宋" w:eastAsia="仿宋_GB2312"/>
          <w:sz w:val="32"/>
          <w:lang w:val="en-US" w:eastAsia="zh-CN"/>
        </w:rPr>
        <w:t>1</w:t>
      </w:r>
      <w:r>
        <w:rPr>
          <w:rFonts w:hint="eastAsia" w:ascii="仿宋_GB2312" w:hAnsi="仿宋" w:eastAsia="仿宋_GB2312"/>
          <w:sz w:val="32"/>
          <w:lang w:eastAsia="zh-CN"/>
        </w:rPr>
        <w:t>号</w:t>
      </w:r>
    </w:p>
    <w:p>
      <w:pPr>
        <w:ind w:firstLine="0"/>
        <w:jc w:val="center"/>
        <w:rPr>
          <w:rFonts w:hint="eastAsia" w:ascii="仿宋_GB2312" w:hAnsi="仿宋" w:eastAsia="仿宋_GB2312"/>
          <w:sz w:val="32"/>
        </w:rPr>
      </w:pPr>
    </w:p>
    <w:p>
      <w:pPr>
        <w:kinsoku w:val="0"/>
        <w:overflowPunct w:val="0"/>
        <w:autoSpaceDE w:val="0"/>
        <w:autoSpaceDN w:val="0"/>
        <w:rPr>
          <w:rFonts w:hint="eastAsia" w:ascii="仿宋" w:hAnsi="仿宋" w:eastAsia="仿宋" w:cs="仿宋"/>
          <w:sz w:val="32"/>
          <w:szCs w:val="32"/>
          <w:lang w:val="en-US" w:eastAsia="zh-CN"/>
        </w:rPr>
      </w:pPr>
      <w:bookmarkStart w:id="1" w:name="nsrmc"/>
      <w:bookmarkEnd w:id="1"/>
      <w:r>
        <w:rPr>
          <w:rFonts w:hint="eastAsia" w:ascii="仿宋" w:hAnsi="仿宋" w:eastAsia="仿宋" w:cs="仿宋"/>
          <w:i w:val="0"/>
          <w:iCs w:val="0"/>
          <w:caps w:val="0"/>
          <w:color w:val="000000"/>
          <w:spacing w:val="0"/>
          <w:sz w:val="32"/>
          <w:szCs w:val="32"/>
          <w:shd w:val="clear" w:fill="FFFFFF"/>
        </w:rPr>
        <w:t>泉州鲤城亿仁跨境电子商务有限公司</w:t>
      </w:r>
      <w:r>
        <w:rPr>
          <w:rFonts w:hint="eastAsia" w:ascii="仿宋" w:hAnsi="仿宋" w:eastAsia="仿宋" w:cs="仿宋"/>
          <w:sz w:val="32"/>
          <w:szCs w:val="32"/>
          <w:lang w:val="en-US" w:eastAsia="zh-CN"/>
        </w:rPr>
        <w:t>：（纳税人识别号：</w:t>
      </w:r>
      <w:bookmarkStart w:id="2" w:name="nsrsbh"/>
      <w:bookmarkEnd w:id="2"/>
      <w:r>
        <w:rPr>
          <w:rFonts w:hint="eastAsia" w:ascii="仿宋" w:hAnsi="仿宋" w:eastAsia="仿宋" w:cs="仿宋"/>
          <w:i w:val="0"/>
          <w:iCs w:val="0"/>
          <w:caps w:val="0"/>
          <w:color w:val="000000"/>
          <w:spacing w:val="0"/>
          <w:sz w:val="32"/>
          <w:szCs w:val="32"/>
          <w:shd w:val="clear" w:fill="FFFFFF"/>
        </w:rPr>
        <w:t>91350502MAD5DPBK89</w:t>
      </w:r>
      <w:r>
        <w:rPr>
          <w:rFonts w:hint="eastAsia" w:ascii="仿宋" w:hAnsi="仿宋" w:eastAsia="仿宋" w:cs="仿宋"/>
          <w:sz w:val="32"/>
          <w:szCs w:val="32"/>
          <w:lang w:val="en-US" w:eastAsia="zh-CN"/>
        </w:rPr>
        <w:t>）</w:t>
      </w:r>
    </w:p>
    <w:p>
      <w:pPr>
        <w:kinsoku w:val="0"/>
        <w:overflowPunct w:val="0"/>
        <w:autoSpaceDE w:val="0"/>
        <w:autoSpaceDN w:val="0"/>
        <w:ind w:firstLine="640" w:firstLineChars="200"/>
        <w:rPr>
          <w:rFonts w:hint="default" w:ascii="仿宋_GB2312" w:hAnsi="仿宋" w:eastAsia="仿宋_GB2312"/>
          <w:sz w:val="32"/>
          <w:szCs w:val="22"/>
          <w:lang w:val="en-US" w:eastAsia="zh-CN"/>
        </w:rPr>
      </w:pPr>
      <w:r>
        <w:rPr>
          <w:rFonts w:hint="eastAsia" w:ascii="仿宋_GB2312" w:hAnsi="仿宋" w:eastAsia="仿宋_GB2312"/>
          <w:sz w:val="32"/>
          <w:szCs w:val="22"/>
        </w:rPr>
        <w:t>你单位</w:t>
      </w:r>
      <w:bookmarkStart w:id="3" w:name="zlxqgzsy"/>
      <w:bookmarkEnd w:id="3"/>
      <w:r>
        <w:rPr>
          <w:rFonts w:hint="eastAsia" w:ascii="仿宋_GB2312" w:hAnsi="仿宋" w:eastAsia="仿宋_GB2312"/>
          <w:sz w:val="32"/>
          <w:szCs w:val="22"/>
          <w:lang w:eastAsia="zh-CN"/>
        </w:rPr>
        <w:t>申报的</w:t>
      </w:r>
      <w:r>
        <w:rPr>
          <w:rFonts w:hint="eastAsia" w:ascii="仿宋_GB2312" w:hAnsi="仿宋" w:eastAsia="仿宋_GB2312"/>
          <w:sz w:val="32"/>
          <w:szCs w:val="22"/>
          <w:lang w:val="en-US" w:eastAsia="zh-CN"/>
        </w:rPr>
        <w:t>2024年度企业所得税营业收入金额明显小于对应年度通过海关报关出口所涉及的出口货物金额</w:t>
      </w:r>
      <w:r>
        <w:rPr>
          <w:rFonts w:hint="eastAsia" w:ascii="仿宋_GB2312" w:hAnsi="仿宋" w:eastAsia="仿宋_GB2312"/>
          <w:sz w:val="32"/>
          <w:szCs w:val="22"/>
        </w:rPr>
        <w:t>。根据</w:t>
      </w:r>
      <w:bookmarkStart w:id="4" w:name="flyj"/>
      <w:bookmarkEnd w:id="4"/>
      <w:r>
        <w:rPr>
          <w:rFonts w:hint="eastAsia" w:ascii="仿宋_GB2312" w:hAnsi="仿宋" w:eastAsia="仿宋_GB2312"/>
          <w:sz w:val="32"/>
          <w:szCs w:val="22"/>
          <w:lang w:eastAsia="zh-CN"/>
        </w:rPr>
        <w:t>《中华人民共和国税收征收管理法》第二十五条第一款，限你</w:t>
      </w:r>
      <w:r>
        <w:rPr>
          <w:rFonts w:hint="eastAsia" w:ascii="仿宋_GB2312" w:hAnsi="仿宋" w:eastAsia="仿宋_GB2312"/>
          <w:sz w:val="32"/>
          <w:szCs w:val="22"/>
        </w:rPr>
        <w:t>单位</w:t>
      </w:r>
      <w:r>
        <w:rPr>
          <w:rFonts w:hint="eastAsia" w:ascii="仿宋_GB2312" w:hAnsi="仿宋" w:eastAsia="仿宋_GB2312"/>
          <w:sz w:val="32"/>
          <w:szCs w:val="22"/>
          <w:lang w:eastAsia="zh-CN"/>
        </w:rPr>
        <w:t>自收到本通知书之日起</w:t>
      </w:r>
      <w:r>
        <w:rPr>
          <w:rFonts w:hint="eastAsia" w:ascii="仿宋_GB2312" w:hAnsi="仿宋" w:eastAsia="仿宋_GB2312"/>
          <w:sz w:val="32"/>
          <w:szCs w:val="22"/>
          <w:lang w:val="en-US" w:eastAsia="zh-CN"/>
        </w:rPr>
        <w:t>5日内携带相关资料（包括出口报关资料、相关合同协议以及会计核算资料等）至我分局说明原因并如实办理有关纳税申报事项。如逾期未</w:t>
      </w:r>
      <w:r>
        <w:rPr>
          <w:rFonts w:hint="eastAsia" w:ascii="仿宋_GB2312" w:hAnsi="仿宋" w:eastAsia="仿宋_GB2312"/>
          <w:sz w:val="32"/>
        </w:rPr>
        <w:t>改正</w:t>
      </w:r>
      <w:r>
        <w:rPr>
          <w:rFonts w:hint="eastAsia" w:ascii="仿宋_GB2312" w:hAnsi="仿宋" w:eastAsia="仿宋_GB2312"/>
          <w:sz w:val="32"/>
          <w:lang w:eastAsia="zh-CN"/>
        </w:rPr>
        <w:t>，我</w:t>
      </w:r>
      <w:r>
        <w:rPr>
          <w:rFonts w:hint="eastAsia" w:ascii="仿宋_GB2312" w:hAnsi="仿宋" w:eastAsia="仿宋_GB2312"/>
          <w:sz w:val="32"/>
          <w:szCs w:val="22"/>
          <w:lang w:val="en-US" w:eastAsia="zh-CN"/>
        </w:rPr>
        <w:t>分</w:t>
      </w:r>
      <w:r>
        <w:rPr>
          <w:rFonts w:hint="eastAsia" w:ascii="仿宋_GB2312" w:hAnsi="仿宋" w:eastAsia="仿宋_GB2312"/>
          <w:sz w:val="32"/>
          <w:lang w:eastAsia="zh-CN"/>
        </w:rPr>
        <w:t>局</w:t>
      </w:r>
      <w:r>
        <w:rPr>
          <w:rFonts w:hint="eastAsia" w:ascii="仿宋_GB2312" w:hAnsi="仿宋" w:eastAsia="仿宋_GB2312"/>
          <w:sz w:val="32"/>
          <w:szCs w:val="22"/>
          <w:lang w:val="en-US" w:eastAsia="zh-CN"/>
        </w:rPr>
        <w:t>将依据</w:t>
      </w:r>
      <w:r>
        <w:rPr>
          <w:rFonts w:hint="eastAsia" w:ascii="仿宋_GB2312" w:hAnsi="仿宋" w:eastAsia="仿宋_GB2312"/>
          <w:sz w:val="32"/>
          <w:szCs w:val="22"/>
          <w:lang w:eastAsia="zh-CN"/>
        </w:rPr>
        <w:t>《中华人民共和国税收征收管理法》第三十五条第一款第六项进行处理。</w:t>
      </w:r>
    </w:p>
    <w:p>
      <w:pPr>
        <w:kinsoku w:val="0"/>
        <w:overflowPunct w:val="0"/>
        <w:autoSpaceDE w:val="0"/>
        <w:autoSpaceDN w:val="0"/>
        <w:ind w:firstLine="640" w:firstLineChars="200"/>
        <w:rPr>
          <w:rFonts w:hint="eastAsia" w:ascii="仿宋_GB2312" w:hAnsi="仿宋" w:eastAsia="仿宋_GB2312"/>
          <w:sz w:val="32"/>
        </w:rPr>
      </w:pPr>
    </w:p>
    <w:p>
      <w:pPr>
        <w:ind w:right="840" w:rightChars="400" w:firstLine="0"/>
        <w:jc w:val="right"/>
        <w:rPr>
          <w:rFonts w:hint="eastAsia" w:ascii="仿宋_GB2312" w:hAnsi="仿宋" w:eastAsia="仿宋_GB2312"/>
          <w:sz w:val="32"/>
          <w:szCs w:val="22"/>
        </w:rPr>
      </w:pPr>
      <w:r>
        <w:rPr>
          <w:rFonts w:hint="eastAsia" w:ascii="仿宋_GB2312" w:hAnsi="宋体" w:eastAsia="仿宋_GB2312" w:cs="Times New Roman"/>
          <w:b w:val="0"/>
          <w:bCs w:val="0"/>
          <w:sz w:val="32"/>
          <w:szCs w:val="32"/>
        </w:rPr>
        <w:t>税务机关（签章）</w:t>
      </w:r>
    </w:p>
    <w:p>
      <w:pPr>
        <w:ind w:right="840" w:rightChars="400" w:firstLine="0"/>
        <w:jc w:val="right"/>
        <w:rPr>
          <w:rFonts w:hint="eastAsia" w:ascii="仿宋_GB2312" w:hAnsi="仿宋" w:eastAsia="仿宋_GB2312"/>
          <w:sz w:val="32"/>
          <w:szCs w:val="22"/>
          <w:lang w:eastAsia="zh-CN"/>
        </w:rPr>
      </w:pPr>
      <w:r>
        <w:rPr>
          <w:rFonts w:hint="eastAsia" w:ascii="仿宋_GB2312" w:hAnsi="仿宋" w:eastAsia="仿宋_GB2312"/>
          <w:sz w:val="32"/>
          <w:szCs w:val="22"/>
          <w:lang w:eastAsia="zh-CN"/>
        </w:rPr>
        <w:t>二〇二五年七月十八日</w:t>
      </w:r>
    </w:p>
    <w:p>
      <w:pPr>
        <w:pStyle w:val="2"/>
        <w:keepNext w:val="0"/>
        <w:keepLines w:val="0"/>
        <w:pageBreakBefore w:val="0"/>
        <w:widowControl w:val="0"/>
        <w:kinsoku/>
        <w:wordWrap/>
        <w:overflowPunct/>
        <w:topLinePunct w:val="0"/>
        <w:autoSpaceDE/>
        <w:autoSpaceDN/>
        <w:bidi w:val="0"/>
        <w:adjustRightInd/>
        <w:snapToGrid/>
        <w:spacing w:line="460" w:lineRule="exact"/>
        <w:jc w:val="right"/>
        <w:textAlignment w:val="auto"/>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AB35D0"/>
    <w:rsid w:val="0866090B"/>
    <w:rsid w:val="09AD32B1"/>
    <w:rsid w:val="0A5B3B24"/>
    <w:rsid w:val="2B080A8B"/>
    <w:rsid w:val="2B80783C"/>
    <w:rsid w:val="2BAB35D0"/>
    <w:rsid w:val="40C8726F"/>
    <w:rsid w:val="41754758"/>
    <w:rsid w:val="5B062EBE"/>
    <w:rsid w:val="5B092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2025-07-18T06:34:00Z</dcterms:created>
  <dc:creator>adimn</dc:creator>
  <cp:lastModifiedBy>郑晓晖</cp:lastModifiedBy>
  <cp:lastPrinted>2025-07-18T06:55:00Z</cp:lastPrinted>
  <dcterms:modified xsi:type="dcterms:W3CDTF">2025-07-30T08:00:09Z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