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ascii="黑体" w:hAnsi="黑体" w:eastAsia="黑体" w:cs="黑体"/>
          <w:b/>
          <w:bCs/>
          <w:i w:val="0"/>
          <w:iCs w:val="0"/>
          <w:caps w:val="0"/>
          <w:color w:val="000000"/>
          <w:spacing w:val="0"/>
          <w:sz w:val="44"/>
          <w:szCs w:val="44"/>
          <w:lang w:val="en-US" w:eastAsia="zh-CN"/>
        </w:rPr>
      </w:pPr>
      <w:r>
        <w:rPr>
          <w:rFonts w:hint="eastAsia" w:ascii="黑体" w:hAnsi="黑体" w:eastAsia="黑体" w:cs="黑体"/>
          <w:b/>
          <w:bCs/>
          <w:i w:val="0"/>
          <w:iCs w:val="0"/>
          <w:caps w:val="0"/>
          <w:color w:val="000000"/>
          <w:spacing w:val="0"/>
          <w:sz w:val="44"/>
          <w:szCs w:val="44"/>
          <w:lang w:val="en-US" w:eastAsia="zh-CN"/>
        </w:rPr>
        <w:t>关于营造更好环境支持破产重整</w:t>
      </w:r>
    </w:p>
    <w:p>
      <w:pPr>
        <w:ind w:firstLine="420"/>
        <w:jc w:val="center"/>
        <w:rPr>
          <w:rFonts w:hint="eastAsia" w:ascii="黑体" w:hAnsi="黑体" w:eastAsia="黑体" w:cs="黑体"/>
          <w:b/>
          <w:bCs/>
          <w:i w:val="0"/>
          <w:iCs w:val="0"/>
          <w:caps w:val="0"/>
          <w:color w:val="000000"/>
          <w:spacing w:val="0"/>
          <w:sz w:val="44"/>
          <w:szCs w:val="44"/>
          <w:lang w:val="en-US" w:eastAsia="zh-CN"/>
        </w:rPr>
      </w:pPr>
      <w:r>
        <w:rPr>
          <w:rFonts w:hint="eastAsia" w:ascii="黑体" w:hAnsi="黑体" w:eastAsia="黑体" w:cs="黑体"/>
          <w:b/>
          <w:bCs/>
          <w:i w:val="0"/>
          <w:iCs w:val="0"/>
          <w:caps w:val="0"/>
          <w:color w:val="000000"/>
          <w:spacing w:val="0"/>
          <w:sz w:val="44"/>
          <w:szCs w:val="44"/>
          <w:lang w:val="en-US" w:eastAsia="zh-CN"/>
        </w:rPr>
        <w:t>民营企业的意见</w:t>
      </w:r>
    </w:p>
    <w:p>
      <w:pPr>
        <w:ind w:firstLine="420"/>
        <w:rPr>
          <w:rFonts w:hint="eastAsia" w:ascii="仿宋" w:hAnsi="仿宋" w:eastAsia="仿宋" w:cs="仿宋"/>
          <w:i w:val="0"/>
          <w:iCs w:val="0"/>
          <w:caps w:val="0"/>
          <w:color w:val="000000"/>
          <w:spacing w:val="0"/>
          <w:sz w:val="32"/>
          <w:szCs w:val="32"/>
          <w:lang w:val="en-US" w:eastAsia="zh-CN"/>
        </w:rPr>
      </w:pPr>
    </w:p>
    <w:p>
      <w:pPr>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国家税务总局各县（市、区）税务局，各县（市、区）人民法院、发改部门、金融(办)局：</w:t>
      </w:r>
    </w:p>
    <w:p>
      <w:pPr>
        <w:ind w:firstLine="640" w:firstLineChars="200"/>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val="en-US" w:eastAsia="zh-CN"/>
        </w:rPr>
        <w:t>为进一步贯彻落实习近平总书记关于“晋江经验”的重要论述，</w:t>
      </w:r>
      <w:r>
        <w:rPr>
          <w:rFonts w:hint="eastAsia" w:ascii="仿宋" w:hAnsi="仿宋" w:eastAsia="仿宋" w:cs="仿宋"/>
          <w:i w:val="0"/>
          <w:iCs w:val="0"/>
          <w:caps w:val="0"/>
          <w:color w:val="000000"/>
          <w:spacing w:val="0"/>
          <w:sz w:val="32"/>
          <w:szCs w:val="32"/>
        </w:rPr>
        <w:t>聚焦</w:t>
      </w:r>
      <w:r>
        <w:rPr>
          <w:rFonts w:hint="eastAsia" w:ascii="仿宋" w:hAnsi="仿宋" w:eastAsia="仿宋" w:cs="仿宋"/>
          <w:i w:val="0"/>
          <w:iCs w:val="0"/>
          <w:caps w:val="0"/>
          <w:color w:val="000000"/>
          <w:spacing w:val="0"/>
          <w:sz w:val="32"/>
          <w:szCs w:val="32"/>
          <w:lang w:eastAsia="zh-CN"/>
        </w:rPr>
        <w:t>泉州</w:t>
      </w:r>
      <w:r>
        <w:rPr>
          <w:rFonts w:hint="eastAsia" w:ascii="仿宋" w:hAnsi="仿宋" w:eastAsia="仿宋" w:cs="仿宋"/>
          <w:i w:val="0"/>
          <w:iCs w:val="0"/>
          <w:caps w:val="0"/>
          <w:color w:val="000000"/>
          <w:spacing w:val="0"/>
          <w:sz w:val="32"/>
          <w:szCs w:val="32"/>
        </w:rPr>
        <w:t>民营企业</w:t>
      </w:r>
      <w:r>
        <w:rPr>
          <w:rFonts w:hint="eastAsia" w:ascii="仿宋" w:hAnsi="仿宋" w:eastAsia="仿宋" w:cs="仿宋"/>
          <w:i w:val="0"/>
          <w:iCs w:val="0"/>
          <w:caps w:val="0"/>
          <w:color w:val="000000"/>
          <w:spacing w:val="0"/>
          <w:sz w:val="32"/>
          <w:szCs w:val="32"/>
          <w:lang w:eastAsia="zh-CN"/>
        </w:rPr>
        <w:t>“疫情”下</w:t>
      </w:r>
      <w:r>
        <w:rPr>
          <w:rFonts w:hint="eastAsia" w:ascii="仿宋" w:hAnsi="仿宋" w:eastAsia="仿宋" w:cs="仿宋"/>
          <w:i w:val="0"/>
          <w:iCs w:val="0"/>
          <w:caps w:val="0"/>
          <w:color w:val="000000"/>
          <w:spacing w:val="0"/>
          <w:sz w:val="32"/>
          <w:szCs w:val="32"/>
        </w:rPr>
        <w:t>面临的突出</w:t>
      </w:r>
      <w:r>
        <w:rPr>
          <w:rFonts w:hint="eastAsia" w:ascii="仿宋" w:hAnsi="仿宋" w:eastAsia="仿宋" w:cs="仿宋"/>
          <w:i w:val="0"/>
          <w:iCs w:val="0"/>
          <w:caps w:val="0"/>
          <w:color w:val="000000"/>
          <w:spacing w:val="0"/>
          <w:sz w:val="32"/>
          <w:szCs w:val="32"/>
          <w:lang w:eastAsia="zh-CN"/>
        </w:rPr>
        <w:t>难</w:t>
      </w:r>
      <w:r>
        <w:rPr>
          <w:rFonts w:hint="eastAsia" w:ascii="仿宋" w:hAnsi="仿宋" w:eastAsia="仿宋" w:cs="仿宋"/>
          <w:i w:val="0"/>
          <w:iCs w:val="0"/>
          <w:caps w:val="0"/>
          <w:color w:val="000000"/>
          <w:spacing w:val="0"/>
          <w:sz w:val="32"/>
          <w:szCs w:val="32"/>
        </w:rPr>
        <w:t>题</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切实挽救具有重整价值的困境企业</w:t>
      </w:r>
      <w:r>
        <w:rPr>
          <w:rFonts w:hint="eastAsia" w:ascii="仿宋" w:hAnsi="仿宋" w:eastAsia="仿宋" w:cs="仿宋"/>
          <w:i w:val="0"/>
          <w:iCs w:val="0"/>
          <w:caps w:val="0"/>
          <w:color w:val="000000"/>
          <w:spacing w:val="0"/>
          <w:sz w:val="32"/>
          <w:szCs w:val="32"/>
          <w:lang w:eastAsia="zh-CN"/>
        </w:rPr>
        <w:t>，现</w:t>
      </w:r>
      <w:r>
        <w:rPr>
          <w:rFonts w:hint="eastAsia" w:ascii="仿宋" w:hAnsi="仿宋" w:eastAsia="仿宋" w:cs="仿宋"/>
          <w:i w:val="0"/>
          <w:iCs w:val="0"/>
          <w:caps w:val="0"/>
          <w:color w:val="000000"/>
          <w:spacing w:val="0"/>
          <w:sz w:val="32"/>
          <w:szCs w:val="32"/>
        </w:rPr>
        <w:t>围绕支持重整企业信用修复、加强对重整企业融资支持等方面，建立工作协调联动机制，完善相应工作措施</w:t>
      </w:r>
      <w:r>
        <w:rPr>
          <w:rFonts w:hint="eastAsia" w:ascii="仿宋" w:hAnsi="仿宋" w:eastAsia="仿宋" w:cs="仿宋"/>
          <w:i w:val="0"/>
          <w:iCs w:val="0"/>
          <w:caps w:val="0"/>
          <w:color w:val="000000"/>
          <w:spacing w:val="0"/>
          <w:sz w:val="32"/>
          <w:szCs w:val="32"/>
          <w:lang w:eastAsia="zh-CN"/>
        </w:rPr>
        <w:t>，进一步</w:t>
      </w:r>
      <w:r>
        <w:rPr>
          <w:rFonts w:hint="eastAsia" w:ascii="仿宋" w:hAnsi="仿宋" w:eastAsia="仿宋" w:cs="仿宋"/>
          <w:i w:val="0"/>
          <w:iCs w:val="0"/>
          <w:caps w:val="0"/>
          <w:color w:val="000000"/>
          <w:spacing w:val="0"/>
          <w:sz w:val="32"/>
          <w:szCs w:val="32"/>
        </w:rPr>
        <w:t>提升困境企业挽救效率</w:t>
      </w:r>
      <w:r>
        <w:rPr>
          <w:rFonts w:hint="eastAsia" w:ascii="仿宋" w:hAnsi="仿宋" w:eastAsia="仿宋" w:cs="仿宋"/>
          <w:i w:val="0"/>
          <w:iCs w:val="0"/>
          <w:caps w:val="0"/>
          <w:color w:val="000000"/>
          <w:spacing w:val="0"/>
          <w:sz w:val="32"/>
          <w:szCs w:val="32"/>
          <w:lang w:eastAsia="zh-CN"/>
        </w:rPr>
        <w:t>，帮助企业焕发生机活力</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现将《关于加强对破产重整民营企业支持的若干措施》印发给你们，请认真抓好落实。</w:t>
      </w:r>
    </w:p>
    <w:p>
      <w:pPr>
        <w:jc w:val="both"/>
        <w:rPr>
          <w:rFonts w:hint="eastAsia" w:ascii="仿宋" w:hAnsi="仿宋" w:eastAsia="仿宋" w:cs="仿宋"/>
          <w:i w:val="0"/>
          <w:iCs w:val="0"/>
          <w:caps w:val="0"/>
          <w:color w:val="000000"/>
          <w:spacing w:val="0"/>
          <w:sz w:val="32"/>
          <w:szCs w:val="32"/>
          <w:lang w:val="en-US" w:eastAsia="zh-CN"/>
        </w:rPr>
      </w:pPr>
    </w:p>
    <w:p>
      <w:pPr>
        <w:jc w:val="both"/>
        <w:rPr>
          <w:rFonts w:hint="eastAsia" w:ascii="仿宋" w:hAnsi="仿宋" w:eastAsia="仿宋" w:cs="仿宋"/>
          <w:i w:val="0"/>
          <w:iCs w:val="0"/>
          <w:caps w:val="0"/>
          <w:color w:val="000000"/>
          <w:spacing w:val="0"/>
          <w:sz w:val="32"/>
          <w:szCs w:val="32"/>
          <w:lang w:val="en-US" w:eastAsia="zh-CN"/>
        </w:rPr>
      </w:pPr>
    </w:p>
    <w:p>
      <w:pPr>
        <w:jc w:val="both"/>
        <w:rPr>
          <w:rFonts w:hint="eastAsia" w:ascii="仿宋" w:hAnsi="仿宋" w:eastAsia="仿宋" w:cs="仿宋"/>
          <w:i w:val="0"/>
          <w:iCs w:val="0"/>
          <w:caps w:val="0"/>
          <w:color w:val="000000"/>
          <w:spacing w:val="0"/>
          <w:sz w:val="32"/>
          <w:szCs w:val="32"/>
          <w:lang w:val="en-US" w:eastAsia="zh-CN"/>
        </w:rPr>
      </w:pPr>
    </w:p>
    <w:p>
      <w:pPr>
        <w:jc w:val="both"/>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国家税务总局泉州市税务局   福建省泉州市中级人民法院 </w:t>
      </w:r>
    </w:p>
    <w:p>
      <w:pPr>
        <w:jc w:val="center"/>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w:t>
      </w:r>
    </w:p>
    <w:p>
      <w:pPr>
        <w:jc w:val="center"/>
        <w:rPr>
          <w:rFonts w:hint="eastAsia" w:ascii="仿宋" w:hAnsi="仿宋" w:eastAsia="仿宋" w:cs="仿宋"/>
          <w:i w:val="0"/>
          <w:iCs w:val="0"/>
          <w:caps w:val="0"/>
          <w:color w:val="000000"/>
          <w:spacing w:val="0"/>
          <w:sz w:val="32"/>
          <w:szCs w:val="32"/>
          <w:lang w:val="en-US" w:eastAsia="zh-CN"/>
        </w:rPr>
      </w:pPr>
    </w:p>
    <w:p>
      <w:pPr>
        <w:jc w:val="center"/>
        <w:rPr>
          <w:rFonts w:hint="eastAsia" w:ascii="仿宋" w:hAnsi="仿宋" w:eastAsia="仿宋" w:cs="仿宋"/>
          <w:i w:val="0"/>
          <w:iCs w:val="0"/>
          <w:caps w:val="0"/>
          <w:color w:val="000000"/>
          <w:spacing w:val="0"/>
          <w:sz w:val="32"/>
          <w:szCs w:val="32"/>
          <w:lang w:val="en-US" w:eastAsia="zh-CN"/>
        </w:rPr>
      </w:pPr>
    </w:p>
    <w:p>
      <w:pPr>
        <w:jc w:val="both"/>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泉州市发展和改革委员会     泉州市地方金融监督管理局             </w:t>
      </w:r>
    </w:p>
    <w:p>
      <w:pPr>
        <w:ind w:firstLine="42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2022年1月29日</w:t>
      </w:r>
    </w:p>
    <w:p>
      <w:pPr>
        <w:ind w:firstLine="3520" w:firstLineChars="1100"/>
        <w:jc w:val="both"/>
        <w:rPr>
          <w:rFonts w:hint="default" w:ascii="仿宋" w:hAnsi="仿宋" w:eastAsia="仿宋" w:cs="仿宋"/>
          <w:i w:val="0"/>
          <w:iCs w:val="0"/>
          <w:caps w:val="0"/>
          <w:color w:val="000000"/>
          <w:spacing w:val="0"/>
          <w:sz w:val="32"/>
          <w:szCs w:val="32"/>
          <w:lang w:val="en-US" w:eastAsia="zh-CN"/>
        </w:rPr>
      </w:pPr>
    </w:p>
    <w:p>
      <w:pPr>
        <w:ind w:firstLine="420"/>
        <w:rPr>
          <w:rFonts w:hint="eastAsia" w:ascii="黑体" w:hAnsi="黑体" w:eastAsia="黑体" w:cs="黑体"/>
          <w:b/>
          <w:bCs/>
          <w:i w:val="0"/>
          <w:iCs w:val="0"/>
          <w:caps w:val="0"/>
          <w:color w:val="000000"/>
          <w:spacing w:val="0"/>
          <w:sz w:val="44"/>
          <w:szCs w:val="44"/>
          <w:lang w:val="en-US" w:eastAsia="zh-CN"/>
        </w:rPr>
      </w:pPr>
      <w:r>
        <w:rPr>
          <w:rFonts w:hint="eastAsia" w:ascii="仿宋" w:hAnsi="仿宋" w:eastAsia="仿宋" w:cs="仿宋"/>
          <w:i w:val="0"/>
          <w:iCs w:val="0"/>
          <w:caps w:val="0"/>
          <w:color w:val="000000"/>
          <w:spacing w:val="0"/>
          <w:sz w:val="32"/>
          <w:szCs w:val="32"/>
          <w:lang w:val="en-US" w:eastAsia="zh-CN"/>
        </w:rPr>
        <w:t xml:space="preserve">                        </w:t>
      </w:r>
    </w:p>
    <w:p>
      <w:pPr>
        <w:ind w:firstLine="420"/>
        <w:jc w:val="center"/>
        <w:rPr>
          <w:rFonts w:hint="eastAsia" w:ascii="黑体" w:hAnsi="黑体" w:eastAsia="黑体" w:cs="黑体"/>
          <w:b/>
          <w:bCs/>
          <w:i w:val="0"/>
          <w:iCs w:val="0"/>
          <w:caps w:val="0"/>
          <w:color w:val="000000"/>
          <w:spacing w:val="0"/>
          <w:sz w:val="44"/>
          <w:szCs w:val="44"/>
          <w:lang w:val="en-US" w:eastAsia="zh-CN"/>
        </w:rPr>
      </w:pPr>
      <w:r>
        <w:rPr>
          <w:rFonts w:hint="eastAsia" w:ascii="黑体" w:hAnsi="黑体" w:eastAsia="黑体" w:cs="黑体"/>
          <w:b/>
          <w:bCs/>
          <w:i w:val="0"/>
          <w:iCs w:val="0"/>
          <w:caps w:val="0"/>
          <w:color w:val="000000"/>
          <w:spacing w:val="0"/>
          <w:sz w:val="44"/>
          <w:szCs w:val="44"/>
          <w:lang w:val="en-US" w:eastAsia="zh-CN"/>
        </w:rPr>
        <w:t>关于加强对破产重整民营企业</w:t>
      </w:r>
    </w:p>
    <w:p>
      <w:pPr>
        <w:ind w:firstLine="420"/>
        <w:jc w:val="center"/>
        <w:rPr>
          <w:rFonts w:hint="eastAsia" w:ascii="黑体" w:hAnsi="黑体" w:eastAsia="黑体" w:cs="黑体"/>
          <w:b/>
          <w:bCs/>
          <w:i w:val="0"/>
          <w:iCs w:val="0"/>
          <w:caps w:val="0"/>
          <w:color w:val="000000"/>
          <w:spacing w:val="0"/>
          <w:sz w:val="44"/>
          <w:szCs w:val="44"/>
          <w:lang w:val="en-US" w:eastAsia="zh-CN"/>
        </w:rPr>
      </w:pPr>
      <w:r>
        <w:rPr>
          <w:rFonts w:hint="eastAsia" w:ascii="黑体" w:hAnsi="黑体" w:eastAsia="黑体" w:cs="黑体"/>
          <w:b/>
          <w:bCs/>
          <w:i w:val="0"/>
          <w:iCs w:val="0"/>
          <w:caps w:val="0"/>
          <w:color w:val="000000"/>
          <w:spacing w:val="0"/>
          <w:sz w:val="44"/>
          <w:szCs w:val="44"/>
          <w:lang w:val="en-US" w:eastAsia="zh-CN"/>
        </w:rPr>
        <w:t>支持的若干措施</w:t>
      </w:r>
    </w:p>
    <w:p>
      <w:pPr>
        <w:ind w:firstLine="420"/>
        <w:rPr>
          <w:rFonts w:hint="eastAsia" w:ascii="仿宋" w:hAnsi="仿宋" w:eastAsia="仿宋" w:cs="仿宋"/>
          <w:i w:val="0"/>
          <w:iCs w:val="0"/>
          <w:caps w:val="0"/>
          <w:color w:val="000000"/>
          <w:spacing w:val="0"/>
          <w:sz w:val="32"/>
          <w:szCs w:val="32"/>
          <w:lang w:val="en-US" w:eastAsia="zh-CN"/>
        </w:rPr>
      </w:pPr>
    </w:p>
    <w:p>
      <w:pPr>
        <w:ind w:firstLine="640" w:firstLineChars="200"/>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val="en-US" w:eastAsia="zh-CN"/>
        </w:rPr>
        <w:t>为认真贯彻中央经济工作会议“稳中求进”总基调，进一步传承弘扬“晋江经验”，支持我市民营企业做大做强实体经济，</w:t>
      </w:r>
      <w:r>
        <w:rPr>
          <w:rFonts w:hint="eastAsia" w:ascii="仿宋" w:hAnsi="仿宋" w:eastAsia="仿宋" w:cs="仿宋"/>
          <w:i w:val="0"/>
          <w:iCs w:val="0"/>
          <w:caps w:val="0"/>
          <w:color w:val="000000"/>
          <w:spacing w:val="0"/>
          <w:sz w:val="32"/>
          <w:szCs w:val="32"/>
          <w:lang w:eastAsia="zh-CN"/>
        </w:rPr>
        <w:t>帮助破产重整企业走出困境、高效开拓市场、实现持续健康发展，</w:t>
      </w:r>
      <w:r>
        <w:rPr>
          <w:rFonts w:hint="eastAsia" w:ascii="仿宋" w:hAnsi="仿宋" w:eastAsia="仿宋" w:cs="仿宋"/>
          <w:i w:val="0"/>
          <w:iCs w:val="0"/>
          <w:caps w:val="0"/>
          <w:color w:val="000000"/>
          <w:spacing w:val="0"/>
          <w:sz w:val="32"/>
          <w:szCs w:val="32"/>
        </w:rPr>
        <w:t>结合</w:t>
      </w:r>
      <w:r>
        <w:rPr>
          <w:rFonts w:hint="eastAsia" w:ascii="仿宋" w:hAnsi="仿宋" w:eastAsia="仿宋" w:cs="仿宋"/>
          <w:i w:val="0"/>
          <w:iCs w:val="0"/>
          <w:caps w:val="0"/>
          <w:color w:val="000000"/>
          <w:spacing w:val="0"/>
          <w:sz w:val="32"/>
          <w:szCs w:val="32"/>
          <w:lang w:eastAsia="zh-CN"/>
        </w:rPr>
        <w:t>我市</w:t>
      </w:r>
      <w:r>
        <w:rPr>
          <w:rFonts w:hint="eastAsia" w:ascii="仿宋" w:hAnsi="仿宋" w:eastAsia="仿宋" w:cs="仿宋"/>
          <w:i w:val="0"/>
          <w:iCs w:val="0"/>
          <w:caps w:val="0"/>
          <w:color w:val="000000"/>
          <w:spacing w:val="0"/>
          <w:sz w:val="32"/>
          <w:szCs w:val="32"/>
        </w:rPr>
        <w:t>民营经济特点和</w:t>
      </w:r>
      <w:r>
        <w:rPr>
          <w:rFonts w:hint="eastAsia" w:ascii="仿宋" w:hAnsi="仿宋" w:eastAsia="仿宋" w:cs="仿宋"/>
          <w:i w:val="0"/>
          <w:iCs w:val="0"/>
          <w:caps w:val="0"/>
          <w:color w:val="000000"/>
          <w:spacing w:val="0"/>
          <w:sz w:val="32"/>
          <w:szCs w:val="32"/>
          <w:lang w:eastAsia="zh-CN"/>
        </w:rPr>
        <w:t>实际提出以下措施：</w:t>
      </w:r>
    </w:p>
    <w:p>
      <w:pPr>
        <w:numPr>
          <w:ilvl w:val="0"/>
          <w:numId w:val="0"/>
        </w:numPr>
        <w:ind w:firstLine="640"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eastAsia="zh-CN"/>
        </w:rPr>
        <w:t>一、</w:t>
      </w:r>
      <w:r>
        <w:rPr>
          <w:rFonts w:hint="eastAsia" w:ascii="仿宋" w:hAnsi="仿宋" w:eastAsia="仿宋" w:cs="仿宋"/>
          <w:b/>
          <w:bCs/>
          <w:i w:val="0"/>
          <w:iCs w:val="0"/>
          <w:caps w:val="0"/>
          <w:color w:val="000000"/>
          <w:spacing w:val="0"/>
          <w:sz w:val="32"/>
          <w:szCs w:val="32"/>
          <w:lang w:eastAsia="zh-CN"/>
        </w:rPr>
        <w:t>建立破产重整企业联动服务机制。</w:t>
      </w:r>
      <w:r>
        <w:rPr>
          <w:rFonts w:hint="eastAsia" w:ascii="仿宋" w:hAnsi="仿宋" w:eastAsia="仿宋" w:cs="仿宋"/>
          <w:i w:val="0"/>
          <w:iCs w:val="0"/>
          <w:caps w:val="0"/>
          <w:color w:val="000000"/>
          <w:spacing w:val="0"/>
          <w:sz w:val="32"/>
          <w:szCs w:val="32"/>
          <w:highlight w:val="none"/>
          <w:lang w:eastAsia="zh-CN"/>
        </w:rPr>
        <w:t>由泉州市税务局、泉州市中级人民法院、</w:t>
      </w:r>
      <w:r>
        <w:rPr>
          <w:rFonts w:hint="eastAsia" w:ascii="仿宋" w:hAnsi="仿宋" w:eastAsia="仿宋" w:cs="仿宋"/>
          <w:i w:val="0"/>
          <w:iCs w:val="0"/>
          <w:caps w:val="0"/>
          <w:color w:val="000000"/>
          <w:spacing w:val="0"/>
          <w:sz w:val="32"/>
          <w:szCs w:val="32"/>
          <w:highlight w:val="none"/>
          <w:lang w:val="en-US" w:eastAsia="zh-CN"/>
        </w:rPr>
        <w:t>泉州市发改委和泉州市金融监管局联合</w:t>
      </w:r>
      <w:r>
        <w:rPr>
          <w:rFonts w:hint="eastAsia" w:ascii="仿宋" w:hAnsi="仿宋" w:eastAsia="仿宋" w:cs="仿宋"/>
          <w:i w:val="0"/>
          <w:iCs w:val="0"/>
          <w:caps w:val="0"/>
          <w:color w:val="000000"/>
          <w:spacing w:val="0"/>
          <w:sz w:val="32"/>
          <w:szCs w:val="32"/>
          <w:lang w:val="en-US" w:eastAsia="zh-CN"/>
        </w:rPr>
        <w:t>建立企业破产重整协调联动机制，加强信息共享和整体联动，有效打通破产重整企业政策“孤岛”，建立破产重整企业联动服务平台，使破产重整企业享受跨部门多领域协同服务，提高破产重整质效。</w:t>
      </w:r>
    </w:p>
    <w:p>
      <w:pPr>
        <w:numPr>
          <w:ilvl w:val="0"/>
          <w:numId w:val="0"/>
        </w:numPr>
        <w:ind w:firstLine="643" w:firstLineChars="200"/>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b/>
          <w:bCs/>
          <w:i w:val="0"/>
          <w:iCs w:val="0"/>
          <w:caps w:val="0"/>
          <w:color w:val="000000"/>
          <w:spacing w:val="0"/>
          <w:sz w:val="32"/>
          <w:szCs w:val="32"/>
          <w:lang w:eastAsia="zh-CN"/>
        </w:rPr>
        <w:t>二、“一企一策”积极引导。</w:t>
      </w:r>
      <w:r>
        <w:rPr>
          <w:rFonts w:hint="eastAsia" w:ascii="仿宋" w:hAnsi="仿宋" w:eastAsia="仿宋" w:cs="仿宋"/>
          <w:i w:val="0"/>
          <w:iCs w:val="0"/>
          <w:caps w:val="0"/>
          <w:color w:val="000000"/>
          <w:spacing w:val="0"/>
          <w:sz w:val="32"/>
          <w:szCs w:val="32"/>
          <w:lang w:eastAsia="zh-CN"/>
        </w:rPr>
        <w:t>泉州市中级人民法院定期整理《已批准重整计划重整企业清单》推送至泉州市税务局，泉州市税务局通过信息系统主动比对破产重整企业纳税信用等级现状及税务机关依法受偿情况，对有意向进行信用修复的企业，联系破产管理人、破产重整企业按照“一企一策”帮助破产重整企业开展企业信用修复、融资支持等各项预审查工作，提供全业务流程咨询辅导。对于破产重整企业根据《关于纳税信用评价与修复有关事项的公告》（国家税务总局公告</w:t>
      </w:r>
      <w:r>
        <w:rPr>
          <w:rFonts w:hint="eastAsia" w:ascii="仿宋" w:hAnsi="仿宋" w:eastAsia="仿宋" w:cs="仿宋"/>
          <w:i w:val="0"/>
          <w:iCs w:val="0"/>
          <w:caps w:val="0"/>
          <w:color w:val="000000"/>
          <w:spacing w:val="0"/>
          <w:sz w:val="32"/>
          <w:szCs w:val="32"/>
          <w:lang w:val="en-US" w:eastAsia="zh-CN"/>
        </w:rPr>
        <w:t>2021年第31号</w:t>
      </w:r>
      <w:r>
        <w:rPr>
          <w:rFonts w:hint="eastAsia" w:ascii="仿宋" w:hAnsi="仿宋" w:eastAsia="仿宋" w:cs="仿宋"/>
          <w:i w:val="0"/>
          <w:iCs w:val="0"/>
          <w:caps w:val="0"/>
          <w:color w:val="000000"/>
          <w:spacing w:val="0"/>
          <w:sz w:val="32"/>
          <w:szCs w:val="32"/>
          <w:lang w:eastAsia="zh-CN"/>
        </w:rPr>
        <w:t>）在重整或和解程序中，已依法缴纳税款、滞纳金、罚款，并纠正相关纳税信用失信行为后，泉州市税务局为其成立信用修复快速审批通道，提升重整企业的挽救效率，保障重整企业正常经营和后续发展。</w:t>
      </w:r>
    </w:p>
    <w:p>
      <w:pPr>
        <w:numPr>
          <w:ilvl w:val="0"/>
          <w:numId w:val="0"/>
        </w:numPr>
        <w:ind w:firstLine="643" w:firstLineChars="200"/>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b/>
          <w:bCs/>
          <w:i w:val="0"/>
          <w:iCs w:val="0"/>
          <w:caps w:val="0"/>
          <w:color w:val="000000"/>
          <w:spacing w:val="0"/>
          <w:sz w:val="32"/>
          <w:szCs w:val="32"/>
          <w:lang w:eastAsia="zh-CN"/>
        </w:rPr>
        <w:t>三、精准对焦享受修复红利。</w:t>
      </w:r>
      <w:r>
        <w:rPr>
          <w:rFonts w:hint="eastAsia" w:ascii="仿宋" w:hAnsi="仿宋" w:eastAsia="仿宋" w:cs="仿宋"/>
          <w:i w:val="0"/>
          <w:iCs w:val="0"/>
          <w:caps w:val="0"/>
          <w:color w:val="333333"/>
          <w:spacing w:val="8"/>
          <w:sz w:val="32"/>
          <w:szCs w:val="32"/>
          <w:shd w:val="clear" w:fill="FFFFFF"/>
          <w:lang w:eastAsia="zh-CN"/>
        </w:rPr>
        <w:t>精准对焦</w:t>
      </w:r>
      <w:r>
        <w:rPr>
          <w:rFonts w:hint="eastAsia" w:ascii="仿宋" w:hAnsi="仿宋" w:eastAsia="仿宋" w:cs="仿宋"/>
          <w:i w:val="0"/>
          <w:iCs w:val="0"/>
          <w:caps w:val="0"/>
          <w:color w:val="000000"/>
          <w:spacing w:val="0"/>
          <w:sz w:val="32"/>
          <w:szCs w:val="32"/>
          <w:lang w:eastAsia="zh-CN"/>
        </w:rPr>
        <w:t>纳税信用已成功修复的</w:t>
      </w:r>
      <w:r>
        <w:rPr>
          <w:rFonts w:hint="eastAsia" w:ascii="仿宋" w:hAnsi="仿宋" w:eastAsia="仿宋" w:cs="仿宋"/>
          <w:i w:val="0"/>
          <w:iCs w:val="0"/>
          <w:caps w:val="0"/>
          <w:color w:val="333333"/>
          <w:spacing w:val="8"/>
          <w:sz w:val="32"/>
          <w:szCs w:val="32"/>
          <w:shd w:val="clear" w:fill="FFFFFF"/>
        </w:rPr>
        <w:t>破产重整企业</w:t>
      </w:r>
      <w:r>
        <w:rPr>
          <w:rFonts w:hint="eastAsia" w:ascii="仿宋" w:hAnsi="仿宋" w:eastAsia="仿宋" w:cs="仿宋"/>
          <w:i w:val="0"/>
          <w:iCs w:val="0"/>
          <w:caps w:val="0"/>
          <w:color w:val="333333"/>
          <w:spacing w:val="8"/>
          <w:sz w:val="32"/>
          <w:szCs w:val="32"/>
          <w:shd w:val="clear" w:fill="FFFFFF"/>
          <w:lang w:eastAsia="zh-CN"/>
        </w:rPr>
        <w:t>，由主管税务机关提供“一对一”的个性化辅导，确保企业正常获得金融机构融资、即时调高发票用量、更大限度享受税费优惠，合力帮助企业尽快消除不良影响，恢复正常生产经营活动。</w:t>
      </w:r>
    </w:p>
    <w:p>
      <w:pPr>
        <w:numPr>
          <w:ilvl w:val="0"/>
          <w:numId w:val="0"/>
        </w:numPr>
        <w:ind w:firstLine="643"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eastAsia="zh-CN"/>
        </w:rPr>
        <w:t>四、</w:t>
      </w:r>
      <w:r>
        <w:rPr>
          <w:rFonts w:hint="eastAsia" w:ascii="仿宋" w:hAnsi="仿宋" w:eastAsia="仿宋" w:cs="仿宋"/>
          <w:b/>
          <w:bCs/>
          <w:i w:val="0"/>
          <w:iCs w:val="0"/>
          <w:caps w:val="0"/>
          <w:color w:val="000000"/>
          <w:spacing w:val="0"/>
          <w:sz w:val="32"/>
          <w:szCs w:val="32"/>
        </w:rPr>
        <w:t>鼓励金融机构提供融资便利</w:t>
      </w: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eastAsia="zh-CN"/>
        </w:rPr>
        <w:t>充分运用金融机构与税务机关之间“银税互动”等信用应用机制，税务机关将修复结果经纳税人授权后向相关金融机构开放查询，或将守信企业的纳税信用记录及时推送给金融机构，有效将企业的“信用记录”转为“信贷资金”。</w:t>
      </w:r>
    </w:p>
    <w:p>
      <w:pPr>
        <w:ind w:firstLine="420"/>
        <w:rPr>
          <w:rFonts w:hint="eastAsia" w:ascii="仿宋" w:hAnsi="仿宋" w:eastAsia="仿宋" w:cs="仿宋"/>
          <w:i w:val="0"/>
          <w:iCs w:val="0"/>
          <w:caps w:val="0"/>
          <w:color w:val="000000"/>
          <w:spacing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6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2022-07-28T07:53:44Z</dcterms:created>
  <dc:creator>qzgs-nfk</dc:creator>
  <cp:lastModifiedBy>黄璐</cp:lastModifiedBy>
  <dcterms:modified xsi:type="dcterms:W3CDTF">2022-07-28T07:53:55Z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