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"/>
        </w:rPr>
        <w:t>扩大实施缓缴政策的困难行业名单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农副食品加工业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纺织业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纺织服装、服饰业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造纸和纸制品业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印刷和记录媒介复制业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医药制造业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化学纤维制造业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橡胶和塑料制品业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通用设备制造业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汽车制造业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铁路、船舶、航空航天和其他运输设备制造业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仪器仪表制造业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社会工作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广播、电视、电影和录音制作业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文化艺术业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体育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娱乐业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F306C"/>
    <w:rsid w:val="06C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2022-06-13T09:33:00Z</dcterms:created>
  <dc:creator>hjy</dc:creator>
  <cp:lastModifiedBy>hjy</cp:lastModifiedBy>
  <dcterms:modified xsi:type="dcterms:W3CDTF">2022-06-13T09:36:21Z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