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ascii="宋体" w:cs="宋体"/>
          <w:color w:val="auto"/>
          <w:highlight w:val="none"/>
        </w:rPr>
      </w:pPr>
    </w:p>
    <w:p>
      <w:pPr>
        <w:pStyle w:val="8"/>
        <w:rPr>
          <w:rFonts w:ascii="宋体" w:cs="宋体"/>
          <w:color w:val="auto"/>
          <w:highlight w:val="none"/>
        </w:rPr>
      </w:pPr>
    </w:p>
    <w:p>
      <w:pPr>
        <w:rPr>
          <w:color w:val="auto"/>
          <w:highlight w:val="none"/>
        </w:rPr>
      </w:pPr>
    </w:p>
    <w:p>
      <w:pPr>
        <w:pStyle w:val="8"/>
        <w:jc w:val="center"/>
        <w:rPr>
          <w:rFonts w:ascii="宋体" w:cs="宋体"/>
          <w:color w:val="auto"/>
          <w:sz w:val="84"/>
          <w:szCs w:val="84"/>
          <w:highlight w:val="none"/>
        </w:rPr>
      </w:pPr>
      <w:r>
        <w:rPr>
          <w:rFonts w:hint="eastAsia" w:ascii="宋体" w:cs="宋体"/>
          <w:color w:val="auto"/>
          <w:sz w:val="84"/>
          <w:szCs w:val="84"/>
          <w:highlight w:val="none"/>
        </w:rPr>
        <w:t>公开招标文件</w:t>
      </w: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left="3170" w:leftChars="843" w:hanging="1400" w:hangingChars="500"/>
        <w:rPr>
          <w:rFonts w:cs="宋体"/>
          <w:color w:val="auto"/>
          <w:sz w:val="28"/>
          <w:szCs w:val="28"/>
          <w:highlight w:val="none"/>
          <w:u w:val="single"/>
        </w:rPr>
      </w:pPr>
      <w:r>
        <w:rPr>
          <w:rFonts w:hint="eastAsia" w:cs="宋体"/>
          <w:color w:val="auto"/>
          <w:sz w:val="28"/>
          <w:szCs w:val="28"/>
          <w:highlight w:val="none"/>
        </w:rPr>
        <w:t>项目名称：</w:t>
      </w:r>
      <w:r>
        <w:rPr>
          <w:rFonts w:hint="eastAsia" w:cs="宋体"/>
          <w:color w:val="auto"/>
          <w:sz w:val="28"/>
          <w:szCs w:val="28"/>
          <w:highlight w:val="none"/>
          <w:u w:val="single"/>
        </w:rPr>
        <w:t>福建税务2023年机房搬迁项目</w:t>
      </w:r>
    </w:p>
    <w:p>
      <w:pPr>
        <w:pStyle w:val="20"/>
        <w:ind w:firstLine="1772" w:firstLineChars="633"/>
        <w:jc w:val="center"/>
        <w:rPr>
          <w:rFonts w:cs="宋体"/>
          <w:color w:val="auto"/>
          <w:sz w:val="28"/>
          <w:szCs w:val="28"/>
          <w:highlight w:val="none"/>
        </w:rPr>
      </w:pPr>
    </w:p>
    <w:p>
      <w:pPr>
        <w:pStyle w:val="20"/>
        <w:ind w:firstLine="1772" w:firstLineChars="633"/>
        <w:rPr>
          <w:rFonts w:cs="宋体"/>
          <w:color w:val="auto"/>
          <w:sz w:val="28"/>
          <w:szCs w:val="28"/>
          <w:highlight w:val="none"/>
        </w:rPr>
      </w:pPr>
      <w:r>
        <w:rPr>
          <w:rFonts w:hint="eastAsia" w:cs="宋体"/>
          <w:color w:val="auto"/>
          <w:sz w:val="28"/>
          <w:szCs w:val="28"/>
          <w:highlight w:val="none"/>
        </w:rPr>
        <w:t>项目编号：</w:t>
      </w:r>
      <w:r>
        <w:rPr>
          <w:rFonts w:cs="宋体"/>
          <w:color w:val="auto"/>
          <w:sz w:val="28"/>
          <w:szCs w:val="28"/>
          <w:highlight w:val="none"/>
          <w:u w:val="single"/>
        </w:rPr>
        <w:t xml:space="preserve"> </w:t>
      </w:r>
      <w:r>
        <w:rPr>
          <w:rFonts w:hint="eastAsia" w:cs="宋体"/>
          <w:color w:val="auto"/>
          <w:sz w:val="28"/>
          <w:szCs w:val="28"/>
          <w:highlight w:val="none"/>
          <w:u w:val="single"/>
        </w:rPr>
        <w:t>ZXWT-2024-68</w:t>
      </w:r>
    </w:p>
    <w:p>
      <w:pPr>
        <w:pStyle w:val="20"/>
        <w:ind w:firstLine="1772" w:firstLineChars="633"/>
        <w:jc w:val="center"/>
        <w:rPr>
          <w:rFonts w:cs="宋体"/>
          <w:color w:val="auto"/>
          <w:sz w:val="28"/>
          <w:szCs w:val="28"/>
          <w:highlight w:val="none"/>
        </w:rPr>
      </w:pPr>
    </w:p>
    <w:p>
      <w:pPr>
        <w:pStyle w:val="20"/>
        <w:ind w:firstLine="1772" w:firstLineChars="633"/>
        <w:rPr>
          <w:rFonts w:cs="宋体"/>
          <w:color w:val="auto"/>
          <w:sz w:val="28"/>
          <w:szCs w:val="28"/>
          <w:highlight w:val="none"/>
        </w:rPr>
      </w:pPr>
      <w:r>
        <w:rPr>
          <w:rFonts w:hint="eastAsia" w:cs="宋体"/>
          <w:color w:val="auto"/>
          <w:sz w:val="28"/>
          <w:szCs w:val="28"/>
          <w:highlight w:val="none"/>
        </w:rPr>
        <w:t>采购人名称：</w:t>
      </w:r>
      <w:r>
        <w:rPr>
          <w:rFonts w:hint="eastAsia" w:cs="宋体"/>
          <w:color w:val="auto"/>
          <w:sz w:val="28"/>
          <w:szCs w:val="28"/>
          <w:highlight w:val="none"/>
          <w:u w:val="single"/>
        </w:rPr>
        <w:t>国家税务总局福建省税务局</w:t>
      </w:r>
    </w:p>
    <w:p>
      <w:pPr>
        <w:pStyle w:val="20"/>
        <w:ind w:firstLine="1772" w:firstLineChars="633"/>
        <w:jc w:val="center"/>
        <w:rPr>
          <w:rFonts w:cs="宋体"/>
          <w:color w:val="auto"/>
          <w:sz w:val="28"/>
          <w:szCs w:val="28"/>
          <w:highlight w:val="none"/>
        </w:rPr>
      </w:pPr>
    </w:p>
    <w:p>
      <w:pPr>
        <w:pStyle w:val="20"/>
        <w:ind w:firstLine="1772" w:firstLineChars="633"/>
        <w:rPr>
          <w:rFonts w:cs="宋体"/>
          <w:color w:val="auto"/>
          <w:sz w:val="28"/>
          <w:szCs w:val="28"/>
          <w:highlight w:val="none"/>
        </w:rPr>
      </w:pPr>
      <w:r>
        <w:rPr>
          <w:rFonts w:hint="eastAsia" w:cs="宋体"/>
          <w:color w:val="auto"/>
          <w:sz w:val="28"/>
          <w:szCs w:val="28"/>
          <w:highlight w:val="none"/>
        </w:rPr>
        <w:t>采购代理机构：</w:t>
      </w:r>
      <w:r>
        <w:rPr>
          <w:rFonts w:hint="eastAsia" w:cs="宋体"/>
          <w:color w:val="auto"/>
          <w:sz w:val="28"/>
          <w:szCs w:val="28"/>
          <w:highlight w:val="none"/>
          <w:u w:val="single"/>
        </w:rPr>
        <w:t>福建省智信招标有限公司</w:t>
      </w: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ind w:firstLine="420" w:firstLineChars="200"/>
        <w:rPr>
          <w:rFonts w:cs="宋体"/>
          <w:color w:val="auto"/>
          <w:highlight w:val="none"/>
        </w:rPr>
      </w:pPr>
    </w:p>
    <w:p>
      <w:pPr>
        <w:pStyle w:val="20"/>
        <w:jc w:val="center"/>
        <w:rPr>
          <w:rFonts w:cs="宋体"/>
          <w:color w:val="auto"/>
          <w:sz w:val="28"/>
          <w:szCs w:val="28"/>
          <w:highlight w:val="none"/>
          <w:u w:val="single"/>
        </w:rPr>
      </w:pPr>
      <w:r>
        <w:rPr>
          <w:rFonts w:cs="宋体"/>
          <w:color w:val="auto"/>
          <w:sz w:val="28"/>
          <w:szCs w:val="28"/>
          <w:highlight w:val="none"/>
          <w:u w:val="single"/>
        </w:rPr>
        <w:t>202</w:t>
      </w:r>
      <w:r>
        <w:rPr>
          <w:rFonts w:hint="eastAsia" w:cs="宋体"/>
          <w:color w:val="auto"/>
          <w:sz w:val="28"/>
          <w:szCs w:val="28"/>
          <w:highlight w:val="none"/>
          <w:u w:val="single"/>
        </w:rPr>
        <w:t>4</w:t>
      </w:r>
      <w:r>
        <w:rPr>
          <w:rFonts w:hint="eastAsia" w:cs="宋体"/>
          <w:color w:val="auto"/>
          <w:sz w:val="28"/>
          <w:szCs w:val="28"/>
          <w:highlight w:val="none"/>
        </w:rPr>
        <w:t>年</w:t>
      </w:r>
      <w:r>
        <w:rPr>
          <w:rFonts w:cs="宋体"/>
          <w:color w:val="auto"/>
          <w:sz w:val="28"/>
          <w:szCs w:val="28"/>
          <w:highlight w:val="none"/>
          <w:u w:val="single"/>
        </w:rPr>
        <w:t xml:space="preserve"> </w:t>
      </w:r>
      <w:r>
        <w:rPr>
          <w:rFonts w:hint="eastAsia" w:cs="宋体"/>
          <w:color w:val="auto"/>
          <w:sz w:val="28"/>
          <w:szCs w:val="28"/>
          <w:highlight w:val="none"/>
          <w:u w:val="single"/>
          <w:lang w:val="en-US" w:eastAsia="zh-CN"/>
        </w:rPr>
        <w:t>03</w:t>
      </w:r>
      <w:r>
        <w:rPr>
          <w:rFonts w:cs="宋体"/>
          <w:color w:val="auto"/>
          <w:sz w:val="28"/>
          <w:szCs w:val="28"/>
          <w:highlight w:val="none"/>
          <w:u w:val="single"/>
        </w:rPr>
        <w:t xml:space="preserve"> </w:t>
      </w:r>
      <w:r>
        <w:rPr>
          <w:rFonts w:hint="eastAsia" w:cs="宋体"/>
          <w:color w:val="auto"/>
          <w:sz w:val="28"/>
          <w:szCs w:val="28"/>
          <w:highlight w:val="none"/>
        </w:rPr>
        <w:t>月</w:t>
      </w:r>
      <w:r>
        <w:rPr>
          <w:rFonts w:hint="eastAsia" w:cs="宋体"/>
          <w:color w:val="auto"/>
          <w:sz w:val="28"/>
          <w:szCs w:val="28"/>
          <w:highlight w:val="none"/>
          <w:u w:val="single"/>
          <w:lang w:val="en-US" w:eastAsia="zh-CN"/>
        </w:rPr>
        <w:t>08</w:t>
      </w:r>
      <w:r>
        <w:rPr>
          <w:rFonts w:cs="宋体"/>
          <w:color w:val="auto"/>
          <w:sz w:val="28"/>
          <w:szCs w:val="28"/>
          <w:highlight w:val="none"/>
          <w:u w:val="single"/>
        </w:rPr>
        <w:t xml:space="preserve"> </w:t>
      </w:r>
      <w:r>
        <w:rPr>
          <w:rFonts w:hint="eastAsia" w:cs="宋体"/>
          <w:color w:val="auto"/>
          <w:sz w:val="28"/>
          <w:szCs w:val="28"/>
          <w:highlight w:val="none"/>
        </w:rPr>
        <w:t>日</w:t>
      </w:r>
    </w:p>
    <w:p>
      <w:pPr>
        <w:pStyle w:val="20"/>
        <w:ind w:firstLine="420" w:firstLineChars="200"/>
        <w:jc w:val="center"/>
        <w:rPr>
          <w:rFonts w:cs="宋体"/>
          <w:color w:val="auto"/>
          <w:sz w:val="36"/>
          <w:szCs w:val="36"/>
          <w:highlight w:val="none"/>
        </w:rPr>
      </w:pPr>
      <w:r>
        <w:rPr>
          <w:rFonts w:cs="宋体"/>
          <w:color w:val="auto"/>
          <w:highlight w:val="none"/>
        </w:rPr>
        <w:br w:type="page"/>
      </w:r>
      <w:r>
        <w:rPr>
          <w:rFonts w:hint="eastAsia" w:cs="宋体"/>
          <w:color w:val="auto"/>
          <w:sz w:val="36"/>
          <w:szCs w:val="36"/>
          <w:highlight w:val="none"/>
        </w:rPr>
        <w:t>目　录</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spacing w:line="500" w:lineRule="exact"/>
        <w:ind w:firstLine="560" w:firstLineChars="200"/>
        <w:jc w:val="center"/>
        <w:rPr>
          <w:rFonts w:cs="宋体"/>
          <w:color w:val="auto"/>
          <w:sz w:val="28"/>
          <w:szCs w:val="28"/>
          <w:highlight w:val="none"/>
        </w:rPr>
      </w:pPr>
      <w:r>
        <w:rPr>
          <w:rFonts w:hint="eastAsia" w:cs="宋体"/>
          <w:color w:val="auto"/>
          <w:sz w:val="28"/>
          <w:szCs w:val="28"/>
          <w:highlight w:val="none"/>
        </w:rPr>
        <w:t>第一部分　商务部分</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第一章　投标邀请</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第二章　投标人须知</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第三章　评标方法及标准</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第四章　拟签订的合同文本</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第五章　投标文件组成</w:t>
      </w:r>
    </w:p>
    <w:p>
      <w:pPr>
        <w:pStyle w:val="20"/>
        <w:spacing w:line="500" w:lineRule="exact"/>
        <w:ind w:firstLine="560" w:firstLineChars="200"/>
        <w:jc w:val="center"/>
        <w:rPr>
          <w:rFonts w:cs="宋体"/>
          <w:color w:val="auto"/>
          <w:sz w:val="28"/>
          <w:szCs w:val="28"/>
          <w:highlight w:val="none"/>
        </w:rPr>
      </w:pPr>
      <w:r>
        <w:rPr>
          <w:rFonts w:hint="eastAsia" w:cs="宋体"/>
          <w:color w:val="auto"/>
          <w:sz w:val="28"/>
          <w:szCs w:val="28"/>
          <w:highlight w:val="none"/>
        </w:rPr>
        <w:t>第二部分　技术部分</w:t>
      </w:r>
    </w:p>
    <w:p>
      <w:pPr>
        <w:pStyle w:val="20"/>
        <w:spacing w:line="500" w:lineRule="exact"/>
        <w:ind w:firstLine="560" w:firstLineChars="200"/>
        <w:rPr>
          <w:rFonts w:cs="宋体"/>
          <w:color w:val="auto"/>
          <w:sz w:val="28"/>
          <w:szCs w:val="28"/>
          <w:highlight w:val="none"/>
        </w:rPr>
      </w:pPr>
      <w:r>
        <w:rPr>
          <w:rFonts w:hint="eastAsia" w:cs="宋体"/>
          <w:color w:val="auto"/>
          <w:sz w:val="28"/>
          <w:szCs w:val="28"/>
          <w:highlight w:val="none"/>
        </w:rPr>
        <w:t>第六章　项目采购需求</w:t>
      </w:r>
    </w:p>
    <w:p>
      <w:pPr>
        <w:pStyle w:val="20"/>
        <w:spacing w:line="400" w:lineRule="exact"/>
        <w:ind w:firstLine="480" w:firstLineChars="200"/>
        <w:jc w:val="center"/>
        <w:rPr>
          <w:rFonts w:cs="宋体"/>
          <w:b/>
          <w:color w:val="auto"/>
          <w:sz w:val="28"/>
          <w:szCs w:val="28"/>
          <w:highlight w:val="none"/>
        </w:rPr>
      </w:pPr>
      <w:r>
        <w:rPr>
          <w:rFonts w:cs="宋体"/>
          <w:color w:val="auto"/>
          <w:sz w:val="24"/>
          <w:szCs w:val="24"/>
          <w:highlight w:val="none"/>
        </w:rPr>
        <w:br w:type="page"/>
      </w:r>
      <w:r>
        <w:rPr>
          <w:rFonts w:hint="eastAsia" w:cs="宋体"/>
          <w:b/>
          <w:color w:val="auto"/>
          <w:sz w:val="28"/>
          <w:szCs w:val="28"/>
          <w:highlight w:val="none"/>
        </w:rPr>
        <w:t>第一部分　商务部分</w:t>
      </w:r>
    </w:p>
    <w:p>
      <w:pPr>
        <w:pStyle w:val="9"/>
        <w:spacing w:line="400" w:lineRule="exact"/>
        <w:jc w:val="center"/>
        <w:rPr>
          <w:rFonts w:ascii="宋体" w:cs="宋体"/>
          <w:color w:val="auto"/>
          <w:sz w:val="28"/>
          <w:szCs w:val="28"/>
          <w:highlight w:val="none"/>
        </w:rPr>
      </w:pPr>
      <w:r>
        <w:rPr>
          <w:rFonts w:hint="eastAsia" w:ascii="宋体" w:cs="宋体"/>
          <w:color w:val="auto"/>
          <w:sz w:val="28"/>
          <w:szCs w:val="28"/>
          <w:highlight w:val="none"/>
        </w:rPr>
        <w:t>第一章　投标邀请</w:t>
      </w:r>
    </w:p>
    <w:p>
      <w:pPr>
        <w:pStyle w:val="20"/>
        <w:snapToGrid w:val="0"/>
        <w:spacing w:line="390" w:lineRule="exact"/>
        <w:ind w:firstLine="480" w:firstLineChars="200"/>
        <w:rPr>
          <w:rFonts w:ascii="Calibri"/>
          <w:color w:val="auto"/>
          <w:sz w:val="24"/>
          <w:szCs w:val="24"/>
          <w:highlight w:val="none"/>
        </w:rPr>
      </w:pPr>
      <w:r>
        <w:rPr>
          <w:rFonts w:hint="eastAsia" w:ascii="Calibri"/>
          <w:color w:val="auto"/>
          <w:sz w:val="24"/>
          <w:szCs w:val="24"/>
          <w:highlight w:val="none"/>
        </w:rPr>
        <w:t>根据《中华人民共和国政府采购法》等有关规定，现对福建税务2023年机房搬迁项目进行公开招标，欢迎合格的</w:t>
      </w:r>
      <w:r>
        <w:rPr>
          <w:rFonts w:hint="eastAsia"/>
          <w:color w:val="auto"/>
          <w:sz w:val="24"/>
          <w:szCs w:val="24"/>
          <w:highlight w:val="none"/>
        </w:rPr>
        <w:t>潜在投标人</w:t>
      </w:r>
      <w:r>
        <w:rPr>
          <w:rFonts w:hint="eastAsia" w:ascii="Calibri"/>
          <w:color w:val="auto"/>
          <w:sz w:val="24"/>
          <w:szCs w:val="24"/>
          <w:highlight w:val="none"/>
        </w:rPr>
        <w:t>前来</w:t>
      </w:r>
      <w:r>
        <w:rPr>
          <w:rFonts w:hint="eastAsia"/>
          <w:color w:val="auto"/>
          <w:sz w:val="24"/>
          <w:szCs w:val="24"/>
          <w:highlight w:val="none"/>
        </w:rPr>
        <w:t>投标</w:t>
      </w:r>
      <w:r>
        <w:rPr>
          <w:rFonts w:hint="eastAsia" w:ascii="Calibri"/>
          <w:color w:val="auto"/>
          <w:sz w:val="24"/>
          <w:szCs w:val="24"/>
          <w:highlight w:val="none"/>
        </w:rPr>
        <w:t>。</w:t>
      </w:r>
    </w:p>
    <w:p>
      <w:pPr>
        <w:spacing w:line="390" w:lineRule="exact"/>
        <w:rPr>
          <w:b/>
          <w:color w:val="auto"/>
          <w:sz w:val="24"/>
          <w:highlight w:val="none"/>
        </w:rPr>
      </w:pPr>
      <w:r>
        <w:rPr>
          <w:rFonts w:hint="eastAsia"/>
          <w:b/>
          <w:color w:val="auto"/>
          <w:sz w:val="24"/>
          <w:highlight w:val="none"/>
        </w:rPr>
        <w:t>一、项目基本情况</w:t>
      </w:r>
    </w:p>
    <w:p>
      <w:pPr>
        <w:spacing w:line="390" w:lineRule="exact"/>
        <w:rPr>
          <w:rFonts w:ascii="宋体" w:cs="宋体"/>
          <w:color w:val="auto"/>
          <w:sz w:val="24"/>
          <w:highlight w:val="none"/>
        </w:rPr>
      </w:pPr>
      <w:r>
        <w:rPr>
          <w:rFonts w:ascii="宋体" w:cs="宋体"/>
          <w:color w:val="auto"/>
          <w:sz w:val="24"/>
          <w:highlight w:val="none"/>
        </w:rPr>
        <w:t>1.</w:t>
      </w:r>
      <w:r>
        <w:rPr>
          <w:rFonts w:hint="eastAsia" w:ascii="宋体" w:cs="宋体"/>
          <w:color w:val="auto"/>
          <w:sz w:val="24"/>
          <w:highlight w:val="none"/>
        </w:rPr>
        <w:t>项目编号：ZXWT-2024-68</w:t>
      </w:r>
    </w:p>
    <w:p>
      <w:pPr>
        <w:spacing w:line="390" w:lineRule="exact"/>
        <w:rPr>
          <w:rFonts w:ascii="宋体" w:cs="宋体"/>
          <w:color w:val="auto"/>
          <w:sz w:val="24"/>
          <w:highlight w:val="none"/>
        </w:rPr>
      </w:pPr>
      <w:r>
        <w:rPr>
          <w:rFonts w:ascii="宋体" w:cs="宋体"/>
          <w:color w:val="auto"/>
          <w:sz w:val="24"/>
          <w:highlight w:val="none"/>
        </w:rPr>
        <w:t>2.</w:t>
      </w:r>
      <w:r>
        <w:rPr>
          <w:rFonts w:hint="eastAsia" w:ascii="宋体" w:cs="宋体"/>
          <w:color w:val="auto"/>
          <w:sz w:val="24"/>
          <w:highlight w:val="none"/>
        </w:rPr>
        <w:t>项目名称：福建税务2023年机房搬迁项目</w:t>
      </w:r>
    </w:p>
    <w:p>
      <w:pPr>
        <w:spacing w:line="390" w:lineRule="exact"/>
        <w:rPr>
          <w:rFonts w:ascii="宋体" w:cs="宋体"/>
          <w:color w:val="auto"/>
          <w:sz w:val="24"/>
          <w:highlight w:val="none"/>
        </w:rPr>
      </w:pPr>
      <w:r>
        <w:rPr>
          <w:rFonts w:ascii="宋体" w:cs="宋体"/>
          <w:color w:val="auto"/>
          <w:sz w:val="24"/>
          <w:highlight w:val="none"/>
        </w:rPr>
        <w:t>3.</w:t>
      </w:r>
      <w:r>
        <w:rPr>
          <w:rFonts w:hint="eastAsia" w:ascii="宋体" w:cs="宋体"/>
          <w:color w:val="auto"/>
          <w:sz w:val="24"/>
          <w:highlight w:val="none"/>
        </w:rPr>
        <w:t>预算金额：705万元（人民币）</w:t>
      </w:r>
    </w:p>
    <w:p>
      <w:pPr>
        <w:spacing w:line="390" w:lineRule="exact"/>
        <w:rPr>
          <w:rFonts w:ascii="宋体" w:cs="宋体"/>
          <w:color w:val="auto"/>
          <w:sz w:val="24"/>
          <w:highlight w:val="none"/>
        </w:rPr>
      </w:pPr>
      <w:r>
        <w:rPr>
          <w:rFonts w:ascii="宋体" w:cs="宋体"/>
          <w:color w:val="auto"/>
          <w:sz w:val="24"/>
          <w:highlight w:val="none"/>
        </w:rPr>
        <w:t>4.</w:t>
      </w:r>
      <w:r>
        <w:rPr>
          <w:rFonts w:hint="eastAsia" w:ascii="宋体" w:cs="宋体"/>
          <w:color w:val="auto"/>
          <w:sz w:val="24"/>
          <w:highlight w:val="none"/>
        </w:rPr>
        <w:t>最高限价：705万元（人民币）</w:t>
      </w:r>
    </w:p>
    <w:p>
      <w:pPr>
        <w:spacing w:line="390" w:lineRule="exact"/>
        <w:rPr>
          <w:rFonts w:ascii="宋体" w:cs="宋体"/>
          <w:color w:val="auto"/>
          <w:sz w:val="24"/>
          <w:highlight w:val="none"/>
        </w:rPr>
      </w:pPr>
      <w:r>
        <w:rPr>
          <w:rFonts w:ascii="宋体" w:cs="宋体"/>
          <w:color w:val="auto"/>
          <w:sz w:val="24"/>
          <w:highlight w:val="none"/>
        </w:rPr>
        <w:t>5.</w:t>
      </w:r>
      <w:r>
        <w:rPr>
          <w:rFonts w:hint="eastAsia" w:ascii="宋体" w:cs="宋体"/>
          <w:color w:val="auto"/>
          <w:sz w:val="24"/>
          <w:highlight w:val="none"/>
        </w:rPr>
        <w:t>采购需求：</w:t>
      </w:r>
    </w:p>
    <w:tbl>
      <w:tblPr>
        <w:tblStyle w:val="35"/>
        <w:tblW w:w="8789"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456"/>
        <w:gridCol w:w="1856"/>
        <w:gridCol w:w="936"/>
        <w:gridCol w:w="3693"/>
        <w:gridCol w:w="18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4" w:hRule="atLeast"/>
        </w:trPr>
        <w:tc>
          <w:tcPr>
            <w:tcW w:w="0" w:type="auto"/>
            <w:tcBorders>
              <w:top w:val="single" w:color="auto" w:sz="8" w:space="0"/>
            </w:tcBorders>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合同包</w:t>
            </w:r>
          </w:p>
        </w:tc>
        <w:tc>
          <w:tcPr>
            <w:tcW w:w="1856" w:type="dxa"/>
            <w:tcBorders>
              <w:top w:val="single" w:color="auto" w:sz="8" w:space="0"/>
              <w:bottom w:val="single" w:color="auto" w:sz="4" w:space="0"/>
            </w:tcBorders>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项目名称</w:t>
            </w:r>
          </w:p>
        </w:tc>
        <w:tc>
          <w:tcPr>
            <w:tcW w:w="936" w:type="dxa"/>
            <w:tcBorders>
              <w:top w:val="single" w:color="auto" w:sz="8" w:space="0"/>
            </w:tcBorders>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数量</w:t>
            </w:r>
          </w:p>
        </w:tc>
        <w:tc>
          <w:tcPr>
            <w:tcW w:w="3693" w:type="dxa"/>
            <w:tcBorders>
              <w:top w:val="single" w:color="auto" w:sz="8" w:space="0"/>
            </w:tcBorders>
            <w:shd w:val="clear" w:color="auto" w:fill="FFFFFF"/>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项目简要情况</w:t>
            </w:r>
          </w:p>
        </w:tc>
        <w:tc>
          <w:tcPr>
            <w:tcW w:w="1848" w:type="dxa"/>
            <w:tcBorders>
              <w:top w:val="single" w:color="auto" w:sz="8" w:space="0"/>
            </w:tcBorders>
            <w:shd w:val="clear" w:color="auto" w:fill="FFFFFF"/>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合同履行期限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035" w:hRule="atLeast"/>
        </w:trPr>
        <w:tc>
          <w:tcPr>
            <w:tcW w:w="0" w:type="auto"/>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1</w:t>
            </w:r>
          </w:p>
        </w:tc>
        <w:tc>
          <w:tcPr>
            <w:tcW w:w="1856" w:type="dxa"/>
            <w:tcBorders>
              <w:top w:val="single" w:color="auto" w:sz="4" w:space="0"/>
              <w:bottom w:val="single" w:color="auto" w:sz="4" w:space="0"/>
            </w:tcBorders>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福建税务2023年机房搬迁项目</w:t>
            </w:r>
          </w:p>
        </w:tc>
        <w:tc>
          <w:tcPr>
            <w:tcW w:w="936" w:type="dxa"/>
            <w:shd w:val="clear" w:color="auto" w:fill="FFFFFF"/>
            <w:tcMar>
              <w:left w:w="108" w:type="dxa"/>
              <w:right w:w="108" w:type="dxa"/>
            </w:tcMar>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1（项）</w:t>
            </w:r>
          </w:p>
        </w:tc>
        <w:tc>
          <w:tcPr>
            <w:tcW w:w="3693" w:type="dxa"/>
            <w:shd w:val="clear" w:color="auto" w:fill="FFFFFF"/>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小型机、存储、备份系统、虚拟化系统、PC服务器系统、网络系统、安全系统的基础搬迁服务、过渡环境搭建服务等，具体详见招标文件第六章项目采购需求。</w:t>
            </w:r>
          </w:p>
        </w:tc>
        <w:tc>
          <w:tcPr>
            <w:tcW w:w="1848" w:type="dxa"/>
            <w:shd w:val="clear" w:color="auto" w:fill="FFFFFF"/>
            <w:vAlign w:val="center"/>
          </w:tcPr>
          <w:p>
            <w:pPr>
              <w:pStyle w:val="20"/>
              <w:snapToGrid w:val="0"/>
              <w:spacing w:line="390" w:lineRule="exact"/>
              <w:jc w:val="center"/>
              <w:rPr>
                <w:rFonts w:ascii="Calibri"/>
                <w:color w:val="auto"/>
                <w:sz w:val="24"/>
                <w:szCs w:val="24"/>
                <w:highlight w:val="none"/>
              </w:rPr>
            </w:pPr>
            <w:r>
              <w:rPr>
                <w:rFonts w:hint="eastAsia" w:ascii="Calibri"/>
                <w:color w:val="auto"/>
                <w:sz w:val="24"/>
                <w:szCs w:val="24"/>
                <w:highlight w:val="none"/>
              </w:rPr>
              <w:t>自合同生效之日起至合同约定的合同义务履行完毕。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035" w:hRule="atLeast"/>
        </w:trPr>
        <w:tc>
          <w:tcPr>
            <w:tcW w:w="8789" w:type="dxa"/>
            <w:gridSpan w:val="5"/>
            <w:tcBorders>
              <w:bottom w:val="single" w:color="auto" w:sz="8" w:space="0"/>
            </w:tcBorders>
            <w:shd w:val="clear" w:color="auto" w:fill="FFFFFF"/>
            <w:tcMar>
              <w:left w:w="108" w:type="dxa"/>
              <w:right w:w="108" w:type="dxa"/>
            </w:tcMar>
            <w:vAlign w:val="center"/>
          </w:tcPr>
          <w:p>
            <w:pPr>
              <w:pStyle w:val="30"/>
              <w:widowControl/>
              <w:spacing w:beforeAutospacing="0" w:afterAutospacing="0" w:line="400" w:lineRule="exact"/>
              <w:textAlignment w:val="baseline"/>
              <w:rPr>
                <w:color w:val="auto"/>
                <w:kern w:val="2"/>
                <w:szCs w:val="24"/>
                <w:highlight w:val="none"/>
              </w:rPr>
            </w:pPr>
            <w:r>
              <w:rPr>
                <w:rFonts w:hint="eastAsia"/>
                <w:color w:val="auto"/>
                <w:kern w:val="2"/>
                <w:szCs w:val="24"/>
                <w:highlight w:val="none"/>
              </w:rPr>
              <w:t>注：</w:t>
            </w:r>
          </w:p>
          <w:p>
            <w:pPr>
              <w:pStyle w:val="30"/>
              <w:widowControl/>
              <w:spacing w:beforeAutospacing="0" w:afterAutospacing="0" w:line="400" w:lineRule="exact"/>
              <w:textAlignment w:val="baseline"/>
              <w:rPr>
                <w:color w:val="auto"/>
                <w:kern w:val="2"/>
                <w:szCs w:val="24"/>
                <w:highlight w:val="none"/>
              </w:rPr>
            </w:pPr>
            <w:r>
              <w:rPr>
                <w:rFonts w:hint="eastAsia"/>
                <w:color w:val="auto"/>
                <w:kern w:val="2"/>
                <w:szCs w:val="24"/>
                <w:highlight w:val="none"/>
              </w:rPr>
              <w:t>①投标人须按合同包投标，不得仅对同一个合同包中的部分内容进行投标，否则视为未实质性响应招标文件要求，按无效投标处理。评标与授标以合同包为单位。</w:t>
            </w:r>
          </w:p>
          <w:p>
            <w:pPr>
              <w:spacing w:line="390" w:lineRule="exact"/>
              <w:rPr>
                <w:color w:val="auto"/>
                <w:sz w:val="24"/>
                <w:highlight w:val="none"/>
              </w:rPr>
            </w:pPr>
            <w:r>
              <w:rPr>
                <w:rFonts w:hint="eastAsia"/>
                <w:color w:val="auto"/>
                <w:sz w:val="24"/>
                <w:highlight w:val="none"/>
              </w:rPr>
              <w:t>②本项目不允许中标人以任何名义和理由进行转包，如有发现，采购人有权单方中止合同，且中标人必须赔偿由此给采购人带来的一切损失。</w:t>
            </w:r>
          </w:p>
        </w:tc>
      </w:tr>
    </w:tbl>
    <w:p>
      <w:pPr>
        <w:spacing w:line="390" w:lineRule="exact"/>
        <w:rPr>
          <w:b/>
          <w:color w:val="auto"/>
          <w:sz w:val="24"/>
          <w:highlight w:val="none"/>
        </w:rPr>
      </w:pPr>
      <w:r>
        <w:rPr>
          <w:rFonts w:hint="eastAsia"/>
          <w:b/>
          <w:color w:val="auto"/>
          <w:sz w:val="24"/>
          <w:highlight w:val="none"/>
        </w:rPr>
        <w:t>二、申请人的资格要求：</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1.满足《中华人民共和国政府采购法》第二十二条规定，并提供下列材料：</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(1) 凡在中国境内注册，有能力提供本项目所述货物与服务的投标人（须提供合格有效的营业执照复印件）；</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(2)投标人的财务状况报告:提供经会计师事务所审计的2022年度（或2023年度）的财务报告[包括资产负债表、利润表、现金流量表、所有者权益变动表（若有）及其附注（若有）、会计师事务所营业执照和注册会计师资格证书]或银行出具的资信证明文件等；</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(3)投标人依法缴纳税收和社会保障资金：提供投标截止前六个月内任意一个月依法缴纳税收和社会保障资金的相关材料；</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(4)具备履行合同所必需的设备和专业技术能力的声明函；</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(5)如由授权代表前来投标，须提供授权委托书原件，否则无需提供；</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(6)参加政府采购活动前3年内在经营活动中没有重大违法记录（或者在参加政府采购活动前3年内因违法经营被禁止在一定期限内参加政府采购活动，期限已届满）的书面声明。</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注：若为依法免税或不需要缴纳社会保障资金的投标人，应提供相应文件证明其依法免税或不需要缴纳社会保障资金。</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2.被列入失信被执行人、重大税收违法案件当事人名单、政府采购严重违法失信行为记录名单及其他不符合《中华人民共和国政府采购法》第二十二条规定条件的供应商，不得参加本次投标。（1）投标人针对“信用记录查询结果”可自主提供证明材料，未提供该证明材料的不视为无效投标。（2）查询结果的审查：①信用记录查询的截止时点：信用记录查询的截止时点为本项目投标截止当日。②信用记录查询渠道：信用中国（www.creditchina.gov.cn）和中国政府采购网（www.ccgp.gov.cn）。③信用记录的查询：由资格审查小组通过上述网站查询并打印投标人的信用记录。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⑤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3.本项目(不</w:t>
      </w:r>
      <w:r>
        <w:rPr>
          <w:rFonts w:hint="eastAsia" w:ascii="Calibri"/>
          <w:color w:val="auto"/>
          <w:sz w:val="24"/>
          <w:szCs w:val="24"/>
          <w:highlight w:val="none"/>
          <w:lang w:val="en-US" w:eastAsia="zh-CN"/>
        </w:rPr>
        <w:t>接</w:t>
      </w:r>
      <w:bookmarkStart w:id="4" w:name="_GoBack"/>
      <w:bookmarkEnd w:id="4"/>
      <w:r>
        <w:rPr>
          <w:rFonts w:hint="eastAsia" w:ascii="Calibri"/>
          <w:color w:val="auto"/>
          <w:sz w:val="24"/>
          <w:szCs w:val="24"/>
          <w:highlight w:val="none"/>
        </w:rPr>
        <w:t>受)联合体投标。</w:t>
      </w:r>
    </w:p>
    <w:p>
      <w:pPr>
        <w:spacing w:line="390" w:lineRule="exact"/>
        <w:rPr>
          <w:b/>
          <w:color w:val="auto"/>
          <w:sz w:val="24"/>
          <w:highlight w:val="none"/>
        </w:rPr>
      </w:pPr>
      <w:r>
        <w:rPr>
          <w:rFonts w:hint="eastAsia"/>
          <w:b/>
          <w:color w:val="auto"/>
          <w:sz w:val="24"/>
          <w:highlight w:val="none"/>
        </w:rPr>
        <w:t>三、获取招标文件</w:t>
      </w:r>
    </w:p>
    <w:p>
      <w:pPr>
        <w:pStyle w:val="30"/>
        <w:widowControl/>
        <w:spacing w:beforeAutospacing="0" w:afterAutospacing="0" w:line="400" w:lineRule="exact"/>
        <w:ind w:right="226"/>
        <w:textAlignment w:val="baseline"/>
        <w:rPr>
          <w:rFonts w:ascii="宋体" w:cs="宋体"/>
          <w:color w:val="auto"/>
          <w:kern w:val="2"/>
          <w:szCs w:val="24"/>
          <w:highlight w:val="none"/>
        </w:rPr>
      </w:pPr>
      <w:r>
        <w:rPr>
          <w:rFonts w:hint="eastAsia" w:ascii="宋体" w:cs="宋体"/>
          <w:color w:val="auto"/>
          <w:kern w:val="2"/>
          <w:szCs w:val="24"/>
          <w:highlight w:val="none"/>
        </w:rPr>
        <w:t>1.时间：2024年</w:t>
      </w:r>
      <w:r>
        <w:rPr>
          <w:rFonts w:hint="eastAsia" w:ascii="宋体" w:cs="宋体"/>
          <w:color w:val="auto"/>
          <w:kern w:val="2"/>
          <w:szCs w:val="24"/>
          <w:highlight w:val="none"/>
          <w:lang w:val="en-US" w:eastAsia="zh-CN"/>
        </w:rPr>
        <w:t>03</w:t>
      </w:r>
      <w:r>
        <w:rPr>
          <w:rFonts w:hint="eastAsia" w:ascii="宋体" w:cs="宋体"/>
          <w:color w:val="auto"/>
          <w:kern w:val="2"/>
          <w:szCs w:val="24"/>
          <w:highlight w:val="none"/>
        </w:rPr>
        <w:t>月</w:t>
      </w:r>
      <w:r>
        <w:rPr>
          <w:rFonts w:hint="eastAsia" w:ascii="宋体" w:cs="宋体"/>
          <w:color w:val="auto"/>
          <w:kern w:val="2"/>
          <w:szCs w:val="24"/>
          <w:highlight w:val="none"/>
          <w:lang w:val="en-US" w:eastAsia="zh-CN"/>
        </w:rPr>
        <w:t>08</w:t>
      </w:r>
      <w:r>
        <w:rPr>
          <w:rFonts w:hint="eastAsia" w:ascii="宋体" w:cs="宋体"/>
          <w:color w:val="auto"/>
          <w:kern w:val="2"/>
          <w:szCs w:val="24"/>
          <w:highlight w:val="none"/>
        </w:rPr>
        <w:t>日  至 2024年</w:t>
      </w:r>
      <w:r>
        <w:rPr>
          <w:rFonts w:hint="eastAsia" w:ascii="宋体" w:cs="宋体"/>
          <w:color w:val="auto"/>
          <w:kern w:val="2"/>
          <w:szCs w:val="24"/>
          <w:highlight w:val="none"/>
          <w:lang w:val="en-US" w:eastAsia="zh-CN"/>
        </w:rPr>
        <w:t>03</w:t>
      </w:r>
      <w:r>
        <w:rPr>
          <w:rFonts w:hint="eastAsia" w:ascii="宋体" w:cs="宋体"/>
          <w:color w:val="auto"/>
          <w:kern w:val="2"/>
          <w:szCs w:val="24"/>
          <w:highlight w:val="none"/>
        </w:rPr>
        <w:t>月</w:t>
      </w:r>
      <w:r>
        <w:rPr>
          <w:rFonts w:hint="eastAsia" w:ascii="宋体" w:cs="宋体"/>
          <w:color w:val="auto"/>
          <w:kern w:val="2"/>
          <w:szCs w:val="24"/>
          <w:highlight w:val="none"/>
          <w:lang w:val="en-US" w:eastAsia="zh-CN"/>
        </w:rPr>
        <w:t xml:space="preserve">15 </w:t>
      </w:r>
      <w:r>
        <w:rPr>
          <w:rFonts w:hint="eastAsia" w:ascii="宋体" w:cs="宋体"/>
          <w:color w:val="auto"/>
          <w:kern w:val="2"/>
          <w:szCs w:val="24"/>
          <w:highlight w:val="none"/>
        </w:rPr>
        <w:t>日，每天上午8:00至12:00，下午14:30至17:30。（北京时间，法定节假日除外）。</w:t>
      </w:r>
    </w:p>
    <w:p>
      <w:pPr>
        <w:spacing w:line="390" w:lineRule="exact"/>
        <w:rPr>
          <w:rFonts w:ascii="宋体" w:cs="宋体"/>
          <w:color w:val="auto"/>
          <w:sz w:val="24"/>
          <w:highlight w:val="none"/>
        </w:rPr>
      </w:pPr>
      <w:r>
        <w:rPr>
          <w:rFonts w:ascii="宋体" w:cs="宋体"/>
          <w:color w:val="auto"/>
          <w:sz w:val="24"/>
          <w:highlight w:val="none"/>
        </w:rPr>
        <w:t>2.</w:t>
      </w:r>
      <w:r>
        <w:rPr>
          <w:rFonts w:hint="eastAsia" w:ascii="宋体" w:cs="宋体"/>
          <w:color w:val="auto"/>
          <w:sz w:val="24"/>
          <w:highlight w:val="none"/>
        </w:rPr>
        <w:t>地点：福建省福州市鼓楼区五四路</w:t>
      </w:r>
      <w:r>
        <w:rPr>
          <w:rFonts w:ascii="宋体" w:cs="宋体"/>
          <w:color w:val="auto"/>
          <w:sz w:val="24"/>
          <w:highlight w:val="none"/>
        </w:rPr>
        <w:t>159</w:t>
      </w:r>
      <w:r>
        <w:rPr>
          <w:rFonts w:hint="eastAsia" w:ascii="宋体" w:cs="宋体"/>
          <w:color w:val="auto"/>
          <w:sz w:val="24"/>
          <w:highlight w:val="none"/>
        </w:rPr>
        <w:t>号世界金龙大厦</w:t>
      </w:r>
      <w:r>
        <w:rPr>
          <w:rFonts w:ascii="宋体" w:cs="宋体"/>
          <w:color w:val="auto"/>
          <w:sz w:val="24"/>
          <w:highlight w:val="none"/>
        </w:rPr>
        <w:t>14</w:t>
      </w:r>
      <w:r>
        <w:rPr>
          <w:rFonts w:hint="eastAsia" w:ascii="宋体" w:cs="宋体"/>
          <w:color w:val="auto"/>
          <w:sz w:val="24"/>
          <w:highlight w:val="none"/>
        </w:rPr>
        <w:t>层</w:t>
      </w:r>
      <w:r>
        <w:rPr>
          <w:rFonts w:ascii="宋体" w:cs="宋体"/>
          <w:color w:val="auto"/>
          <w:sz w:val="24"/>
          <w:highlight w:val="none"/>
        </w:rPr>
        <w:t>A</w:t>
      </w:r>
      <w:r>
        <w:rPr>
          <w:rFonts w:hint="eastAsia" w:ascii="宋体" w:cs="宋体"/>
          <w:color w:val="auto"/>
          <w:sz w:val="24"/>
          <w:highlight w:val="none"/>
        </w:rPr>
        <w:t>区单元福建省智信招标有限公司。</w:t>
      </w:r>
    </w:p>
    <w:p>
      <w:pPr>
        <w:spacing w:line="390" w:lineRule="exact"/>
        <w:rPr>
          <w:rFonts w:ascii="宋体" w:cs="宋体"/>
          <w:color w:val="auto"/>
          <w:sz w:val="24"/>
          <w:highlight w:val="none"/>
        </w:rPr>
      </w:pPr>
      <w:r>
        <w:rPr>
          <w:rFonts w:ascii="宋体" w:cs="宋体"/>
          <w:color w:val="auto"/>
          <w:sz w:val="24"/>
          <w:highlight w:val="none"/>
        </w:rPr>
        <w:t>3.</w:t>
      </w:r>
      <w:r>
        <w:rPr>
          <w:rFonts w:hint="eastAsia" w:ascii="宋体" w:cs="宋体"/>
          <w:color w:val="auto"/>
          <w:sz w:val="24"/>
          <w:highlight w:val="none"/>
        </w:rPr>
        <w:t>方式：直接至我司现场获取招标文件的，须至我司填写《获取招标（采购）文件登记表》；通过电子邮件获取招标文件的，须将《获取招标（采购）文件登记表》【格式见（下载网址：http://www.fjzxzb.co m/newshow.aspx?NewsID= 7）】填写清楚并加盖公章后扫描发送至我公司邮箱（zhixin04@126.com)。未办理获取招标文件手续的不予以书面变更通知及不受理投标文件。</w:t>
      </w:r>
    </w:p>
    <w:p>
      <w:pPr>
        <w:spacing w:line="390" w:lineRule="exact"/>
        <w:rPr>
          <w:rFonts w:ascii="宋体"/>
          <w:color w:val="auto"/>
          <w:sz w:val="24"/>
          <w:highlight w:val="none"/>
        </w:rPr>
      </w:pPr>
      <w:r>
        <w:rPr>
          <w:rFonts w:ascii="宋体" w:cs="宋体"/>
          <w:color w:val="auto"/>
          <w:sz w:val="24"/>
          <w:highlight w:val="none"/>
        </w:rPr>
        <w:t>4.</w:t>
      </w:r>
      <w:r>
        <w:rPr>
          <w:rFonts w:hint="eastAsia" w:ascii="宋体" w:cs="宋体"/>
          <w:color w:val="auto"/>
          <w:sz w:val="24"/>
          <w:highlight w:val="none"/>
        </w:rPr>
        <w:t>售价：</w:t>
      </w:r>
      <w:r>
        <w:rPr>
          <w:rFonts w:ascii="宋体"/>
          <w:color w:val="auto"/>
          <w:sz w:val="24"/>
          <w:highlight w:val="none"/>
        </w:rPr>
        <w:t>0</w:t>
      </w:r>
      <w:r>
        <w:rPr>
          <w:rFonts w:hint="eastAsia" w:ascii="宋体"/>
          <w:color w:val="auto"/>
          <w:sz w:val="24"/>
          <w:highlight w:val="none"/>
        </w:rPr>
        <w:t>元（电子版）。</w:t>
      </w:r>
    </w:p>
    <w:p>
      <w:pPr>
        <w:spacing w:line="390" w:lineRule="exact"/>
        <w:rPr>
          <w:b/>
          <w:color w:val="auto"/>
          <w:sz w:val="24"/>
          <w:highlight w:val="none"/>
        </w:rPr>
      </w:pPr>
      <w:r>
        <w:rPr>
          <w:rFonts w:hint="eastAsia"/>
          <w:b/>
          <w:color w:val="auto"/>
          <w:sz w:val="24"/>
          <w:highlight w:val="none"/>
        </w:rPr>
        <w:t>四、提交投标文件截止时间、开标时间和地点</w:t>
      </w:r>
    </w:p>
    <w:p>
      <w:pPr>
        <w:spacing w:line="390" w:lineRule="exact"/>
        <w:rPr>
          <w:rFonts w:ascii="宋体" w:cs="宋体"/>
          <w:color w:val="auto"/>
          <w:sz w:val="24"/>
          <w:highlight w:val="none"/>
        </w:rPr>
      </w:pPr>
      <w:r>
        <w:rPr>
          <w:rFonts w:hint="eastAsia" w:ascii="宋体" w:cs="宋体"/>
          <w:color w:val="auto"/>
          <w:sz w:val="24"/>
          <w:highlight w:val="none"/>
        </w:rPr>
        <w:t>1.提交投标文件截止时间：2024年</w:t>
      </w:r>
      <w:r>
        <w:rPr>
          <w:rFonts w:hint="eastAsia" w:ascii="宋体" w:cs="宋体"/>
          <w:color w:val="auto"/>
          <w:sz w:val="24"/>
          <w:highlight w:val="none"/>
          <w:lang w:val="en-US" w:eastAsia="zh-CN"/>
        </w:rPr>
        <w:t>03</w:t>
      </w:r>
      <w:r>
        <w:rPr>
          <w:rFonts w:hint="eastAsia" w:ascii="宋体" w:cs="宋体"/>
          <w:color w:val="auto"/>
          <w:sz w:val="24"/>
          <w:highlight w:val="none"/>
        </w:rPr>
        <w:t>月</w:t>
      </w:r>
      <w:r>
        <w:rPr>
          <w:rFonts w:hint="eastAsia" w:ascii="宋体" w:cs="宋体"/>
          <w:color w:val="auto"/>
          <w:sz w:val="24"/>
          <w:highlight w:val="none"/>
          <w:lang w:val="en-US" w:eastAsia="zh-CN"/>
        </w:rPr>
        <w:t>29</w:t>
      </w:r>
      <w:r>
        <w:rPr>
          <w:rFonts w:hint="eastAsia" w:ascii="宋体" w:cs="宋体"/>
          <w:color w:val="auto"/>
          <w:sz w:val="24"/>
          <w:highlight w:val="none"/>
        </w:rPr>
        <w:t>日</w:t>
      </w:r>
      <w:r>
        <w:rPr>
          <w:rFonts w:hint="eastAsia" w:ascii="宋体" w:cs="宋体"/>
          <w:color w:val="auto"/>
          <w:sz w:val="24"/>
          <w:highlight w:val="none"/>
          <w:lang w:val="en-US" w:eastAsia="zh-CN"/>
        </w:rPr>
        <w:t>09</w:t>
      </w:r>
      <w:r>
        <w:rPr>
          <w:rFonts w:hint="eastAsia" w:ascii="宋体" w:cs="宋体"/>
          <w:color w:val="auto"/>
          <w:sz w:val="24"/>
          <w:highlight w:val="none"/>
        </w:rPr>
        <w:t>点</w:t>
      </w:r>
      <w:r>
        <w:rPr>
          <w:rFonts w:hint="eastAsia" w:ascii="宋体" w:cs="宋体"/>
          <w:color w:val="auto"/>
          <w:sz w:val="24"/>
          <w:highlight w:val="none"/>
          <w:lang w:val="en-US" w:eastAsia="zh-CN"/>
        </w:rPr>
        <w:t>00</w:t>
      </w:r>
      <w:r>
        <w:rPr>
          <w:rFonts w:hint="eastAsia" w:ascii="宋体" w:cs="宋体"/>
          <w:color w:val="auto"/>
          <w:sz w:val="24"/>
          <w:highlight w:val="none"/>
        </w:rPr>
        <w:t>分（北京时间）</w:t>
      </w:r>
    </w:p>
    <w:p>
      <w:pPr>
        <w:spacing w:line="390" w:lineRule="exact"/>
        <w:rPr>
          <w:rFonts w:ascii="宋体" w:cs="宋体"/>
          <w:color w:val="auto"/>
          <w:sz w:val="24"/>
          <w:highlight w:val="none"/>
        </w:rPr>
      </w:pPr>
      <w:r>
        <w:rPr>
          <w:rFonts w:hint="eastAsia" w:ascii="宋体" w:cs="宋体"/>
          <w:color w:val="auto"/>
          <w:sz w:val="24"/>
          <w:highlight w:val="none"/>
        </w:rPr>
        <w:t>2.开标时间：2024年</w:t>
      </w:r>
      <w:r>
        <w:rPr>
          <w:rFonts w:hint="eastAsia" w:ascii="宋体" w:cs="宋体"/>
          <w:color w:val="auto"/>
          <w:sz w:val="24"/>
          <w:highlight w:val="none"/>
          <w:lang w:val="en-US" w:eastAsia="zh-CN"/>
        </w:rPr>
        <w:t>03</w:t>
      </w:r>
      <w:r>
        <w:rPr>
          <w:rFonts w:hint="eastAsia" w:ascii="宋体" w:cs="宋体"/>
          <w:color w:val="auto"/>
          <w:sz w:val="24"/>
          <w:highlight w:val="none"/>
        </w:rPr>
        <w:t>月</w:t>
      </w:r>
      <w:r>
        <w:rPr>
          <w:rFonts w:hint="eastAsia" w:ascii="宋体" w:cs="宋体"/>
          <w:color w:val="auto"/>
          <w:sz w:val="24"/>
          <w:highlight w:val="none"/>
          <w:lang w:val="en-US" w:eastAsia="zh-CN"/>
        </w:rPr>
        <w:t>29</w:t>
      </w:r>
      <w:r>
        <w:rPr>
          <w:rFonts w:hint="eastAsia" w:ascii="宋体" w:cs="宋体"/>
          <w:color w:val="auto"/>
          <w:sz w:val="24"/>
          <w:highlight w:val="none"/>
        </w:rPr>
        <w:t>日</w:t>
      </w:r>
      <w:r>
        <w:rPr>
          <w:rFonts w:hint="eastAsia" w:ascii="宋体" w:cs="宋体"/>
          <w:color w:val="auto"/>
          <w:sz w:val="24"/>
          <w:highlight w:val="none"/>
          <w:lang w:val="en-US" w:eastAsia="zh-CN"/>
        </w:rPr>
        <w:t>09</w:t>
      </w:r>
      <w:r>
        <w:rPr>
          <w:rFonts w:hint="eastAsia" w:ascii="宋体" w:cs="宋体"/>
          <w:color w:val="auto"/>
          <w:sz w:val="24"/>
          <w:highlight w:val="none"/>
        </w:rPr>
        <w:t>点</w:t>
      </w:r>
      <w:r>
        <w:rPr>
          <w:rFonts w:hint="eastAsia" w:ascii="宋体" w:cs="宋体"/>
          <w:color w:val="auto"/>
          <w:sz w:val="24"/>
          <w:highlight w:val="none"/>
          <w:lang w:val="en-US" w:eastAsia="zh-CN"/>
        </w:rPr>
        <w:t>00</w:t>
      </w:r>
      <w:r>
        <w:rPr>
          <w:rFonts w:hint="eastAsia" w:ascii="宋体" w:cs="宋体"/>
          <w:color w:val="auto"/>
          <w:sz w:val="24"/>
          <w:highlight w:val="none"/>
        </w:rPr>
        <w:t>分（北京时间）</w:t>
      </w:r>
    </w:p>
    <w:p>
      <w:pPr>
        <w:spacing w:line="390" w:lineRule="exact"/>
        <w:rPr>
          <w:rFonts w:ascii="宋体" w:cs="宋体"/>
          <w:color w:val="auto"/>
          <w:sz w:val="24"/>
          <w:highlight w:val="none"/>
        </w:rPr>
      </w:pPr>
      <w:r>
        <w:rPr>
          <w:rFonts w:hint="eastAsia" w:ascii="宋体" w:cs="宋体"/>
          <w:color w:val="auto"/>
          <w:sz w:val="24"/>
          <w:highlight w:val="none"/>
        </w:rPr>
        <w:t>3.地点：福建省福州市鼓楼区五四路159号世界金龙大厦14层A区单元福建省智信招标有限公司</w:t>
      </w:r>
    </w:p>
    <w:p>
      <w:pPr>
        <w:spacing w:line="390" w:lineRule="exact"/>
        <w:rPr>
          <w:b/>
          <w:color w:val="auto"/>
          <w:sz w:val="24"/>
          <w:highlight w:val="none"/>
        </w:rPr>
      </w:pPr>
      <w:r>
        <w:rPr>
          <w:rFonts w:hint="eastAsia"/>
          <w:b/>
          <w:color w:val="auto"/>
          <w:sz w:val="24"/>
          <w:highlight w:val="none"/>
        </w:rPr>
        <w:t>五、公告期限</w:t>
      </w:r>
    </w:p>
    <w:p>
      <w:pPr>
        <w:spacing w:line="390" w:lineRule="exact"/>
        <w:rPr>
          <w:rFonts w:ascii="宋体" w:cs="宋体"/>
          <w:color w:val="auto"/>
          <w:sz w:val="24"/>
          <w:highlight w:val="none"/>
        </w:rPr>
      </w:pPr>
      <w:r>
        <w:rPr>
          <w:rFonts w:hint="eastAsia" w:ascii="宋体" w:cs="宋体"/>
          <w:color w:val="auto"/>
          <w:sz w:val="24"/>
          <w:highlight w:val="none"/>
        </w:rPr>
        <w:t>自本公告发布之日起</w:t>
      </w:r>
      <w:r>
        <w:rPr>
          <w:rFonts w:ascii="宋体" w:cs="宋体"/>
          <w:color w:val="auto"/>
          <w:sz w:val="24"/>
          <w:highlight w:val="none"/>
        </w:rPr>
        <w:t>5</w:t>
      </w:r>
      <w:r>
        <w:rPr>
          <w:rFonts w:hint="eastAsia" w:ascii="宋体" w:cs="宋体"/>
          <w:color w:val="auto"/>
          <w:sz w:val="24"/>
          <w:highlight w:val="none"/>
        </w:rPr>
        <w:t>个工作日。</w:t>
      </w:r>
    </w:p>
    <w:p>
      <w:pPr>
        <w:spacing w:line="390" w:lineRule="exact"/>
        <w:rPr>
          <w:b/>
          <w:color w:val="auto"/>
          <w:sz w:val="24"/>
          <w:highlight w:val="none"/>
        </w:rPr>
      </w:pPr>
      <w:r>
        <w:rPr>
          <w:rFonts w:hint="eastAsia"/>
          <w:b/>
          <w:color w:val="auto"/>
          <w:sz w:val="24"/>
          <w:highlight w:val="none"/>
        </w:rPr>
        <w:t>六、其他补充事宜</w:t>
      </w:r>
    </w:p>
    <w:p>
      <w:pPr>
        <w:spacing w:line="390" w:lineRule="exact"/>
        <w:rPr>
          <w:color w:val="auto"/>
          <w:sz w:val="24"/>
          <w:highlight w:val="none"/>
        </w:rPr>
      </w:pPr>
      <w:r>
        <w:rPr>
          <w:rFonts w:hint="eastAsia"/>
          <w:color w:val="auto"/>
          <w:sz w:val="24"/>
          <w:highlight w:val="none"/>
        </w:rPr>
        <w:t>账户信息：</w:t>
      </w:r>
    </w:p>
    <w:p>
      <w:pPr>
        <w:spacing w:line="390" w:lineRule="exact"/>
        <w:rPr>
          <w:color w:val="auto"/>
          <w:sz w:val="24"/>
          <w:highlight w:val="none"/>
        </w:rPr>
      </w:pPr>
      <w:r>
        <w:rPr>
          <w:rFonts w:hint="eastAsia"/>
          <w:color w:val="auto"/>
          <w:sz w:val="24"/>
          <w:highlight w:val="none"/>
        </w:rPr>
        <w:t>开</w:t>
      </w:r>
      <w:r>
        <w:rPr>
          <w:color w:val="auto"/>
          <w:sz w:val="24"/>
          <w:highlight w:val="none"/>
        </w:rPr>
        <w:t xml:space="preserve">   </w:t>
      </w:r>
      <w:r>
        <w:rPr>
          <w:rFonts w:hint="eastAsia"/>
          <w:color w:val="auto"/>
          <w:sz w:val="24"/>
          <w:highlight w:val="none"/>
        </w:rPr>
        <w:t>户</w:t>
      </w:r>
      <w:r>
        <w:rPr>
          <w:color w:val="auto"/>
          <w:sz w:val="24"/>
          <w:highlight w:val="none"/>
        </w:rPr>
        <w:t xml:space="preserve">   </w:t>
      </w:r>
      <w:r>
        <w:rPr>
          <w:rFonts w:hint="eastAsia"/>
          <w:color w:val="auto"/>
          <w:sz w:val="24"/>
          <w:highlight w:val="none"/>
        </w:rPr>
        <w:t>名：福建省智信招标有限公司</w:t>
      </w:r>
    </w:p>
    <w:p>
      <w:pPr>
        <w:spacing w:line="390" w:lineRule="exact"/>
        <w:rPr>
          <w:rFonts w:ascii="宋体" w:cs="宋体"/>
          <w:color w:val="auto"/>
          <w:sz w:val="24"/>
          <w:highlight w:val="none"/>
        </w:rPr>
      </w:pPr>
      <w:r>
        <w:rPr>
          <w:rFonts w:hint="eastAsia" w:ascii="宋体" w:cs="宋体"/>
          <w:color w:val="auto"/>
          <w:sz w:val="24"/>
          <w:highlight w:val="none"/>
        </w:rPr>
        <w:t>开</w:t>
      </w:r>
      <w:r>
        <w:rPr>
          <w:rFonts w:ascii="宋体" w:cs="宋体"/>
          <w:color w:val="auto"/>
          <w:sz w:val="24"/>
          <w:highlight w:val="none"/>
        </w:rPr>
        <w:t xml:space="preserve">   </w:t>
      </w:r>
      <w:r>
        <w:rPr>
          <w:rFonts w:hint="eastAsia" w:ascii="宋体" w:cs="宋体"/>
          <w:color w:val="auto"/>
          <w:sz w:val="24"/>
          <w:highlight w:val="none"/>
        </w:rPr>
        <w:t>户</w:t>
      </w:r>
      <w:r>
        <w:rPr>
          <w:rFonts w:ascii="宋体" w:cs="宋体"/>
          <w:color w:val="auto"/>
          <w:sz w:val="24"/>
          <w:highlight w:val="none"/>
        </w:rPr>
        <w:t xml:space="preserve">   </w:t>
      </w:r>
      <w:r>
        <w:rPr>
          <w:rFonts w:hint="eastAsia" w:ascii="宋体" w:cs="宋体"/>
          <w:color w:val="auto"/>
          <w:sz w:val="24"/>
          <w:highlight w:val="none"/>
        </w:rPr>
        <w:t>行：中国光大银行福州市杨桥支行</w:t>
      </w:r>
    </w:p>
    <w:p>
      <w:pPr>
        <w:spacing w:line="390" w:lineRule="exact"/>
        <w:rPr>
          <w:rFonts w:ascii="宋体" w:cs="宋体"/>
          <w:color w:val="auto"/>
          <w:sz w:val="24"/>
          <w:highlight w:val="none"/>
        </w:rPr>
      </w:pPr>
      <w:r>
        <w:rPr>
          <w:rFonts w:hint="eastAsia" w:ascii="宋体" w:cs="宋体"/>
          <w:color w:val="auto"/>
          <w:sz w:val="24"/>
          <w:highlight w:val="none"/>
        </w:rPr>
        <w:t>账</w:t>
      </w:r>
      <w:r>
        <w:rPr>
          <w:rFonts w:ascii="宋体" w:cs="宋体"/>
          <w:color w:val="auto"/>
          <w:sz w:val="24"/>
          <w:highlight w:val="none"/>
        </w:rPr>
        <w:t xml:space="preserve">        </w:t>
      </w:r>
      <w:r>
        <w:rPr>
          <w:rFonts w:hint="eastAsia" w:ascii="宋体" w:cs="宋体"/>
          <w:color w:val="auto"/>
          <w:sz w:val="24"/>
          <w:highlight w:val="none"/>
        </w:rPr>
        <w:t>号：</w:t>
      </w:r>
      <w:r>
        <w:rPr>
          <w:rFonts w:ascii="宋体" w:cs="宋体"/>
          <w:color w:val="auto"/>
          <w:sz w:val="24"/>
          <w:highlight w:val="none"/>
        </w:rPr>
        <w:t>087739120100304037933</w:t>
      </w:r>
    </w:p>
    <w:p>
      <w:pPr>
        <w:spacing w:line="390" w:lineRule="exact"/>
        <w:rPr>
          <w:b/>
          <w:color w:val="auto"/>
          <w:sz w:val="24"/>
          <w:highlight w:val="none"/>
        </w:rPr>
      </w:pPr>
      <w:r>
        <w:rPr>
          <w:rFonts w:hint="eastAsia"/>
          <w:b/>
          <w:color w:val="auto"/>
          <w:sz w:val="24"/>
          <w:highlight w:val="none"/>
        </w:rPr>
        <w:t>七、对本次招标提出询问，请按以下方式联系。</w:t>
      </w:r>
    </w:p>
    <w:p>
      <w:pPr>
        <w:spacing w:line="390" w:lineRule="exact"/>
        <w:rPr>
          <w:rFonts w:ascii="宋体" w:cs="宋体"/>
          <w:color w:val="auto"/>
          <w:sz w:val="24"/>
          <w:highlight w:val="none"/>
        </w:rPr>
      </w:pPr>
      <w:r>
        <w:rPr>
          <w:rFonts w:ascii="宋体" w:cs="宋体"/>
          <w:color w:val="auto"/>
          <w:sz w:val="24"/>
          <w:highlight w:val="none"/>
        </w:rPr>
        <w:t>1.</w:t>
      </w:r>
      <w:r>
        <w:rPr>
          <w:rFonts w:hint="eastAsia" w:ascii="宋体" w:cs="宋体"/>
          <w:color w:val="auto"/>
          <w:sz w:val="24"/>
          <w:highlight w:val="none"/>
        </w:rPr>
        <w:t>采购人信息</w:t>
      </w:r>
    </w:p>
    <w:p>
      <w:pPr>
        <w:spacing w:line="390" w:lineRule="exact"/>
        <w:rPr>
          <w:rFonts w:ascii="宋体" w:cs="宋体"/>
          <w:color w:val="auto"/>
          <w:sz w:val="24"/>
          <w:highlight w:val="none"/>
        </w:rPr>
      </w:pPr>
      <w:r>
        <w:rPr>
          <w:rFonts w:hint="eastAsia" w:ascii="宋体" w:cs="宋体"/>
          <w:color w:val="auto"/>
          <w:sz w:val="24"/>
          <w:highlight w:val="none"/>
        </w:rPr>
        <w:t>名</w:t>
      </w:r>
      <w:r>
        <w:rPr>
          <w:rFonts w:ascii="宋体" w:cs="宋体"/>
          <w:color w:val="auto"/>
          <w:sz w:val="24"/>
          <w:highlight w:val="none"/>
        </w:rPr>
        <w:t xml:space="preserve"> </w:t>
      </w:r>
      <w:r>
        <w:rPr>
          <w:rFonts w:hint="eastAsia" w:ascii="宋体" w:cs="宋体"/>
          <w:color w:val="auto"/>
          <w:sz w:val="24"/>
          <w:highlight w:val="none"/>
        </w:rPr>
        <w:t>称：国家税务总局福建省税务局　　　　</w:t>
      </w:r>
    </w:p>
    <w:p>
      <w:pPr>
        <w:spacing w:line="390" w:lineRule="exact"/>
        <w:rPr>
          <w:rFonts w:ascii="宋体" w:cs="宋体"/>
          <w:color w:val="auto"/>
          <w:sz w:val="24"/>
          <w:highlight w:val="none"/>
        </w:rPr>
      </w:pPr>
      <w:r>
        <w:rPr>
          <w:rFonts w:hint="eastAsia" w:ascii="宋体" w:cs="宋体"/>
          <w:color w:val="auto"/>
          <w:sz w:val="24"/>
          <w:highlight w:val="none"/>
        </w:rPr>
        <w:t>地址：福州市鼓楼区铜盘路36号　　　　　　　</w:t>
      </w:r>
    </w:p>
    <w:p>
      <w:pPr>
        <w:spacing w:line="390" w:lineRule="exact"/>
        <w:rPr>
          <w:rFonts w:ascii="宋体" w:cs="宋体"/>
          <w:color w:val="auto"/>
          <w:sz w:val="24"/>
          <w:highlight w:val="none"/>
        </w:rPr>
      </w:pPr>
      <w:r>
        <w:rPr>
          <w:rFonts w:hint="eastAsia" w:ascii="宋体" w:cs="宋体"/>
          <w:color w:val="auto"/>
          <w:sz w:val="24"/>
          <w:highlight w:val="none"/>
        </w:rPr>
        <w:t>联系方式：蔡工</w:t>
      </w:r>
    </w:p>
    <w:p>
      <w:pPr>
        <w:spacing w:line="390" w:lineRule="exact"/>
        <w:rPr>
          <w:rFonts w:ascii="宋体" w:cs="宋体"/>
          <w:color w:val="auto"/>
          <w:sz w:val="24"/>
          <w:highlight w:val="none"/>
        </w:rPr>
      </w:pPr>
      <w:r>
        <w:rPr>
          <w:rFonts w:hint="eastAsia" w:ascii="宋体" w:cs="宋体"/>
          <w:color w:val="auto"/>
          <w:sz w:val="24"/>
          <w:highlight w:val="none"/>
        </w:rPr>
        <w:t>电话：0591-63118638　</w:t>
      </w:r>
    </w:p>
    <w:p>
      <w:pPr>
        <w:spacing w:line="390" w:lineRule="exact"/>
        <w:rPr>
          <w:rFonts w:ascii="宋体" w:cs="宋体"/>
          <w:color w:val="auto"/>
          <w:sz w:val="24"/>
          <w:highlight w:val="none"/>
        </w:rPr>
      </w:pPr>
      <w:r>
        <w:rPr>
          <w:rFonts w:ascii="宋体" w:cs="宋体"/>
          <w:color w:val="auto"/>
          <w:sz w:val="24"/>
          <w:highlight w:val="none"/>
        </w:rPr>
        <w:t>2.</w:t>
      </w:r>
      <w:r>
        <w:rPr>
          <w:rFonts w:hint="eastAsia" w:ascii="宋体" w:cs="宋体"/>
          <w:color w:val="auto"/>
          <w:sz w:val="24"/>
          <w:highlight w:val="none"/>
        </w:rPr>
        <w:t>采购代理机构信息</w:t>
      </w:r>
    </w:p>
    <w:p>
      <w:pPr>
        <w:spacing w:line="390" w:lineRule="exact"/>
        <w:rPr>
          <w:rFonts w:ascii="宋体" w:cs="宋体"/>
          <w:color w:val="auto"/>
          <w:sz w:val="24"/>
          <w:highlight w:val="none"/>
        </w:rPr>
      </w:pPr>
      <w:r>
        <w:rPr>
          <w:rFonts w:hint="eastAsia" w:ascii="宋体" w:cs="宋体"/>
          <w:color w:val="auto"/>
          <w:sz w:val="24"/>
          <w:highlight w:val="none"/>
        </w:rPr>
        <w:t>名</w:t>
      </w:r>
      <w:r>
        <w:rPr>
          <w:rFonts w:ascii="宋体" w:cs="宋体"/>
          <w:color w:val="auto"/>
          <w:sz w:val="24"/>
          <w:highlight w:val="none"/>
        </w:rPr>
        <w:t xml:space="preserve"> </w:t>
      </w:r>
      <w:r>
        <w:rPr>
          <w:rFonts w:hint="eastAsia" w:ascii="宋体" w:cs="宋体"/>
          <w:color w:val="auto"/>
          <w:sz w:val="24"/>
          <w:highlight w:val="none"/>
        </w:rPr>
        <w:t>称：福建省智信招标有限公司　　　　　　　　　　　　</w:t>
      </w:r>
    </w:p>
    <w:p>
      <w:pPr>
        <w:spacing w:line="390" w:lineRule="exact"/>
        <w:rPr>
          <w:rFonts w:ascii="宋体" w:cs="宋体"/>
          <w:color w:val="auto"/>
          <w:sz w:val="24"/>
          <w:highlight w:val="none"/>
        </w:rPr>
      </w:pPr>
      <w:r>
        <w:rPr>
          <w:rFonts w:hint="eastAsia" w:ascii="宋体" w:cs="宋体"/>
          <w:color w:val="auto"/>
          <w:sz w:val="24"/>
          <w:highlight w:val="none"/>
        </w:rPr>
        <w:t>地　址：福建省福州市鼓楼区五四路</w:t>
      </w:r>
      <w:r>
        <w:rPr>
          <w:rFonts w:ascii="宋体" w:cs="宋体"/>
          <w:color w:val="auto"/>
          <w:sz w:val="24"/>
          <w:highlight w:val="none"/>
        </w:rPr>
        <w:t>159</w:t>
      </w:r>
      <w:r>
        <w:rPr>
          <w:rFonts w:hint="eastAsia" w:ascii="宋体" w:cs="宋体"/>
          <w:color w:val="auto"/>
          <w:sz w:val="24"/>
          <w:highlight w:val="none"/>
        </w:rPr>
        <w:t>号世界金龙大厦</w:t>
      </w:r>
      <w:r>
        <w:rPr>
          <w:rFonts w:ascii="宋体" w:cs="宋体"/>
          <w:color w:val="auto"/>
          <w:sz w:val="24"/>
          <w:highlight w:val="none"/>
        </w:rPr>
        <w:t>14</w:t>
      </w:r>
      <w:r>
        <w:rPr>
          <w:rFonts w:hint="eastAsia" w:ascii="宋体" w:cs="宋体"/>
          <w:color w:val="auto"/>
          <w:sz w:val="24"/>
          <w:highlight w:val="none"/>
        </w:rPr>
        <w:t>层</w:t>
      </w:r>
      <w:r>
        <w:rPr>
          <w:rFonts w:ascii="宋体" w:cs="宋体"/>
          <w:color w:val="auto"/>
          <w:sz w:val="24"/>
          <w:highlight w:val="none"/>
        </w:rPr>
        <w:t>A</w:t>
      </w:r>
      <w:r>
        <w:rPr>
          <w:rFonts w:hint="eastAsia" w:ascii="宋体" w:cs="宋体"/>
          <w:color w:val="auto"/>
          <w:sz w:val="24"/>
          <w:highlight w:val="none"/>
        </w:rPr>
        <w:t>区单元　　　　　　　　　　　</w:t>
      </w:r>
    </w:p>
    <w:p>
      <w:pPr>
        <w:spacing w:line="390" w:lineRule="exact"/>
        <w:rPr>
          <w:rFonts w:ascii="宋体" w:cs="宋体"/>
          <w:color w:val="auto"/>
          <w:sz w:val="24"/>
          <w:highlight w:val="none"/>
        </w:rPr>
      </w:pPr>
      <w:r>
        <w:rPr>
          <w:rFonts w:hint="eastAsia" w:ascii="宋体" w:cs="宋体"/>
          <w:color w:val="auto"/>
          <w:sz w:val="24"/>
          <w:highlight w:val="none"/>
        </w:rPr>
        <w:t>联系方式：廖丽松、张博艺、黄金花</w:t>
      </w:r>
      <w:r>
        <w:rPr>
          <w:rFonts w:ascii="宋体" w:cs="宋体"/>
          <w:color w:val="auto"/>
          <w:sz w:val="24"/>
          <w:highlight w:val="none"/>
        </w:rPr>
        <w:t>0591-87616211</w:t>
      </w:r>
      <w:r>
        <w:rPr>
          <w:rFonts w:hint="eastAsia" w:ascii="宋体" w:cs="宋体"/>
          <w:color w:val="auto"/>
          <w:sz w:val="24"/>
          <w:highlight w:val="none"/>
        </w:rPr>
        <w:t>、</w:t>
      </w:r>
      <w:r>
        <w:rPr>
          <w:rFonts w:ascii="宋体" w:cs="宋体"/>
          <w:color w:val="auto"/>
          <w:sz w:val="24"/>
          <w:highlight w:val="none"/>
        </w:rPr>
        <w:t>87530730</w:t>
      </w:r>
      <w:r>
        <w:rPr>
          <w:rFonts w:hint="eastAsia" w:ascii="宋体" w:cs="宋体"/>
          <w:color w:val="auto"/>
          <w:sz w:val="24"/>
          <w:highlight w:val="none"/>
        </w:rPr>
        <w:t>转</w:t>
      </w:r>
      <w:r>
        <w:rPr>
          <w:rFonts w:ascii="宋体" w:cs="宋体"/>
          <w:color w:val="auto"/>
          <w:sz w:val="24"/>
          <w:highlight w:val="none"/>
        </w:rPr>
        <w:t>803</w:t>
      </w:r>
      <w:r>
        <w:rPr>
          <w:rFonts w:hint="eastAsia" w:ascii="宋体" w:cs="宋体"/>
          <w:color w:val="auto"/>
          <w:sz w:val="24"/>
          <w:highlight w:val="none"/>
        </w:rPr>
        <w:t>　　　　　　　　　　</w:t>
      </w:r>
    </w:p>
    <w:p>
      <w:pPr>
        <w:spacing w:line="390" w:lineRule="exact"/>
        <w:rPr>
          <w:rFonts w:ascii="宋体" w:cs="宋体"/>
          <w:color w:val="auto"/>
          <w:sz w:val="24"/>
          <w:highlight w:val="none"/>
        </w:rPr>
      </w:pPr>
      <w:r>
        <w:rPr>
          <w:rFonts w:ascii="宋体" w:cs="宋体"/>
          <w:color w:val="auto"/>
          <w:sz w:val="24"/>
          <w:highlight w:val="none"/>
        </w:rPr>
        <w:t>3.</w:t>
      </w:r>
      <w:r>
        <w:rPr>
          <w:rFonts w:hint="eastAsia" w:ascii="宋体" w:cs="宋体"/>
          <w:color w:val="auto"/>
          <w:sz w:val="24"/>
          <w:highlight w:val="none"/>
        </w:rPr>
        <w:t>项目联系方式</w:t>
      </w:r>
    </w:p>
    <w:p>
      <w:pPr>
        <w:spacing w:line="390" w:lineRule="exact"/>
        <w:rPr>
          <w:rFonts w:ascii="宋体" w:cs="宋体"/>
          <w:color w:val="auto"/>
          <w:sz w:val="24"/>
          <w:highlight w:val="none"/>
        </w:rPr>
      </w:pPr>
      <w:r>
        <w:rPr>
          <w:rFonts w:hint="eastAsia" w:ascii="宋体" w:cs="宋体"/>
          <w:color w:val="auto"/>
          <w:sz w:val="24"/>
          <w:highlight w:val="none"/>
        </w:rPr>
        <w:t>项目联系人：廖丽松、张博艺、黄金花</w:t>
      </w:r>
    </w:p>
    <w:p>
      <w:pPr>
        <w:spacing w:line="390" w:lineRule="exact"/>
        <w:rPr>
          <w:rFonts w:ascii="宋体" w:cs="宋体"/>
          <w:color w:val="auto"/>
          <w:sz w:val="24"/>
          <w:highlight w:val="none"/>
        </w:rPr>
      </w:pPr>
      <w:r>
        <w:rPr>
          <w:rFonts w:hint="eastAsia" w:ascii="宋体" w:cs="宋体"/>
          <w:color w:val="auto"/>
          <w:sz w:val="24"/>
          <w:highlight w:val="none"/>
        </w:rPr>
        <w:t>电　话：</w:t>
      </w:r>
      <w:r>
        <w:rPr>
          <w:rFonts w:ascii="宋体" w:cs="宋体"/>
          <w:color w:val="auto"/>
          <w:sz w:val="24"/>
          <w:highlight w:val="none"/>
        </w:rPr>
        <w:t>0591-87616211</w:t>
      </w:r>
      <w:r>
        <w:rPr>
          <w:rFonts w:hint="eastAsia" w:ascii="宋体" w:cs="宋体"/>
          <w:color w:val="auto"/>
          <w:sz w:val="24"/>
          <w:highlight w:val="none"/>
        </w:rPr>
        <w:t>、</w:t>
      </w:r>
      <w:r>
        <w:rPr>
          <w:rFonts w:ascii="宋体" w:cs="宋体"/>
          <w:color w:val="auto"/>
          <w:sz w:val="24"/>
          <w:highlight w:val="none"/>
        </w:rPr>
        <w:t>87530730</w:t>
      </w:r>
      <w:r>
        <w:rPr>
          <w:rFonts w:hint="eastAsia" w:ascii="宋体" w:cs="宋体"/>
          <w:color w:val="auto"/>
          <w:sz w:val="24"/>
          <w:highlight w:val="none"/>
        </w:rPr>
        <w:t>转</w:t>
      </w:r>
      <w:r>
        <w:rPr>
          <w:rFonts w:ascii="宋体" w:cs="宋体"/>
          <w:color w:val="auto"/>
          <w:sz w:val="24"/>
          <w:highlight w:val="none"/>
        </w:rPr>
        <w:t>803</w:t>
      </w:r>
    </w:p>
    <w:p>
      <w:pPr>
        <w:spacing w:line="390" w:lineRule="exact"/>
        <w:jc w:val="right"/>
        <w:rPr>
          <w:color w:val="auto"/>
          <w:sz w:val="24"/>
          <w:highlight w:val="none"/>
        </w:rPr>
      </w:pPr>
    </w:p>
    <w:p>
      <w:pPr>
        <w:spacing w:line="390" w:lineRule="exact"/>
        <w:jc w:val="right"/>
        <w:rPr>
          <w:rFonts w:ascii="宋体" w:cs="宋体"/>
          <w:color w:val="auto"/>
          <w:sz w:val="24"/>
          <w:highlight w:val="none"/>
        </w:rPr>
      </w:pPr>
      <w:r>
        <w:rPr>
          <w:rFonts w:hint="eastAsia" w:ascii="宋体" w:cs="宋体"/>
          <w:color w:val="auto"/>
          <w:sz w:val="24"/>
          <w:highlight w:val="none"/>
          <w:lang w:val="en-US" w:eastAsia="zh-CN"/>
        </w:rPr>
        <w:t xml:space="preserve"> </w:t>
      </w:r>
      <w:r>
        <w:rPr>
          <w:rFonts w:hint="eastAsia" w:ascii="宋体" w:cs="宋体"/>
          <w:color w:val="auto"/>
          <w:sz w:val="24"/>
          <w:highlight w:val="none"/>
        </w:rPr>
        <w:t>福建省智信招标有限公司</w:t>
      </w:r>
    </w:p>
    <w:p>
      <w:pPr>
        <w:spacing w:line="390" w:lineRule="exact"/>
        <w:jc w:val="center"/>
        <w:rPr>
          <w:rFonts w:ascii="宋体" w:cs="宋体"/>
          <w:color w:val="auto"/>
          <w:sz w:val="24"/>
          <w:highlight w:val="none"/>
        </w:rPr>
      </w:pPr>
      <w:r>
        <w:rPr>
          <w:rFonts w:hint="eastAsia" w:ascii="宋体" w:cs="宋体"/>
          <w:color w:val="auto"/>
          <w:sz w:val="24"/>
          <w:highlight w:val="none"/>
          <w:lang w:val="en-US" w:eastAsia="zh-CN"/>
        </w:rPr>
        <w:t xml:space="preserve">                                                   </w:t>
      </w:r>
      <w:r>
        <w:rPr>
          <w:rFonts w:ascii="宋体" w:cs="宋体"/>
          <w:color w:val="auto"/>
          <w:sz w:val="24"/>
          <w:highlight w:val="none"/>
        </w:rPr>
        <w:t>202</w:t>
      </w:r>
      <w:r>
        <w:rPr>
          <w:rFonts w:hint="eastAsia" w:ascii="宋体" w:cs="宋体"/>
          <w:color w:val="auto"/>
          <w:sz w:val="24"/>
          <w:highlight w:val="none"/>
        </w:rPr>
        <w:t>4年03月</w:t>
      </w:r>
      <w:r>
        <w:rPr>
          <w:rFonts w:hint="eastAsia" w:ascii="宋体" w:cs="宋体"/>
          <w:color w:val="auto"/>
          <w:sz w:val="24"/>
          <w:highlight w:val="none"/>
          <w:lang w:val="en-US" w:eastAsia="zh-CN"/>
        </w:rPr>
        <w:t>08</w:t>
      </w:r>
      <w:r>
        <w:rPr>
          <w:rFonts w:hint="eastAsia" w:ascii="宋体" w:cs="宋体"/>
          <w:color w:val="auto"/>
          <w:sz w:val="24"/>
          <w:highlight w:val="none"/>
        </w:rPr>
        <w:t>日</w:t>
      </w:r>
    </w:p>
    <w:p>
      <w:pPr>
        <w:pStyle w:val="9"/>
        <w:spacing w:line="400" w:lineRule="exact"/>
        <w:jc w:val="center"/>
        <w:rPr>
          <w:rFonts w:ascii="宋体" w:cs="宋体"/>
          <w:color w:val="auto"/>
          <w:sz w:val="28"/>
          <w:szCs w:val="28"/>
          <w:highlight w:val="none"/>
        </w:rPr>
      </w:pPr>
      <w:r>
        <w:rPr>
          <w:rFonts w:ascii="宋体" w:cs="宋体"/>
          <w:color w:val="auto"/>
          <w:highlight w:val="none"/>
        </w:rPr>
        <w:br w:type="page"/>
      </w:r>
      <w:r>
        <w:rPr>
          <w:rFonts w:hint="eastAsia" w:ascii="宋体" w:cs="宋体"/>
          <w:color w:val="auto"/>
          <w:sz w:val="28"/>
          <w:szCs w:val="28"/>
          <w:highlight w:val="none"/>
        </w:rPr>
        <w:t>第二章　投标人须知</w:t>
      </w: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投标人须知前附表</w:t>
      </w:r>
    </w:p>
    <w:tbl>
      <w:tblPr>
        <w:tblStyle w:val="35"/>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727"/>
        <w:gridCol w:w="6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1" w:type="dxa"/>
            <w:gridSpan w:val="3"/>
            <w:vAlign w:val="center"/>
          </w:tcPr>
          <w:p>
            <w:pPr>
              <w:pStyle w:val="20"/>
              <w:ind w:firstLine="480" w:firstLineChars="200"/>
              <w:jc w:val="center"/>
              <w:rPr>
                <w:rFonts w:cs="宋体"/>
                <w:color w:val="auto"/>
                <w:sz w:val="24"/>
                <w:szCs w:val="24"/>
                <w:highlight w:val="none"/>
              </w:rPr>
            </w:pPr>
            <w:r>
              <w:rPr>
                <w:rFonts w:hint="eastAsia" w:cs="宋体"/>
                <w:color w:val="auto"/>
                <w:sz w:val="24"/>
                <w:szCs w:val="24"/>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hint="eastAsia" w:cs="宋体"/>
                <w:color w:val="auto"/>
                <w:sz w:val="24"/>
                <w:szCs w:val="24"/>
                <w:highlight w:val="none"/>
              </w:rPr>
              <w:t>序号</w:t>
            </w:r>
          </w:p>
        </w:tc>
        <w:tc>
          <w:tcPr>
            <w:tcW w:w="1727" w:type="dxa"/>
            <w:vAlign w:val="center"/>
          </w:tcPr>
          <w:p>
            <w:pPr>
              <w:pStyle w:val="20"/>
              <w:spacing w:line="460" w:lineRule="exact"/>
              <w:jc w:val="center"/>
              <w:rPr>
                <w:rFonts w:cs="宋体"/>
                <w:color w:val="auto"/>
                <w:sz w:val="24"/>
                <w:szCs w:val="24"/>
                <w:highlight w:val="none"/>
              </w:rPr>
            </w:pPr>
            <w:r>
              <w:rPr>
                <w:rFonts w:hint="eastAsia" w:cs="宋体"/>
                <w:color w:val="auto"/>
                <w:sz w:val="24"/>
                <w:szCs w:val="24"/>
                <w:highlight w:val="none"/>
              </w:rPr>
              <w:t>条款名称</w:t>
            </w:r>
          </w:p>
        </w:tc>
        <w:tc>
          <w:tcPr>
            <w:tcW w:w="6596" w:type="dxa"/>
            <w:vAlign w:val="center"/>
          </w:tcPr>
          <w:p>
            <w:pPr>
              <w:pStyle w:val="20"/>
              <w:spacing w:line="460" w:lineRule="exact"/>
              <w:jc w:val="center"/>
              <w:rPr>
                <w:rFonts w:cs="宋体"/>
                <w:color w:val="auto"/>
                <w:sz w:val="24"/>
                <w:szCs w:val="24"/>
                <w:highlight w:val="none"/>
              </w:rPr>
            </w:pPr>
            <w:r>
              <w:rPr>
                <w:rFonts w:hint="eastAsia" w:cs="宋体"/>
                <w:color w:val="auto"/>
                <w:sz w:val="24"/>
                <w:szCs w:val="24"/>
                <w:highlight w:val="none"/>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restart"/>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采购项目</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福建税务2023年机房搬迁项目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合同包采购预算</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本项目采购预算为705万元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本项目设定总价的最高限价</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本项目最高限价为705万元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核心产品</w:t>
            </w:r>
            <w:r>
              <w:rPr>
                <w:rFonts w:cs="宋体"/>
                <w:color w:val="auto"/>
                <w:sz w:val="24"/>
                <w:szCs w:val="24"/>
                <w:highlight w:val="none"/>
              </w:rPr>
              <w:tab/>
            </w:r>
          </w:p>
        </w:tc>
        <w:tc>
          <w:tcPr>
            <w:tcW w:w="6596" w:type="dxa"/>
            <w:vAlign w:val="center"/>
          </w:tcPr>
          <w:p>
            <w:pPr>
              <w:pStyle w:val="20"/>
              <w:spacing w:line="460" w:lineRule="exact"/>
              <w:jc w:val="left"/>
              <w:rPr>
                <w:rFonts w:cs="宋体"/>
                <w:color w:val="auto"/>
                <w:sz w:val="24"/>
                <w:szCs w:val="24"/>
                <w:highlight w:val="none"/>
              </w:rPr>
            </w:pPr>
            <w:r>
              <w:rPr>
                <w:rFonts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公告媒体</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中国政府采购网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采购人</w:t>
            </w:r>
          </w:p>
        </w:tc>
        <w:tc>
          <w:tcPr>
            <w:tcW w:w="6596" w:type="dxa"/>
            <w:vAlign w:val="center"/>
          </w:tcPr>
          <w:p>
            <w:pPr>
              <w:spacing w:line="400" w:lineRule="exact"/>
              <w:rPr>
                <w:rFonts w:ascii="宋体" w:cs="宋体"/>
                <w:color w:val="auto"/>
                <w:sz w:val="24"/>
                <w:highlight w:val="none"/>
              </w:rPr>
            </w:pPr>
            <w:r>
              <w:rPr>
                <w:rFonts w:hint="eastAsia" w:ascii="宋体" w:cs="宋体"/>
                <w:color w:val="auto"/>
                <w:sz w:val="24"/>
                <w:highlight w:val="none"/>
              </w:rPr>
              <w:t>名</w:t>
            </w:r>
            <w:r>
              <w:rPr>
                <w:rFonts w:ascii="宋体" w:cs="宋体"/>
                <w:color w:val="auto"/>
                <w:sz w:val="24"/>
                <w:highlight w:val="none"/>
              </w:rPr>
              <w:t xml:space="preserve"> </w:t>
            </w:r>
            <w:r>
              <w:rPr>
                <w:rFonts w:hint="eastAsia" w:ascii="宋体" w:cs="宋体"/>
                <w:color w:val="auto"/>
                <w:sz w:val="24"/>
                <w:highlight w:val="none"/>
              </w:rPr>
              <w:t>称：国家税务总局福建省税务局　　　　</w:t>
            </w:r>
          </w:p>
          <w:p>
            <w:pPr>
              <w:spacing w:line="400" w:lineRule="exact"/>
              <w:rPr>
                <w:rFonts w:ascii="宋体" w:cs="宋体"/>
                <w:color w:val="auto"/>
                <w:sz w:val="24"/>
                <w:highlight w:val="none"/>
              </w:rPr>
            </w:pPr>
            <w:r>
              <w:rPr>
                <w:rFonts w:hint="eastAsia" w:ascii="宋体" w:cs="宋体"/>
                <w:color w:val="auto"/>
                <w:sz w:val="24"/>
                <w:highlight w:val="none"/>
              </w:rPr>
              <w:t>地址：福州市鼓楼区铜盘路</w:t>
            </w:r>
            <w:r>
              <w:rPr>
                <w:rFonts w:ascii="宋体" w:cs="宋体"/>
                <w:color w:val="auto"/>
                <w:sz w:val="24"/>
                <w:highlight w:val="none"/>
              </w:rPr>
              <w:t>36</w:t>
            </w:r>
            <w:r>
              <w:rPr>
                <w:rFonts w:hint="eastAsia" w:ascii="宋体" w:cs="宋体"/>
                <w:color w:val="auto"/>
                <w:sz w:val="24"/>
                <w:highlight w:val="none"/>
              </w:rPr>
              <w:t>号　　　　　　　</w:t>
            </w:r>
          </w:p>
          <w:p>
            <w:pPr>
              <w:spacing w:line="400" w:lineRule="exact"/>
              <w:rPr>
                <w:rFonts w:ascii="宋体" w:cs="宋体"/>
                <w:color w:val="auto"/>
                <w:sz w:val="24"/>
                <w:highlight w:val="none"/>
              </w:rPr>
            </w:pPr>
            <w:r>
              <w:rPr>
                <w:rFonts w:hint="eastAsia" w:ascii="宋体" w:cs="宋体"/>
                <w:color w:val="auto"/>
                <w:sz w:val="24"/>
                <w:highlight w:val="none"/>
              </w:rPr>
              <w:t>联系方式：蔡工</w:t>
            </w:r>
            <w:r>
              <w:rPr>
                <w:rFonts w:ascii="宋体" w:cs="宋体"/>
                <w:color w:val="auto"/>
                <w:sz w:val="24"/>
                <w:highlight w:val="none"/>
              </w:rPr>
              <w:t xml:space="preserve"> </w:t>
            </w:r>
          </w:p>
          <w:p>
            <w:pPr>
              <w:spacing w:line="400" w:lineRule="exact"/>
              <w:rPr>
                <w:rFonts w:ascii="宋体" w:cs="宋体"/>
                <w:color w:val="auto"/>
                <w:sz w:val="24"/>
                <w:highlight w:val="none"/>
              </w:rPr>
            </w:pPr>
            <w:r>
              <w:rPr>
                <w:rFonts w:hint="eastAsia" w:ascii="宋体" w:cs="宋体"/>
                <w:color w:val="auto"/>
                <w:sz w:val="24"/>
                <w:highlight w:val="none"/>
              </w:rPr>
              <w:t>电话：0591-63118638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3</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采购代理机构</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名称：福建省智信招标有限公司</w:t>
            </w:r>
          </w:p>
          <w:p>
            <w:pPr>
              <w:pStyle w:val="20"/>
              <w:spacing w:line="460" w:lineRule="exact"/>
              <w:jc w:val="left"/>
              <w:rPr>
                <w:rFonts w:cs="宋体"/>
                <w:color w:val="auto"/>
                <w:sz w:val="24"/>
                <w:szCs w:val="24"/>
                <w:highlight w:val="none"/>
              </w:rPr>
            </w:pPr>
            <w:r>
              <w:rPr>
                <w:rFonts w:hint="eastAsia" w:cs="宋体"/>
                <w:color w:val="auto"/>
                <w:sz w:val="24"/>
                <w:szCs w:val="24"/>
                <w:highlight w:val="none"/>
              </w:rPr>
              <w:t>地址：福建省福州市鼓楼区五四路</w:t>
            </w:r>
            <w:r>
              <w:rPr>
                <w:rFonts w:cs="宋体"/>
                <w:color w:val="auto"/>
                <w:sz w:val="24"/>
                <w:szCs w:val="24"/>
                <w:highlight w:val="none"/>
              </w:rPr>
              <w:t>159</w:t>
            </w:r>
            <w:r>
              <w:rPr>
                <w:rFonts w:hint="eastAsia" w:cs="宋体"/>
                <w:color w:val="auto"/>
                <w:sz w:val="24"/>
                <w:szCs w:val="24"/>
                <w:highlight w:val="none"/>
              </w:rPr>
              <w:t>号世界金龙大厦</w:t>
            </w:r>
            <w:r>
              <w:rPr>
                <w:rFonts w:cs="宋体"/>
                <w:color w:val="auto"/>
                <w:sz w:val="24"/>
                <w:szCs w:val="24"/>
                <w:highlight w:val="none"/>
              </w:rPr>
              <w:t>14</w:t>
            </w:r>
            <w:r>
              <w:rPr>
                <w:rFonts w:hint="eastAsia" w:cs="宋体"/>
                <w:color w:val="auto"/>
                <w:sz w:val="24"/>
                <w:szCs w:val="24"/>
                <w:highlight w:val="none"/>
              </w:rPr>
              <w:t>层</w:t>
            </w:r>
            <w:r>
              <w:rPr>
                <w:rFonts w:cs="宋体"/>
                <w:color w:val="auto"/>
                <w:sz w:val="24"/>
                <w:szCs w:val="24"/>
                <w:highlight w:val="none"/>
              </w:rPr>
              <w:t>A</w:t>
            </w:r>
            <w:r>
              <w:rPr>
                <w:rFonts w:hint="eastAsia" w:cs="宋体"/>
                <w:color w:val="auto"/>
                <w:sz w:val="24"/>
                <w:szCs w:val="24"/>
                <w:highlight w:val="none"/>
              </w:rPr>
              <w:t>区单元</w:t>
            </w:r>
          </w:p>
          <w:p>
            <w:pPr>
              <w:pStyle w:val="20"/>
              <w:spacing w:line="460" w:lineRule="exact"/>
              <w:jc w:val="left"/>
              <w:rPr>
                <w:rFonts w:cs="宋体"/>
                <w:color w:val="auto"/>
                <w:sz w:val="24"/>
                <w:szCs w:val="24"/>
                <w:highlight w:val="none"/>
              </w:rPr>
            </w:pPr>
            <w:r>
              <w:rPr>
                <w:rFonts w:hint="eastAsia" w:cs="宋体"/>
                <w:color w:val="auto"/>
                <w:sz w:val="24"/>
                <w:szCs w:val="24"/>
                <w:highlight w:val="none"/>
              </w:rPr>
              <w:t>电话：</w:t>
            </w:r>
            <w:r>
              <w:rPr>
                <w:rFonts w:cs="宋体"/>
                <w:color w:val="auto"/>
                <w:sz w:val="24"/>
                <w:szCs w:val="24"/>
                <w:highlight w:val="none"/>
              </w:rPr>
              <w:t>0591-87616211</w:t>
            </w:r>
            <w:r>
              <w:rPr>
                <w:rFonts w:hint="eastAsia" w:cs="宋体"/>
                <w:color w:val="auto"/>
                <w:sz w:val="24"/>
                <w:szCs w:val="24"/>
                <w:highlight w:val="none"/>
              </w:rPr>
              <w:t>、</w:t>
            </w:r>
            <w:r>
              <w:rPr>
                <w:rFonts w:cs="宋体"/>
                <w:color w:val="auto"/>
                <w:sz w:val="24"/>
                <w:szCs w:val="24"/>
                <w:highlight w:val="none"/>
              </w:rPr>
              <w:t>87530730</w:t>
            </w:r>
            <w:r>
              <w:rPr>
                <w:rFonts w:hint="eastAsia" w:cs="宋体"/>
                <w:color w:val="auto"/>
                <w:sz w:val="24"/>
                <w:szCs w:val="24"/>
                <w:highlight w:val="none"/>
              </w:rPr>
              <w:t>转</w:t>
            </w:r>
            <w:r>
              <w:rPr>
                <w:rFonts w:cs="宋体"/>
                <w:color w:val="auto"/>
                <w:sz w:val="24"/>
                <w:szCs w:val="24"/>
                <w:highlight w:val="none"/>
              </w:rPr>
              <w:t>803</w:t>
            </w:r>
          </w:p>
          <w:p>
            <w:pPr>
              <w:pStyle w:val="20"/>
              <w:spacing w:line="460" w:lineRule="exact"/>
              <w:jc w:val="left"/>
              <w:rPr>
                <w:rFonts w:cs="宋体"/>
                <w:color w:val="auto"/>
                <w:sz w:val="24"/>
                <w:szCs w:val="24"/>
                <w:highlight w:val="none"/>
              </w:rPr>
            </w:pPr>
            <w:r>
              <w:rPr>
                <w:rFonts w:hint="eastAsia" w:cs="宋体"/>
                <w:color w:val="auto"/>
                <w:sz w:val="24"/>
                <w:szCs w:val="24"/>
                <w:highlight w:val="none"/>
              </w:rPr>
              <w:t>联系人：廖丽松、张博艺、黄金花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4</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投标人资格条件</w:t>
            </w:r>
          </w:p>
        </w:tc>
        <w:tc>
          <w:tcPr>
            <w:tcW w:w="6596" w:type="dxa"/>
            <w:vAlign w:val="center"/>
          </w:tcPr>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1.满足《中华人民共和国政府采购法》第二十二条规定，并提供下列材料：</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(1) 凡在中国境内注册，有能力提供本项目所述货物与服务的投标人（须提供合格有效的营业执照复印件）；</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(2)投标人的财务状况报告:提供经会计师事务所审计的2022年度（或2023年度）的财务报告[包括资产负债表、利润表、现金流量表、所有者权益变动表（若有）及其附注（若有）、会计师事务所营业执照和注册会计师资格证书]或银行出具的资信证明文件等；</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(3)投标人依法缴纳税收和社会保障资金：提供投标截止前六个月内任意一个月依法缴纳税收和社会保障资金的相关材料；</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(4)具备履行合同所必需的设备和专业技术能力的声明函；</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(5)如由授权代表前来投标，须提供授权委托书原件，否则无需提供；</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(6)参加政府采购活动前3年内在经营活动中没有重大违法记录（或者在参加政府采购活动前3年内因违法经营被禁止在一定期限内参加政府采购活动，期限已届满）的书面声明。</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注：若为依法免税或不需要缴纳社会保障资金的投标人，应提供相应文件证明其依法免税或不需要缴纳社会保障资金。</w:t>
            </w:r>
          </w:p>
          <w:p>
            <w:pPr>
              <w:pStyle w:val="20"/>
              <w:snapToGrid w:val="0"/>
              <w:spacing w:line="390" w:lineRule="exact"/>
              <w:rPr>
                <w:rFonts w:ascii="Calibri"/>
                <w:color w:val="auto"/>
                <w:sz w:val="24"/>
                <w:szCs w:val="24"/>
                <w:highlight w:val="none"/>
              </w:rPr>
            </w:pPr>
            <w:r>
              <w:rPr>
                <w:rFonts w:hint="eastAsia" w:ascii="Calibri"/>
                <w:color w:val="auto"/>
                <w:sz w:val="24"/>
                <w:szCs w:val="24"/>
                <w:highlight w:val="none"/>
              </w:rPr>
              <w:t>2.被列入失信被执行人、重大税收违法案件当事人名单、政府采购严重违法失信行为记录名单及其他不符合《中华人民共和国政府采购法》第二十二条规定条件的供应商，不得参加本次投标。（1）投标人针对“信用记录查询结果”可自主提供证明材料，未提供该证明材料的不视为无效投标。（2）查询结果的审查：①信用记录查询的截止时点：信用记录查询的截止时点为本项目投标截止当日。②信用记录查询渠道：信用中国（www.creditchina.gov.cn）和中国政府采购网（www.ccgp.gov.cn）。③信用记录的查询：由资格审查小组通过上述网站查询并打印投标人的信用记录。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⑤因上述网站原因导致资格审查小组无法查询投标人信用记录的（资格审查小组应将通过上述网站查询投标人信用记录时的原始页面打印后随采购文件一并存档），视为查询结果未存在投标人应被拒绝参与政府采购活动相关的信息。</w:t>
            </w:r>
          </w:p>
          <w:p>
            <w:pPr>
              <w:pStyle w:val="20"/>
              <w:snapToGrid w:val="0"/>
              <w:spacing w:line="390" w:lineRule="exact"/>
              <w:rPr>
                <w:rFonts w:cs="宋体"/>
                <w:color w:val="auto"/>
                <w:sz w:val="24"/>
                <w:highlight w:val="none"/>
              </w:rPr>
            </w:pPr>
            <w:r>
              <w:rPr>
                <w:rFonts w:hint="eastAsia" w:ascii="Calibri"/>
                <w:color w:val="auto"/>
                <w:sz w:val="24"/>
                <w:szCs w:val="24"/>
                <w:highlight w:val="none"/>
              </w:rPr>
              <w:t>3.本项目(不受)联合体投标。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5</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样品</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restart"/>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6</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联合体投标</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分包</w:t>
            </w:r>
          </w:p>
        </w:tc>
        <w:tc>
          <w:tcPr>
            <w:tcW w:w="6596" w:type="dxa"/>
            <w:vAlign w:val="center"/>
          </w:tcPr>
          <w:p>
            <w:pPr>
              <w:widowControl/>
              <w:jc w:val="left"/>
              <w:rPr>
                <w:rFonts w:cs="宋体"/>
                <w:color w:val="auto"/>
                <w:sz w:val="24"/>
                <w:highlight w:val="none"/>
              </w:rPr>
            </w:pPr>
            <w:r>
              <w:rPr>
                <w:rFonts w:hint="eastAsia" w:cs="宋体"/>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7</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采购进口产品</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本采购项目拒绝进口产品参加投标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restart"/>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8</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政府采购强制采购：节能产品</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政府采购强制采购：信息安全认证</w:t>
            </w:r>
          </w:p>
        </w:tc>
        <w:tc>
          <w:tcPr>
            <w:tcW w:w="6596" w:type="dxa"/>
            <w:vAlign w:val="center"/>
          </w:tcPr>
          <w:p>
            <w:pPr>
              <w:spacing w:line="460" w:lineRule="exact"/>
              <w:rPr>
                <w:rFonts w:ascii="宋体" w:cs="宋体"/>
                <w:color w:val="auto"/>
                <w:sz w:val="24"/>
                <w:highlight w:val="none"/>
              </w:rPr>
            </w:pPr>
            <w:r>
              <w:rPr>
                <w:rFonts w:hint="eastAsia" w:cs="宋体"/>
                <w:color w:val="auto"/>
                <w:sz w:val="24"/>
                <w:highlight w:val="non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restart"/>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9</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政府采购优先采购：节能产品</w:t>
            </w:r>
            <w:r>
              <w:rPr>
                <w:rFonts w:cs="宋体"/>
                <w:color w:val="auto"/>
                <w:sz w:val="24"/>
                <w:szCs w:val="24"/>
                <w:highlight w:val="none"/>
              </w:rPr>
              <w:t>(</w:t>
            </w:r>
            <w:r>
              <w:rPr>
                <w:rFonts w:hint="eastAsia" w:cs="宋体"/>
                <w:color w:val="auto"/>
                <w:sz w:val="24"/>
                <w:szCs w:val="24"/>
                <w:highlight w:val="none"/>
              </w:rPr>
              <w:t>非强制类</w:t>
            </w:r>
            <w:r>
              <w:rPr>
                <w:rFonts w:cs="宋体"/>
                <w:color w:val="auto"/>
                <w:sz w:val="24"/>
                <w:szCs w:val="24"/>
                <w:highlight w:val="none"/>
              </w:rPr>
              <w:t>)</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政府采购优先采购：环境标志产品</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restart"/>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10</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支持中小企业发展</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非专门面向中小企业采购项目</w:t>
            </w:r>
            <w:r>
              <w:rPr>
                <w:rFonts w:cs="宋体"/>
                <w:color w:val="auto"/>
                <w:sz w:val="24"/>
                <w:szCs w:val="24"/>
                <w:highlight w:val="none"/>
              </w:rPr>
              <w:t>(</w:t>
            </w:r>
            <w:r>
              <w:rPr>
                <w:rFonts w:hint="eastAsia" w:cs="宋体"/>
                <w:color w:val="auto"/>
                <w:sz w:val="24"/>
                <w:szCs w:val="24"/>
                <w:highlight w:val="none"/>
              </w:rPr>
              <w:t>价格扣除</w:t>
            </w:r>
            <w:r>
              <w:rPr>
                <w:rFonts w:cs="宋体"/>
                <w:color w:val="auto"/>
                <w:sz w:val="24"/>
                <w:szCs w:val="24"/>
                <w:highlight w:val="none"/>
              </w:rPr>
              <w:t>)</w:t>
            </w:r>
            <w:r>
              <w:rPr>
                <w:rFonts w:hint="eastAsia" w:cs="宋体"/>
                <w:color w:val="auto"/>
                <w:sz w:val="24"/>
                <w:szCs w:val="24"/>
                <w:highlight w:val="none"/>
              </w:rPr>
              <w:t>：</w:t>
            </w:r>
          </w:p>
          <w:p>
            <w:pPr>
              <w:pStyle w:val="20"/>
              <w:spacing w:line="460" w:lineRule="exact"/>
              <w:jc w:val="left"/>
              <w:rPr>
                <w:rFonts w:cs="宋体"/>
                <w:color w:val="auto"/>
                <w:sz w:val="24"/>
                <w:szCs w:val="24"/>
                <w:highlight w:val="none"/>
              </w:rPr>
            </w:pPr>
            <w:r>
              <w:rPr>
                <w:rFonts w:hint="eastAsia" w:cs="宋体"/>
                <w:color w:val="auto"/>
                <w:sz w:val="24"/>
                <w:szCs w:val="24"/>
                <w:highlight w:val="none"/>
              </w:rPr>
              <w:t>根据财政部、工业和信息化部关于发布《政府采购促进中小企业发展管理办法》（财库</w:t>
            </w:r>
            <w:r>
              <w:rPr>
                <w:rFonts w:cs="宋体"/>
                <w:color w:val="auto"/>
                <w:sz w:val="24"/>
                <w:szCs w:val="24"/>
                <w:highlight w:val="none"/>
              </w:rPr>
              <w:t>[2020]46</w:t>
            </w:r>
            <w:r>
              <w:rPr>
                <w:rFonts w:hint="eastAsia" w:cs="宋体"/>
                <w:color w:val="auto"/>
                <w:sz w:val="24"/>
                <w:szCs w:val="24"/>
                <w:highlight w:val="none"/>
              </w:rPr>
              <w:t>号）和</w:t>
            </w:r>
            <w:r>
              <w:rPr>
                <w:rFonts w:hint="eastAsia"/>
                <w:color w:val="auto"/>
                <w:sz w:val="24"/>
                <w:szCs w:val="24"/>
                <w:highlight w:val="none"/>
              </w:rPr>
              <w:t>《关于进一步加大政府采购支持中小企业力度的通知》（财库﹝</w:t>
            </w:r>
            <w:r>
              <w:rPr>
                <w:color w:val="auto"/>
                <w:sz w:val="24"/>
                <w:szCs w:val="24"/>
                <w:highlight w:val="none"/>
              </w:rPr>
              <w:t>2022</w:t>
            </w:r>
            <w:r>
              <w:rPr>
                <w:rFonts w:hint="eastAsia"/>
                <w:color w:val="auto"/>
                <w:sz w:val="24"/>
                <w:szCs w:val="24"/>
                <w:highlight w:val="none"/>
              </w:rPr>
              <w:t>﹞</w:t>
            </w:r>
            <w:r>
              <w:rPr>
                <w:color w:val="auto"/>
                <w:sz w:val="24"/>
                <w:szCs w:val="24"/>
                <w:highlight w:val="none"/>
              </w:rPr>
              <w:t>19</w:t>
            </w:r>
            <w:r>
              <w:rPr>
                <w:rFonts w:hint="eastAsia"/>
                <w:color w:val="auto"/>
                <w:sz w:val="24"/>
                <w:szCs w:val="24"/>
                <w:highlight w:val="none"/>
              </w:rPr>
              <w:t>号）</w:t>
            </w:r>
            <w:r>
              <w:rPr>
                <w:rFonts w:hint="eastAsia" w:cs="宋体"/>
                <w:color w:val="auto"/>
                <w:sz w:val="24"/>
                <w:szCs w:val="24"/>
                <w:highlight w:val="none"/>
              </w:rPr>
              <w:t>规定，对于承接本项目服务的小型和微型企业，在价格评审时给予</w:t>
            </w:r>
            <w:r>
              <w:rPr>
                <w:rFonts w:cs="宋体"/>
                <w:color w:val="auto"/>
                <w:sz w:val="24"/>
                <w:szCs w:val="24"/>
                <w:highlight w:val="none"/>
              </w:rPr>
              <w:t>10%</w:t>
            </w:r>
            <w:r>
              <w:rPr>
                <w:rFonts w:hint="eastAsia" w:cs="宋体"/>
                <w:color w:val="auto"/>
                <w:sz w:val="24"/>
                <w:szCs w:val="24"/>
                <w:highlight w:val="none"/>
              </w:rPr>
              <w:t>～</w:t>
            </w:r>
            <w:r>
              <w:rPr>
                <w:rFonts w:cs="宋体"/>
                <w:color w:val="auto"/>
                <w:sz w:val="24"/>
                <w:szCs w:val="24"/>
                <w:highlight w:val="none"/>
              </w:rPr>
              <w:t>20%</w:t>
            </w:r>
            <w:r>
              <w:rPr>
                <w:rFonts w:hint="eastAsia" w:cs="宋体"/>
                <w:color w:val="auto"/>
                <w:sz w:val="24"/>
                <w:szCs w:val="24"/>
                <w:highlight w:val="none"/>
              </w:rPr>
              <w:t>的扣除，本项目的扣除比例为</w:t>
            </w:r>
            <w:r>
              <w:rPr>
                <w:rFonts w:cs="宋体"/>
                <w:color w:val="auto"/>
                <w:sz w:val="24"/>
                <w:szCs w:val="24"/>
                <w:highlight w:val="none"/>
                <w:u w:val="single"/>
              </w:rPr>
              <w:t>20%</w:t>
            </w:r>
            <w:r>
              <w:rPr>
                <w:rFonts w:hint="eastAsia" w:cs="宋体"/>
                <w:color w:val="auto"/>
                <w:sz w:val="24"/>
                <w:szCs w:val="24"/>
                <w:highlight w:val="none"/>
              </w:rPr>
              <w:t>，用扣除后的价格参与评审。对于分包意向协议约定小微企业的合同份额占到合同总金额</w:t>
            </w:r>
            <w:r>
              <w:rPr>
                <w:rFonts w:cs="宋体"/>
                <w:color w:val="auto"/>
                <w:sz w:val="24"/>
                <w:szCs w:val="24"/>
                <w:highlight w:val="none"/>
              </w:rPr>
              <w:t>30%</w:t>
            </w:r>
            <w:r>
              <w:rPr>
                <w:rFonts w:hint="eastAsia" w:cs="宋体"/>
                <w:color w:val="auto"/>
                <w:sz w:val="24"/>
                <w:szCs w:val="24"/>
                <w:highlight w:val="none"/>
              </w:rPr>
              <w:t>以上（含）的，对大中型企业的报价扣除比例为</w:t>
            </w:r>
            <w:r>
              <w:rPr>
                <w:rFonts w:cs="宋体"/>
                <w:color w:val="auto"/>
                <w:sz w:val="24"/>
                <w:szCs w:val="24"/>
                <w:highlight w:val="none"/>
              </w:rPr>
              <w:t>4%—6%</w:t>
            </w:r>
            <w:r>
              <w:rPr>
                <w:rFonts w:hint="eastAsia" w:cs="宋体"/>
                <w:color w:val="auto"/>
                <w:sz w:val="24"/>
                <w:szCs w:val="24"/>
                <w:highlight w:val="none"/>
              </w:rPr>
              <w:t>，本项目扣除比例为</w:t>
            </w:r>
            <w:r>
              <w:rPr>
                <w:rFonts w:cs="宋体"/>
                <w:color w:val="auto"/>
                <w:sz w:val="24"/>
                <w:szCs w:val="24"/>
                <w:highlight w:val="none"/>
                <w:u w:val="single"/>
              </w:rPr>
              <w:t>6%</w:t>
            </w:r>
            <w:r>
              <w:rPr>
                <w:rFonts w:hint="eastAsia" w:cs="宋体"/>
                <w:color w:val="auto"/>
                <w:sz w:val="24"/>
                <w:szCs w:val="24"/>
                <w:highlight w:val="none"/>
              </w:rPr>
              <w:t>，用扣除后的价格参与评审。</w:t>
            </w:r>
          </w:p>
          <w:p>
            <w:pPr>
              <w:pStyle w:val="20"/>
              <w:spacing w:line="460" w:lineRule="exact"/>
              <w:jc w:val="left"/>
              <w:rPr>
                <w:color w:val="auto"/>
                <w:sz w:val="32"/>
                <w:szCs w:val="32"/>
                <w:highlight w:val="none"/>
              </w:rPr>
            </w:pPr>
            <w:r>
              <w:rPr>
                <w:rFonts w:hint="eastAsia" w:cs="宋体"/>
                <w:color w:val="auto"/>
                <w:sz w:val="24"/>
                <w:szCs w:val="24"/>
                <w:highlight w:val="none"/>
              </w:rPr>
              <w:t>本项目为服务类采购项目，对应的中小企业划分标准所属行业为</w:t>
            </w:r>
            <w:r>
              <w:rPr>
                <w:rFonts w:hint="eastAsia" w:cs="宋体"/>
                <w:b/>
                <w:color w:val="auto"/>
                <w:sz w:val="24"/>
                <w:szCs w:val="24"/>
                <w:highlight w:val="none"/>
              </w:rPr>
              <w:t>软件和信息技术服务业</w:t>
            </w:r>
            <w:r>
              <w:rPr>
                <w:rFonts w:hint="eastAsia"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Merge w:val="continue"/>
            <w:vAlign w:val="center"/>
          </w:tcPr>
          <w:p>
            <w:pPr>
              <w:rPr>
                <w:color w:val="auto"/>
                <w:highlight w:val="none"/>
              </w:rPr>
            </w:pP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支持监狱企业</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非专门面向监狱采购项目</w:t>
            </w:r>
            <w:r>
              <w:rPr>
                <w:rFonts w:cs="宋体"/>
                <w:color w:val="auto"/>
                <w:sz w:val="24"/>
                <w:szCs w:val="24"/>
                <w:highlight w:val="none"/>
              </w:rPr>
              <w:t>(</w:t>
            </w:r>
            <w:r>
              <w:rPr>
                <w:rFonts w:hint="eastAsia" w:cs="宋体"/>
                <w:color w:val="auto"/>
                <w:sz w:val="24"/>
                <w:szCs w:val="24"/>
                <w:highlight w:val="none"/>
              </w:rPr>
              <w:t>价格扣除</w:t>
            </w:r>
            <w:r>
              <w:rPr>
                <w:rFonts w:cs="宋体"/>
                <w:color w:val="auto"/>
                <w:sz w:val="24"/>
                <w:szCs w:val="24"/>
                <w:highlight w:val="none"/>
              </w:rPr>
              <w:t>)</w:t>
            </w:r>
            <w:r>
              <w:rPr>
                <w:rFonts w:hint="eastAsia" w:cs="宋体"/>
                <w:color w:val="auto"/>
                <w:sz w:val="24"/>
                <w:szCs w:val="24"/>
                <w:highlight w:val="none"/>
              </w:rPr>
              <w:t>：监狱企业可视同小微企业在价格评审时给予</w:t>
            </w:r>
            <w:r>
              <w:rPr>
                <w:rFonts w:cs="宋体"/>
                <w:color w:val="auto"/>
                <w:sz w:val="24"/>
                <w:szCs w:val="24"/>
                <w:highlight w:val="none"/>
              </w:rPr>
              <w:t>10%</w:t>
            </w:r>
            <w:r>
              <w:rPr>
                <w:rFonts w:hint="eastAsia" w:cs="宋体"/>
                <w:color w:val="auto"/>
                <w:sz w:val="24"/>
                <w:szCs w:val="24"/>
                <w:highlight w:val="none"/>
              </w:rPr>
              <w:t>～</w:t>
            </w:r>
            <w:r>
              <w:rPr>
                <w:rFonts w:cs="宋体"/>
                <w:color w:val="auto"/>
                <w:sz w:val="24"/>
                <w:szCs w:val="24"/>
                <w:highlight w:val="none"/>
              </w:rPr>
              <w:t>20%</w:t>
            </w:r>
            <w:r>
              <w:rPr>
                <w:rFonts w:hint="eastAsia" w:cs="宋体"/>
                <w:color w:val="auto"/>
                <w:sz w:val="24"/>
                <w:szCs w:val="24"/>
                <w:highlight w:val="none"/>
              </w:rPr>
              <w:t>的扣除，用扣除后的价格参与评审。本项目的扣除比例为：</w:t>
            </w:r>
            <w:r>
              <w:rPr>
                <w:rFonts w:cs="宋体"/>
                <w:color w:val="auto"/>
                <w:sz w:val="24"/>
                <w:szCs w:val="24"/>
                <w:highlight w:val="none"/>
                <w:u w:val="single"/>
              </w:rPr>
              <w:t>20%</w:t>
            </w:r>
            <w:r>
              <w:rPr>
                <w:rFonts w:hint="eastAsia"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11</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其他法律法规强制性规定或扶持政策</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根据财库〔</w:t>
            </w:r>
            <w:r>
              <w:rPr>
                <w:rFonts w:cs="宋体"/>
                <w:color w:val="auto"/>
                <w:sz w:val="24"/>
                <w:szCs w:val="24"/>
                <w:highlight w:val="none"/>
              </w:rPr>
              <w:t>2017</w:t>
            </w:r>
            <w:r>
              <w:rPr>
                <w:rFonts w:hint="eastAsia" w:cs="宋体"/>
                <w:color w:val="auto"/>
                <w:sz w:val="24"/>
                <w:szCs w:val="24"/>
                <w:highlight w:val="none"/>
              </w:rPr>
              <w:t>〕</w:t>
            </w:r>
            <w:r>
              <w:rPr>
                <w:rFonts w:cs="宋体"/>
                <w:color w:val="auto"/>
                <w:sz w:val="24"/>
                <w:szCs w:val="24"/>
                <w:highlight w:val="none"/>
              </w:rPr>
              <w:t>141</w:t>
            </w:r>
            <w:r>
              <w:rPr>
                <w:rFonts w:hint="eastAsia" w:cs="宋体"/>
                <w:color w:val="auto"/>
                <w:sz w:val="24"/>
                <w:szCs w:val="24"/>
                <w:highlight w:val="none"/>
              </w:rPr>
              <w:t>号规定，符合条件的残疾人福利性单位在参加政府采购活动时，视同小型、微型企业，享受促进中小企业发展的政府采购政策（即</w:t>
            </w:r>
            <w:r>
              <w:rPr>
                <w:rFonts w:cs="宋体"/>
                <w:color w:val="auto"/>
                <w:sz w:val="24"/>
                <w:szCs w:val="24"/>
                <w:highlight w:val="none"/>
              </w:rPr>
              <w:t>20%</w:t>
            </w:r>
            <w:r>
              <w:rPr>
                <w:rFonts w:hint="eastAsia" w:cs="宋体"/>
                <w:color w:val="auto"/>
                <w:sz w:val="24"/>
                <w:szCs w:val="24"/>
                <w:highlight w:val="none"/>
              </w:rPr>
              <w:t>价格扣除），残疾人福利性单位须在投标文件中提供《残疾人福利性单位声明函》，否则不予认定。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1" w:type="dxa"/>
            <w:gridSpan w:val="3"/>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注：享受扶持政策获得政府采购项目的，小微企业不得将合同分包给大中型企业，中型企业不得将合同分包给大型企业。本项目为服务类采购项目，对应的中小企业划分标准所属行业为</w:t>
            </w:r>
            <w:r>
              <w:rPr>
                <w:rFonts w:hint="eastAsia" w:cs="宋体"/>
                <w:b/>
                <w:color w:val="auto"/>
                <w:sz w:val="24"/>
                <w:szCs w:val="24"/>
                <w:highlight w:val="none"/>
              </w:rPr>
              <w:t>软件和信息技术服务业</w:t>
            </w:r>
            <w:r>
              <w:rPr>
                <w:rFonts w:hint="eastAsia"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12</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投标人须提供的其他资料</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13</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澄清或者修改时间</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14</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提交投标文件的截止时间、地点</w:t>
            </w:r>
          </w:p>
        </w:tc>
        <w:tc>
          <w:tcPr>
            <w:tcW w:w="6596" w:type="dxa"/>
            <w:vAlign w:val="center"/>
          </w:tcPr>
          <w:p>
            <w:pPr>
              <w:pStyle w:val="20"/>
              <w:spacing w:line="460" w:lineRule="exact"/>
              <w:jc w:val="left"/>
              <w:rPr>
                <w:rFonts w:hint="eastAsia"/>
                <w:color w:val="auto"/>
                <w:sz w:val="24"/>
                <w:szCs w:val="24"/>
                <w:highlight w:val="none"/>
              </w:rPr>
            </w:pPr>
            <w:r>
              <w:rPr>
                <w:rFonts w:hint="eastAsia"/>
                <w:color w:val="auto"/>
                <w:sz w:val="24"/>
                <w:szCs w:val="24"/>
                <w:highlight w:val="none"/>
              </w:rPr>
              <w:t>时间：2024年</w:t>
            </w:r>
            <w:r>
              <w:rPr>
                <w:rFonts w:hint="eastAsia"/>
                <w:color w:val="auto"/>
                <w:sz w:val="24"/>
                <w:szCs w:val="24"/>
                <w:highlight w:val="none"/>
                <w:lang w:val="en-US" w:eastAsia="zh-CN"/>
              </w:rPr>
              <w:t>03</w:t>
            </w:r>
            <w:r>
              <w:rPr>
                <w:rFonts w:hint="eastAsia"/>
                <w:color w:val="auto"/>
                <w:sz w:val="24"/>
                <w:szCs w:val="24"/>
                <w:highlight w:val="none"/>
              </w:rPr>
              <w:t>月</w:t>
            </w:r>
            <w:r>
              <w:rPr>
                <w:rFonts w:hint="eastAsia"/>
                <w:color w:val="auto"/>
                <w:sz w:val="24"/>
                <w:szCs w:val="24"/>
                <w:highlight w:val="none"/>
                <w:lang w:val="en-US" w:eastAsia="zh-CN"/>
              </w:rPr>
              <w:t>29</w:t>
            </w:r>
            <w:r>
              <w:rPr>
                <w:rFonts w:hint="eastAsia"/>
                <w:color w:val="auto"/>
                <w:sz w:val="24"/>
                <w:szCs w:val="24"/>
                <w:highlight w:val="none"/>
              </w:rPr>
              <w:t>日</w:t>
            </w:r>
            <w:r>
              <w:rPr>
                <w:rFonts w:hint="eastAsia"/>
                <w:color w:val="auto"/>
                <w:sz w:val="24"/>
                <w:szCs w:val="24"/>
                <w:highlight w:val="none"/>
                <w:lang w:val="en-US" w:eastAsia="zh-CN"/>
              </w:rPr>
              <w:t>09</w:t>
            </w:r>
            <w:r>
              <w:rPr>
                <w:rFonts w:hint="eastAsia"/>
                <w:color w:val="auto"/>
                <w:sz w:val="24"/>
                <w:szCs w:val="24"/>
                <w:highlight w:val="none"/>
              </w:rPr>
              <w:t>点</w:t>
            </w:r>
            <w:r>
              <w:rPr>
                <w:rFonts w:hint="eastAsia"/>
                <w:color w:val="auto"/>
                <w:sz w:val="24"/>
                <w:szCs w:val="24"/>
                <w:highlight w:val="none"/>
                <w:lang w:val="en-US" w:eastAsia="zh-CN"/>
              </w:rPr>
              <w:t>00</w:t>
            </w:r>
            <w:r>
              <w:rPr>
                <w:rFonts w:hint="eastAsia"/>
                <w:color w:val="auto"/>
                <w:sz w:val="24"/>
                <w:szCs w:val="24"/>
                <w:highlight w:val="none"/>
              </w:rPr>
              <w:t>分(北京时间)</w:t>
            </w:r>
          </w:p>
          <w:p>
            <w:pPr>
              <w:pStyle w:val="20"/>
              <w:spacing w:line="460" w:lineRule="exact"/>
              <w:jc w:val="left"/>
              <w:rPr>
                <w:rFonts w:hint="eastAsia"/>
                <w:color w:val="auto"/>
                <w:sz w:val="24"/>
                <w:szCs w:val="24"/>
                <w:highlight w:val="none"/>
              </w:rPr>
            </w:pPr>
            <w:r>
              <w:rPr>
                <w:rFonts w:hint="eastAsia"/>
                <w:color w:val="auto"/>
                <w:sz w:val="24"/>
                <w:szCs w:val="24"/>
                <w:highlight w:val="none"/>
              </w:rPr>
              <w:t>地点：福建省福州市鼓楼区五四路159号世界金龙大厦14层A区单元福建省智信招标有限公司开标大厅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15</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开标时间、地点</w:t>
            </w:r>
          </w:p>
        </w:tc>
        <w:tc>
          <w:tcPr>
            <w:tcW w:w="6596" w:type="dxa"/>
            <w:vAlign w:val="center"/>
          </w:tcPr>
          <w:p>
            <w:pPr>
              <w:pStyle w:val="20"/>
              <w:spacing w:line="460" w:lineRule="exact"/>
              <w:jc w:val="left"/>
              <w:rPr>
                <w:rFonts w:hint="eastAsia"/>
                <w:color w:val="auto"/>
                <w:sz w:val="24"/>
                <w:szCs w:val="24"/>
                <w:highlight w:val="none"/>
              </w:rPr>
            </w:pPr>
            <w:r>
              <w:rPr>
                <w:rFonts w:hint="eastAsia"/>
                <w:color w:val="auto"/>
                <w:sz w:val="24"/>
                <w:szCs w:val="24"/>
                <w:highlight w:val="none"/>
              </w:rPr>
              <w:t>时间：2024年</w:t>
            </w:r>
            <w:r>
              <w:rPr>
                <w:rFonts w:hint="eastAsia"/>
                <w:color w:val="auto"/>
                <w:sz w:val="24"/>
                <w:szCs w:val="24"/>
                <w:highlight w:val="none"/>
                <w:lang w:val="en-US" w:eastAsia="zh-CN"/>
              </w:rPr>
              <w:t>03</w:t>
            </w:r>
            <w:r>
              <w:rPr>
                <w:rFonts w:hint="eastAsia"/>
                <w:color w:val="auto"/>
                <w:sz w:val="24"/>
                <w:szCs w:val="24"/>
                <w:highlight w:val="none"/>
              </w:rPr>
              <w:t>月</w:t>
            </w:r>
            <w:r>
              <w:rPr>
                <w:rFonts w:hint="eastAsia"/>
                <w:color w:val="auto"/>
                <w:sz w:val="24"/>
                <w:szCs w:val="24"/>
                <w:highlight w:val="none"/>
                <w:lang w:val="en-US" w:eastAsia="zh-CN"/>
              </w:rPr>
              <w:t>29</w:t>
            </w:r>
            <w:r>
              <w:rPr>
                <w:rFonts w:hint="eastAsia"/>
                <w:color w:val="auto"/>
                <w:sz w:val="24"/>
                <w:szCs w:val="24"/>
                <w:highlight w:val="none"/>
              </w:rPr>
              <w:t>日</w:t>
            </w:r>
            <w:r>
              <w:rPr>
                <w:rFonts w:hint="eastAsia"/>
                <w:color w:val="auto"/>
                <w:sz w:val="24"/>
                <w:szCs w:val="24"/>
                <w:highlight w:val="none"/>
                <w:lang w:val="en-US" w:eastAsia="zh-CN"/>
              </w:rPr>
              <w:t>09</w:t>
            </w:r>
            <w:r>
              <w:rPr>
                <w:rFonts w:hint="eastAsia"/>
                <w:color w:val="auto"/>
                <w:sz w:val="24"/>
                <w:szCs w:val="24"/>
                <w:highlight w:val="none"/>
              </w:rPr>
              <w:t>点</w:t>
            </w:r>
            <w:r>
              <w:rPr>
                <w:rFonts w:hint="eastAsia"/>
                <w:color w:val="auto"/>
                <w:sz w:val="24"/>
                <w:szCs w:val="24"/>
                <w:highlight w:val="none"/>
                <w:lang w:val="en-US" w:eastAsia="zh-CN"/>
              </w:rPr>
              <w:t>00</w:t>
            </w:r>
            <w:r>
              <w:rPr>
                <w:rFonts w:hint="eastAsia"/>
                <w:color w:val="auto"/>
                <w:sz w:val="24"/>
                <w:szCs w:val="24"/>
                <w:highlight w:val="none"/>
              </w:rPr>
              <w:t>分(北京时间)</w:t>
            </w:r>
          </w:p>
          <w:p>
            <w:pPr>
              <w:pStyle w:val="20"/>
              <w:spacing w:line="460" w:lineRule="exact"/>
              <w:jc w:val="left"/>
              <w:rPr>
                <w:rFonts w:hint="eastAsia"/>
                <w:color w:val="auto"/>
                <w:sz w:val="24"/>
                <w:szCs w:val="24"/>
                <w:highlight w:val="none"/>
              </w:rPr>
            </w:pPr>
            <w:r>
              <w:rPr>
                <w:rFonts w:hint="eastAsia"/>
                <w:color w:val="auto"/>
                <w:sz w:val="24"/>
                <w:szCs w:val="24"/>
                <w:highlight w:val="none"/>
              </w:rPr>
              <w:t>地点：福建省福州市鼓楼区五四路159号世界金龙大厦14层A区单元福建省智信招标有限公司开标大厅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16</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其他唱标内容</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17</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投标保证金</w:t>
            </w:r>
          </w:p>
        </w:tc>
        <w:tc>
          <w:tcPr>
            <w:tcW w:w="6596" w:type="dxa"/>
            <w:vAlign w:val="center"/>
          </w:tcPr>
          <w:p>
            <w:pPr>
              <w:pStyle w:val="20"/>
              <w:spacing w:line="450" w:lineRule="exact"/>
              <w:rPr>
                <w:rFonts w:cs="宋体"/>
                <w:color w:val="auto"/>
                <w:sz w:val="24"/>
                <w:szCs w:val="24"/>
                <w:highlight w:val="none"/>
              </w:rPr>
            </w:pPr>
            <w:r>
              <w:rPr>
                <w:rFonts w:hint="eastAsia" w:cs="宋体"/>
                <w:color w:val="auto"/>
                <w:sz w:val="24"/>
                <w:szCs w:val="24"/>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18</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投标有效期</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自投标文件截止时间起</w:t>
            </w:r>
            <w:r>
              <w:rPr>
                <w:rFonts w:cs="宋体"/>
                <w:color w:val="auto"/>
                <w:sz w:val="24"/>
                <w:szCs w:val="24"/>
                <w:highlight w:val="none"/>
                <w:u w:val="single"/>
              </w:rPr>
              <w:t>90</w:t>
            </w:r>
            <w:r>
              <w:rPr>
                <w:rFonts w:hint="eastAsia" w:cs="宋体"/>
                <w:color w:val="auto"/>
                <w:sz w:val="24"/>
                <w:szCs w:val="24"/>
                <w:highlight w:val="none"/>
              </w:rPr>
              <w:t>日</w:t>
            </w:r>
            <w:r>
              <w:rPr>
                <w:rFonts w:cs="宋体"/>
                <w:color w:val="auto"/>
                <w:sz w:val="24"/>
                <w:szCs w:val="24"/>
                <w:highlight w:val="none"/>
              </w:rPr>
              <w:t>(</w:t>
            </w:r>
            <w:r>
              <w:rPr>
                <w:rFonts w:hint="eastAsia" w:cs="宋体"/>
                <w:color w:val="auto"/>
                <w:sz w:val="24"/>
                <w:szCs w:val="24"/>
                <w:highlight w:val="none"/>
              </w:rPr>
              <w:t>日历日</w:t>
            </w:r>
            <w:r>
              <w:rPr>
                <w:rFonts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19</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投标文件份数</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正本</w:t>
            </w:r>
            <w:r>
              <w:rPr>
                <w:rFonts w:cs="宋体"/>
                <w:color w:val="auto"/>
                <w:sz w:val="24"/>
                <w:szCs w:val="24"/>
                <w:highlight w:val="none"/>
                <w:u w:val="single"/>
              </w:rPr>
              <w:t>1</w:t>
            </w:r>
            <w:r>
              <w:rPr>
                <w:rFonts w:hint="eastAsia" w:cs="宋体"/>
                <w:color w:val="auto"/>
                <w:sz w:val="24"/>
                <w:szCs w:val="24"/>
                <w:highlight w:val="none"/>
              </w:rPr>
              <w:t>份</w:t>
            </w:r>
          </w:p>
          <w:p>
            <w:pPr>
              <w:pStyle w:val="20"/>
              <w:spacing w:line="460" w:lineRule="exact"/>
              <w:jc w:val="left"/>
              <w:rPr>
                <w:rFonts w:cs="宋体"/>
                <w:color w:val="auto"/>
                <w:sz w:val="24"/>
                <w:szCs w:val="24"/>
                <w:highlight w:val="none"/>
              </w:rPr>
            </w:pPr>
            <w:r>
              <w:rPr>
                <w:rFonts w:hint="eastAsia" w:cs="宋体"/>
                <w:color w:val="auto"/>
                <w:sz w:val="24"/>
                <w:szCs w:val="24"/>
                <w:highlight w:val="none"/>
              </w:rPr>
              <w:t>副本</w:t>
            </w:r>
            <w:r>
              <w:rPr>
                <w:rFonts w:cs="宋体"/>
                <w:color w:val="auto"/>
                <w:sz w:val="24"/>
                <w:szCs w:val="24"/>
                <w:highlight w:val="none"/>
                <w:u w:val="single"/>
              </w:rPr>
              <w:t>5</w:t>
            </w:r>
            <w:r>
              <w:rPr>
                <w:rFonts w:hint="eastAsia" w:cs="宋体"/>
                <w:color w:val="auto"/>
                <w:sz w:val="24"/>
                <w:szCs w:val="24"/>
                <w:highlight w:val="none"/>
              </w:rPr>
              <w:t>份</w:t>
            </w:r>
          </w:p>
          <w:p>
            <w:pPr>
              <w:pStyle w:val="20"/>
              <w:spacing w:line="460" w:lineRule="exact"/>
              <w:jc w:val="left"/>
              <w:rPr>
                <w:rFonts w:cs="宋体"/>
                <w:color w:val="auto"/>
                <w:sz w:val="24"/>
                <w:szCs w:val="24"/>
                <w:highlight w:val="none"/>
              </w:rPr>
            </w:pPr>
            <w:r>
              <w:rPr>
                <w:rFonts w:hint="eastAsia" w:cs="宋体"/>
                <w:color w:val="auto"/>
                <w:sz w:val="24"/>
                <w:szCs w:val="24"/>
                <w:highlight w:val="none"/>
              </w:rPr>
              <w:t>电子文件</w:t>
            </w:r>
            <w:r>
              <w:rPr>
                <w:rFonts w:cs="宋体"/>
                <w:color w:val="auto"/>
                <w:sz w:val="24"/>
                <w:szCs w:val="24"/>
                <w:highlight w:val="none"/>
                <w:u w:val="single"/>
              </w:rPr>
              <w:t>1</w:t>
            </w:r>
            <w:r>
              <w:rPr>
                <w:rFonts w:hint="eastAsia" w:cs="宋体"/>
                <w:color w:val="auto"/>
                <w:sz w:val="24"/>
                <w:szCs w:val="24"/>
                <w:highlight w:val="none"/>
              </w:rPr>
              <w:t>份</w:t>
            </w:r>
            <w:r>
              <w:rPr>
                <w:rFonts w:cs="宋体"/>
                <w:color w:val="auto"/>
                <w:sz w:val="24"/>
                <w:szCs w:val="24"/>
                <w:highlight w:val="none"/>
              </w:rPr>
              <w:t>(</w:t>
            </w:r>
            <w:r>
              <w:rPr>
                <w:rFonts w:hint="eastAsia" w:ascii="MS Gothic" w:hAnsi="MS Gothic" w:eastAsia="MS Gothic" w:cs="MS Gothic"/>
                <w:color w:val="auto"/>
                <w:sz w:val="24"/>
                <w:szCs w:val="24"/>
                <w:highlight w:val="none"/>
              </w:rPr>
              <w:t>☑</w:t>
            </w:r>
            <w:r>
              <w:rPr>
                <w:rFonts w:hint="eastAsia" w:cs="宋体"/>
                <w:color w:val="auto"/>
                <w:sz w:val="24"/>
                <w:szCs w:val="24"/>
                <w:highlight w:val="none"/>
              </w:rPr>
              <w:t>扫描件，</w:t>
            </w:r>
            <w:r>
              <w:rPr>
                <w:rFonts w:cs="宋体"/>
                <w:color w:val="auto"/>
                <w:sz w:val="24"/>
                <w:szCs w:val="24"/>
                <w:highlight w:val="none"/>
              </w:rPr>
              <w:t xml:space="preserve"> </w:t>
            </w:r>
            <w:r>
              <w:rPr>
                <w:rFonts w:hint="eastAsia" w:ascii="MS Gothic" w:hAnsi="MS Gothic" w:eastAsia="MS Gothic" w:cs="MS Gothic"/>
                <w:color w:val="auto"/>
                <w:sz w:val="24"/>
                <w:szCs w:val="24"/>
                <w:highlight w:val="none"/>
              </w:rPr>
              <w:t>☑</w:t>
            </w:r>
            <w:r>
              <w:rPr>
                <w:rFonts w:cs="宋体"/>
                <w:color w:val="auto"/>
                <w:sz w:val="24"/>
                <w:szCs w:val="24"/>
                <w:highlight w:val="none"/>
              </w:rPr>
              <w:t>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20</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封套上应载明的信息</w:t>
            </w:r>
          </w:p>
        </w:tc>
        <w:tc>
          <w:tcPr>
            <w:tcW w:w="6596" w:type="dxa"/>
            <w:vAlign w:val="center"/>
          </w:tcPr>
          <w:p>
            <w:pPr>
              <w:pStyle w:val="20"/>
              <w:spacing w:line="460" w:lineRule="exact"/>
              <w:jc w:val="left"/>
              <w:rPr>
                <w:rFonts w:cs="宋体"/>
                <w:color w:val="auto"/>
                <w:sz w:val="24"/>
                <w:szCs w:val="24"/>
                <w:highlight w:val="none"/>
                <w:u w:val="single"/>
              </w:rPr>
            </w:pPr>
            <w:r>
              <w:rPr>
                <w:rFonts w:hint="eastAsia" w:cs="宋体"/>
                <w:color w:val="auto"/>
                <w:sz w:val="24"/>
                <w:szCs w:val="24"/>
                <w:highlight w:val="none"/>
                <w:u w:val="single"/>
              </w:rPr>
              <w:t>福建税务2023年机房搬迁项目投标文件</w:t>
            </w:r>
          </w:p>
          <w:p>
            <w:pPr>
              <w:pStyle w:val="20"/>
              <w:spacing w:line="460" w:lineRule="exact"/>
              <w:jc w:val="left"/>
              <w:rPr>
                <w:rFonts w:cs="宋体"/>
                <w:color w:val="auto"/>
                <w:sz w:val="24"/>
                <w:szCs w:val="24"/>
                <w:highlight w:val="none"/>
                <w:u w:val="single"/>
              </w:rPr>
            </w:pPr>
            <w:r>
              <w:rPr>
                <w:rFonts w:hint="eastAsia" w:cs="宋体"/>
                <w:color w:val="auto"/>
                <w:sz w:val="24"/>
                <w:szCs w:val="24"/>
                <w:highlight w:val="none"/>
              </w:rPr>
              <w:t>项目编号：</w:t>
            </w:r>
            <w:r>
              <w:rPr>
                <w:color w:val="auto"/>
                <w:sz w:val="24"/>
                <w:szCs w:val="24"/>
                <w:highlight w:val="none"/>
                <w:u w:val="single"/>
              </w:rPr>
              <w:t xml:space="preserve"> </w:t>
            </w:r>
            <w:r>
              <w:rPr>
                <w:rFonts w:hint="eastAsia"/>
                <w:color w:val="auto"/>
                <w:sz w:val="24"/>
                <w:szCs w:val="24"/>
                <w:highlight w:val="none"/>
                <w:u w:val="single"/>
              </w:rPr>
              <w:t>ZXWT-2024-68</w:t>
            </w:r>
          </w:p>
          <w:p>
            <w:pPr>
              <w:pStyle w:val="20"/>
              <w:spacing w:line="460" w:lineRule="exact"/>
              <w:jc w:val="left"/>
              <w:rPr>
                <w:rFonts w:cs="宋体"/>
                <w:color w:val="auto"/>
                <w:sz w:val="24"/>
                <w:szCs w:val="24"/>
                <w:highlight w:val="none"/>
                <w:u w:val="single"/>
              </w:rPr>
            </w:pPr>
            <w:r>
              <w:rPr>
                <w:rFonts w:hint="eastAsia" w:cs="宋体"/>
                <w:color w:val="auto"/>
                <w:sz w:val="24"/>
                <w:szCs w:val="24"/>
                <w:highlight w:val="none"/>
              </w:rPr>
              <w:t>合同包号：</w:t>
            </w:r>
          </w:p>
          <w:p>
            <w:pPr>
              <w:pStyle w:val="20"/>
              <w:spacing w:line="460" w:lineRule="exact"/>
              <w:jc w:val="left"/>
              <w:rPr>
                <w:rFonts w:cs="宋体"/>
                <w:color w:val="auto"/>
                <w:sz w:val="24"/>
                <w:szCs w:val="24"/>
                <w:highlight w:val="none"/>
              </w:rPr>
            </w:pPr>
            <w:r>
              <w:rPr>
                <w:rFonts w:hint="eastAsia" w:cs="宋体"/>
                <w:color w:val="auto"/>
                <w:sz w:val="24"/>
                <w:szCs w:val="24"/>
                <w:highlight w:val="none"/>
              </w:rPr>
              <w:t>在</w:t>
            </w:r>
            <w:r>
              <w:rPr>
                <w:rFonts w:cs="宋体"/>
                <w:color w:val="auto"/>
                <w:sz w:val="24"/>
                <w:szCs w:val="24"/>
                <w:highlight w:val="none"/>
                <w:u w:val="single"/>
              </w:rPr>
              <w:t>202</w:t>
            </w:r>
            <w:r>
              <w:rPr>
                <w:rFonts w:hint="eastAsia" w:cs="宋体"/>
                <w:color w:val="auto"/>
                <w:sz w:val="24"/>
                <w:szCs w:val="24"/>
                <w:highlight w:val="none"/>
                <w:u w:val="single"/>
              </w:rPr>
              <w:t>4</w:t>
            </w:r>
            <w:r>
              <w:rPr>
                <w:rFonts w:hint="eastAsia" w:cs="宋体"/>
                <w:color w:val="auto"/>
                <w:sz w:val="24"/>
                <w:szCs w:val="24"/>
                <w:highlight w:val="none"/>
              </w:rPr>
              <w:t>年</w:t>
            </w:r>
            <w:r>
              <w:rPr>
                <w:rFonts w:cs="宋体"/>
                <w:color w:val="auto"/>
                <w:sz w:val="24"/>
                <w:szCs w:val="24"/>
                <w:highlight w:val="none"/>
              </w:rPr>
              <w:t xml:space="preserve"> </w:t>
            </w:r>
            <w:r>
              <w:rPr>
                <w:rFonts w:hint="eastAsia" w:cs="宋体"/>
                <w:color w:val="auto"/>
                <w:sz w:val="24"/>
                <w:szCs w:val="24"/>
                <w:highlight w:val="none"/>
              </w:rPr>
              <w:t>月</w:t>
            </w:r>
            <w:r>
              <w:rPr>
                <w:rFonts w:cs="宋体"/>
                <w:color w:val="auto"/>
                <w:sz w:val="24"/>
                <w:szCs w:val="24"/>
                <w:highlight w:val="none"/>
              </w:rPr>
              <w:t xml:space="preserve"> </w:t>
            </w:r>
            <w:r>
              <w:rPr>
                <w:rFonts w:hint="eastAsia" w:cs="宋体"/>
                <w:color w:val="auto"/>
                <w:sz w:val="24"/>
                <w:szCs w:val="24"/>
                <w:highlight w:val="none"/>
              </w:rPr>
              <w:t>日</w:t>
            </w:r>
            <w:r>
              <w:rPr>
                <w:rFonts w:cs="宋体"/>
                <w:color w:val="auto"/>
                <w:sz w:val="24"/>
                <w:szCs w:val="24"/>
                <w:highlight w:val="none"/>
              </w:rPr>
              <w:t xml:space="preserve"> </w:t>
            </w:r>
            <w:r>
              <w:rPr>
                <w:rFonts w:hint="eastAsia" w:cs="宋体"/>
                <w:color w:val="auto"/>
                <w:sz w:val="24"/>
                <w:szCs w:val="24"/>
                <w:highlight w:val="none"/>
              </w:rPr>
              <w:t>时</w:t>
            </w:r>
            <w:r>
              <w:rPr>
                <w:rFonts w:cs="宋体"/>
                <w:color w:val="auto"/>
                <w:sz w:val="24"/>
                <w:szCs w:val="24"/>
                <w:highlight w:val="none"/>
              </w:rPr>
              <w:t xml:space="preserve"> </w:t>
            </w:r>
            <w:r>
              <w:rPr>
                <w:rFonts w:hint="eastAsia" w:cs="宋体"/>
                <w:color w:val="auto"/>
                <w:sz w:val="24"/>
                <w:szCs w:val="24"/>
                <w:highlight w:val="none"/>
              </w:rPr>
              <w:t>分之前不得启封</w:t>
            </w:r>
          </w:p>
          <w:p>
            <w:pPr>
              <w:pStyle w:val="20"/>
              <w:spacing w:line="460" w:lineRule="exact"/>
              <w:jc w:val="left"/>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____________________</w:t>
            </w:r>
          </w:p>
          <w:p>
            <w:pPr>
              <w:pStyle w:val="20"/>
              <w:spacing w:line="460" w:lineRule="exact"/>
              <w:jc w:val="left"/>
              <w:rPr>
                <w:rFonts w:cs="宋体"/>
                <w:color w:val="auto"/>
                <w:sz w:val="24"/>
                <w:szCs w:val="24"/>
                <w:highlight w:val="none"/>
              </w:rPr>
            </w:pPr>
            <w:r>
              <w:rPr>
                <w:rFonts w:hint="eastAsia" w:cs="宋体"/>
                <w:color w:val="auto"/>
                <w:sz w:val="24"/>
                <w:szCs w:val="24"/>
                <w:highlight w:val="none"/>
              </w:rPr>
              <w:t>其他</w:t>
            </w:r>
            <w:r>
              <w:rPr>
                <w:rFonts w:cs="宋体"/>
                <w:color w:val="auto"/>
                <w:sz w:val="24"/>
                <w:szCs w:val="24"/>
                <w:highlight w:val="none"/>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21</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信用查询</w:t>
            </w:r>
          </w:p>
        </w:tc>
        <w:tc>
          <w:tcPr>
            <w:tcW w:w="6596"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资格审查小组将通过“信用中国”网站（</w:t>
            </w:r>
            <w:r>
              <w:rPr>
                <w:rFonts w:cs="宋体"/>
                <w:color w:val="auto"/>
                <w:sz w:val="24"/>
                <w:szCs w:val="24"/>
                <w:highlight w:val="none"/>
              </w:rPr>
              <w:t>www.creditchina.gov.cn</w:t>
            </w:r>
            <w:r>
              <w:rPr>
                <w:rFonts w:hint="eastAsia" w:cs="宋体"/>
                <w:color w:val="auto"/>
                <w:sz w:val="24"/>
                <w:szCs w:val="24"/>
                <w:highlight w:val="none"/>
              </w:rPr>
              <w:t>）和中国政府采购网（</w:t>
            </w:r>
            <w:r>
              <w:rPr>
                <w:rFonts w:cs="宋体"/>
                <w:color w:val="auto"/>
                <w:sz w:val="24"/>
                <w:szCs w:val="24"/>
                <w:highlight w:val="none"/>
              </w:rPr>
              <w:t>www.ccgp.gov.cn</w:t>
            </w:r>
            <w:r>
              <w:rPr>
                <w:rFonts w:hint="eastAsia" w:cs="宋体"/>
                <w:color w:val="auto"/>
                <w:sz w:val="24"/>
                <w:szCs w:val="24"/>
                <w:highlight w:val="none"/>
              </w:rPr>
              <w:t>）查询并打印投标人信用记录，查询结果存在投标人应被拒绝参与政府采购活动相关信息的，其资格审查不合格。因上述网站原因导致资格审查小组无法查询投标人信用记录的（资格审查小组应将通过上述网站查询投标人信用记录时的原始页面打印后随采购文件一并存档），视为查询结果未存在投标人应被拒绝参与政府采购活动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22</w:t>
            </w:r>
          </w:p>
        </w:tc>
        <w:tc>
          <w:tcPr>
            <w:tcW w:w="1727" w:type="dxa"/>
            <w:vAlign w:val="center"/>
          </w:tcPr>
          <w:p>
            <w:pPr>
              <w:pStyle w:val="20"/>
              <w:spacing w:line="460" w:lineRule="exact"/>
              <w:jc w:val="left"/>
              <w:rPr>
                <w:rFonts w:ascii="Times New Roman" w:hAnsi="Times New Roman" w:cs="Courier New"/>
                <w:color w:val="auto"/>
                <w:sz w:val="24"/>
                <w:szCs w:val="24"/>
                <w:highlight w:val="none"/>
              </w:rPr>
            </w:pPr>
            <w:r>
              <w:rPr>
                <w:rFonts w:hint="eastAsia" w:ascii="Times New Roman" w:hAnsi="Times New Roman" w:cs="Courier New"/>
                <w:color w:val="auto"/>
                <w:sz w:val="24"/>
                <w:szCs w:val="24"/>
                <w:highlight w:val="none"/>
              </w:rPr>
              <w:t>同品牌多家投标人处理原则</w:t>
            </w:r>
          </w:p>
        </w:tc>
        <w:tc>
          <w:tcPr>
            <w:tcW w:w="6596" w:type="dxa"/>
            <w:vAlign w:val="center"/>
          </w:tcPr>
          <w:p>
            <w:pPr>
              <w:pStyle w:val="20"/>
              <w:spacing w:line="400" w:lineRule="exact"/>
              <w:jc w:val="left"/>
              <w:rPr>
                <w:rFonts w:cs="宋体"/>
                <w:color w:val="auto"/>
                <w:sz w:val="24"/>
                <w:szCs w:val="24"/>
                <w:highlight w:val="none"/>
              </w:rPr>
            </w:pPr>
            <w:r>
              <w:rPr>
                <w:rFonts w:hint="eastAsia" w:cs="宋体"/>
                <w:color w:val="auto"/>
                <w:sz w:val="24"/>
                <w:szCs w:val="24"/>
                <w:highlight w:val="none"/>
              </w:rPr>
              <w:t>□随机抽取</w:t>
            </w:r>
          </w:p>
          <w:p>
            <w:pPr>
              <w:pStyle w:val="30"/>
              <w:spacing w:before="75" w:beforeAutospacing="0" w:after="75" w:afterAutospacing="0" w:line="460" w:lineRule="exact"/>
              <w:rPr>
                <w:rFonts w:ascii="Times New Roman" w:hAnsi="Times New Roman"/>
                <w:color w:val="auto"/>
                <w:kern w:val="2"/>
                <w:szCs w:val="24"/>
                <w:highlight w:val="none"/>
              </w:rPr>
            </w:pPr>
            <w:r>
              <w:rPr>
                <w:rFonts w:hint="eastAsia" w:ascii="MS Gothic" w:hAnsi="MS Gothic" w:eastAsia="MS Gothic" w:cs="MS Gothic"/>
                <w:color w:val="auto"/>
                <w:kern w:val="2"/>
                <w:szCs w:val="24"/>
                <w:highlight w:val="none"/>
              </w:rPr>
              <w:t>☑</w:t>
            </w:r>
            <w:r>
              <w:rPr>
                <w:rFonts w:hint="eastAsia" w:ascii="宋体" w:cs="宋体"/>
                <w:color w:val="auto"/>
                <w:kern w:val="2"/>
                <w:szCs w:val="24"/>
                <w:highlight w:val="none"/>
              </w:rPr>
              <w:t>其他</w:t>
            </w:r>
            <w:r>
              <w:rPr>
                <w:rFonts w:ascii="宋体" w:cs="宋体"/>
                <w:color w:val="auto"/>
                <w:kern w:val="2"/>
                <w:szCs w:val="24"/>
                <w:highlight w:val="none"/>
              </w:rPr>
              <w:t xml:space="preserve"> (</w:t>
            </w:r>
            <w:r>
              <w:rPr>
                <w:rFonts w:hint="eastAsia" w:ascii="宋体" w:cs="宋体"/>
                <w:color w:val="auto"/>
                <w:kern w:val="2"/>
                <w:szCs w:val="24"/>
                <w:highlight w:val="none"/>
              </w:rPr>
              <w:t>本项目不适用</w:t>
            </w:r>
            <w:r>
              <w:rPr>
                <w:rFonts w:ascii="宋体" w:cs="宋体"/>
                <w:color w:val="auto"/>
                <w:kern w:val="2"/>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23</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定标原则</w:t>
            </w:r>
          </w:p>
        </w:tc>
        <w:tc>
          <w:tcPr>
            <w:tcW w:w="6596" w:type="dxa"/>
            <w:vAlign w:val="center"/>
          </w:tcPr>
          <w:p>
            <w:pPr>
              <w:pStyle w:val="20"/>
              <w:spacing w:line="460" w:lineRule="exact"/>
              <w:jc w:val="left"/>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采购人在评标报告确定的中标候选人名单中按顺序确定中标人。</w:t>
            </w:r>
          </w:p>
          <w:p>
            <w:pPr>
              <w:pStyle w:val="20"/>
              <w:spacing w:line="460" w:lineRule="exact"/>
              <w:jc w:val="left"/>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中标候选人并列的，按照以下方式确定中标人。</w:t>
            </w:r>
          </w:p>
          <w:p>
            <w:pPr>
              <w:pStyle w:val="20"/>
              <w:spacing w:line="460" w:lineRule="exact"/>
              <w:jc w:val="left"/>
              <w:rPr>
                <w:rFonts w:cs="宋体"/>
                <w:color w:val="auto"/>
                <w:sz w:val="24"/>
                <w:szCs w:val="24"/>
                <w:highlight w:val="none"/>
              </w:rPr>
            </w:pPr>
            <w:r>
              <w:rPr>
                <w:rFonts w:hint="eastAsia" w:ascii="MS Gothic" w:hAnsi="MS Gothic" w:eastAsia="MS Gothic" w:cs="MS Gothic"/>
                <w:color w:val="auto"/>
                <w:sz w:val="24"/>
                <w:szCs w:val="24"/>
                <w:highlight w:val="none"/>
              </w:rPr>
              <w:t>☑</w:t>
            </w:r>
            <w:r>
              <w:rPr>
                <w:rFonts w:hint="eastAsia" w:cs="宋体"/>
                <w:color w:val="auto"/>
                <w:sz w:val="24"/>
                <w:szCs w:val="24"/>
                <w:highlight w:val="none"/>
              </w:rPr>
              <w:t>随机抽取</w:t>
            </w:r>
          </w:p>
          <w:p>
            <w:pPr>
              <w:pStyle w:val="20"/>
              <w:spacing w:line="460" w:lineRule="exact"/>
              <w:jc w:val="left"/>
              <w:rPr>
                <w:rFonts w:cs="宋体"/>
                <w:color w:val="auto"/>
                <w:sz w:val="24"/>
                <w:szCs w:val="24"/>
                <w:highlight w:val="none"/>
              </w:rPr>
            </w:pPr>
            <w:r>
              <w:rPr>
                <w:rFonts w:hint="eastAsia" w:cs="宋体"/>
                <w:color w:val="auto"/>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24</w:t>
            </w:r>
          </w:p>
        </w:tc>
        <w:tc>
          <w:tcPr>
            <w:tcW w:w="1727" w:type="dxa"/>
            <w:vAlign w:val="center"/>
          </w:tcPr>
          <w:p>
            <w:pPr>
              <w:pStyle w:val="20"/>
              <w:spacing w:line="460" w:lineRule="exact"/>
              <w:jc w:val="left"/>
              <w:rPr>
                <w:rFonts w:cs="宋体"/>
                <w:color w:val="auto"/>
                <w:sz w:val="24"/>
                <w:szCs w:val="24"/>
                <w:highlight w:val="none"/>
              </w:rPr>
            </w:pPr>
            <w:r>
              <w:rPr>
                <w:rFonts w:hint="eastAsia" w:ascii="Times New Roman" w:hAnsi="Times New Roman" w:cs="Courier New"/>
                <w:color w:val="auto"/>
                <w:sz w:val="24"/>
                <w:szCs w:val="24"/>
                <w:highlight w:val="none"/>
              </w:rPr>
              <w:t>提供服务的时间、地点、方式、项目服务期限</w:t>
            </w:r>
          </w:p>
        </w:tc>
        <w:tc>
          <w:tcPr>
            <w:tcW w:w="6596" w:type="dxa"/>
            <w:vAlign w:val="center"/>
          </w:tcPr>
          <w:p>
            <w:pPr>
              <w:spacing w:line="460" w:lineRule="exact"/>
              <w:rPr>
                <w:rFonts w:ascii="宋体" w:cs="宋体"/>
                <w:color w:val="auto"/>
                <w:sz w:val="24"/>
                <w:highlight w:val="none"/>
              </w:rPr>
            </w:pPr>
            <w:r>
              <w:rPr>
                <w:rFonts w:hint="eastAsia" w:ascii="Times New Roman" w:hAnsi="Times New Roman" w:cs="Courier New"/>
                <w:color w:val="auto"/>
                <w:sz w:val="24"/>
                <w:highlight w:val="none"/>
              </w:rPr>
              <w:t>服务的时间：</w:t>
            </w:r>
            <w:r>
              <w:rPr>
                <w:rFonts w:hint="eastAsia"/>
                <w:color w:val="auto"/>
                <w:sz w:val="24"/>
                <w:highlight w:val="none"/>
              </w:rPr>
              <w:t>详见本招标文件第六章项</w:t>
            </w:r>
            <w:r>
              <w:rPr>
                <w:rFonts w:hint="eastAsia" w:ascii="宋体" w:cs="宋体"/>
                <w:color w:val="auto"/>
                <w:sz w:val="24"/>
                <w:highlight w:val="none"/>
              </w:rPr>
              <w:t>目采购需求。</w:t>
            </w:r>
          </w:p>
          <w:p>
            <w:pPr>
              <w:spacing w:line="460" w:lineRule="exact"/>
              <w:rPr>
                <w:rFonts w:ascii="宋体" w:cs="宋体"/>
                <w:color w:val="auto"/>
                <w:sz w:val="24"/>
                <w:highlight w:val="none"/>
              </w:rPr>
            </w:pPr>
            <w:r>
              <w:rPr>
                <w:rFonts w:hint="eastAsia" w:ascii="宋体" w:cs="宋体"/>
                <w:color w:val="auto"/>
                <w:sz w:val="24"/>
                <w:highlight w:val="none"/>
              </w:rPr>
              <w:t>服务的地点：</w:t>
            </w:r>
            <w:r>
              <w:rPr>
                <w:rFonts w:hint="eastAsia" w:ascii="宋体" w:hAnsi="宋体" w:cs="宋体"/>
                <w:color w:val="auto"/>
                <w:sz w:val="24"/>
                <w:highlight w:val="none"/>
              </w:rPr>
              <w:t>上街机房、省局机房、闽侯机房</w:t>
            </w:r>
            <w:r>
              <w:rPr>
                <w:rFonts w:hint="eastAsia" w:ascii="宋体" w:cs="宋体"/>
                <w:color w:val="auto"/>
                <w:sz w:val="24"/>
                <w:highlight w:val="none"/>
              </w:rPr>
              <w:t>。</w:t>
            </w:r>
          </w:p>
          <w:p>
            <w:pPr>
              <w:spacing w:line="460" w:lineRule="exact"/>
              <w:rPr>
                <w:rFonts w:ascii="宋体" w:cs="宋体"/>
                <w:color w:val="auto"/>
                <w:sz w:val="24"/>
                <w:highlight w:val="none"/>
              </w:rPr>
            </w:pPr>
            <w:r>
              <w:rPr>
                <w:rFonts w:hint="eastAsia" w:ascii="宋体" w:cs="宋体"/>
                <w:color w:val="auto"/>
                <w:sz w:val="24"/>
                <w:highlight w:val="none"/>
              </w:rPr>
              <w:t>服务的方式：现场服务等。</w:t>
            </w:r>
          </w:p>
          <w:p>
            <w:pPr>
              <w:spacing w:line="460" w:lineRule="exact"/>
              <w:rPr>
                <w:rFonts w:cs="宋体"/>
                <w:color w:val="auto"/>
                <w:sz w:val="24"/>
                <w:highlight w:val="none"/>
              </w:rPr>
            </w:pPr>
            <w:r>
              <w:rPr>
                <w:rFonts w:hint="eastAsia" w:ascii="宋体" w:cs="宋体"/>
                <w:color w:val="auto"/>
                <w:sz w:val="24"/>
                <w:highlight w:val="none"/>
              </w:rPr>
              <w:t>项目服务期限：详见本招标文件第六章项目采购需求。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25</w:t>
            </w:r>
          </w:p>
        </w:tc>
        <w:tc>
          <w:tcPr>
            <w:tcW w:w="1727" w:type="dxa"/>
            <w:vAlign w:val="center"/>
          </w:tcPr>
          <w:p>
            <w:pPr>
              <w:spacing w:line="460" w:lineRule="exact"/>
              <w:rPr>
                <w:rFonts w:ascii="Times New Roman" w:hAnsi="Times New Roman" w:cs="Courier New"/>
                <w:color w:val="auto"/>
                <w:sz w:val="24"/>
                <w:highlight w:val="none"/>
              </w:rPr>
            </w:pPr>
            <w:r>
              <w:rPr>
                <w:rFonts w:hint="eastAsia" w:ascii="Times New Roman" w:hAnsi="Times New Roman" w:cs="Courier New"/>
                <w:color w:val="auto"/>
                <w:sz w:val="24"/>
                <w:highlight w:val="none"/>
              </w:rPr>
              <w:t>采购资金的支付方式及时间</w:t>
            </w:r>
          </w:p>
        </w:tc>
        <w:tc>
          <w:tcPr>
            <w:tcW w:w="6596" w:type="dxa"/>
            <w:vAlign w:val="center"/>
          </w:tcPr>
          <w:p>
            <w:pPr>
              <w:spacing w:line="460" w:lineRule="exact"/>
              <w:rPr>
                <w:rFonts w:ascii="Times New Roman" w:hAnsi="Times New Roman" w:cs="Courier New"/>
                <w:color w:val="auto"/>
                <w:sz w:val="24"/>
                <w:highlight w:val="none"/>
              </w:rPr>
            </w:pPr>
            <w:r>
              <w:rPr>
                <w:rFonts w:hint="eastAsia" w:ascii="Times New Roman" w:hAnsi="Times New Roman" w:cs="Courier New"/>
                <w:color w:val="auto"/>
                <w:sz w:val="24"/>
                <w:highlight w:val="none"/>
              </w:rPr>
              <w:t>本项目分3次付款：完成搬迁前调研，完成过渡环境的安装和调试并达到可用状态，支付项目合同金额的30%；完成机房搬迁的总体工作并提交相关文档资料，支付项目合同金额的60%；完成连续3个月无故障试运行，支付项目合同金额的10%。付款时须提交以下付款材料：</w:t>
            </w:r>
          </w:p>
          <w:p>
            <w:pPr>
              <w:spacing w:line="460" w:lineRule="exact"/>
              <w:rPr>
                <w:rFonts w:ascii="Times New Roman" w:hAnsi="Times New Roman" w:cs="Courier New"/>
                <w:color w:val="auto"/>
                <w:sz w:val="24"/>
                <w:highlight w:val="none"/>
              </w:rPr>
            </w:pPr>
            <w:r>
              <w:rPr>
                <w:rFonts w:hint="eastAsia" w:ascii="Times New Roman" w:hAnsi="Times New Roman" w:cs="Courier New"/>
                <w:color w:val="auto"/>
                <w:sz w:val="24"/>
                <w:highlight w:val="none"/>
              </w:rPr>
              <w:t>1.付款申请报告；</w:t>
            </w:r>
          </w:p>
          <w:p>
            <w:pPr>
              <w:spacing w:line="460" w:lineRule="exact"/>
              <w:rPr>
                <w:rFonts w:ascii="Times New Roman" w:hAnsi="Times New Roman" w:cs="Courier New"/>
                <w:color w:val="auto"/>
                <w:sz w:val="24"/>
                <w:highlight w:val="none"/>
              </w:rPr>
            </w:pPr>
            <w:r>
              <w:rPr>
                <w:rFonts w:hint="eastAsia" w:ascii="Times New Roman" w:hAnsi="Times New Roman" w:cs="Courier New"/>
                <w:color w:val="auto"/>
                <w:sz w:val="24"/>
                <w:highlight w:val="none"/>
              </w:rPr>
              <w:t>2.与付款金额相等的国家法定的发票；</w:t>
            </w:r>
          </w:p>
          <w:p>
            <w:pPr>
              <w:spacing w:line="460" w:lineRule="exact"/>
              <w:rPr>
                <w:color w:val="auto"/>
                <w:highlight w:val="none"/>
              </w:rPr>
            </w:pPr>
            <w:r>
              <w:rPr>
                <w:rFonts w:hint="eastAsia" w:ascii="Times New Roman" w:hAnsi="Times New Roman" w:cs="Courier New"/>
                <w:color w:val="auto"/>
                <w:sz w:val="24"/>
                <w:highlight w:val="none"/>
              </w:rPr>
              <w:t>3.与付款金额相匹配的验收或服务报告。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26</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履约保证金</w:t>
            </w:r>
          </w:p>
        </w:tc>
        <w:tc>
          <w:tcPr>
            <w:tcW w:w="6596" w:type="dxa"/>
            <w:vAlign w:val="center"/>
          </w:tcPr>
          <w:p>
            <w:pPr>
              <w:pStyle w:val="20"/>
              <w:spacing w:line="460" w:lineRule="exact"/>
              <w:jc w:val="left"/>
              <w:rPr>
                <w:rFonts w:eastAsia="MingLiU_HKSCS"/>
                <w:color w:val="auto"/>
                <w:highlight w:val="none"/>
              </w:rPr>
            </w:pPr>
            <w:r>
              <w:rPr>
                <w:rFonts w:hint="eastAsia" w:cs="宋体"/>
                <w:color w:val="auto"/>
                <w:sz w:val="24"/>
                <w:szCs w:val="24"/>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27</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招标代理服务费</w:t>
            </w:r>
          </w:p>
        </w:tc>
        <w:tc>
          <w:tcPr>
            <w:tcW w:w="6596" w:type="dxa"/>
            <w:vAlign w:val="center"/>
          </w:tcPr>
          <w:p>
            <w:pPr>
              <w:pStyle w:val="20"/>
              <w:spacing w:line="460" w:lineRule="exact"/>
              <w:jc w:val="left"/>
              <w:rPr>
                <w:rFonts w:cs="宋体"/>
                <w:color w:val="auto"/>
                <w:sz w:val="24"/>
                <w:szCs w:val="24"/>
                <w:highlight w:val="none"/>
              </w:rPr>
            </w:pPr>
            <w:r>
              <w:rPr>
                <w:rFonts w:hint="eastAsia" w:ascii="Calibri" w:cs="宋体"/>
                <w:color w:val="auto"/>
                <w:sz w:val="24"/>
                <w:szCs w:val="24"/>
                <w:highlight w:val="none"/>
              </w:rPr>
              <w:t>以合同包</w:t>
            </w:r>
            <w:r>
              <w:rPr>
                <w:rFonts w:hint="eastAsia" w:cs="宋体"/>
                <w:color w:val="auto"/>
                <w:sz w:val="24"/>
                <w:szCs w:val="24"/>
                <w:highlight w:val="none"/>
              </w:rPr>
              <w:t>中标金额</w:t>
            </w:r>
            <w:r>
              <w:rPr>
                <w:rFonts w:hint="eastAsia" w:ascii="Calibri" w:cs="宋体"/>
                <w:color w:val="auto"/>
                <w:sz w:val="24"/>
                <w:szCs w:val="24"/>
                <w:highlight w:val="none"/>
              </w:rPr>
              <w:t>为基数</w:t>
            </w:r>
            <w:r>
              <w:rPr>
                <w:rFonts w:hint="eastAsia" w:cs="宋体"/>
                <w:color w:val="auto"/>
                <w:sz w:val="24"/>
                <w:szCs w:val="24"/>
                <w:highlight w:val="none"/>
              </w:rPr>
              <w:t>，按差额累进法计算，向中标人收取，中标人应以转帐或电汇等付款方式一次性向招标代理机构缴纳招标代理服务费。</w:t>
            </w:r>
          </w:p>
          <w:p>
            <w:pPr>
              <w:pStyle w:val="20"/>
              <w:spacing w:line="460" w:lineRule="exact"/>
              <w:jc w:val="left"/>
              <w:rPr>
                <w:rFonts w:cs="宋体"/>
                <w:color w:val="auto"/>
                <w:sz w:val="24"/>
                <w:szCs w:val="24"/>
                <w:highlight w:val="none"/>
              </w:rPr>
            </w:pPr>
            <w:r>
              <w:rPr>
                <w:rFonts w:hint="eastAsia" w:cs="宋体"/>
                <w:color w:val="auto"/>
                <w:sz w:val="24"/>
                <w:szCs w:val="24"/>
                <w:highlight w:val="none"/>
              </w:rPr>
              <w:t>附：招标代理服务费收费标准：</w:t>
            </w:r>
            <w:r>
              <w:rPr>
                <w:rFonts w:cs="宋体"/>
                <w:color w:val="auto"/>
                <w:sz w:val="24"/>
                <w:szCs w:val="24"/>
                <w:highlight w:val="none"/>
              </w:rPr>
              <w:t>100</w:t>
            </w:r>
            <w:r>
              <w:rPr>
                <w:rFonts w:hint="eastAsia" w:cs="宋体"/>
                <w:color w:val="auto"/>
                <w:sz w:val="24"/>
                <w:szCs w:val="24"/>
                <w:highlight w:val="none"/>
              </w:rPr>
              <w:t>万元以下按</w:t>
            </w:r>
            <w:r>
              <w:rPr>
                <w:rFonts w:cs="宋体"/>
                <w:color w:val="auto"/>
                <w:sz w:val="24"/>
                <w:szCs w:val="24"/>
                <w:highlight w:val="none"/>
              </w:rPr>
              <w:t>1.50%</w:t>
            </w:r>
            <w:r>
              <w:rPr>
                <w:rFonts w:hint="eastAsia" w:cs="宋体"/>
                <w:color w:val="auto"/>
                <w:sz w:val="24"/>
                <w:szCs w:val="24"/>
                <w:highlight w:val="none"/>
              </w:rPr>
              <w:t>，</w:t>
            </w:r>
            <w:r>
              <w:rPr>
                <w:rFonts w:cs="宋体"/>
                <w:color w:val="auto"/>
                <w:sz w:val="24"/>
                <w:szCs w:val="24"/>
                <w:highlight w:val="none"/>
              </w:rPr>
              <w:t>100-500</w:t>
            </w:r>
            <w:r>
              <w:rPr>
                <w:rFonts w:hint="eastAsia" w:cs="宋体"/>
                <w:color w:val="auto"/>
                <w:sz w:val="24"/>
                <w:szCs w:val="24"/>
                <w:highlight w:val="none"/>
              </w:rPr>
              <w:t>万元的按</w:t>
            </w:r>
            <w:r>
              <w:rPr>
                <w:rFonts w:cs="宋体"/>
                <w:color w:val="auto"/>
                <w:sz w:val="24"/>
                <w:szCs w:val="24"/>
                <w:highlight w:val="none"/>
              </w:rPr>
              <w:t>0.8%</w:t>
            </w:r>
            <w:r>
              <w:rPr>
                <w:rFonts w:hint="eastAsia" w:cs="宋体"/>
                <w:color w:val="auto"/>
                <w:sz w:val="24"/>
                <w:szCs w:val="24"/>
                <w:highlight w:val="none"/>
              </w:rPr>
              <w:t>，500</w:t>
            </w:r>
            <w:r>
              <w:rPr>
                <w:rFonts w:cs="宋体"/>
                <w:color w:val="auto"/>
                <w:sz w:val="24"/>
                <w:szCs w:val="24"/>
                <w:highlight w:val="none"/>
              </w:rPr>
              <w:t>-</w:t>
            </w:r>
            <w:r>
              <w:rPr>
                <w:rFonts w:hint="eastAsia" w:cs="宋体"/>
                <w:color w:val="auto"/>
                <w:sz w:val="24"/>
                <w:szCs w:val="24"/>
                <w:highlight w:val="none"/>
              </w:rPr>
              <w:t>10</w:t>
            </w:r>
            <w:r>
              <w:rPr>
                <w:rFonts w:cs="宋体"/>
                <w:color w:val="auto"/>
                <w:sz w:val="24"/>
                <w:szCs w:val="24"/>
                <w:highlight w:val="none"/>
              </w:rPr>
              <w:t>00</w:t>
            </w:r>
            <w:r>
              <w:rPr>
                <w:rFonts w:hint="eastAsia" w:cs="宋体"/>
                <w:color w:val="auto"/>
                <w:sz w:val="24"/>
                <w:szCs w:val="24"/>
                <w:highlight w:val="none"/>
              </w:rPr>
              <w:t>万元的按</w:t>
            </w:r>
            <w:r>
              <w:rPr>
                <w:rFonts w:cs="宋体"/>
                <w:color w:val="auto"/>
                <w:sz w:val="24"/>
                <w:szCs w:val="24"/>
                <w:highlight w:val="none"/>
              </w:rPr>
              <w:t>0.</w:t>
            </w:r>
            <w:r>
              <w:rPr>
                <w:rFonts w:hint="eastAsia" w:cs="宋体"/>
                <w:color w:val="auto"/>
                <w:sz w:val="24"/>
                <w:szCs w:val="24"/>
                <w:highlight w:val="none"/>
              </w:rPr>
              <w:t>45</w:t>
            </w:r>
            <w:r>
              <w:rPr>
                <w:rFonts w:cs="宋体"/>
                <w:color w:val="auto"/>
                <w:sz w:val="24"/>
                <w:szCs w:val="24"/>
                <w:highlight w:val="none"/>
              </w:rPr>
              <w:t>%</w:t>
            </w:r>
            <w:r>
              <w:rPr>
                <w:rFonts w:hint="eastAsia" w:cs="宋体"/>
                <w:color w:val="auto"/>
                <w:sz w:val="24"/>
                <w:szCs w:val="24"/>
                <w:highlight w:val="none"/>
              </w:rPr>
              <w:t>，按差额累进法计算收取。</w:t>
            </w:r>
          </w:p>
          <w:p>
            <w:pPr>
              <w:pStyle w:val="20"/>
              <w:spacing w:line="390" w:lineRule="exact"/>
              <w:jc w:val="left"/>
              <w:rPr>
                <w:rFonts w:cs="宋体"/>
                <w:color w:val="auto"/>
                <w:sz w:val="24"/>
                <w:szCs w:val="24"/>
                <w:highlight w:val="none"/>
              </w:rPr>
            </w:pPr>
            <w:r>
              <w:rPr>
                <w:rFonts w:hint="eastAsia" w:cs="宋体"/>
                <w:color w:val="auto"/>
                <w:sz w:val="24"/>
                <w:szCs w:val="24"/>
                <w:highlight w:val="none"/>
              </w:rPr>
              <w:t>收款人开户名：福建省智信招标有限公司</w:t>
            </w:r>
          </w:p>
          <w:p>
            <w:pPr>
              <w:pStyle w:val="20"/>
              <w:snapToGrid w:val="0"/>
              <w:spacing w:line="390" w:lineRule="exact"/>
              <w:rPr>
                <w:rFonts w:cs="宋体"/>
                <w:color w:val="auto"/>
                <w:sz w:val="24"/>
                <w:szCs w:val="24"/>
                <w:highlight w:val="none"/>
              </w:rPr>
            </w:pPr>
            <w:r>
              <w:rPr>
                <w:rFonts w:hint="eastAsia" w:cs="宋体"/>
                <w:color w:val="auto"/>
                <w:sz w:val="24"/>
                <w:szCs w:val="24"/>
                <w:highlight w:val="none"/>
              </w:rPr>
              <w:t>开</w:t>
            </w:r>
            <w:r>
              <w:rPr>
                <w:rFonts w:cs="宋体"/>
                <w:color w:val="auto"/>
                <w:sz w:val="24"/>
                <w:szCs w:val="24"/>
                <w:highlight w:val="none"/>
              </w:rPr>
              <w:t xml:space="preserve">   </w:t>
            </w:r>
            <w:r>
              <w:rPr>
                <w:rFonts w:hint="eastAsia" w:cs="宋体"/>
                <w:color w:val="auto"/>
                <w:sz w:val="24"/>
                <w:szCs w:val="24"/>
                <w:highlight w:val="none"/>
              </w:rPr>
              <w:t>户</w:t>
            </w:r>
            <w:r>
              <w:rPr>
                <w:rFonts w:cs="宋体"/>
                <w:color w:val="auto"/>
                <w:sz w:val="24"/>
                <w:szCs w:val="24"/>
                <w:highlight w:val="none"/>
              </w:rPr>
              <w:t xml:space="preserve">   </w:t>
            </w:r>
            <w:r>
              <w:rPr>
                <w:rFonts w:hint="eastAsia" w:cs="宋体"/>
                <w:color w:val="auto"/>
                <w:sz w:val="24"/>
                <w:szCs w:val="24"/>
                <w:highlight w:val="none"/>
              </w:rPr>
              <w:t>行：中国光大银行福州市杨桥支行</w:t>
            </w:r>
          </w:p>
          <w:p>
            <w:pPr>
              <w:pStyle w:val="20"/>
              <w:spacing w:line="460" w:lineRule="exact"/>
              <w:jc w:val="left"/>
              <w:rPr>
                <w:rFonts w:cs="宋体"/>
                <w:color w:val="auto"/>
                <w:sz w:val="24"/>
                <w:szCs w:val="24"/>
                <w:highlight w:val="none"/>
              </w:rPr>
            </w:pPr>
            <w:r>
              <w:rPr>
                <w:rFonts w:hint="eastAsia" w:cs="宋体"/>
                <w:color w:val="auto"/>
                <w:sz w:val="24"/>
                <w:szCs w:val="24"/>
                <w:highlight w:val="none"/>
              </w:rPr>
              <w:t>账</w:t>
            </w:r>
            <w:r>
              <w:rPr>
                <w:rFonts w:cs="宋体"/>
                <w:color w:val="auto"/>
                <w:sz w:val="24"/>
                <w:szCs w:val="24"/>
                <w:highlight w:val="none"/>
              </w:rPr>
              <w:t xml:space="preserve">        </w:t>
            </w:r>
            <w:r>
              <w:rPr>
                <w:rFonts w:hint="eastAsia" w:cs="宋体"/>
                <w:color w:val="auto"/>
                <w:sz w:val="24"/>
                <w:szCs w:val="24"/>
                <w:highlight w:val="none"/>
              </w:rPr>
              <w:t>号：</w:t>
            </w:r>
            <w:r>
              <w:rPr>
                <w:rFonts w:cs="宋体"/>
                <w:color w:val="auto"/>
                <w:sz w:val="24"/>
                <w:szCs w:val="24"/>
                <w:highlight w:val="none"/>
              </w:rPr>
              <w:t>087739120100304037933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vAlign w:val="center"/>
          </w:tcPr>
          <w:p>
            <w:pPr>
              <w:pStyle w:val="20"/>
              <w:spacing w:line="460" w:lineRule="exact"/>
              <w:jc w:val="center"/>
              <w:rPr>
                <w:rFonts w:cs="宋体"/>
                <w:color w:val="auto"/>
                <w:sz w:val="24"/>
                <w:szCs w:val="24"/>
                <w:highlight w:val="none"/>
              </w:rPr>
            </w:pPr>
            <w:r>
              <w:rPr>
                <w:rFonts w:cs="宋体"/>
                <w:color w:val="auto"/>
                <w:sz w:val="24"/>
                <w:szCs w:val="24"/>
                <w:highlight w:val="none"/>
              </w:rPr>
              <w:t>28</w:t>
            </w:r>
          </w:p>
        </w:tc>
        <w:tc>
          <w:tcPr>
            <w:tcW w:w="1727" w:type="dxa"/>
            <w:vAlign w:val="center"/>
          </w:tcPr>
          <w:p>
            <w:pPr>
              <w:pStyle w:val="20"/>
              <w:spacing w:line="460" w:lineRule="exact"/>
              <w:jc w:val="left"/>
              <w:rPr>
                <w:rFonts w:cs="宋体"/>
                <w:color w:val="auto"/>
                <w:sz w:val="24"/>
                <w:szCs w:val="24"/>
                <w:highlight w:val="none"/>
              </w:rPr>
            </w:pPr>
            <w:r>
              <w:rPr>
                <w:rFonts w:hint="eastAsia" w:cs="宋体"/>
                <w:color w:val="auto"/>
                <w:sz w:val="24"/>
                <w:szCs w:val="24"/>
                <w:highlight w:val="none"/>
              </w:rPr>
              <w:t>其他规定</w:t>
            </w:r>
          </w:p>
        </w:tc>
        <w:tc>
          <w:tcPr>
            <w:tcW w:w="6596" w:type="dxa"/>
            <w:vAlign w:val="center"/>
          </w:tcPr>
          <w:p>
            <w:pPr>
              <w:pStyle w:val="20"/>
              <w:spacing w:line="460" w:lineRule="exact"/>
              <w:jc w:val="left"/>
              <w:rPr>
                <w:rFonts w:ascii="Calibri" w:cs="宋体"/>
                <w:color w:val="auto"/>
                <w:sz w:val="24"/>
                <w:szCs w:val="24"/>
                <w:highlight w:val="none"/>
              </w:rPr>
            </w:pPr>
            <w:r>
              <w:rPr>
                <w:rFonts w:hint="eastAsia" w:ascii="Calibri" w:cs="宋体"/>
                <w:color w:val="auto"/>
                <w:sz w:val="24"/>
                <w:szCs w:val="24"/>
                <w:highlight w:val="none"/>
              </w:rPr>
              <w:t>其他重要须知：</w:t>
            </w:r>
          </w:p>
          <w:p>
            <w:pPr>
              <w:pStyle w:val="20"/>
              <w:spacing w:line="460" w:lineRule="exact"/>
              <w:jc w:val="left"/>
              <w:rPr>
                <w:rFonts w:hAnsi="宋体"/>
                <w:color w:val="auto"/>
                <w:kern w:val="0"/>
                <w:highlight w:val="none"/>
              </w:rPr>
            </w:pPr>
            <w:r>
              <w:rPr>
                <w:rFonts w:hint="eastAsia" w:ascii="Calibri" w:cs="宋体"/>
                <w:color w:val="auto"/>
                <w:sz w:val="24"/>
                <w:szCs w:val="24"/>
                <w:highlight w:val="none"/>
              </w:rPr>
              <w:t>投标人必须对其投标文件中提供各种资料、说明、承诺的真实性负责。采购人有权在评标过程中或签订合同之前对投标人投标文件中的各种资料、说明、承诺的真实性进行核查，投标人应无条件配合采购人的核查工作，不得托词拒绝核查或隐瞒真实情况。若在评标过程中，发现投标人有为谋取中标而提供虚假资料和承诺欺骗采购人和评委的行为，将按相关规定进行处理。若在中标后或执行合同过程中发现有为谋取中标而提供虚假资料和承诺欺骗采购人和评委的行为，采购人将取消其中标资格，给采购人造成损失的，还必须进行赔偿并负相关责任。</w:t>
            </w:r>
          </w:p>
        </w:tc>
      </w:tr>
    </w:tbl>
    <w:p>
      <w:pPr>
        <w:pStyle w:val="20"/>
        <w:ind w:right="420" w:firstLine="420" w:firstLineChars="200"/>
        <w:jc w:val="center"/>
        <w:rPr>
          <w:rFonts w:cs="宋体"/>
          <w:color w:val="auto"/>
          <w:highlight w:val="none"/>
        </w:rPr>
      </w:pPr>
    </w:p>
    <w:p>
      <w:pPr>
        <w:pStyle w:val="20"/>
        <w:ind w:right="420" w:firstLine="420" w:firstLineChars="200"/>
        <w:jc w:val="center"/>
        <w:rPr>
          <w:rFonts w:cs="宋体"/>
          <w:color w:val="auto"/>
          <w:highlight w:val="none"/>
        </w:rPr>
      </w:pPr>
      <w:r>
        <w:rPr>
          <w:rFonts w:cs="宋体"/>
          <w:color w:val="auto"/>
          <w:highlight w:val="none"/>
        </w:rPr>
        <w:br w:type="page"/>
      </w:r>
    </w:p>
    <w:p>
      <w:pPr>
        <w:pStyle w:val="20"/>
        <w:ind w:right="420"/>
        <w:jc w:val="center"/>
        <w:rPr>
          <w:rFonts w:cs="宋体"/>
          <w:b/>
          <w:bCs/>
          <w:color w:val="auto"/>
          <w:highlight w:val="none"/>
        </w:rPr>
      </w:pPr>
      <w:r>
        <w:rPr>
          <w:rFonts w:hint="eastAsia" w:cs="宋体"/>
          <w:b/>
          <w:bCs/>
          <w:color w:val="auto"/>
          <w:sz w:val="28"/>
          <w:szCs w:val="28"/>
          <w:highlight w:val="none"/>
        </w:rPr>
        <w:t>投标人须知正文</w:t>
      </w:r>
    </w:p>
    <w:p>
      <w:pPr>
        <w:pStyle w:val="20"/>
        <w:spacing w:line="440" w:lineRule="exact"/>
        <w:jc w:val="center"/>
        <w:rPr>
          <w:rFonts w:cs="宋体"/>
          <w:b/>
          <w:color w:val="auto"/>
          <w:sz w:val="28"/>
          <w:szCs w:val="28"/>
          <w:highlight w:val="none"/>
        </w:rPr>
      </w:pPr>
      <w:r>
        <w:rPr>
          <w:rFonts w:hint="eastAsia" w:cs="宋体"/>
          <w:b/>
          <w:color w:val="auto"/>
          <w:sz w:val="28"/>
          <w:szCs w:val="28"/>
          <w:highlight w:val="none"/>
        </w:rPr>
        <w:t>一、总则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定义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1.1</w:t>
      </w:r>
      <w:r>
        <w:rPr>
          <w:rFonts w:hint="eastAsia" w:cs="宋体"/>
          <w:color w:val="auto"/>
          <w:sz w:val="24"/>
          <w:szCs w:val="24"/>
          <w:highlight w:val="none"/>
        </w:rPr>
        <w:t>　“采购人”是指依法进行政府采购的国家机关、事业单位、团体组织。本次政府采购的采购人名称、地址、电话、联系人见投标人须知前附表。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1.2</w:t>
      </w:r>
      <w:r>
        <w:rPr>
          <w:rFonts w:hint="eastAsia" w:cs="宋体"/>
          <w:color w:val="auto"/>
          <w:sz w:val="24"/>
          <w:szCs w:val="24"/>
          <w:highlight w:val="none"/>
        </w:rPr>
        <w:t>　“采购代理机构”是指集中采购机构和集中采购机构以外的采购代理机构。本次政府采购的采购代理机构名称、地址、电话、联系人见投标人须知前附表。</w:t>
      </w:r>
    </w:p>
    <w:p>
      <w:pPr>
        <w:pStyle w:val="20"/>
        <w:spacing w:line="440" w:lineRule="exact"/>
        <w:ind w:firstLine="480" w:firstLineChars="200"/>
        <w:rPr>
          <w:rFonts w:cs="宋体"/>
          <w:color w:val="auto"/>
          <w:sz w:val="24"/>
          <w:szCs w:val="24"/>
          <w:highlight w:val="none"/>
        </w:rPr>
      </w:pP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w:t>
      </w:r>
      <w:r>
        <w:rPr>
          <w:rFonts w:hint="eastAsia" w:cs="宋体"/>
          <w:color w:val="auto"/>
          <w:sz w:val="24"/>
          <w:szCs w:val="24"/>
          <w:highlight w:val="none"/>
        </w:rPr>
        <w:t>　“投标人”是响应招标文件并且符合招标文件规定资格条件和参加投标竞争的法人或其他组织或自然人。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w:t>
      </w:r>
      <w:r>
        <w:rPr>
          <w:rFonts w:hint="eastAsia" w:cs="宋体"/>
          <w:color w:val="auto"/>
          <w:sz w:val="24"/>
          <w:szCs w:val="24"/>
          <w:highlight w:val="none"/>
        </w:rPr>
        <w:t>　“供应商”是指向采购人提供货物或者服务的法人或其他组织。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1.5</w:t>
      </w:r>
      <w:r>
        <w:rPr>
          <w:rFonts w:hint="eastAsia" w:cs="宋体"/>
          <w:color w:val="auto"/>
          <w:sz w:val="24"/>
          <w:szCs w:val="24"/>
          <w:highlight w:val="none"/>
        </w:rPr>
        <w:t>　“评标委员会”是依据《政府采购货物和服务招标投标管理办法》有关规定组建，依法履行评审采购活动职责的评审成员。</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w:t>
      </w:r>
      <w:r>
        <w:rPr>
          <w:rFonts w:hint="eastAsia" w:cs="宋体"/>
          <w:color w:val="auto"/>
          <w:sz w:val="24"/>
          <w:szCs w:val="24"/>
          <w:highlight w:val="none"/>
        </w:rPr>
        <w:t>　“货物”是指各种形态和种类的物品，包括原材料、燃料、设备、产品等。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1.7</w:t>
      </w:r>
      <w:r>
        <w:rPr>
          <w:rFonts w:hint="eastAsia" w:cs="宋体"/>
          <w:color w:val="auto"/>
          <w:sz w:val="24"/>
          <w:szCs w:val="24"/>
          <w:highlight w:val="none"/>
        </w:rPr>
        <w:t>　“服务”是指除货物和工程以外的其他政府采购对象。</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1.8</w:t>
      </w:r>
      <w:r>
        <w:rPr>
          <w:rFonts w:hint="eastAsia" w:cs="宋体"/>
          <w:color w:val="auto"/>
          <w:sz w:val="24"/>
          <w:szCs w:val="24"/>
          <w:highlight w:val="none"/>
        </w:rPr>
        <w:t>　“节能产品”或者“环保产品”是指国务院有关部门发布的《节能产品政府采购品目清单》或者《环境标志产品政府采购品目清单》内的产品。</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w:t>
      </w:r>
      <w:r>
        <w:rPr>
          <w:rFonts w:hint="eastAsia" w:cs="宋体"/>
          <w:color w:val="auto"/>
          <w:sz w:val="24"/>
          <w:szCs w:val="24"/>
          <w:highlight w:val="none"/>
        </w:rPr>
        <w:t>　“进口产品”是指通过中国海关报关验放进入中国境内且产自关境外的产品。</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采购项目预算及最高限价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w:t>
      </w:r>
      <w:r>
        <w:rPr>
          <w:rFonts w:hint="eastAsia" w:cs="宋体"/>
          <w:color w:val="auto"/>
          <w:sz w:val="24"/>
          <w:szCs w:val="24"/>
          <w:highlight w:val="none"/>
        </w:rPr>
        <w:t>　本项目采购资金已列入政府采购预算，预算金额见投标人须知前附表。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w:t>
      </w:r>
      <w:r>
        <w:rPr>
          <w:rFonts w:hint="eastAsia" w:cs="宋体"/>
          <w:color w:val="auto"/>
          <w:sz w:val="24"/>
          <w:szCs w:val="24"/>
          <w:highlight w:val="none"/>
        </w:rPr>
        <w:t>　本项目最高限价要求见投标人须知前附表。</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供应商的资格要求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w:t>
      </w:r>
      <w:r>
        <w:rPr>
          <w:rFonts w:hint="eastAsia" w:cs="宋体"/>
          <w:color w:val="auto"/>
          <w:sz w:val="24"/>
          <w:szCs w:val="24"/>
          <w:highlight w:val="none"/>
        </w:rPr>
        <w:t>　供应商应当符合投标人须知前附表中规定的下列资格条件要求：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3.1.1</w:t>
      </w:r>
      <w:r>
        <w:rPr>
          <w:rFonts w:hint="eastAsia" w:cs="宋体"/>
          <w:color w:val="auto"/>
          <w:sz w:val="24"/>
          <w:szCs w:val="24"/>
          <w:highlight w:val="none"/>
        </w:rPr>
        <w:t>　符合《政府采购法》第二十二条规定的供应商条件：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具有独立承担民事责任的能力；</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具有良好的商业信誉和健全的财务会计制度；</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具有履行合同所必需的设备和专业技术能力；</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有依法缴纳税收和社会保障资金的良好记录；</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参加政府采购活动前三年内，在经营活动中没有重大违法记录；</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政府采购法律法规相关规定的其他条件。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3.1.2</w:t>
      </w:r>
      <w:r>
        <w:rPr>
          <w:rFonts w:hint="eastAsia" w:cs="宋体"/>
          <w:color w:val="auto"/>
          <w:sz w:val="24"/>
          <w:szCs w:val="24"/>
          <w:highlight w:val="none"/>
        </w:rPr>
        <w:t>　其他特定资格条件。</w:t>
      </w:r>
      <w:r>
        <w:rPr>
          <w:rFonts w:cs="宋体"/>
          <w:color w:val="auto"/>
          <w:sz w:val="24"/>
          <w:szCs w:val="24"/>
          <w:highlight w:val="none"/>
        </w:rPr>
        <w:t>(</w:t>
      </w:r>
      <w:r>
        <w:rPr>
          <w:rFonts w:hint="eastAsia" w:cs="宋体"/>
          <w:color w:val="auto"/>
          <w:sz w:val="24"/>
          <w:szCs w:val="24"/>
          <w:highlight w:val="none"/>
        </w:rPr>
        <w:t>详见投标人须知前附表</w:t>
      </w:r>
      <w:r>
        <w:rPr>
          <w:rFonts w:cs="宋体"/>
          <w:color w:val="auto"/>
          <w:sz w:val="24"/>
          <w:szCs w:val="24"/>
          <w:highlight w:val="none"/>
        </w:rPr>
        <w:t>)</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3.2</w:t>
      </w:r>
      <w:r>
        <w:rPr>
          <w:rFonts w:hint="eastAsia" w:cs="宋体"/>
          <w:color w:val="auto"/>
          <w:sz w:val="24"/>
          <w:szCs w:val="24"/>
          <w:highlight w:val="none"/>
        </w:rPr>
        <w:t>　投标人存在下列情形之一的不得参加投标：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3.2.1</w:t>
      </w:r>
      <w:r>
        <w:rPr>
          <w:rFonts w:hint="eastAsia" w:cs="宋体"/>
          <w:color w:val="auto"/>
          <w:sz w:val="24"/>
          <w:szCs w:val="24"/>
          <w:highlight w:val="non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3.2.2</w:t>
      </w:r>
      <w:r>
        <w:rPr>
          <w:rFonts w:hint="eastAsia" w:cs="宋体"/>
          <w:color w:val="auto"/>
          <w:sz w:val="24"/>
          <w:szCs w:val="24"/>
          <w:highlight w:val="none"/>
        </w:rPr>
        <w:t>因违法经营受到刑事处罚或者责令停产停业、吊销许可证或者执照、较大数额罚款等行政处罚，或者存在财政部门认定的其他重大违法记录，以及在财政部门禁止参加政府采购活动期限以内的。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投标费用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4.1</w:t>
      </w:r>
      <w:r>
        <w:rPr>
          <w:rFonts w:hint="eastAsia" w:cs="宋体"/>
          <w:color w:val="auto"/>
          <w:sz w:val="24"/>
          <w:szCs w:val="24"/>
          <w:highlight w:val="none"/>
        </w:rPr>
        <w:t>　投标人应自行承担所有参与投标的相关费用，不论投标的结果如何，采购人或者采购代理机构均无义务和责任承担这些费用。</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5.</w:t>
      </w:r>
      <w:r>
        <w:rPr>
          <w:rFonts w:hint="eastAsia" w:cs="宋体"/>
          <w:color w:val="auto"/>
          <w:sz w:val="24"/>
          <w:szCs w:val="24"/>
          <w:highlight w:val="none"/>
        </w:rPr>
        <w:t>授权委托</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投标人代表不是投标人的法定代表人（负责人）的，应当持有法定代表人（负责人）的授权委托书，同时提供投标人和法定代表人（负责人）的身份证复印件证明。</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联合体投标（本项目不接受联合体形式参与投标）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6.1</w:t>
      </w:r>
      <w:r>
        <w:rPr>
          <w:rFonts w:hint="eastAsia" w:cs="宋体"/>
          <w:color w:val="auto"/>
          <w:sz w:val="24"/>
          <w:szCs w:val="24"/>
          <w:highlight w:val="none"/>
        </w:rPr>
        <w:t>　本项目不接受联合体形式参与投标。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6.2</w:t>
      </w:r>
      <w:r>
        <w:rPr>
          <w:rFonts w:hint="eastAsia" w:cs="宋体"/>
          <w:color w:val="auto"/>
          <w:sz w:val="24"/>
          <w:szCs w:val="24"/>
          <w:highlight w:val="none"/>
        </w:rPr>
        <w:t>　供应商为联合体形式的，应遵守以下规定：</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联合体各方必须签订联合体协议书，明确联合体牵头人和各方权利、义务及分工、合同工作量比例；</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联合体各方均应当符合投标人须知前附表规定的供应商基本资格条件；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除另有规定外，联合体各方中至少有一方应当符合投标须知前附表规定的供应商特定资格条件；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联合体中有同类资质的供应商按照联合体分工承担相同工作的，应当按照资质等级较低的供应商确定资质等级；</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联合体各方不得再单独或与其他供应商组成新的联合体参加同一项目的采购活动。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联合体各方应共同与采购人签订政府采购合同，就政府采购合同约定的事项对采购人承担连带责任。</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w:t>
      </w:r>
      <w:r>
        <w:rPr>
          <w:rFonts w:hint="eastAsia" w:cs="宋体"/>
          <w:color w:val="auto"/>
          <w:sz w:val="24"/>
          <w:szCs w:val="24"/>
          <w:highlight w:val="none"/>
        </w:rPr>
        <w:t>项目现场考察</w:t>
      </w:r>
      <w:r>
        <w:rPr>
          <w:rFonts w:cs="宋体"/>
          <w:color w:val="auto"/>
          <w:sz w:val="24"/>
          <w:szCs w:val="24"/>
          <w:highlight w:val="none"/>
        </w:rPr>
        <w:t>(</w:t>
      </w:r>
      <w:r>
        <w:rPr>
          <w:rFonts w:hint="eastAsia" w:cs="宋体"/>
          <w:color w:val="auto"/>
          <w:sz w:val="24"/>
          <w:szCs w:val="24"/>
          <w:highlight w:val="none"/>
        </w:rPr>
        <w:t>不组织现场考察</w:t>
      </w:r>
      <w:r>
        <w:rPr>
          <w:rFonts w:cs="宋体"/>
          <w:color w:val="auto"/>
          <w:sz w:val="24"/>
          <w:szCs w:val="24"/>
          <w:highlight w:val="none"/>
        </w:rPr>
        <w:t>)</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7.1</w:t>
      </w:r>
      <w:r>
        <w:rPr>
          <w:rFonts w:hint="eastAsia" w:cs="宋体"/>
          <w:color w:val="auto"/>
          <w:sz w:val="24"/>
          <w:szCs w:val="24"/>
          <w:highlight w:val="none"/>
        </w:rPr>
        <w:t>　本项目是否组织现场考察详见投标人须知前附表。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7.2</w:t>
      </w:r>
      <w:r>
        <w:rPr>
          <w:rFonts w:hint="eastAsia" w:cs="宋体"/>
          <w:color w:val="auto"/>
          <w:sz w:val="24"/>
          <w:szCs w:val="24"/>
          <w:highlight w:val="none"/>
        </w:rPr>
        <w:t>　投标人应按投标人须知前附表中规定的时间及地点，对采购项目现场和周围环境进行考察。投标人未在指定时间进行考察的，采购人不再另行组织。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7.3</w:t>
      </w:r>
      <w:r>
        <w:rPr>
          <w:rFonts w:hint="eastAsia" w:cs="宋体"/>
          <w:color w:val="auto"/>
          <w:sz w:val="24"/>
          <w:szCs w:val="24"/>
          <w:highlight w:val="none"/>
        </w:rPr>
        <w:t>　考察现场的费用由投标人自己承担，考察期间所发生的人身伤害及财产损失由投标人自己负责。</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7.4</w:t>
      </w:r>
      <w:r>
        <w:rPr>
          <w:rFonts w:hint="eastAsia" w:cs="宋体"/>
          <w:color w:val="auto"/>
          <w:sz w:val="24"/>
          <w:szCs w:val="24"/>
          <w:highlight w:val="none"/>
        </w:rPr>
        <w:t>　采购人不对投标人据此而做出的推论、理解和结论负责。一旦中标，投标人不得以任何借口，提出额外补偿，或延长合同期限的要求。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8.</w:t>
      </w:r>
      <w:r>
        <w:rPr>
          <w:rFonts w:hint="eastAsia" w:cs="宋体"/>
          <w:color w:val="auto"/>
          <w:sz w:val="24"/>
          <w:szCs w:val="24"/>
          <w:highlight w:val="none"/>
        </w:rPr>
        <w:t>采购进口产品</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8.1</w:t>
      </w:r>
      <w:r>
        <w:rPr>
          <w:rFonts w:hint="eastAsia" w:cs="宋体"/>
          <w:color w:val="auto"/>
          <w:sz w:val="24"/>
          <w:szCs w:val="24"/>
          <w:highlight w:val="none"/>
        </w:rPr>
        <w:t>　本项目是否采购进口产品及相关要求见投标人须知前附表。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9.</w:t>
      </w:r>
      <w:r>
        <w:rPr>
          <w:rFonts w:hint="eastAsia" w:cs="宋体"/>
          <w:color w:val="auto"/>
          <w:sz w:val="24"/>
          <w:szCs w:val="24"/>
          <w:highlight w:val="none"/>
        </w:rPr>
        <w:t>政策与其他规定</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9.1</w:t>
      </w:r>
      <w:r>
        <w:rPr>
          <w:rFonts w:hint="eastAsia" w:cs="宋体"/>
          <w:color w:val="auto"/>
          <w:sz w:val="24"/>
          <w:szCs w:val="24"/>
          <w:highlight w:val="none"/>
        </w:rPr>
        <w:t>　若产品属于政府强制采购节能产品范围，必须将是</w:t>
      </w:r>
      <w:r>
        <w:rPr>
          <w:rFonts w:hint="eastAsia" w:cs="宋体"/>
          <w:color w:val="auto"/>
          <w:spacing w:val="-2"/>
          <w:sz w:val="24"/>
          <w:szCs w:val="24"/>
          <w:highlight w:val="none"/>
        </w:rPr>
        <w:t>《节能产品政府采购品目清单》内且获得国家确定的认证机构出具的、处于有效期之内的产品认证证书</w:t>
      </w:r>
      <w:r>
        <w:rPr>
          <w:rFonts w:hint="eastAsia" w:cs="宋体"/>
          <w:color w:val="auto"/>
          <w:sz w:val="24"/>
          <w:szCs w:val="24"/>
          <w:highlight w:val="none"/>
        </w:rPr>
        <w:t>作为采购产品的资格条件。本项目的详细要求见投标人须知前附表。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9.2</w:t>
      </w:r>
      <w:r>
        <w:rPr>
          <w:rFonts w:hint="eastAsia" w:cs="宋体"/>
          <w:color w:val="auto"/>
          <w:sz w:val="24"/>
          <w:szCs w:val="24"/>
          <w:highlight w:val="none"/>
        </w:rPr>
        <w:t>　对列入《节能产品政府采购品目清单》</w:t>
      </w:r>
      <w:r>
        <w:rPr>
          <w:rFonts w:cs="宋体"/>
          <w:color w:val="auto"/>
          <w:sz w:val="24"/>
          <w:szCs w:val="24"/>
          <w:highlight w:val="none"/>
        </w:rPr>
        <w:t>(</w:t>
      </w:r>
      <w:r>
        <w:rPr>
          <w:rFonts w:hint="eastAsia" w:cs="宋体"/>
          <w:color w:val="auto"/>
          <w:sz w:val="24"/>
          <w:szCs w:val="24"/>
          <w:highlight w:val="none"/>
        </w:rPr>
        <w:t>非强制类</w:t>
      </w:r>
      <w:r>
        <w:rPr>
          <w:rFonts w:cs="宋体"/>
          <w:color w:val="auto"/>
          <w:sz w:val="24"/>
          <w:szCs w:val="24"/>
          <w:highlight w:val="none"/>
        </w:rPr>
        <w:t>)</w:t>
      </w:r>
      <w:r>
        <w:rPr>
          <w:rFonts w:hint="eastAsia" w:cs="宋体"/>
          <w:color w:val="auto"/>
          <w:sz w:val="24"/>
          <w:szCs w:val="24"/>
          <w:highlight w:val="none"/>
        </w:rPr>
        <w:t>、《环境标志产品政府采购品目清单》的产品，分别予以相应的加分或价格扣除；对于同时列入“两个清单”的产品，优先于只获得其中一项认证的产品。本项目的详细要求见投标人须知前附表。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9.3</w:t>
      </w:r>
      <w:r>
        <w:rPr>
          <w:rFonts w:hint="eastAsia" w:cs="宋体"/>
          <w:color w:val="auto"/>
          <w:sz w:val="24"/>
          <w:szCs w:val="24"/>
          <w:highlight w:val="none"/>
        </w:rPr>
        <w:t>　供应商享受支持中小企业发展政策优惠的，可用扣除后的最后报价参与价格比较。本项目价格扣除比例及相关要求见投标人须知前附表。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9.4</w:t>
      </w:r>
      <w:r>
        <w:rPr>
          <w:rFonts w:hint="eastAsia" w:cs="宋体"/>
          <w:color w:val="auto"/>
          <w:sz w:val="24"/>
          <w:szCs w:val="24"/>
          <w:highlight w:val="none"/>
        </w:rPr>
        <w:t>　监狱企业视同小型、微型企业，享受促进中小企业发展政策优惠，可用扣除后的最后报价参与价格比较。本项目价格扣除比例及相关要求见投标人须知前附表。</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9.5</w:t>
      </w:r>
      <w:r>
        <w:rPr>
          <w:rFonts w:hint="eastAsia" w:cs="宋体"/>
          <w:color w:val="auto"/>
          <w:sz w:val="24"/>
          <w:szCs w:val="24"/>
          <w:highlight w:val="none"/>
        </w:rPr>
        <w:t>　若采购人使用财政性资金采购信息安全产品的，应当采购经国家认证的信息安全产品，应当在招标文件中载明对产品获得信息安全认证的要求，并要求产品投标人提供由中国信息安全认证中心按国家标准认证颁发的有效认证证书。本项目的详细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9.6</w:t>
      </w:r>
      <w:r>
        <w:rPr>
          <w:rFonts w:hint="eastAsia" w:cs="宋体"/>
          <w:color w:val="auto"/>
          <w:sz w:val="24"/>
          <w:szCs w:val="24"/>
          <w:highlight w:val="none"/>
        </w:rPr>
        <w:t>　其他法律法规强制性规定或扶持政策。本项目的详细要求见投标人须知前附表。</w:t>
      </w:r>
    </w:p>
    <w:p>
      <w:pPr>
        <w:pStyle w:val="20"/>
        <w:spacing w:line="440" w:lineRule="exact"/>
        <w:ind w:firstLine="562" w:firstLineChars="200"/>
        <w:jc w:val="center"/>
        <w:rPr>
          <w:rFonts w:cs="宋体"/>
          <w:b/>
          <w:color w:val="auto"/>
          <w:sz w:val="28"/>
          <w:szCs w:val="28"/>
          <w:highlight w:val="none"/>
        </w:rPr>
      </w:pPr>
      <w:r>
        <w:rPr>
          <w:rFonts w:hint="eastAsia" w:cs="宋体"/>
          <w:b/>
          <w:color w:val="auto"/>
          <w:sz w:val="28"/>
          <w:szCs w:val="28"/>
          <w:highlight w:val="none"/>
        </w:rPr>
        <w:t>二、招标文件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10.</w:t>
      </w:r>
      <w:r>
        <w:rPr>
          <w:rFonts w:hint="eastAsia" w:cs="宋体"/>
          <w:color w:val="auto"/>
          <w:sz w:val="24"/>
          <w:szCs w:val="24"/>
          <w:highlight w:val="none"/>
        </w:rPr>
        <w:t>招标文件的构成</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10.1</w:t>
      </w:r>
      <w:r>
        <w:rPr>
          <w:rFonts w:hint="eastAsia" w:cs="宋体"/>
          <w:color w:val="auto"/>
          <w:sz w:val="24"/>
          <w:szCs w:val="24"/>
          <w:highlight w:val="none"/>
        </w:rPr>
        <w:t>　招标文件各章节的内容如下：</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第一部分　商务部分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第一章　投标邀请</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第二章　投标人须知</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第三章　评标方法及标准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第四章　拟签订的合同文本</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第五章　投标文件组成</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第二部分　技术部分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第六章　项目需求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10.2</w:t>
      </w:r>
      <w:r>
        <w:rPr>
          <w:rFonts w:hint="eastAsia" w:cs="宋体"/>
          <w:color w:val="auto"/>
          <w:sz w:val="24"/>
          <w:szCs w:val="24"/>
          <w:highlight w:val="none"/>
        </w:rPr>
        <w:t>　投标人应仔细阅读招标文件的全部内容，按照招标文件要求编制投标文件。任何对招标文件的忽略或误解，不能作为投标文件存在缺陷或瑕疵的理由，其风险由投标人承担。</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11.</w:t>
      </w:r>
      <w:r>
        <w:rPr>
          <w:rFonts w:hint="eastAsia" w:cs="宋体"/>
          <w:color w:val="auto"/>
          <w:sz w:val="24"/>
          <w:szCs w:val="24"/>
          <w:highlight w:val="none"/>
        </w:rPr>
        <w:t>招标文件的澄清与修改</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11.1</w:t>
      </w:r>
      <w:r>
        <w:rPr>
          <w:rFonts w:hint="eastAsia" w:cs="宋体"/>
          <w:color w:val="auto"/>
          <w:sz w:val="24"/>
          <w:szCs w:val="24"/>
          <w:highlight w:val="none"/>
        </w:rPr>
        <w:t>　采购人或采购代理机构对已发出的招标文件进行必要澄清或者修改的，应当在投标人须知前附表规定的提交投标文件截止时间</w:t>
      </w:r>
      <w:r>
        <w:rPr>
          <w:rFonts w:cs="宋体"/>
          <w:color w:val="auto"/>
          <w:sz w:val="24"/>
          <w:szCs w:val="24"/>
          <w:highlight w:val="none"/>
        </w:rPr>
        <w:t>15</w:t>
      </w:r>
      <w:r>
        <w:rPr>
          <w:rFonts w:hint="eastAsia" w:cs="宋体"/>
          <w:color w:val="auto"/>
          <w:sz w:val="24"/>
          <w:szCs w:val="24"/>
          <w:highlight w:val="none"/>
        </w:rPr>
        <w:t>日前，在原刊登招标公告的媒体上发布更正公告，并以书面形式通知所有招标文件收受人。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11.2</w:t>
      </w:r>
      <w:r>
        <w:rPr>
          <w:rFonts w:hint="eastAsia" w:cs="宋体"/>
          <w:color w:val="auto"/>
          <w:sz w:val="24"/>
          <w:szCs w:val="24"/>
          <w:highlight w:val="none"/>
        </w:rPr>
        <w:t>　如果澄清或者修改时间距本章投标人须知前附表规定的投标截止时间不足</w:t>
      </w:r>
      <w:r>
        <w:rPr>
          <w:rFonts w:cs="宋体"/>
          <w:color w:val="auto"/>
          <w:sz w:val="24"/>
          <w:szCs w:val="24"/>
          <w:highlight w:val="none"/>
        </w:rPr>
        <w:t>15</w:t>
      </w:r>
      <w:r>
        <w:rPr>
          <w:rFonts w:hint="eastAsia" w:cs="宋体"/>
          <w:color w:val="auto"/>
          <w:sz w:val="24"/>
          <w:szCs w:val="24"/>
          <w:highlight w:val="none"/>
        </w:rPr>
        <w:t>日，将相应顺延提交投标文件的截止时间，澄清或者修改时间具体见投标人须知前附表。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11.3</w:t>
      </w:r>
      <w:r>
        <w:rPr>
          <w:rFonts w:hint="eastAsia" w:cs="宋体"/>
          <w:color w:val="auto"/>
          <w:sz w:val="24"/>
          <w:szCs w:val="24"/>
          <w:highlight w:val="none"/>
        </w:rPr>
        <w:t>　澄清或者修改内容为招标文件的组成部分，对所有领取了招标文件的潜在投标人均具有约束力。</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12.</w:t>
      </w:r>
      <w:r>
        <w:rPr>
          <w:rFonts w:hint="eastAsia" w:cs="宋体"/>
          <w:color w:val="auto"/>
          <w:sz w:val="24"/>
          <w:szCs w:val="24"/>
          <w:highlight w:val="none"/>
        </w:rPr>
        <w:t>偏离</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12.1</w:t>
      </w:r>
      <w:r>
        <w:rPr>
          <w:rFonts w:hint="eastAsia" w:cs="宋体"/>
          <w:color w:val="auto"/>
          <w:sz w:val="24"/>
          <w:szCs w:val="24"/>
          <w:highlight w:val="none"/>
        </w:rPr>
        <w:t>　本条所称偏离为投标文件对招标文件的偏离，即不满足或不响应招标文件的要求。</w:t>
      </w:r>
    </w:p>
    <w:p>
      <w:pPr>
        <w:pStyle w:val="20"/>
        <w:spacing w:line="440" w:lineRule="exact"/>
        <w:ind w:firstLine="482" w:firstLineChars="200"/>
        <w:rPr>
          <w:rFonts w:cs="宋体"/>
          <w:b/>
          <w:bCs/>
          <w:color w:val="auto"/>
          <w:sz w:val="24"/>
          <w:szCs w:val="24"/>
          <w:highlight w:val="none"/>
        </w:rPr>
      </w:pPr>
      <w:r>
        <w:rPr>
          <w:rFonts w:hint="eastAsia" w:cs="宋体"/>
          <w:b/>
          <w:bCs/>
          <w:color w:val="auto"/>
          <w:sz w:val="24"/>
          <w:szCs w:val="24"/>
          <w:highlight w:val="none"/>
        </w:rPr>
        <w:t>★</w:t>
      </w:r>
      <w:r>
        <w:rPr>
          <w:rFonts w:cs="宋体"/>
          <w:b/>
          <w:bCs/>
          <w:color w:val="auto"/>
          <w:sz w:val="24"/>
          <w:szCs w:val="24"/>
          <w:highlight w:val="none"/>
        </w:rPr>
        <w:t>12.2</w:t>
      </w:r>
      <w:r>
        <w:rPr>
          <w:rFonts w:hint="eastAsia" w:cs="宋体"/>
          <w:b/>
          <w:bCs/>
          <w:color w:val="auto"/>
          <w:sz w:val="24"/>
          <w:szCs w:val="24"/>
          <w:highlight w:val="none"/>
        </w:rPr>
        <w:t>　除法律、法规和规章规定外，招标文件中用“拒绝”“不接受”“无效”“不得”“必须”“应当”等文字规定或标注“★”符号的条款为实质性要求条款</w:t>
      </w:r>
      <w:r>
        <w:rPr>
          <w:rFonts w:cs="宋体"/>
          <w:b/>
          <w:bCs/>
          <w:color w:val="auto"/>
          <w:sz w:val="24"/>
          <w:szCs w:val="24"/>
          <w:highlight w:val="none"/>
        </w:rPr>
        <w:t>(</w:t>
      </w:r>
      <w:r>
        <w:rPr>
          <w:rFonts w:hint="eastAsia" w:cs="宋体"/>
          <w:b/>
          <w:bCs/>
          <w:color w:val="auto"/>
          <w:sz w:val="24"/>
          <w:szCs w:val="24"/>
          <w:highlight w:val="none"/>
        </w:rPr>
        <w:t>即重要条款</w:t>
      </w:r>
      <w:r>
        <w:rPr>
          <w:rFonts w:cs="宋体"/>
          <w:b/>
          <w:bCs/>
          <w:color w:val="auto"/>
          <w:sz w:val="24"/>
          <w:szCs w:val="24"/>
          <w:highlight w:val="none"/>
        </w:rPr>
        <w:t>)</w:t>
      </w:r>
      <w:r>
        <w:rPr>
          <w:rFonts w:hint="eastAsia" w:cs="宋体"/>
          <w:b/>
          <w:bCs/>
          <w:color w:val="auto"/>
          <w:sz w:val="24"/>
          <w:szCs w:val="24"/>
          <w:highlight w:val="none"/>
        </w:rPr>
        <w:t>，对其中任何一条的偏离，在评标时将其视为无效投标。</w:t>
      </w:r>
    </w:p>
    <w:p>
      <w:pPr>
        <w:pStyle w:val="20"/>
        <w:spacing w:line="440" w:lineRule="exact"/>
        <w:ind w:firstLine="562" w:firstLineChars="200"/>
        <w:jc w:val="center"/>
        <w:rPr>
          <w:rFonts w:cs="宋体"/>
          <w:b/>
          <w:color w:val="auto"/>
          <w:sz w:val="28"/>
          <w:szCs w:val="28"/>
          <w:highlight w:val="none"/>
        </w:rPr>
      </w:pPr>
    </w:p>
    <w:p>
      <w:pPr>
        <w:pStyle w:val="20"/>
        <w:spacing w:line="440" w:lineRule="exact"/>
        <w:ind w:firstLine="562" w:firstLineChars="200"/>
        <w:jc w:val="center"/>
        <w:rPr>
          <w:rFonts w:cs="宋体"/>
          <w:b/>
          <w:color w:val="auto"/>
          <w:sz w:val="28"/>
          <w:szCs w:val="28"/>
          <w:highlight w:val="none"/>
        </w:rPr>
      </w:pPr>
      <w:r>
        <w:rPr>
          <w:rFonts w:hint="eastAsia" w:cs="宋体"/>
          <w:b/>
          <w:color w:val="auto"/>
          <w:sz w:val="28"/>
          <w:szCs w:val="28"/>
          <w:highlight w:val="none"/>
        </w:rPr>
        <w:t>三、投标文件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w:t>
      </w:r>
      <w:r>
        <w:rPr>
          <w:rFonts w:hint="eastAsia" w:cs="宋体"/>
          <w:color w:val="auto"/>
          <w:sz w:val="24"/>
          <w:szCs w:val="24"/>
          <w:highlight w:val="none"/>
        </w:rPr>
        <w:t>　一般要求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13.1</w:t>
      </w:r>
      <w:r>
        <w:rPr>
          <w:rFonts w:hint="eastAsia" w:cs="宋体"/>
          <w:color w:val="auto"/>
          <w:sz w:val="24"/>
          <w:szCs w:val="24"/>
          <w:highlight w:val="none"/>
        </w:rPr>
        <w:t>　投标人应仔细阅读招标文件的所有内容，按招标文件的要求编制投标文件，并保证所提供的全部资料的真实性，以使其投标文件对招标文件做出实质性的响应。</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13.2</w:t>
      </w:r>
      <w:r>
        <w:rPr>
          <w:rFonts w:hint="eastAsia" w:cs="宋体"/>
          <w:color w:val="auto"/>
          <w:sz w:val="24"/>
          <w:szCs w:val="24"/>
          <w:highlight w:val="none"/>
        </w:rPr>
        <w:t>　投标人提交的投标文件及投标人与采购人或采购代理机构、评标委员会就有关投标的所有来往函电必须使用中文。投标人可以提交其他语言的资料，但应附有中文注释，有差异时以中文为准。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13.3</w:t>
      </w:r>
      <w:r>
        <w:rPr>
          <w:rFonts w:hint="eastAsia" w:cs="宋体"/>
          <w:color w:val="auto"/>
          <w:sz w:val="24"/>
          <w:szCs w:val="24"/>
          <w:highlight w:val="none"/>
        </w:rPr>
        <w:t>　除技术要求另有规定外，本文件所要求使用的计量单位均采用国家法定的度、量、衡标准单位计量。未列明时亦默认为我国法定计量单位。</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13.4</w:t>
      </w:r>
      <w:r>
        <w:rPr>
          <w:rFonts w:hint="eastAsia" w:cs="宋体"/>
          <w:color w:val="auto"/>
          <w:sz w:val="24"/>
          <w:szCs w:val="24"/>
          <w:highlight w:val="none"/>
        </w:rPr>
        <w:t>　投标人应按招标文件中提供的“投标文件组成”的格式填写。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13.5</w:t>
      </w:r>
      <w:r>
        <w:rPr>
          <w:rFonts w:hint="eastAsia" w:cs="宋体"/>
          <w:color w:val="auto"/>
          <w:sz w:val="24"/>
          <w:szCs w:val="24"/>
          <w:highlight w:val="none"/>
        </w:rPr>
        <w:t>　投标文件应采用书面形式，招标文件中要求提供电子版的，必须按要求提供。</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w:t>
      </w:r>
      <w:r>
        <w:rPr>
          <w:rFonts w:hint="eastAsia" w:cs="宋体"/>
          <w:color w:val="auto"/>
          <w:sz w:val="24"/>
          <w:szCs w:val="24"/>
          <w:highlight w:val="none"/>
        </w:rPr>
        <w:t>投标文件的组成</w:t>
      </w:r>
      <w:r>
        <w:rPr>
          <w:rFonts w:cs="宋体"/>
          <w:color w:val="auto"/>
          <w:sz w:val="24"/>
          <w:szCs w:val="24"/>
          <w:highlight w:val="none"/>
        </w:rPr>
        <w:t>(</w:t>
      </w:r>
      <w:r>
        <w:rPr>
          <w:rFonts w:hint="eastAsia" w:cs="宋体"/>
          <w:color w:val="auto"/>
          <w:sz w:val="24"/>
          <w:szCs w:val="24"/>
          <w:highlight w:val="none"/>
        </w:rPr>
        <w:t>采购人可根据项目实际情况增加★条款</w:t>
      </w:r>
      <w:r>
        <w:rPr>
          <w:rFonts w:cs="宋体"/>
          <w:color w:val="auto"/>
          <w:sz w:val="24"/>
          <w:szCs w:val="24"/>
          <w:highlight w:val="none"/>
        </w:rPr>
        <w:t>)</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14.1</w:t>
      </w:r>
      <w:r>
        <w:rPr>
          <w:rFonts w:hint="eastAsia" w:cs="宋体"/>
          <w:color w:val="auto"/>
          <w:sz w:val="24"/>
          <w:szCs w:val="24"/>
          <w:highlight w:val="none"/>
        </w:rPr>
        <w:t>　投标文件包括但不限于下列内容</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14.1.1</w:t>
      </w:r>
      <w:r>
        <w:rPr>
          <w:rFonts w:hint="eastAsia" w:cs="宋体"/>
          <w:color w:val="auto"/>
          <w:sz w:val="24"/>
          <w:szCs w:val="24"/>
          <w:highlight w:val="none"/>
        </w:rPr>
        <w:t>　价格及商务部分：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投标函【含法定代表人（负责人）身份证明或授权委托书】</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开标一览表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分项价格表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商务条款偏离表</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(5)</w:t>
      </w:r>
      <w:r>
        <w:rPr>
          <w:rFonts w:hint="eastAsia" w:cs="宋体"/>
          <w:color w:val="auto"/>
          <w:sz w:val="24"/>
          <w:szCs w:val="24"/>
          <w:highlight w:val="none"/>
        </w:rPr>
        <w:t>供应商符合投标人资格条件的证明文件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符合政府采购政策的证明材料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w:t>
      </w:r>
      <w:r>
        <w:rPr>
          <w:rFonts w:hint="eastAsia" w:cs="宋体"/>
          <w:color w:val="auto"/>
          <w:sz w:val="24"/>
          <w:szCs w:val="24"/>
          <w:highlight w:val="none"/>
        </w:rPr>
        <w:t>投标人须知前附表要求投标人提交的其他资料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(8)</w:t>
      </w:r>
      <w:r>
        <w:rPr>
          <w:rFonts w:hint="eastAsia" w:cs="宋体"/>
          <w:color w:val="auto"/>
          <w:sz w:val="24"/>
          <w:szCs w:val="24"/>
          <w:highlight w:val="none"/>
        </w:rPr>
        <w:t>供应商认为需提供的其他资料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14.1.2</w:t>
      </w:r>
      <w:r>
        <w:rPr>
          <w:rFonts w:hint="eastAsia" w:cs="宋体"/>
          <w:color w:val="auto"/>
          <w:sz w:val="24"/>
          <w:szCs w:val="24"/>
          <w:highlight w:val="none"/>
        </w:rPr>
        <w:t>　技术部分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服务方案、实施方案等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技术响应与偏离表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投标人售后服务承诺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用于本项目人员清单列表、简历表、相关证明材料等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投标标的物符合招标文件规定的其他证明材料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其他资料</w:t>
      </w:r>
    </w:p>
    <w:p>
      <w:pPr>
        <w:pStyle w:val="20"/>
        <w:spacing w:line="440" w:lineRule="exact"/>
        <w:ind w:firstLine="422" w:firstLineChars="200"/>
        <w:rPr>
          <w:rFonts w:cs="宋体"/>
          <w:b/>
          <w:bCs/>
          <w:color w:val="auto"/>
          <w:sz w:val="24"/>
          <w:szCs w:val="24"/>
          <w:highlight w:val="none"/>
        </w:rPr>
      </w:pPr>
      <w:r>
        <w:rPr>
          <w:rFonts w:hint="eastAsia" w:hAnsi="宋体" w:cs="宋体"/>
          <w:b/>
          <w:bCs/>
          <w:color w:val="auto"/>
          <w:highlight w:val="none"/>
        </w:rPr>
        <w:t>★</w:t>
      </w:r>
      <w:r>
        <w:rPr>
          <w:rFonts w:cs="宋体"/>
          <w:b/>
          <w:bCs/>
          <w:color w:val="auto"/>
          <w:sz w:val="24"/>
          <w:szCs w:val="24"/>
          <w:highlight w:val="none"/>
        </w:rPr>
        <w:t>14.2</w:t>
      </w:r>
      <w:r>
        <w:rPr>
          <w:rFonts w:hint="eastAsia" w:cs="宋体"/>
          <w:b/>
          <w:bCs/>
          <w:color w:val="auto"/>
          <w:sz w:val="24"/>
          <w:szCs w:val="24"/>
          <w:highlight w:val="none"/>
        </w:rPr>
        <w:t>　投标样品：投标人须知前附表规定供应商在投标时提供样品的，供应商有以下情形之一的，在投标时将其视为无效响应文件。</w:t>
      </w:r>
    </w:p>
    <w:p>
      <w:pPr>
        <w:pStyle w:val="20"/>
        <w:spacing w:line="440" w:lineRule="exact"/>
        <w:ind w:firstLine="482" w:firstLineChars="200"/>
        <w:rPr>
          <w:rFonts w:cs="宋体"/>
          <w:b/>
          <w:bCs/>
          <w:color w:val="auto"/>
          <w:sz w:val="24"/>
          <w:szCs w:val="24"/>
          <w:highlight w:val="none"/>
        </w:rPr>
      </w:pPr>
      <w:r>
        <w:rPr>
          <w:rFonts w:cs="宋体"/>
          <w:b/>
          <w:bCs/>
          <w:color w:val="auto"/>
          <w:sz w:val="24"/>
          <w:szCs w:val="24"/>
          <w:highlight w:val="none"/>
        </w:rPr>
        <w:t>(1)</w:t>
      </w:r>
      <w:r>
        <w:rPr>
          <w:rFonts w:hint="eastAsia" w:cs="宋体"/>
          <w:b/>
          <w:bCs/>
          <w:color w:val="auto"/>
          <w:sz w:val="24"/>
          <w:szCs w:val="24"/>
          <w:highlight w:val="none"/>
        </w:rPr>
        <w:t>未在投标人须知前附表规定的提交时间、地点提交的。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14.3</w:t>
      </w:r>
      <w:r>
        <w:rPr>
          <w:rFonts w:hint="eastAsia" w:cs="宋体"/>
          <w:color w:val="auto"/>
          <w:sz w:val="24"/>
          <w:szCs w:val="24"/>
          <w:highlight w:val="none"/>
        </w:rPr>
        <w:t>　在投标过程中，投标人根据评标委员会书面形式要求提供的澄清文件是投标文件的有效组成部分。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14.4</w:t>
      </w:r>
      <w:r>
        <w:rPr>
          <w:rFonts w:hint="eastAsia" w:cs="宋体"/>
          <w:color w:val="auto"/>
          <w:sz w:val="24"/>
          <w:szCs w:val="24"/>
          <w:highlight w:val="none"/>
        </w:rPr>
        <w:t>　投标人无论中标与否，其投标文件不予退还。</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15.</w:t>
      </w:r>
      <w:r>
        <w:rPr>
          <w:rFonts w:hint="eastAsia" w:cs="宋体"/>
          <w:color w:val="auto"/>
          <w:sz w:val="24"/>
          <w:szCs w:val="24"/>
          <w:highlight w:val="none"/>
        </w:rPr>
        <w:t>投标报价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15.1</w:t>
      </w:r>
      <w:r>
        <w:rPr>
          <w:rFonts w:hint="eastAsia" w:cs="宋体"/>
          <w:color w:val="auto"/>
          <w:sz w:val="24"/>
          <w:szCs w:val="24"/>
          <w:highlight w:val="none"/>
        </w:rPr>
        <w:t>　投标人应按招标文件规定的供货及服务要求、责任范围和合同条件以人民币形式进行报价。投标报价应为完税价。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15.2</w:t>
      </w:r>
      <w:r>
        <w:rPr>
          <w:rFonts w:hint="eastAsia" w:cs="宋体"/>
          <w:color w:val="auto"/>
          <w:sz w:val="24"/>
          <w:szCs w:val="24"/>
          <w:highlight w:val="none"/>
        </w:rPr>
        <w:t>　投标人必须按开标一览表和分项价格表的内容和格式要求填写各项货物及服务的分项价格和总价。投标人在投标人须知前附表规定的投标文件截止之日前修改开标一览表中的报价的，应同时修改其分项价格表中的报价。</w:t>
      </w:r>
    </w:p>
    <w:p>
      <w:pPr>
        <w:pStyle w:val="20"/>
        <w:spacing w:line="440" w:lineRule="exact"/>
        <w:ind w:firstLine="482" w:firstLineChars="200"/>
        <w:rPr>
          <w:rFonts w:cs="宋体"/>
          <w:b/>
          <w:bCs/>
          <w:color w:val="auto"/>
          <w:sz w:val="24"/>
          <w:szCs w:val="24"/>
          <w:highlight w:val="none"/>
        </w:rPr>
      </w:pPr>
      <w:r>
        <w:rPr>
          <w:rFonts w:hint="eastAsia" w:cs="宋体"/>
          <w:b/>
          <w:bCs/>
          <w:color w:val="auto"/>
          <w:sz w:val="24"/>
          <w:szCs w:val="24"/>
          <w:highlight w:val="none"/>
        </w:rPr>
        <w:t>★</w:t>
      </w:r>
      <w:r>
        <w:rPr>
          <w:rFonts w:cs="宋体"/>
          <w:b/>
          <w:bCs/>
          <w:color w:val="auto"/>
          <w:sz w:val="24"/>
          <w:szCs w:val="24"/>
          <w:highlight w:val="none"/>
        </w:rPr>
        <w:t>15.3</w:t>
      </w:r>
      <w:r>
        <w:rPr>
          <w:rFonts w:hint="eastAsia" w:cs="宋体"/>
          <w:b/>
          <w:bCs/>
          <w:color w:val="auto"/>
          <w:sz w:val="24"/>
          <w:szCs w:val="24"/>
          <w:highlight w:val="none"/>
        </w:rPr>
        <w:t>　投标人对每种货物及服务只允许有一个报价，不接受可变动性报价、赠送及“零”报价，否则，在评标时将其视为无效投标。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15.4</w:t>
      </w:r>
      <w:r>
        <w:rPr>
          <w:rFonts w:hint="eastAsia" w:cs="宋体"/>
          <w:color w:val="auto"/>
          <w:sz w:val="24"/>
          <w:szCs w:val="24"/>
          <w:highlight w:val="none"/>
        </w:rPr>
        <w:t>　项目有特殊要求的见投标人须知前附表。</w:t>
      </w:r>
    </w:p>
    <w:p>
      <w:pPr>
        <w:pStyle w:val="20"/>
        <w:spacing w:line="440" w:lineRule="exact"/>
        <w:ind w:firstLine="480" w:firstLineChars="200"/>
        <w:rPr>
          <w:rFonts w:cs="宋体"/>
          <w:b/>
          <w:color w:val="auto"/>
          <w:sz w:val="24"/>
          <w:szCs w:val="24"/>
          <w:highlight w:val="none"/>
        </w:rPr>
      </w:pPr>
      <w:r>
        <w:rPr>
          <w:rFonts w:cs="宋体"/>
          <w:color w:val="auto"/>
          <w:sz w:val="24"/>
          <w:szCs w:val="24"/>
          <w:highlight w:val="none"/>
        </w:rPr>
        <w:t>16.</w:t>
      </w:r>
      <w:r>
        <w:rPr>
          <w:rFonts w:hint="eastAsia" w:cs="宋体"/>
          <w:color w:val="auto"/>
          <w:sz w:val="24"/>
          <w:szCs w:val="24"/>
          <w:highlight w:val="none"/>
        </w:rPr>
        <w:t>投标保证金（本项目不要求提供投标保证金）</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16.1</w:t>
      </w:r>
      <w:r>
        <w:rPr>
          <w:rFonts w:hint="eastAsia" w:cs="宋体"/>
          <w:color w:val="auto"/>
          <w:sz w:val="24"/>
          <w:szCs w:val="24"/>
          <w:highlight w:val="none"/>
        </w:rPr>
        <w:t>　本项目是否交纳投标保证金见投标人须知前附表。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16.2</w:t>
      </w:r>
      <w:r>
        <w:rPr>
          <w:rFonts w:hint="eastAsia" w:cs="宋体"/>
          <w:color w:val="auto"/>
          <w:sz w:val="24"/>
          <w:szCs w:val="24"/>
          <w:highlight w:val="none"/>
        </w:rPr>
        <w:t>　投标人须知前附表规定交纳投标保证金的，投标人应以支票、汇票、本票或金融机构、担保机构出具的保函等非现金形式，在本章投标人须知前附表规定的投标截止时间前，向采购代理机构提交投标人须知前附表规定的投标保证金</w:t>
      </w:r>
      <w:r>
        <w:rPr>
          <w:rFonts w:cs="宋体"/>
          <w:color w:val="auto"/>
          <w:sz w:val="24"/>
          <w:szCs w:val="24"/>
          <w:highlight w:val="none"/>
        </w:rPr>
        <w:t>(</w:t>
      </w:r>
      <w:r>
        <w:rPr>
          <w:rFonts w:hint="eastAsia" w:cs="宋体"/>
          <w:color w:val="auto"/>
          <w:sz w:val="24"/>
          <w:szCs w:val="24"/>
          <w:highlight w:val="none"/>
        </w:rPr>
        <w:t>数额采用四舍五入，计算至元</w:t>
      </w:r>
      <w:r>
        <w:rPr>
          <w:rFonts w:cs="宋体"/>
          <w:color w:val="auto"/>
          <w:sz w:val="24"/>
          <w:szCs w:val="24"/>
          <w:highlight w:val="none"/>
        </w:rPr>
        <w:t>)</w:t>
      </w:r>
      <w:r>
        <w:rPr>
          <w:rFonts w:hint="eastAsia" w:cs="宋体"/>
          <w:color w:val="auto"/>
          <w:sz w:val="24"/>
          <w:szCs w:val="24"/>
          <w:highlight w:val="none"/>
        </w:rPr>
        <w:t>。投标保证金有效期与本章投标人须知前附表规定的投标有效期一致。投标人未按照招标文件要求提交投标保证金的，采购代理机构应当拒绝接收投标人的投标文件或评标委员会在评标时将其视为无效投标。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16.3</w:t>
      </w:r>
      <w:r>
        <w:rPr>
          <w:rFonts w:hint="eastAsia" w:cs="宋体"/>
          <w:color w:val="auto"/>
          <w:sz w:val="24"/>
          <w:szCs w:val="24"/>
          <w:highlight w:val="none"/>
        </w:rPr>
        <w:t>　联合体投标的，可以由联合体中的一方或者共同提交投标保证金。以一方名义提交投标保证金的，对联合体各方均具有约束力。</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16.4</w:t>
      </w:r>
      <w:r>
        <w:rPr>
          <w:rFonts w:hint="eastAsia" w:cs="宋体"/>
          <w:color w:val="auto"/>
          <w:sz w:val="24"/>
          <w:szCs w:val="24"/>
          <w:highlight w:val="none"/>
        </w:rPr>
        <w:t>　未中标的投标人的投标保证金，将在中标通知书发出后</w:t>
      </w:r>
      <w:r>
        <w:rPr>
          <w:rFonts w:cs="宋体"/>
          <w:color w:val="auto"/>
          <w:sz w:val="24"/>
          <w:szCs w:val="24"/>
          <w:highlight w:val="none"/>
        </w:rPr>
        <w:t>5</w:t>
      </w:r>
      <w:r>
        <w:rPr>
          <w:rFonts w:hint="eastAsia" w:cs="宋体"/>
          <w:color w:val="auto"/>
          <w:sz w:val="24"/>
          <w:szCs w:val="24"/>
          <w:highlight w:val="none"/>
        </w:rPr>
        <w:t>个工作日内退还，但因投标人自身原因导致无法及时退还的除外。</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16.5</w:t>
      </w:r>
      <w:r>
        <w:rPr>
          <w:rFonts w:hint="eastAsia" w:cs="宋体"/>
          <w:color w:val="auto"/>
          <w:sz w:val="24"/>
          <w:szCs w:val="24"/>
          <w:highlight w:val="none"/>
        </w:rPr>
        <w:t>　中标的投标人的投标保证金，将在政府采购合同签订后</w:t>
      </w:r>
      <w:r>
        <w:rPr>
          <w:rFonts w:cs="宋体"/>
          <w:color w:val="auto"/>
          <w:sz w:val="24"/>
          <w:szCs w:val="24"/>
          <w:highlight w:val="none"/>
        </w:rPr>
        <w:t>5</w:t>
      </w:r>
      <w:r>
        <w:rPr>
          <w:rFonts w:hint="eastAsia" w:cs="宋体"/>
          <w:color w:val="auto"/>
          <w:sz w:val="24"/>
          <w:szCs w:val="24"/>
          <w:highlight w:val="none"/>
        </w:rPr>
        <w:t>个工作日内退还。</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17.</w:t>
      </w:r>
      <w:r>
        <w:rPr>
          <w:rFonts w:hint="eastAsia" w:cs="宋体"/>
          <w:color w:val="auto"/>
          <w:sz w:val="24"/>
          <w:szCs w:val="24"/>
          <w:highlight w:val="none"/>
        </w:rPr>
        <w:t>投标有效期</w:t>
      </w:r>
    </w:p>
    <w:p>
      <w:pPr>
        <w:pStyle w:val="20"/>
        <w:spacing w:line="440" w:lineRule="exact"/>
        <w:ind w:firstLine="480" w:firstLineChars="200"/>
        <w:rPr>
          <w:rFonts w:cs="宋体"/>
          <w:b/>
          <w:bCs/>
          <w:color w:val="auto"/>
          <w:sz w:val="24"/>
          <w:szCs w:val="24"/>
          <w:highlight w:val="none"/>
        </w:rPr>
      </w:pPr>
      <w:r>
        <w:rPr>
          <w:rFonts w:cs="宋体"/>
          <w:color w:val="auto"/>
          <w:sz w:val="24"/>
          <w:szCs w:val="24"/>
          <w:highlight w:val="none"/>
        </w:rPr>
        <w:t>17.1</w:t>
      </w:r>
      <w:r>
        <w:rPr>
          <w:rFonts w:hint="eastAsia" w:cs="宋体"/>
          <w:color w:val="auto"/>
          <w:sz w:val="24"/>
          <w:szCs w:val="24"/>
          <w:highlight w:val="none"/>
        </w:rPr>
        <w:t>　投标有效期见投标人须知前附表，在此期间投标文件对投标人具有法律约束力，以保证采购人有足够的时间完成评标、定标以及签订合同。投标有效期从投标人须知前附表规定的投标截止之日起计算。</w:t>
      </w:r>
      <w:r>
        <w:rPr>
          <w:rFonts w:hint="eastAsia" w:cs="宋体"/>
          <w:b/>
          <w:bCs/>
          <w:color w:val="auto"/>
          <w:sz w:val="24"/>
          <w:szCs w:val="24"/>
          <w:highlight w:val="none"/>
        </w:rPr>
        <w:t>投标有效期不足的，在评标时将其视为无效投标。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17.2</w:t>
      </w:r>
      <w:r>
        <w:rPr>
          <w:rFonts w:hint="eastAsia" w:cs="宋体"/>
          <w:color w:val="auto"/>
          <w:sz w:val="24"/>
          <w:szCs w:val="24"/>
          <w:highlight w:val="none"/>
        </w:rPr>
        <w:t>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投标人同意延长的，则不允许修改或撤回投标文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18.</w:t>
      </w:r>
      <w:r>
        <w:rPr>
          <w:rFonts w:hint="eastAsia" w:cs="宋体"/>
          <w:color w:val="auto"/>
          <w:sz w:val="24"/>
          <w:szCs w:val="24"/>
          <w:highlight w:val="none"/>
        </w:rPr>
        <w:t>投标文件的签署和规定</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18.1</w:t>
      </w:r>
      <w:r>
        <w:rPr>
          <w:rFonts w:hint="eastAsia" w:cs="宋体"/>
          <w:color w:val="auto"/>
          <w:sz w:val="24"/>
          <w:szCs w:val="24"/>
          <w:highlight w:val="none"/>
        </w:rPr>
        <w:t>　投标人应根据投标人须知前附表规定提交投标文件。纸质文件的正本和副本应装订成册。正本和副本的封面应注明“正本”或“副本”的字样，当正本和副本、电子版不一致时，以正本为准。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18.2</w:t>
      </w:r>
      <w:r>
        <w:rPr>
          <w:rFonts w:hint="eastAsia" w:cs="宋体"/>
          <w:color w:val="auto"/>
          <w:sz w:val="24"/>
          <w:szCs w:val="24"/>
          <w:highlight w:val="none"/>
        </w:rPr>
        <w:t>　投标文件应用不褪色的材料打印或书写，并按招标文件要求在签字盖章处盖单位章和由法定代表人（负责人）或其授权代表签字。投标文件中的任何行间插字、涂改和增删，应加盖单位章或由投标人的法定代表人（负责人）或其授权的代理人签字确认。</w:t>
      </w:r>
      <w:r>
        <w:rPr>
          <w:rFonts w:hint="eastAsia" w:cs="宋体"/>
          <w:b/>
          <w:bCs/>
          <w:color w:val="auto"/>
          <w:sz w:val="24"/>
          <w:szCs w:val="24"/>
          <w:highlight w:val="none"/>
        </w:rPr>
        <w:t>否则，在评标时将其视为无效投标。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w:t>
      </w:r>
      <w:r>
        <w:rPr>
          <w:rFonts w:hint="eastAsia" w:cs="宋体"/>
          <w:color w:val="auto"/>
          <w:sz w:val="24"/>
          <w:szCs w:val="24"/>
          <w:highlight w:val="none"/>
        </w:rPr>
        <w:t>投标文件的密封和标记</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19.1</w:t>
      </w:r>
      <w:r>
        <w:rPr>
          <w:rFonts w:hint="eastAsia" w:cs="宋体"/>
          <w:color w:val="auto"/>
          <w:sz w:val="24"/>
          <w:szCs w:val="24"/>
          <w:highlight w:val="none"/>
        </w:rPr>
        <w:t>　投标文件按正本和副本分别包装，注明“正本”或“副本”，加贴封条，并在封套的封口处加盖投标人单位公章或由法定代表人（负责人）或其授权的代理人签字。</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19.2</w:t>
      </w:r>
      <w:r>
        <w:rPr>
          <w:rFonts w:hint="eastAsia" w:cs="宋体"/>
          <w:color w:val="auto"/>
          <w:sz w:val="24"/>
          <w:szCs w:val="24"/>
          <w:highlight w:val="none"/>
        </w:rPr>
        <w:t>　投标文件封套或外包装上应载明的内容见投标人须知前附表。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19.3</w:t>
      </w:r>
      <w:r>
        <w:rPr>
          <w:rFonts w:hint="eastAsia" w:cs="宋体"/>
          <w:color w:val="auto"/>
          <w:sz w:val="24"/>
          <w:szCs w:val="24"/>
          <w:highlight w:val="none"/>
        </w:rPr>
        <w:t>　投标文件如果未按上述规定密封和标记，采购人或采购代理机构应当拒绝接收。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19.4</w:t>
      </w:r>
      <w:r>
        <w:rPr>
          <w:rFonts w:hint="eastAsia" w:cs="宋体"/>
          <w:color w:val="auto"/>
          <w:sz w:val="24"/>
          <w:szCs w:val="24"/>
          <w:highlight w:val="none"/>
        </w:rPr>
        <w:t>　为方便开标唱标，投标人应单独将开标一览表另行封装在同一密封套内，并标明开标一览表字样，投标时单独提交。</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20.</w:t>
      </w:r>
      <w:r>
        <w:rPr>
          <w:rFonts w:hint="eastAsia" w:cs="宋体"/>
          <w:color w:val="auto"/>
          <w:sz w:val="24"/>
          <w:szCs w:val="24"/>
          <w:highlight w:val="none"/>
        </w:rPr>
        <w:t>投标文件的递交</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20.1</w:t>
      </w:r>
      <w:r>
        <w:rPr>
          <w:rFonts w:hint="eastAsia" w:cs="宋体"/>
          <w:color w:val="auto"/>
          <w:sz w:val="24"/>
          <w:szCs w:val="24"/>
          <w:highlight w:val="none"/>
        </w:rPr>
        <w:t>　投标文件应在本章投标人须知前附表规定的投标截止时间之前密封送到投标人须知前附表指定的地点。</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采购人或者采购代理机构收到投标文件后，应当如实记载投标文件的送达时间和密封情况，签收保存，并向投标人出具签收回执。任何单位和个人不得在开标前开启投标文件。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20.2</w:t>
      </w:r>
      <w:r>
        <w:rPr>
          <w:rFonts w:hint="eastAsia" w:cs="宋体"/>
          <w:color w:val="auto"/>
          <w:sz w:val="24"/>
          <w:szCs w:val="24"/>
          <w:highlight w:val="none"/>
        </w:rPr>
        <w:t>　逾期送达或者未按照招标文件要求密封的投标文件，采购人、采购代理机构应当拒收。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w:t>
      </w:r>
      <w:r>
        <w:rPr>
          <w:rFonts w:hint="eastAsia" w:cs="宋体"/>
          <w:color w:val="auto"/>
          <w:sz w:val="24"/>
          <w:szCs w:val="24"/>
          <w:highlight w:val="none"/>
        </w:rPr>
        <w:t>投标文件的修改和撤回</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21.1</w:t>
      </w:r>
      <w:r>
        <w:rPr>
          <w:rFonts w:hint="eastAsia" w:cs="宋体"/>
          <w:color w:val="auto"/>
          <w:sz w:val="24"/>
          <w:szCs w:val="24"/>
          <w:highlight w:val="none"/>
        </w:rPr>
        <w:t>　在投标人须知前附表规定的投标截止时间前，投标人可以书面形式修改、补充或撤回已递交的投标文件，但应以书面形式通知采购人或采购代理机构。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21.2</w:t>
      </w:r>
      <w:r>
        <w:rPr>
          <w:rFonts w:hint="eastAsia" w:cs="宋体"/>
          <w:color w:val="auto"/>
          <w:sz w:val="24"/>
          <w:szCs w:val="24"/>
          <w:highlight w:val="none"/>
        </w:rPr>
        <w:t>　修改、补充的内容为投标文件的组成部分。修改、补充的投标文件应按本章第</w:t>
      </w:r>
      <w:r>
        <w:rPr>
          <w:rFonts w:cs="宋体"/>
          <w:color w:val="auto"/>
          <w:sz w:val="24"/>
          <w:szCs w:val="24"/>
          <w:highlight w:val="none"/>
        </w:rPr>
        <w:t>18</w:t>
      </w:r>
      <w:r>
        <w:rPr>
          <w:rFonts w:hint="eastAsia" w:cs="宋体"/>
          <w:color w:val="auto"/>
          <w:sz w:val="24"/>
          <w:szCs w:val="24"/>
          <w:highlight w:val="none"/>
        </w:rPr>
        <w:t>、</w:t>
      </w:r>
      <w:r>
        <w:rPr>
          <w:rFonts w:cs="宋体"/>
          <w:color w:val="auto"/>
          <w:sz w:val="24"/>
          <w:szCs w:val="24"/>
          <w:highlight w:val="none"/>
        </w:rPr>
        <w:t>19</w:t>
      </w:r>
      <w:r>
        <w:rPr>
          <w:rFonts w:hint="eastAsia" w:cs="宋体"/>
          <w:color w:val="auto"/>
          <w:sz w:val="24"/>
          <w:szCs w:val="24"/>
          <w:highlight w:val="none"/>
        </w:rPr>
        <w:t>、</w:t>
      </w:r>
      <w:r>
        <w:rPr>
          <w:rFonts w:cs="宋体"/>
          <w:color w:val="auto"/>
          <w:sz w:val="24"/>
          <w:szCs w:val="24"/>
          <w:highlight w:val="none"/>
        </w:rPr>
        <w:t>20</w:t>
      </w:r>
      <w:r>
        <w:rPr>
          <w:rFonts w:hint="eastAsia" w:cs="宋体"/>
          <w:color w:val="auto"/>
          <w:sz w:val="24"/>
          <w:szCs w:val="24"/>
          <w:highlight w:val="none"/>
        </w:rPr>
        <w:t>项规定编制、签署、密封、标记和递交，并标明“修改、补充”字样。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21.3</w:t>
      </w:r>
      <w:r>
        <w:rPr>
          <w:rFonts w:hint="eastAsia" w:cs="宋体"/>
          <w:color w:val="auto"/>
          <w:sz w:val="24"/>
          <w:szCs w:val="24"/>
          <w:highlight w:val="none"/>
        </w:rPr>
        <w:t>　投标人按本章</w:t>
      </w:r>
      <w:r>
        <w:rPr>
          <w:rFonts w:cs="宋体"/>
          <w:color w:val="auto"/>
          <w:sz w:val="24"/>
          <w:szCs w:val="24"/>
          <w:highlight w:val="none"/>
        </w:rPr>
        <w:t>21.1</w:t>
      </w:r>
      <w:r>
        <w:rPr>
          <w:rFonts w:hint="eastAsia" w:cs="宋体"/>
          <w:color w:val="auto"/>
          <w:sz w:val="24"/>
          <w:szCs w:val="24"/>
          <w:highlight w:val="none"/>
        </w:rPr>
        <w:t>款撤回投标文件的，采购人或采购代理机构自收到投标人书面撤回通知之日起</w:t>
      </w:r>
      <w:r>
        <w:rPr>
          <w:rFonts w:cs="宋体"/>
          <w:color w:val="auto"/>
          <w:sz w:val="24"/>
          <w:szCs w:val="24"/>
          <w:highlight w:val="none"/>
        </w:rPr>
        <w:t>5</w:t>
      </w:r>
      <w:r>
        <w:rPr>
          <w:rFonts w:hint="eastAsia" w:cs="宋体"/>
          <w:color w:val="auto"/>
          <w:sz w:val="24"/>
          <w:szCs w:val="24"/>
          <w:highlight w:val="none"/>
        </w:rPr>
        <w:t>个工作日内，退还已收取的投标保证金，但因投标人自身原因导致无法及时退还的除外。</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21.4</w:t>
      </w:r>
      <w:r>
        <w:rPr>
          <w:rFonts w:hint="eastAsia" w:cs="宋体"/>
          <w:color w:val="auto"/>
          <w:sz w:val="24"/>
          <w:szCs w:val="24"/>
          <w:highlight w:val="none"/>
        </w:rPr>
        <w:t>　投标人在投标有效期内不得修改、撤销其投标文件。</w:t>
      </w:r>
    </w:p>
    <w:p>
      <w:pPr>
        <w:pStyle w:val="20"/>
        <w:spacing w:line="440" w:lineRule="exact"/>
        <w:ind w:firstLine="480" w:firstLineChars="200"/>
        <w:rPr>
          <w:rFonts w:cs="宋体"/>
          <w:color w:val="auto"/>
          <w:sz w:val="24"/>
          <w:szCs w:val="24"/>
          <w:highlight w:val="none"/>
        </w:rPr>
      </w:pPr>
    </w:p>
    <w:p>
      <w:pPr>
        <w:pStyle w:val="20"/>
        <w:spacing w:line="440" w:lineRule="exact"/>
        <w:ind w:firstLine="562" w:firstLineChars="200"/>
        <w:jc w:val="center"/>
        <w:rPr>
          <w:rFonts w:cs="宋体"/>
          <w:b/>
          <w:color w:val="auto"/>
          <w:sz w:val="28"/>
          <w:szCs w:val="28"/>
          <w:highlight w:val="none"/>
        </w:rPr>
      </w:pPr>
      <w:r>
        <w:rPr>
          <w:rFonts w:hint="eastAsia" w:cs="宋体"/>
          <w:b/>
          <w:color w:val="auto"/>
          <w:sz w:val="28"/>
          <w:szCs w:val="28"/>
          <w:highlight w:val="none"/>
        </w:rPr>
        <w:t>四、开标和评标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w:t>
      </w:r>
      <w:r>
        <w:rPr>
          <w:rFonts w:hint="eastAsia" w:cs="宋体"/>
          <w:color w:val="auto"/>
          <w:sz w:val="24"/>
          <w:szCs w:val="24"/>
          <w:highlight w:val="none"/>
        </w:rPr>
        <w:t>开标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22.1</w:t>
      </w:r>
      <w:r>
        <w:rPr>
          <w:rFonts w:hint="eastAsia" w:cs="宋体"/>
          <w:color w:val="auto"/>
          <w:sz w:val="24"/>
          <w:szCs w:val="24"/>
          <w:highlight w:val="none"/>
        </w:rPr>
        <w:t>　采购人或采购代理机构在投标人须知前附表规定的开标时间和开标地点组织公开开标，邀请投标人参加。评标委员会成员不得参加开标活动。投标人不足</w:t>
      </w:r>
      <w:r>
        <w:rPr>
          <w:rFonts w:cs="宋体"/>
          <w:color w:val="auto"/>
          <w:sz w:val="24"/>
          <w:szCs w:val="24"/>
          <w:highlight w:val="none"/>
        </w:rPr>
        <w:t>3</w:t>
      </w:r>
      <w:r>
        <w:rPr>
          <w:rFonts w:hint="eastAsia" w:cs="宋体"/>
          <w:color w:val="auto"/>
          <w:sz w:val="24"/>
          <w:szCs w:val="24"/>
          <w:highlight w:val="none"/>
        </w:rPr>
        <w:t>家的，不得开标。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22.2</w:t>
      </w:r>
      <w:r>
        <w:rPr>
          <w:rFonts w:hint="eastAsia" w:cs="宋体"/>
          <w:color w:val="auto"/>
          <w:sz w:val="24"/>
          <w:szCs w:val="24"/>
          <w:highlight w:val="none"/>
        </w:rPr>
        <w:t>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22.3</w:t>
      </w:r>
      <w:r>
        <w:rPr>
          <w:rFonts w:hint="eastAsia" w:cs="宋体"/>
          <w:color w:val="auto"/>
          <w:sz w:val="24"/>
          <w:szCs w:val="24"/>
          <w:highlight w:val="none"/>
        </w:rPr>
        <w:t>　未宣读的投标价格等实质性内容，评标时不予承认。</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22.4</w:t>
      </w:r>
      <w:r>
        <w:rPr>
          <w:rFonts w:hint="eastAsia" w:cs="宋体"/>
          <w:color w:val="auto"/>
          <w:sz w:val="24"/>
          <w:szCs w:val="24"/>
          <w:highlight w:val="none"/>
        </w:rPr>
        <w:t>　投标人代表及有关人员在开标记录上签字确认。</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22.5</w:t>
      </w:r>
      <w:r>
        <w:rPr>
          <w:rFonts w:hint="eastAsia" w:cs="宋体"/>
          <w:color w:val="auto"/>
          <w:sz w:val="24"/>
          <w:szCs w:val="24"/>
          <w:highlight w:val="none"/>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23.</w:t>
      </w:r>
      <w:r>
        <w:rPr>
          <w:rFonts w:hint="eastAsia" w:cs="宋体"/>
          <w:color w:val="auto"/>
          <w:sz w:val="24"/>
          <w:szCs w:val="24"/>
          <w:highlight w:val="none"/>
        </w:rPr>
        <w:t>资格审查</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23.1</w:t>
      </w:r>
      <w:r>
        <w:rPr>
          <w:rFonts w:hint="eastAsia" w:cs="宋体"/>
          <w:color w:val="auto"/>
          <w:sz w:val="24"/>
          <w:szCs w:val="24"/>
          <w:highlight w:val="none"/>
        </w:rPr>
        <w:t>　公开招标采购项目开标结束后，采购人或者采购代理机构应当依法对投标人的资格进行审查。合格投标人不足</w:t>
      </w:r>
      <w:r>
        <w:rPr>
          <w:rFonts w:cs="宋体"/>
          <w:color w:val="auto"/>
          <w:sz w:val="24"/>
          <w:szCs w:val="24"/>
          <w:highlight w:val="none"/>
        </w:rPr>
        <w:t>3</w:t>
      </w:r>
      <w:r>
        <w:rPr>
          <w:rFonts w:hint="eastAsia" w:cs="宋体"/>
          <w:color w:val="auto"/>
          <w:sz w:val="24"/>
          <w:szCs w:val="24"/>
          <w:highlight w:val="none"/>
        </w:rPr>
        <w:t>家的，不得评标。</w:t>
      </w:r>
    </w:p>
    <w:p>
      <w:pPr>
        <w:pStyle w:val="20"/>
        <w:spacing w:line="440" w:lineRule="exact"/>
        <w:ind w:firstLine="482" w:firstLineChars="200"/>
        <w:rPr>
          <w:rFonts w:cs="宋体"/>
          <w:b/>
          <w:bCs/>
          <w:color w:val="auto"/>
          <w:sz w:val="24"/>
          <w:szCs w:val="24"/>
          <w:highlight w:val="none"/>
        </w:rPr>
      </w:pPr>
      <w:r>
        <w:rPr>
          <w:rFonts w:hint="eastAsia" w:cs="宋体"/>
          <w:b/>
          <w:bCs/>
          <w:color w:val="auto"/>
          <w:sz w:val="24"/>
          <w:szCs w:val="24"/>
          <w:highlight w:val="none"/>
        </w:rPr>
        <w:t>有下列情形之一的，应在资格审查时按照无效投标处理：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(1) </w:t>
      </w:r>
      <w:r>
        <w:rPr>
          <w:rFonts w:hint="eastAsia" w:cs="宋体"/>
          <w:color w:val="auto"/>
          <w:sz w:val="24"/>
          <w:szCs w:val="24"/>
          <w:highlight w:val="none"/>
        </w:rPr>
        <w:t>投标人不具备招标文件规定的投标人资格条件的；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(2) </w:t>
      </w:r>
      <w:r>
        <w:rPr>
          <w:rFonts w:hint="eastAsia" w:cs="宋体"/>
          <w:color w:val="auto"/>
          <w:sz w:val="24"/>
          <w:szCs w:val="24"/>
          <w:highlight w:val="none"/>
        </w:rPr>
        <w:t>报价超过招标文件中规定的预算金额或者最高限价的；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(3) </w:t>
      </w:r>
      <w:r>
        <w:rPr>
          <w:rFonts w:hint="eastAsia" w:cs="宋体"/>
          <w:color w:val="auto"/>
          <w:sz w:val="24"/>
          <w:szCs w:val="24"/>
          <w:highlight w:val="none"/>
        </w:rPr>
        <w:t>投标人存在失信记录的。</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失信记录是指，通过“信用中国”网站</w:t>
      </w:r>
      <w:r>
        <w:rPr>
          <w:rFonts w:cs="宋体"/>
          <w:color w:val="auto"/>
          <w:sz w:val="24"/>
          <w:szCs w:val="24"/>
          <w:highlight w:val="none"/>
        </w:rPr>
        <w:t>(www.creditchina.gov.cn)</w:t>
      </w:r>
      <w:r>
        <w:rPr>
          <w:rFonts w:hint="eastAsia" w:cs="宋体"/>
          <w:color w:val="auto"/>
          <w:sz w:val="24"/>
          <w:szCs w:val="24"/>
          <w:highlight w:val="none"/>
        </w:rPr>
        <w:t>、中国政府采购网</w:t>
      </w:r>
      <w:r>
        <w:rPr>
          <w:rFonts w:cs="宋体"/>
          <w:color w:val="auto"/>
          <w:sz w:val="24"/>
          <w:szCs w:val="24"/>
          <w:highlight w:val="none"/>
        </w:rPr>
        <w:t>(www.ccgp.gov.cn)</w:t>
      </w:r>
      <w:r>
        <w:rPr>
          <w:rFonts w:hint="eastAsia" w:cs="宋体"/>
          <w:color w:val="auto"/>
          <w:sz w:val="24"/>
          <w:szCs w:val="24"/>
          <w:highlight w:val="none"/>
        </w:rPr>
        <w:t>查询相关主体信用记录，列入失信被执行人、重大税收违法案件当事人名单、政府采购严重违法失信行为记录名单及其他不符合《政府采购法》第二十二条规定条件的情况。失信情况查询方式详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23.2</w:t>
      </w:r>
      <w:r>
        <w:rPr>
          <w:rFonts w:hint="eastAsia" w:cs="宋体"/>
          <w:color w:val="auto"/>
          <w:sz w:val="24"/>
          <w:szCs w:val="24"/>
          <w:highlight w:val="none"/>
        </w:rPr>
        <w:t>　已经进行资格预审的，可以不再对供应商资格进行审查，资格预审合格的供应商在评审阶段资格发生变化的，应当通知采购人和采购代理机构。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24.</w:t>
      </w:r>
      <w:r>
        <w:rPr>
          <w:rFonts w:hint="eastAsia" w:cs="宋体"/>
          <w:color w:val="auto"/>
          <w:sz w:val="24"/>
          <w:szCs w:val="24"/>
          <w:highlight w:val="none"/>
        </w:rPr>
        <w:t>评标委员会</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评标由采购人或采购代理机构依法组建的评标委员会负责。评标委员会由政府采购评审专家和采购人代表组成。</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25.</w:t>
      </w:r>
      <w:r>
        <w:rPr>
          <w:rFonts w:hint="eastAsia" w:cs="宋体"/>
          <w:color w:val="auto"/>
          <w:sz w:val="24"/>
          <w:szCs w:val="24"/>
          <w:highlight w:val="none"/>
        </w:rPr>
        <w:t>评标方法和标准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本项目评标方法和标准见招标文件第三章。</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w:t>
      </w:r>
      <w:r>
        <w:rPr>
          <w:rFonts w:hint="eastAsia" w:cs="宋体"/>
          <w:color w:val="auto"/>
          <w:sz w:val="24"/>
          <w:szCs w:val="24"/>
          <w:highlight w:val="none"/>
        </w:rPr>
        <w:t>评标程序</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26.1</w:t>
      </w:r>
      <w:r>
        <w:rPr>
          <w:rFonts w:hint="eastAsia" w:cs="宋体"/>
          <w:color w:val="auto"/>
          <w:sz w:val="24"/>
          <w:szCs w:val="24"/>
          <w:highlight w:val="none"/>
        </w:rPr>
        <w:t>　投标文件的符合性审查。</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26.1.1</w:t>
      </w:r>
      <w:r>
        <w:rPr>
          <w:rFonts w:hint="eastAsia" w:cs="宋体"/>
          <w:color w:val="auto"/>
          <w:sz w:val="24"/>
          <w:szCs w:val="24"/>
          <w:highlight w:val="none"/>
        </w:rPr>
        <w:t>评标委员会应当对符合资格的投标人的投标文件进行符合性审查，以确定其是否满足招标文件的实质性要求。</w:t>
      </w:r>
    </w:p>
    <w:p>
      <w:pPr>
        <w:pStyle w:val="20"/>
        <w:spacing w:line="440" w:lineRule="exact"/>
        <w:ind w:firstLine="482" w:firstLineChars="200"/>
        <w:rPr>
          <w:rFonts w:cs="宋体"/>
          <w:color w:val="auto"/>
          <w:sz w:val="24"/>
          <w:szCs w:val="24"/>
          <w:highlight w:val="none"/>
        </w:rPr>
      </w:pPr>
      <w:r>
        <w:rPr>
          <w:rFonts w:cs="宋体"/>
          <w:b/>
          <w:bCs/>
          <w:color w:val="auto"/>
          <w:sz w:val="24"/>
          <w:szCs w:val="24"/>
          <w:highlight w:val="none"/>
        </w:rPr>
        <w:t>26.1.2</w:t>
      </w:r>
      <w:r>
        <w:rPr>
          <w:rFonts w:hint="eastAsia" w:cs="宋体"/>
          <w:b/>
          <w:bCs/>
          <w:color w:val="auto"/>
          <w:sz w:val="24"/>
          <w:szCs w:val="24"/>
          <w:highlight w:val="none"/>
        </w:rPr>
        <w:t>　有下列情形之一的，应在符合性审查时按照无效投标处理：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投标文件未按照招标文件规定要求密封、签署、盖章的；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不满足本招标文件中标注“★”的实质性条款要求的；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投标有效期不足的；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投标文件含有采购人不能接受的附加条件的；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不符合法律、法规和招标文件规定的其他无效情形的。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26.2</w:t>
      </w:r>
      <w:r>
        <w:rPr>
          <w:rFonts w:hint="eastAsia" w:cs="宋体"/>
          <w:color w:val="auto"/>
          <w:sz w:val="24"/>
          <w:szCs w:val="24"/>
          <w:highlight w:val="none"/>
        </w:rPr>
        <w:t>　核价原则</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投标文件报价出现前后不一致的，除招标文件另有规定外，按照下列规定修正：</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投标文件中开标一览表（报价表）内容与投标文件中相应内容不一致的，以开标一览表（报价表）为准；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大写金额和小写金额不一致的，以大写金额为准；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单价金额小数点或者百分比有明显错位的，以开标一览表的总价为准，并修改单价；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总价金额与按单价汇总金额不一致的，以单价金额计算结果为准。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★同时出现两种以上不一致的，按照前款规定的顺序修正。修正后的报价按照《</w:t>
      </w:r>
      <w:r>
        <w:rPr>
          <w:rFonts w:hint="eastAsia"/>
          <w:color w:val="auto"/>
          <w:sz w:val="24"/>
          <w:szCs w:val="24"/>
          <w:highlight w:val="none"/>
        </w:rPr>
        <w:t>政府采购货物和服务招标投标管理办法</w:t>
      </w:r>
      <w:r>
        <w:rPr>
          <w:rFonts w:hint="eastAsia" w:cs="宋体"/>
          <w:color w:val="auto"/>
          <w:sz w:val="24"/>
          <w:szCs w:val="24"/>
          <w:highlight w:val="none"/>
        </w:rPr>
        <w:t>》第五十一条第二款的规定经投标人确认后产生约束力，投标人不确认的，其投标无效。</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26.3</w:t>
      </w:r>
      <w:r>
        <w:rPr>
          <w:rFonts w:hint="eastAsia" w:cs="宋体"/>
          <w:color w:val="auto"/>
          <w:sz w:val="24"/>
          <w:szCs w:val="24"/>
          <w:highlight w:val="none"/>
        </w:rPr>
        <w:t>　投标文件澄清</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26.3.1</w:t>
      </w:r>
      <w:r>
        <w:rPr>
          <w:rFonts w:hint="eastAsia" w:cs="宋体"/>
          <w:color w:val="auto"/>
          <w:sz w:val="24"/>
          <w:szCs w:val="24"/>
          <w:highlight w:val="none"/>
        </w:rPr>
        <w:t>　对于投标文件中含义不明确、同类问题表述不一致或者有明显文字和计算错误的内容，评标委员会应当以书面形式要求投标人作出必要的澄清、说明或者补正。</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26.3.2</w:t>
      </w:r>
      <w:r>
        <w:rPr>
          <w:rFonts w:hint="eastAsia" w:cs="宋体"/>
          <w:color w:val="auto"/>
          <w:sz w:val="24"/>
          <w:szCs w:val="24"/>
          <w:highlight w:val="none"/>
        </w:rPr>
        <w:t>　投标人的澄清、说明或者补正应当采用书面形式，并加盖公章，或者由法定代表人（负责人）或其授权的代表签字。投标人的澄清、说明或者补正不得超出投标文件的范围或者改变投标文件的实质性内容。</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26.3.3</w:t>
      </w:r>
      <w:r>
        <w:rPr>
          <w:rFonts w:hint="eastAsia" w:cs="宋体"/>
          <w:color w:val="auto"/>
          <w:sz w:val="24"/>
          <w:szCs w:val="24"/>
          <w:highlight w:val="none"/>
        </w:rPr>
        <w:t>　评标委员会不接受投标人主动提出的澄清、说明。</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26.3.4</w:t>
      </w:r>
      <w:r>
        <w:rPr>
          <w:rFonts w:hint="eastAsia" w:cs="宋体"/>
          <w:color w:val="auto"/>
          <w:sz w:val="24"/>
          <w:szCs w:val="24"/>
          <w:highlight w:val="none"/>
        </w:rPr>
        <w:t>　有效的书面澄清材料，是投标文件的补充材料，成为投标文件的组成部分。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26.4</w:t>
      </w:r>
      <w:r>
        <w:rPr>
          <w:rFonts w:hint="eastAsia" w:cs="宋体"/>
          <w:color w:val="auto"/>
          <w:sz w:val="24"/>
          <w:szCs w:val="24"/>
          <w:highlight w:val="none"/>
        </w:rPr>
        <w:t>　同品牌多家投标人处理原则（本项目不适用）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26.4.1</w:t>
      </w:r>
      <w:r>
        <w:rPr>
          <w:rFonts w:hint="eastAsia" w:cs="宋体"/>
          <w:color w:val="auto"/>
          <w:sz w:val="24"/>
          <w:szCs w:val="24"/>
          <w:highlight w:val="none"/>
        </w:rPr>
        <w:t>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26.4.2</w:t>
      </w:r>
      <w:r>
        <w:rPr>
          <w:rFonts w:hint="eastAsia" w:cs="宋体"/>
          <w:color w:val="auto"/>
          <w:sz w:val="24"/>
          <w:szCs w:val="24"/>
          <w:highlight w:val="none"/>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26.4.3</w:t>
      </w:r>
      <w:r>
        <w:rPr>
          <w:rFonts w:hint="eastAsia" w:cs="宋体"/>
          <w:color w:val="auto"/>
          <w:sz w:val="24"/>
          <w:szCs w:val="24"/>
          <w:highlight w:val="none"/>
        </w:rPr>
        <w:t>　非单一产品采购项目，根据采购项目技术构成、产品价格比重等合理确定核心产品，核心产品见投标人须知前附表。多家投标人提供的核心产品品牌相同的，按前两款规定处理。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26.5</w:t>
      </w:r>
      <w:r>
        <w:rPr>
          <w:rFonts w:hint="eastAsia" w:cs="宋体"/>
          <w:color w:val="auto"/>
          <w:sz w:val="24"/>
          <w:szCs w:val="24"/>
          <w:highlight w:val="none"/>
        </w:rPr>
        <w:t>　比较与评价</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26.5.1</w:t>
      </w:r>
      <w:r>
        <w:rPr>
          <w:rFonts w:hint="eastAsia" w:cs="宋体"/>
          <w:color w:val="auto"/>
          <w:sz w:val="24"/>
          <w:szCs w:val="24"/>
          <w:highlight w:val="none"/>
        </w:rPr>
        <w:t>　评标委员会应当按照招标文件中规定的评标方法和标准，对符合性审查合格的投标文件进行商务和技术评估，综合比较与评价。</w:t>
      </w:r>
    </w:p>
    <w:p>
      <w:pPr>
        <w:pStyle w:val="20"/>
        <w:spacing w:line="440" w:lineRule="exact"/>
        <w:ind w:firstLine="482" w:firstLineChars="200"/>
        <w:rPr>
          <w:rFonts w:cs="宋体"/>
          <w:b/>
          <w:bCs/>
          <w:color w:val="auto"/>
          <w:sz w:val="24"/>
          <w:szCs w:val="24"/>
          <w:highlight w:val="none"/>
        </w:rPr>
      </w:pPr>
      <w:r>
        <w:rPr>
          <w:rFonts w:hint="eastAsia" w:cs="宋体"/>
          <w:b/>
          <w:bCs/>
          <w:color w:val="auto"/>
          <w:sz w:val="24"/>
          <w:szCs w:val="24"/>
          <w:highlight w:val="none"/>
        </w:rPr>
        <w:t>★</w:t>
      </w:r>
      <w:r>
        <w:rPr>
          <w:rFonts w:cs="宋体"/>
          <w:b/>
          <w:bCs/>
          <w:color w:val="auto"/>
          <w:sz w:val="24"/>
          <w:szCs w:val="24"/>
          <w:highlight w:val="none"/>
        </w:rPr>
        <w:t>26.5.2</w:t>
      </w:r>
      <w:r>
        <w:rPr>
          <w:rFonts w:hint="eastAsia" w:cs="宋体"/>
          <w:b/>
          <w:bCs/>
          <w:color w:val="auto"/>
          <w:sz w:val="24"/>
          <w:szCs w:val="24"/>
          <w:highlight w:val="none"/>
        </w:rPr>
        <w:t>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26.6</w:t>
      </w:r>
      <w:r>
        <w:rPr>
          <w:rFonts w:hint="eastAsia" w:cs="宋体"/>
          <w:color w:val="auto"/>
          <w:sz w:val="24"/>
          <w:szCs w:val="24"/>
          <w:highlight w:val="none"/>
        </w:rPr>
        <w:t>　推荐中标候选人名单</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26.6.1</w:t>
      </w:r>
      <w:r>
        <w:rPr>
          <w:rFonts w:hint="eastAsia" w:cs="宋体"/>
          <w:color w:val="auto"/>
          <w:sz w:val="24"/>
          <w:szCs w:val="24"/>
          <w:highlight w:val="none"/>
        </w:rPr>
        <w:t>　采用最低评标价法的，评标结果按投标报价由低到高顺序排列。投标报价相同的并列。投标文件满足招标文件全部实质性要求且投标报价最低的投标人为排名第一的中标候选人。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26.6.2</w:t>
      </w:r>
      <w:r>
        <w:rPr>
          <w:rFonts w:hint="eastAsia" w:cs="宋体"/>
          <w:color w:val="auto"/>
          <w:sz w:val="24"/>
          <w:szCs w:val="24"/>
          <w:highlight w:val="none"/>
        </w:rPr>
        <w:t>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27.</w:t>
      </w:r>
      <w:r>
        <w:rPr>
          <w:rFonts w:hint="eastAsia" w:cs="宋体"/>
          <w:color w:val="auto"/>
          <w:sz w:val="24"/>
          <w:szCs w:val="24"/>
          <w:highlight w:val="none"/>
        </w:rPr>
        <w:t>确定中标人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27.1</w:t>
      </w:r>
      <w:r>
        <w:rPr>
          <w:rFonts w:hint="eastAsia" w:cs="宋体"/>
          <w:color w:val="auto"/>
          <w:sz w:val="24"/>
          <w:szCs w:val="24"/>
          <w:highlight w:val="none"/>
        </w:rPr>
        <w:t>　采购代理机构应当在评标结束之日起</w:t>
      </w:r>
      <w:r>
        <w:rPr>
          <w:rFonts w:cs="宋体"/>
          <w:color w:val="auto"/>
          <w:sz w:val="24"/>
          <w:szCs w:val="24"/>
          <w:highlight w:val="none"/>
        </w:rPr>
        <w:t>2</w:t>
      </w:r>
      <w:r>
        <w:rPr>
          <w:rFonts w:hint="eastAsia" w:cs="宋体"/>
          <w:color w:val="auto"/>
          <w:sz w:val="24"/>
          <w:szCs w:val="24"/>
          <w:highlight w:val="none"/>
        </w:rPr>
        <w:t>个工作日内将评标报告送采购人。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27.2</w:t>
      </w:r>
      <w:r>
        <w:rPr>
          <w:rFonts w:hint="eastAsia" w:cs="宋体"/>
          <w:color w:val="auto"/>
          <w:sz w:val="24"/>
          <w:szCs w:val="24"/>
          <w:highlight w:val="none"/>
        </w:rPr>
        <w:t>　采购人应当在收到评标报告之日起</w:t>
      </w:r>
      <w:r>
        <w:rPr>
          <w:rFonts w:cs="宋体"/>
          <w:color w:val="auto"/>
          <w:sz w:val="24"/>
          <w:szCs w:val="24"/>
          <w:highlight w:val="none"/>
        </w:rPr>
        <w:t>5</w:t>
      </w:r>
      <w:r>
        <w:rPr>
          <w:rFonts w:hint="eastAsia" w:cs="宋体"/>
          <w:color w:val="auto"/>
          <w:sz w:val="24"/>
          <w:szCs w:val="24"/>
          <w:highlight w:val="none"/>
        </w:rPr>
        <w:t>个工作日内，在评标报告确定的中标候选人名单中按顺序确定中标人。中标候选人并列的，由采购人或者采购人委托评标委员会按照投标人须知前附表规定的方式确定中标人。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27.3</w:t>
      </w:r>
      <w:r>
        <w:rPr>
          <w:rFonts w:hint="eastAsia" w:cs="宋体"/>
          <w:color w:val="auto"/>
          <w:sz w:val="24"/>
          <w:szCs w:val="24"/>
          <w:highlight w:val="none"/>
        </w:rPr>
        <w:t>　采购人自行组织招标的，应当在评标结束后</w:t>
      </w:r>
      <w:r>
        <w:rPr>
          <w:rFonts w:cs="宋体"/>
          <w:color w:val="auto"/>
          <w:sz w:val="24"/>
          <w:szCs w:val="24"/>
          <w:highlight w:val="none"/>
        </w:rPr>
        <w:t>5</w:t>
      </w:r>
      <w:r>
        <w:rPr>
          <w:rFonts w:hint="eastAsia" w:cs="宋体"/>
          <w:color w:val="auto"/>
          <w:sz w:val="24"/>
          <w:szCs w:val="24"/>
          <w:highlight w:val="none"/>
        </w:rPr>
        <w:t>个工作日内确定中标人。中标候选人并列的，由采购人或者采购人委托评标委员会按照投标人须知前附表规定的方式确定中标人。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28.</w:t>
      </w:r>
      <w:r>
        <w:rPr>
          <w:rFonts w:hint="eastAsia" w:cs="宋体"/>
          <w:color w:val="auto"/>
          <w:sz w:val="24"/>
          <w:szCs w:val="24"/>
          <w:highlight w:val="none"/>
        </w:rPr>
        <w:t>废标</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有下列情形之一时，招标采购单位应予废标，并将废标理由通知所有投标人：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符合专业条件的投标人或者对招标文件作实质性响应的投标人不足三家的；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出现影响采购公正的违法、违规行为的；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投标人的报价均超过了采购预算，采购人不能支付的；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因重大变故，采购任务取消的。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29.</w:t>
      </w:r>
      <w:r>
        <w:rPr>
          <w:rFonts w:hint="eastAsia" w:cs="宋体"/>
          <w:color w:val="auto"/>
          <w:sz w:val="24"/>
          <w:szCs w:val="24"/>
          <w:highlight w:val="none"/>
        </w:rPr>
        <w:t>保密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评标委员会成员以及与评标工作有关的人员不得泄露评标情况以及评标过程中获悉的国家秘密、商业秘密。</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30.</w:t>
      </w:r>
      <w:r>
        <w:rPr>
          <w:rFonts w:hint="eastAsia" w:cs="宋体"/>
          <w:color w:val="auto"/>
          <w:sz w:val="24"/>
          <w:szCs w:val="24"/>
          <w:highlight w:val="none"/>
        </w:rPr>
        <w:t>禁止行为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30.1</w:t>
      </w:r>
      <w:r>
        <w:rPr>
          <w:rFonts w:hint="eastAsia" w:cs="宋体"/>
          <w:color w:val="auto"/>
          <w:sz w:val="24"/>
          <w:szCs w:val="24"/>
          <w:highlight w:val="none"/>
        </w:rPr>
        <w:t>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30.2</w:t>
      </w:r>
      <w:r>
        <w:rPr>
          <w:rFonts w:hint="eastAsia" w:cs="宋体"/>
          <w:color w:val="auto"/>
          <w:sz w:val="24"/>
          <w:szCs w:val="24"/>
          <w:highlight w:val="none"/>
        </w:rPr>
        <w:t>　投标人应当遵循公平竞争的原则，不得恶意串通，不得妨碍其他投标人的竞争行为，不得损害采购人或者其他投标人的合法权益。</w:t>
      </w:r>
    </w:p>
    <w:p>
      <w:pPr>
        <w:pStyle w:val="20"/>
        <w:spacing w:line="440" w:lineRule="exact"/>
        <w:ind w:firstLine="482" w:firstLineChars="200"/>
        <w:rPr>
          <w:rFonts w:cs="宋体"/>
          <w:b/>
          <w:bCs/>
          <w:color w:val="auto"/>
          <w:sz w:val="24"/>
          <w:szCs w:val="24"/>
          <w:highlight w:val="none"/>
        </w:rPr>
      </w:pPr>
      <w:r>
        <w:rPr>
          <w:rFonts w:hint="eastAsia" w:cs="宋体"/>
          <w:b/>
          <w:bCs/>
          <w:color w:val="auto"/>
          <w:sz w:val="24"/>
          <w:szCs w:val="24"/>
          <w:highlight w:val="none"/>
        </w:rPr>
        <w:t>有下列情形之一的，视为投标人串通投标，其投标无效：</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不同投标人的投标文件由同一单位或者个人编制；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不同投标人委托同一单位或者个人办理投标事宜；</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不同投标人的投标文件载明的项目管理成员或者联系人员为同一人；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不同投标人的投标文件异常一致或者投标报价呈规律性差异；</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不同投标人的投标文件相互混装；</w:t>
      </w:r>
    </w:p>
    <w:p>
      <w:pPr>
        <w:pStyle w:val="20"/>
        <w:spacing w:line="440" w:lineRule="exact"/>
        <w:ind w:firstLine="480" w:firstLineChars="200"/>
        <w:rPr>
          <w:rFonts w:cs="宋体"/>
          <w:color w:val="auto"/>
          <w:highlight w:val="none"/>
        </w:rPr>
      </w:pPr>
      <w:r>
        <w:rPr>
          <w:rFonts w:cs="宋体"/>
          <w:color w:val="auto"/>
          <w:sz w:val="24"/>
          <w:szCs w:val="24"/>
          <w:highlight w:val="none"/>
        </w:rPr>
        <w:t>(6)</w:t>
      </w:r>
      <w:r>
        <w:rPr>
          <w:rFonts w:hint="eastAsia" w:cs="宋体"/>
          <w:color w:val="auto"/>
          <w:sz w:val="24"/>
          <w:szCs w:val="24"/>
          <w:highlight w:val="none"/>
        </w:rPr>
        <w:t>不同投标人的投标保证金从同一单位或者个人的账户转出。</w:t>
      </w:r>
    </w:p>
    <w:p>
      <w:pPr>
        <w:pStyle w:val="20"/>
        <w:spacing w:line="440" w:lineRule="exact"/>
        <w:ind w:firstLine="562" w:firstLineChars="200"/>
        <w:jc w:val="center"/>
        <w:rPr>
          <w:rFonts w:cs="宋体"/>
          <w:b/>
          <w:color w:val="auto"/>
          <w:sz w:val="28"/>
          <w:szCs w:val="28"/>
          <w:highlight w:val="none"/>
        </w:rPr>
      </w:pPr>
    </w:p>
    <w:p>
      <w:pPr>
        <w:pStyle w:val="20"/>
        <w:spacing w:line="440" w:lineRule="exact"/>
        <w:ind w:firstLine="562" w:firstLineChars="200"/>
        <w:jc w:val="center"/>
        <w:rPr>
          <w:rFonts w:cs="宋体"/>
          <w:b/>
          <w:color w:val="auto"/>
          <w:sz w:val="28"/>
          <w:szCs w:val="28"/>
          <w:highlight w:val="none"/>
        </w:rPr>
      </w:pPr>
      <w:r>
        <w:rPr>
          <w:rFonts w:hint="eastAsia" w:cs="宋体"/>
          <w:b/>
          <w:color w:val="auto"/>
          <w:sz w:val="28"/>
          <w:szCs w:val="28"/>
          <w:highlight w:val="none"/>
        </w:rPr>
        <w:t>五、中标信息公告与签订合同</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w:t>
      </w:r>
      <w:r>
        <w:rPr>
          <w:rFonts w:hint="eastAsia" w:cs="宋体"/>
          <w:color w:val="auto"/>
          <w:sz w:val="24"/>
          <w:szCs w:val="24"/>
          <w:highlight w:val="none"/>
        </w:rPr>
        <w:t>中标信息公告</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31.1</w:t>
      </w:r>
      <w:r>
        <w:rPr>
          <w:rFonts w:hint="eastAsia" w:cs="宋体"/>
          <w:color w:val="auto"/>
          <w:sz w:val="24"/>
          <w:szCs w:val="24"/>
          <w:highlight w:val="none"/>
        </w:rPr>
        <w:t>　中标人确定之日起</w:t>
      </w:r>
      <w:r>
        <w:rPr>
          <w:rFonts w:cs="宋体"/>
          <w:color w:val="auto"/>
          <w:sz w:val="24"/>
          <w:szCs w:val="24"/>
          <w:highlight w:val="none"/>
        </w:rPr>
        <w:t>2</w:t>
      </w:r>
      <w:r>
        <w:rPr>
          <w:rFonts w:hint="eastAsia" w:cs="宋体"/>
          <w:color w:val="auto"/>
          <w:sz w:val="24"/>
          <w:szCs w:val="24"/>
          <w:highlight w:val="none"/>
        </w:rPr>
        <w:t>个工作日内，采购人或者采购代理机构应将中标结果在投标人须知前附表中规定的公告媒体上公布。</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31.2</w:t>
      </w:r>
      <w:r>
        <w:rPr>
          <w:rFonts w:hint="eastAsia" w:cs="宋体"/>
          <w:color w:val="auto"/>
          <w:sz w:val="24"/>
          <w:szCs w:val="24"/>
          <w:highlight w:val="none"/>
        </w:rPr>
        <w:t>　招标文件随中标结果同时公告。但中标结果公告前招标文件已公告的，不再重复公告。</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32.</w:t>
      </w:r>
      <w:r>
        <w:rPr>
          <w:rFonts w:hint="eastAsia" w:cs="宋体"/>
          <w:color w:val="auto"/>
          <w:sz w:val="24"/>
          <w:szCs w:val="24"/>
          <w:highlight w:val="none"/>
        </w:rPr>
        <w:t>中标通知</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采购人或者采购代理机构应当自发布中标公告的同时，发出中标通知书，中标通知书对采购人和中标人具有同等法律效力。</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中标通知书发出后，中标人无正当理由不得放弃中标。</w:t>
      </w:r>
    </w:p>
    <w:p>
      <w:pPr>
        <w:pStyle w:val="20"/>
        <w:spacing w:line="440" w:lineRule="exact"/>
        <w:ind w:firstLine="480" w:firstLineChars="200"/>
        <w:rPr>
          <w:rFonts w:cs="宋体"/>
          <w:b/>
          <w:color w:val="auto"/>
          <w:sz w:val="24"/>
          <w:szCs w:val="24"/>
          <w:highlight w:val="none"/>
        </w:rPr>
      </w:pPr>
      <w:r>
        <w:rPr>
          <w:rFonts w:cs="宋体"/>
          <w:color w:val="auto"/>
          <w:sz w:val="24"/>
          <w:szCs w:val="24"/>
          <w:highlight w:val="none"/>
        </w:rPr>
        <w:t>33.</w:t>
      </w:r>
      <w:r>
        <w:rPr>
          <w:rFonts w:hint="eastAsia" w:cs="宋体"/>
          <w:color w:val="auto"/>
          <w:sz w:val="24"/>
          <w:szCs w:val="24"/>
          <w:highlight w:val="none"/>
        </w:rPr>
        <w:t>履约保证金（本项目不要求提供履约保证金）</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33.1</w:t>
      </w:r>
      <w:r>
        <w:rPr>
          <w:rFonts w:hint="eastAsia" w:cs="宋体"/>
          <w:color w:val="auto"/>
          <w:sz w:val="24"/>
          <w:szCs w:val="24"/>
          <w:highlight w:val="none"/>
        </w:rPr>
        <w:t>　本项目是否缴纳履约保证金见投标人须知前附表。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33.2</w:t>
      </w:r>
      <w:r>
        <w:rPr>
          <w:rFonts w:hint="eastAsia" w:cs="宋体"/>
          <w:color w:val="auto"/>
          <w:sz w:val="24"/>
          <w:szCs w:val="24"/>
          <w:highlight w:val="none"/>
        </w:rPr>
        <w:t>投标人须知前附表规定交纳履约保证金的，中标人在签订采购合同前，向采购人提交履约保证金。联合体中标的，履约保证金以联合体各方或联合体中牵头人的名义提交。</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w:t>
      </w:r>
      <w:r>
        <w:rPr>
          <w:rFonts w:hint="eastAsia" w:cs="宋体"/>
          <w:color w:val="auto"/>
          <w:sz w:val="24"/>
          <w:szCs w:val="24"/>
          <w:highlight w:val="none"/>
        </w:rPr>
        <w:t>签订合同</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34.1</w:t>
      </w:r>
      <w:r>
        <w:rPr>
          <w:rFonts w:hint="eastAsia" w:cs="宋体"/>
          <w:color w:val="auto"/>
          <w:sz w:val="24"/>
          <w:szCs w:val="24"/>
          <w:highlight w:val="none"/>
        </w:rPr>
        <w:t>　招标文件和中标人的投标文件均为签订政府采购合同的依据。</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34.2</w:t>
      </w:r>
      <w:r>
        <w:rPr>
          <w:rFonts w:hint="eastAsia" w:cs="宋体"/>
          <w:color w:val="auto"/>
          <w:sz w:val="24"/>
          <w:szCs w:val="24"/>
          <w:highlight w:val="none"/>
        </w:rPr>
        <w:t>　中标人应当在中标通知书发出之日起</w:t>
      </w:r>
      <w:r>
        <w:rPr>
          <w:rFonts w:cs="宋体"/>
          <w:color w:val="auto"/>
          <w:sz w:val="24"/>
          <w:szCs w:val="24"/>
          <w:highlight w:val="none"/>
        </w:rPr>
        <w:t>30</w:t>
      </w:r>
      <w:r>
        <w:rPr>
          <w:rFonts w:hint="eastAsia" w:cs="宋体"/>
          <w:color w:val="auto"/>
          <w:sz w:val="24"/>
          <w:szCs w:val="24"/>
          <w:highlight w:val="none"/>
        </w:rPr>
        <w:t>日内，与采购人签订政府采购合同。</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34.3</w:t>
      </w:r>
      <w:r>
        <w:rPr>
          <w:rFonts w:hint="eastAsia" w:cs="宋体"/>
          <w:color w:val="auto"/>
          <w:sz w:val="24"/>
          <w:szCs w:val="24"/>
          <w:highlight w:val="none"/>
        </w:rPr>
        <w:t>　采购人不得向中标人提出超出招标文件以外的任何要求作为签订合同的条件，不得与中标人订立背离招标文件确定的合同文本以及采购标的、规格型号、采购金额、采购数量、技术和服务要求等实质性内容的协议。</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34.4</w:t>
      </w:r>
      <w:r>
        <w:rPr>
          <w:rFonts w:hint="eastAsia" w:cs="宋体"/>
          <w:color w:val="auto"/>
          <w:sz w:val="24"/>
          <w:szCs w:val="24"/>
          <w:highlight w:val="none"/>
        </w:rPr>
        <w:t>　自政府采购合同签订之日起</w:t>
      </w:r>
      <w:r>
        <w:rPr>
          <w:rFonts w:cs="宋体"/>
          <w:color w:val="auto"/>
          <w:sz w:val="24"/>
          <w:szCs w:val="24"/>
          <w:highlight w:val="none"/>
        </w:rPr>
        <w:t>2</w:t>
      </w:r>
      <w:r>
        <w:rPr>
          <w:rFonts w:hint="eastAsia" w:cs="宋体"/>
          <w:color w:val="auto"/>
          <w:sz w:val="24"/>
          <w:szCs w:val="24"/>
          <w:highlight w:val="none"/>
        </w:rPr>
        <w:t>个工作日内，本项目政府采购合同在投标人须知前附表规定的媒体上公告，但政府采购合同中涉及国家秘密、商业秘密的内容除外。</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34.5</w:t>
      </w:r>
      <w:r>
        <w:rPr>
          <w:rFonts w:hint="eastAsia" w:cs="宋体"/>
          <w:color w:val="auto"/>
          <w:sz w:val="24"/>
          <w:szCs w:val="24"/>
          <w:highlight w:val="none"/>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20"/>
        <w:spacing w:line="440" w:lineRule="exact"/>
        <w:ind w:firstLine="562" w:firstLineChars="200"/>
        <w:jc w:val="center"/>
        <w:rPr>
          <w:rFonts w:cs="宋体"/>
          <w:b/>
          <w:color w:val="auto"/>
          <w:sz w:val="28"/>
          <w:szCs w:val="28"/>
          <w:highlight w:val="none"/>
        </w:rPr>
      </w:pPr>
    </w:p>
    <w:p>
      <w:pPr>
        <w:pStyle w:val="20"/>
        <w:spacing w:line="440" w:lineRule="exact"/>
        <w:ind w:firstLine="562" w:firstLineChars="200"/>
        <w:jc w:val="center"/>
        <w:rPr>
          <w:rFonts w:cs="宋体"/>
          <w:b/>
          <w:color w:val="auto"/>
          <w:sz w:val="28"/>
          <w:szCs w:val="28"/>
          <w:highlight w:val="none"/>
        </w:rPr>
      </w:pPr>
      <w:r>
        <w:rPr>
          <w:rFonts w:hint="eastAsia" w:cs="宋体"/>
          <w:b/>
          <w:color w:val="auto"/>
          <w:sz w:val="28"/>
          <w:szCs w:val="28"/>
          <w:highlight w:val="none"/>
        </w:rPr>
        <w:t>六、其他规定</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35.</w:t>
      </w:r>
      <w:r>
        <w:rPr>
          <w:rFonts w:hint="eastAsia" w:cs="宋体"/>
          <w:color w:val="auto"/>
          <w:sz w:val="24"/>
          <w:szCs w:val="24"/>
          <w:highlight w:val="none"/>
        </w:rPr>
        <w:t>招标代理服务费。</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35.1</w:t>
      </w:r>
      <w:r>
        <w:rPr>
          <w:rFonts w:hint="eastAsia" w:cs="宋体"/>
          <w:color w:val="auto"/>
          <w:sz w:val="24"/>
          <w:szCs w:val="24"/>
          <w:highlight w:val="none"/>
        </w:rPr>
        <w:t>　中标人是否交纳投招标代理服务费及相关要求见投标人须知前附表。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36.</w:t>
      </w:r>
      <w:r>
        <w:rPr>
          <w:rFonts w:hint="eastAsia" w:cs="宋体"/>
          <w:color w:val="auto"/>
          <w:sz w:val="24"/>
          <w:szCs w:val="24"/>
          <w:highlight w:val="none"/>
        </w:rPr>
        <w:t>询问、质疑、投诉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36.1</w:t>
      </w:r>
      <w:r>
        <w:rPr>
          <w:rFonts w:hint="eastAsia" w:cs="宋体"/>
          <w:color w:val="auto"/>
          <w:sz w:val="24"/>
          <w:szCs w:val="24"/>
          <w:highlight w:val="none"/>
        </w:rPr>
        <w:t>　投标人对政府采购活动事项有疑问的，可以向采购人或采购代理机构提出询问。</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36.2</w:t>
      </w:r>
      <w:r>
        <w:rPr>
          <w:rFonts w:hint="eastAsia" w:cs="宋体"/>
          <w:color w:val="auto"/>
          <w:sz w:val="24"/>
          <w:szCs w:val="24"/>
          <w:highlight w:val="none"/>
        </w:rPr>
        <w:t>　投标人认为招标文件、招标过程和中标结果使自己的权益受到损害的，可以在知道或者应知其权益受到损害之日起</w:t>
      </w:r>
      <w:r>
        <w:rPr>
          <w:rFonts w:cs="宋体"/>
          <w:color w:val="auto"/>
          <w:sz w:val="24"/>
          <w:szCs w:val="24"/>
          <w:highlight w:val="none"/>
        </w:rPr>
        <w:t>7</w:t>
      </w:r>
      <w:r>
        <w:rPr>
          <w:rFonts w:hint="eastAsia" w:cs="宋体"/>
          <w:color w:val="auto"/>
          <w:sz w:val="24"/>
          <w:szCs w:val="24"/>
          <w:highlight w:val="none"/>
        </w:rPr>
        <w:t>个工作日内，以书面形式向采购人或采购代理机构提出质疑。</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36.3</w:t>
      </w:r>
      <w:r>
        <w:rPr>
          <w:rFonts w:hint="eastAsia" w:cs="宋体"/>
          <w:color w:val="auto"/>
          <w:sz w:val="24"/>
          <w:szCs w:val="24"/>
          <w:highlight w:val="none"/>
        </w:rPr>
        <w:t>　投标人提出质疑的，应提供质疑书原件。</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36.4  </w:t>
      </w:r>
      <w:r>
        <w:rPr>
          <w:rFonts w:hint="eastAsia" w:cs="宋体"/>
          <w:color w:val="auto"/>
          <w:sz w:val="24"/>
          <w:szCs w:val="24"/>
          <w:highlight w:val="none"/>
        </w:rPr>
        <w:t>质疑书应包括下列主要内容：</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①质疑人的基本信息，至少包括：全称、地址、邮政编码等；</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②所质疑项目的基本信息，至少包括：项目编号、项目名称等；</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③所质疑的具体事项（以下简称：</w:t>
      </w:r>
      <w:r>
        <w:rPr>
          <w:rFonts w:cs="宋体"/>
          <w:color w:val="auto"/>
          <w:sz w:val="24"/>
          <w:szCs w:val="24"/>
          <w:highlight w:val="none"/>
        </w:rPr>
        <w:t>“</w:t>
      </w:r>
      <w:r>
        <w:rPr>
          <w:rFonts w:hint="eastAsia" w:cs="宋体"/>
          <w:color w:val="auto"/>
          <w:sz w:val="24"/>
          <w:szCs w:val="24"/>
          <w:highlight w:val="none"/>
        </w:rPr>
        <w:t>质疑事项</w:t>
      </w:r>
      <w:r>
        <w:rPr>
          <w:rFonts w:cs="宋体"/>
          <w:color w:val="auto"/>
          <w:sz w:val="24"/>
          <w:szCs w:val="24"/>
          <w:highlight w:val="none"/>
        </w:rPr>
        <w:t>”</w:t>
      </w:r>
      <w:r>
        <w:rPr>
          <w:rFonts w:hint="eastAsia" w:cs="宋体"/>
          <w:color w:val="auto"/>
          <w:sz w:val="24"/>
          <w:szCs w:val="24"/>
          <w:highlight w:val="none"/>
        </w:rPr>
        <w:t>）；</w:t>
      </w:r>
    </w:p>
    <w:p>
      <w:pPr>
        <w:pStyle w:val="20"/>
        <w:spacing w:line="440" w:lineRule="exact"/>
        <w:ind w:firstLine="480" w:firstLineChars="200"/>
        <w:rPr>
          <w:rFonts w:cs="宋体"/>
          <w:color w:val="auto"/>
          <w:sz w:val="24"/>
          <w:szCs w:val="24"/>
          <w:highlight w:val="none"/>
        </w:rPr>
      </w:pPr>
      <w:r>
        <w:rPr>
          <w:rFonts w:hint="eastAsia" w:cs="宋体"/>
          <w:color w:val="auto"/>
          <w:sz w:val="24"/>
          <w:szCs w:val="24"/>
          <w:highlight w:val="none"/>
        </w:rPr>
        <w:t>④针对质疑事项导致质疑人自身权益受到损害的必要证明材料。</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36.5  </w:t>
      </w:r>
      <w:r>
        <w:rPr>
          <w:rFonts w:hint="eastAsia" w:cs="宋体"/>
          <w:color w:val="auto"/>
          <w:sz w:val="24"/>
          <w:szCs w:val="24"/>
          <w:highlight w:val="none"/>
        </w:rPr>
        <w:t>质疑书应当由投标人法定代表人（负责人）或其授权的投标代表签字并加盖投标人单位章，质疑书由授权的投标代表签字的应附投标人法定代表人（负责人）委托授权书。</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 xml:space="preserve">36.6  </w:t>
      </w:r>
      <w:r>
        <w:rPr>
          <w:rFonts w:hint="eastAsia" w:cs="宋体"/>
          <w:color w:val="auto"/>
          <w:sz w:val="24"/>
          <w:szCs w:val="24"/>
          <w:highlight w:val="none"/>
        </w:rPr>
        <w:t>针对同一采购程序环节的质疑应在政府采购法及实施条例的时限内一次性提出，二（多）次质疑不予受理。</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36.7</w:t>
      </w:r>
      <w:r>
        <w:rPr>
          <w:rFonts w:hint="eastAsia" w:cs="宋体"/>
          <w:color w:val="auto"/>
          <w:sz w:val="24"/>
          <w:szCs w:val="24"/>
          <w:highlight w:val="none"/>
        </w:rPr>
        <w:t>　投标人对采购人或采购代理机构的答复不满意，或采购人或采购代理机构未在规定的期限作出答复的，可在答复期满后</w:t>
      </w:r>
      <w:r>
        <w:rPr>
          <w:rFonts w:cs="宋体"/>
          <w:color w:val="auto"/>
          <w:sz w:val="24"/>
          <w:szCs w:val="24"/>
          <w:highlight w:val="none"/>
        </w:rPr>
        <w:t>15</w:t>
      </w:r>
      <w:r>
        <w:rPr>
          <w:rFonts w:hint="eastAsia" w:cs="宋体"/>
          <w:color w:val="auto"/>
          <w:sz w:val="24"/>
          <w:szCs w:val="24"/>
          <w:highlight w:val="none"/>
        </w:rPr>
        <w:t>个工作日内，按政府采购法律法规规定及程序，向财政部提出投诉。</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37.</w:t>
      </w:r>
      <w:r>
        <w:rPr>
          <w:rFonts w:hint="eastAsia" w:cs="宋体"/>
          <w:color w:val="auto"/>
          <w:sz w:val="24"/>
          <w:szCs w:val="24"/>
          <w:highlight w:val="none"/>
        </w:rPr>
        <w:t>发生下列情况之一，投标人将被列入不良记录名单，在</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年内禁止参加政府采购活动，并予以公告：</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开标后在投标有效期内，投标人撤回其投标；</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中标后无正当理由不与采购人签订政府采购合同；</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中标后未按照招标文件和中标人的投标文件订立政府采购合同，或者与采购人另行订立背离合同实质性内容的协议的；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将中标项目转让给他人；</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拒绝履行合同义务的；</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《政府采购法》第七十七条和《政府采购法实施条例》第七十二条规定的其他情形；</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(7)</w:t>
      </w:r>
      <w:r>
        <w:rPr>
          <w:rFonts w:hint="eastAsia" w:cs="宋体"/>
          <w:color w:val="auto"/>
          <w:sz w:val="24"/>
          <w:szCs w:val="24"/>
          <w:highlight w:val="none"/>
        </w:rPr>
        <w:t>其他违反法律法规相关规定的情形。</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38.</w:t>
      </w:r>
      <w:r>
        <w:rPr>
          <w:rFonts w:hint="eastAsia" w:cs="宋体"/>
          <w:color w:val="auto"/>
          <w:sz w:val="24"/>
          <w:szCs w:val="24"/>
          <w:highlight w:val="none"/>
        </w:rPr>
        <w:t>其他规定。</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38.1</w:t>
      </w:r>
      <w:r>
        <w:rPr>
          <w:rFonts w:hint="eastAsia" w:cs="宋体"/>
          <w:color w:val="auto"/>
          <w:sz w:val="24"/>
          <w:szCs w:val="24"/>
          <w:highlight w:val="none"/>
        </w:rPr>
        <w:t>　投标文件的其他规定见投标人须知前附表。</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39.</w:t>
      </w:r>
      <w:r>
        <w:rPr>
          <w:rFonts w:hint="eastAsia" w:cs="宋体"/>
          <w:color w:val="auto"/>
          <w:sz w:val="24"/>
          <w:szCs w:val="24"/>
          <w:highlight w:val="none"/>
        </w:rPr>
        <w:t>未尽事宜</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39.1</w:t>
      </w:r>
      <w:r>
        <w:rPr>
          <w:rFonts w:hint="eastAsia" w:cs="宋体"/>
          <w:color w:val="auto"/>
          <w:sz w:val="24"/>
          <w:szCs w:val="24"/>
          <w:highlight w:val="none"/>
        </w:rPr>
        <w:t>　其他未尽事宜按政府采购法律法规的规定执行。</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40.</w:t>
      </w:r>
      <w:r>
        <w:rPr>
          <w:rFonts w:hint="eastAsia" w:cs="宋体"/>
          <w:color w:val="auto"/>
          <w:sz w:val="24"/>
          <w:szCs w:val="24"/>
          <w:highlight w:val="none"/>
        </w:rPr>
        <w:t>文件解释权</w:t>
      </w:r>
    </w:p>
    <w:p>
      <w:pPr>
        <w:pStyle w:val="20"/>
        <w:spacing w:line="440" w:lineRule="exact"/>
        <w:ind w:firstLine="480" w:firstLineChars="200"/>
        <w:rPr>
          <w:rFonts w:cs="宋体"/>
          <w:color w:val="auto"/>
          <w:sz w:val="24"/>
          <w:szCs w:val="24"/>
          <w:highlight w:val="none"/>
        </w:rPr>
      </w:pPr>
      <w:r>
        <w:rPr>
          <w:rFonts w:cs="宋体"/>
          <w:color w:val="auto"/>
          <w:sz w:val="24"/>
          <w:szCs w:val="24"/>
          <w:highlight w:val="none"/>
        </w:rPr>
        <w:t>40.1</w:t>
      </w:r>
      <w:r>
        <w:rPr>
          <w:rFonts w:hint="eastAsia" w:cs="宋体"/>
          <w:color w:val="auto"/>
          <w:sz w:val="24"/>
          <w:szCs w:val="24"/>
          <w:highlight w:val="none"/>
        </w:rPr>
        <w:t>　本招标文件的解释权归福建省智信招标有限公司所有。</w:t>
      </w:r>
    </w:p>
    <w:p>
      <w:pPr>
        <w:pStyle w:val="20"/>
        <w:ind w:firstLine="420" w:firstLineChars="200"/>
        <w:rPr>
          <w:rFonts w:cs="宋体"/>
          <w:color w:val="auto"/>
          <w:highlight w:val="none"/>
        </w:rPr>
      </w:pPr>
      <w:r>
        <w:rPr>
          <w:rFonts w:cs="宋体"/>
          <w:color w:val="auto"/>
          <w:highlight w:val="none"/>
        </w:rPr>
        <w:br w:type="page"/>
      </w:r>
    </w:p>
    <w:p>
      <w:pPr>
        <w:pStyle w:val="9"/>
        <w:jc w:val="center"/>
        <w:rPr>
          <w:rFonts w:ascii="宋体" w:cs="宋体"/>
          <w:color w:val="auto"/>
          <w:highlight w:val="none"/>
        </w:rPr>
      </w:pPr>
      <w:r>
        <w:rPr>
          <w:rFonts w:hint="eastAsia" w:ascii="宋体" w:cs="宋体"/>
          <w:color w:val="auto"/>
          <w:sz w:val="28"/>
          <w:szCs w:val="28"/>
          <w:highlight w:val="none"/>
        </w:rPr>
        <w:t>第三章　评标办法及标准</w:t>
      </w:r>
    </w:p>
    <w:p>
      <w:pPr>
        <w:pStyle w:val="20"/>
        <w:spacing w:line="460" w:lineRule="exact"/>
        <w:ind w:firstLine="482" w:firstLineChars="200"/>
        <w:rPr>
          <w:rFonts w:cs="宋体"/>
          <w:b/>
          <w:color w:val="auto"/>
          <w:sz w:val="24"/>
          <w:szCs w:val="24"/>
          <w:highlight w:val="none"/>
        </w:rPr>
      </w:pPr>
      <w:r>
        <w:rPr>
          <w:rFonts w:hint="eastAsia" w:cs="宋体"/>
          <w:b/>
          <w:color w:val="auto"/>
          <w:sz w:val="24"/>
          <w:szCs w:val="24"/>
          <w:highlight w:val="none"/>
        </w:rPr>
        <w:t>一、本项目采用综合评分法。</w:t>
      </w:r>
    </w:p>
    <w:p>
      <w:pPr>
        <w:pStyle w:val="20"/>
        <w:numPr>
          <w:ilvl w:val="0"/>
          <w:numId w:val="1"/>
        </w:numPr>
        <w:spacing w:line="460" w:lineRule="exact"/>
        <w:ind w:firstLine="480" w:firstLineChars="200"/>
        <w:rPr>
          <w:rFonts w:cs="宋体"/>
          <w:color w:val="auto"/>
          <w:sz w:val="24"/>
          <w:szCs w:val="24"/>
          <w:highlight w:val="none"/>
        </w:rPr>
      </w:pPr>
      <w:r>
        <w:rPr>
          <w:rFonts w:hint="eastAsia" w:cs="宋体"/>
          <w:color w:val="auto"/>
          <w:sz w:val="24"/>
          <w:szCs w:val="24"/>
          <w:highlight w:val="none"/>
        </w:rPr>
        <w:t>评审因素见下表：</w:t>
      </w:r>
    </w:p>
    <w:p>
      <w:pPr>
        <w:pStyle w:val="20"/>
        <w:spacing w:line="460" w:lineRule="exact"/>
        <w:ind w:left="480"/>
        <w:rPr>
          <w:rFonts w:cs="宋体"/>
          <w:color w:val="auto"/>
          <w:sz w:val="24"/>
          <w:szCs w:val="24"/>
          <w:highlight w:val="none"/>
        </w:rPr>
      </w:pPr>
      <w:r>
        <w:rPr>
          <w:rFonts w:hint="eastAsia" w:cs="宋体"/>
          <w:color w:val="auto"/>
          <w:sz w:val="24"/>
          <w:szCs w:val="24"/>
          <w:highlight w:val="none"/>
        </w:rPr>
        <w:t>本项目合同包</w:t>
      </w:r>
      <w:r>
        <w:rPr>
          <w:rFonts w:cs="宋体"/>
          <w:color w:val="auto"/>
          <w:sz w:val="24"/>
          <w:szCs w:val="24"/>
          <w:highlight w:val="none"/>
        </w:rPr>
        <w:t>1</w:t>
      </w:r>
      <w:r>
        <w:rPr>
          <w:rFonts w:hint="eastAsia" w:cs="宋体"/>
          <w:color w:val="auto"/>
          <w:sz w:val="24"/>
          <w:szCs w:val="24"/>
          <w:highlight w:val="none"/>
        </w:rPr>
        <w:t>评标采用综合评分法评标</w:t>
      </w:r>
      <w:r>
        <w:rPr>
          <w:rFonts w:cs="宋体"/>
          <w:color w:val="auto"/>
          <w:sz w:val="24"/>
          <w:szCs w:val="24"/>
          <w:highlight w:val="none"/>
        </w:rPr>
        <w:t>,</w:t>
      </w:r>
      <w:r>
        <w:rPr>
          <w:rFonts w:hint="eastAsia" w:cs="宋体"/>
          <w:color w:val="auto"/>
          <w:sz w:val="24"/>
          <w:szCs w:val="24"/>
          <w:highlight w:val="none"/>
        </w:rPr>
        <w:t>推荐一名中标候选人。</w:t>
      </w:r>
    </w:p>
    <w:p>
      <w:pPr>
        <w:pStyle w:val="156"/>
        <w:spacing w:line="460" w:lineRule="exact"/>
        <w:ind w:left="420" w:firstLine="0" w:firstLineChars="0"/>
        <w:rPr>
          <w:rFonts w:ascii="宋体" w:cs="宋体"/>
          <w:b/>
          <w:bCs/>
          <w:color w:val="auto"/>
          <w:highlight w:val="none"/>
        </w:rPr>
      </w:pPr>
      <w:r>
        <w:rPr>
          <w:rFonts w:hint="eastAsia" w:ascii="宋体" w:hAnsi="宋体" w:cs="宋体"/>
          <w:b/>
          <w:bCs/>
          <w:color w:val="auto"/>
          <w:highlight w:val="none"/>
        </w:rPr>
        <w:t>各部份评分分值分布如下：</w:t>
      </w:r>
    </w:p>
    <w:p>
      <w:pPr>
        <w:spacing w:line="460" w:lineRule="exact"/>
        <w:ind w:firstLine="420" w:firstLineChars="175"/>
        <w:rPr>
          <w:rFonts w:ascii="宋体" w:cs="宋体"/>
          <w:color w:val="auto"/>
          <w:sz w:val="24"/>
          <w:highlight w:val="none"/>
        </w:rPr>
      </w:pPr>
      <w:r>
        <w:rPr>
          <w:rFonts w:ascii="宋体" w:hAnsi="宋体" w:cs="宋体"/>
          <w:color w:val="auto"/>
          <w:sz w:val="24"/>
          <w:highlight w:val="none"/>
        </w:rPr>
        <w:t>A</w:t>
      </w:r>
      <w:r>
        <w:rPr>
          <w:rFonts w:hint="eastAsia" w:ascii="宋体" w:hAnsi="宋体" w:cs="宋体"/>
          <w:color w:val="auto"/>
          <w:sz w:val="24"/>
          <w:highlight w:val="none"/>
        </w:rPr>
        <w:t>：报价部分评分满分15分</w:t>
      </w:r>
    </w:p>
    <w:p>
      <w:pPr>
        <w:spacing w:line="460" w:lineRule="exact"/>
        <w:ind w:firstLine="420" w:firstLineChars="175"/>
        <w:rPr>
          <w:rFonts w:ascii="宋体" w:cs="宋体"/>
          <w:color w:val="auto"/>
          <w:sz w:val="24"/>
          <w:highlight w:val="none"/>
        </w:rPr>
      </w:pPr>
      <w:r>
        <w:rPr>
          <w:rFonts w:ascii="宋体" w:hAnsi="宋体" w:cs="宋体"/>
          <w:color w:val="auto"/>
          <w:sz w:val="24"/>
          <w:highlight w:val="none"/>
        </w:rPr>
        <w:t>B</w:t>
      </w:r>
      <w:r>
        <w:rPr>
          <w:rFonts w:hint="eastAsia" w:ascii="宋体" w:hAnsi="宋体" w:cs="宋体"/>
          <w:color w:val="auto"/>
          <w:sz w:val="24"/>
          <w:highlight w:val="none"/>
        </w:rPr>
        <w:t>：商务部分评分满分22分</w:t>
      </w:r>
    </w:p>
    <w:p>
      <w:pPr>
        <w:spacing w:line="460" w:lineRule="exact"/>
        <w:ind w:firstLine="420" w:firstLineChars="175"/>
        <w:rPr>
          <w:rFonts w:ascii="宋体" w:cs="宋体"/>
          <w:color w:val="auto"/>
          <w:sz w:val="24"/>
          <w:highlight w:val="none"/>
        </w:rPr>
      </w:pPr>
      <w:r>
        <w:rPr>
          <w:rFonts w:ascii="宋体" w:hAnsi="宋体" w:cs="宋体"/>
          <w:color w:val="auto"/>
          <w:sz w:val="24"/>
          <w:highlight w:val="none"/>
        </w:rPr>
        <w:t>C</w:t>
      </w:r>
      <w:r>
        <w:rPr>
          <w:rFonts w:hint="eastAsia" w:ascii="宋体" w:hAnsi="宋体" w:cs="宋体"/>
          <w:color w:val="auto"/>
          <w:sz w:val="24"/>
          <w:highlight w:val="none"/>
        </w:rPr>
        <w:t>：技术部分评分满分63分</w:t>
      </w:r>
    </w:p>
    <w:p>
      <w:pPr>
        <w:pStyle w:val="156"/>
        <w:spacing w:line="460" w:lineRule="exact"/>
        <w:ind w:firstLine="480"/>
        <w:rPr>
          <w:rFonts w:ascii="宋体" w:cs="宋体"/>
          <w:color w:val="auto"/>
          <w:highlight w:val="none"/>
        </w:rPr>
      </w:pPr>
      <w:r>
        <w:rPr>
          <w:rFonts w:hint="eastAsia" w:ascii="宋体" w:hAnsi="宋体" w:cs="宋体"/>
          <w:color w:val="auto"/>
          <w:highlight w:val="none"/>
        </w:rPr>
        <w:t>各评委评分</w:t>
      </w:r>
      <w:r>
        <w:rPr>
          <w:rFonts w:ascii="宋体" w:hAnsi="宋体" w:cs="宋体"/>
          <w:color w:val="auto"/>
          <w:highlight w:val="none"/>
        </w:rPr>
        <w:t>B</w:t>
      </w:r>
      <w:r>
        <w:rPr>
          <w:rFonts w:hint="eastAsia" w:ascii="宋体" w:hAnsi="宋体" w:cs="宋体"/>
          <w:color w:val="auto"/>
          <w:highlight w:val="none"/>
        </w:rPr>
        <w:t>、</w:t>
      </w:r>
      <w:r>
        <w:rPr>
          <w:rFonts w:ascii="宋体" w:hAnsi="宋体" w:cs="宋体"/>
          <w:color w:val="auto"/>
          <w:highlight w:val="none"/>
        </w:rPr>
        <w:t>C</w:t>
      </w:r>
      <w:r>
        <w:rPr>
          <w:rFonts w:hint="eastAsia" w:ascii="宋体" w:hAnsi="宋体" w:cs="宋体"/>
          <w:color w:val="auto"/>
          <w:highlight w:val="none"/>
        </w:rPr>
        <w:t>部分分别取算术平均值为最终得分，并取小数点后的</w:t>
      </w:r>
      <w:r>
        <w:rPr>
          <w:rFonts w:ascii="宋体" w:hAnsi="宋体" w:cs="宋体"/>
          <w:color w:val="auto"/>
          <w:highlight w:val="none"/>
        </w:rPr>
        <w:t>2</w:t>
      </w:r>
      <w:r>
        <w:rPr>
          <w:rFonts w:hint="eastAsia" w:ascii="宋体" w:hAnsi="宋体" w:cs="宋体"/>
          <w:color w:val="auto"/>
          <w:highlight w:val="none"/>
        </w:rPr>
        <w:t>位数。</w:t>
      </w:r>
    </w:p>
    <w:p>
      <w:pPr>
        <w:pStyle w:val="156"/>
        <w:spacing w:line="400" w:lineRule="exact"/>
        <w:ind w:left="420" w:firstLine="0" w:firstLineChars="0"/>
        <w:rPr>
          <w:rFonts w:ascii="宋体" w:cs="宋体"/>
          <w:color w:val="auto"/>
          <w:highlight w:val="none"/>
        </w:rPr>
      </w:pPr>
      <w:r>
        <w:rPr>
          <w:rFonts w:hint="eastAsia" w:ascii="宋体" w:hAnsi="宋体" w:cs="宋体"/>
          <w:color w:val="auto"/>
          <w:highlight w:val="none"/>
        </w:rPr>
        <w:t>综合评分：</w:t>
      </w:r>
      <w:r>
        <w:rPr>
          <w:rFonts w:ascii="宋体" w:hAnsi="宋体" w:cs="宋体"/>
          <w:color w:val="auto"/>
          <w:highlight w:val="none"/>
        </w:rPr>
        <w:t>A</w:t>
      </w:r>
      <w:r>
        <w:rPr>
          <w:rFonts w:hint="eastAsia" w:ascii="宋体" w:hAnsi="宋体" w:cs="宋体"/>
          <w:color w:val="auto"/>
          <w:highlight w:val="none"/>
        </w:rPr>
        <w:t>＋</w:t>
      </w:r>
      <w:r>
        <w:rPr>
          <w:rFonts w:ascii="宋体" w:hAnsi="宋体" w:cs="宋体"/>
          <w:color w:val="auto"/>
          <w:highlight w:val="none"/>
        </w:rPr>
        <w:t>B</w:t>
      </w:r>
      <w:r>
        <w:rPr>
          <w:rFonts w:hint="eastAsia" w:ascii="宋体" w:hAnsi="宋体" w:cs="宋体"/>
          <w:color w:val="auto"/>
          <w:highlight w:val="none"/>
        </w:rPr>
        <w:t>＋</w:t>
      </w:r>
      <w:r>
        <w:rPr>
          <w:rFonts w:ascii="宋体" w:hAnsi="宋体" w:cs="宋体"/>
          <w:color w:val="auto"/>
          <w:highlight w:val="none"/>
        </w:rPr>
        <w:t>C</w:t>
      </w:r>
    </w:p>
    <w:tbl>
      <w:tblPr>
        <w:tblStyle w:val="35"/>
        <w:tblW w:w="8958" w:type="dxa"/>
        <w:jc w:val="center"/>
        <w:tblLayout w:type="fixed"/>
        <w:tblCellMar>
          <w:top w:w="0" w:type="dxa"/>
          <w:left w:w="108" w:type="dxa"/>
          <w:bottom w:w="0" w:type="dxa"/>
          <w:right w:w="108" w:type="dxa"/>
        </w:tblCellMar>
      </w:tblPr>
      <w:tblGrid>
        <w:gridCol w:w="548"/>
        <w:gridCol w:w="1335"/>
        <w:gridCol w:w="850"/>
        <w:gridCol w:w="6225"/>
      </w:tblGrid>
      <w:tr>
        <w:tblPrEx>
          <w:tblCellMar>
            <w:top w:w="0" w:type="dxa"/>
            <w:left w:w="108" w:type="dxa"/>
            <w:bottom w:w="0" w:type="dxa"/>
            <w:right w:w="108" w:type="dxa"/>
          </w:tblCellMar>
        </w:tblPrEx>
        <w:trPr>
          <w:trHeight w:val="20" w:hRule="atLeast"/>
          <w:jc w:val="center"/>
        </w:trPr>
        <w:tc>
          <w:tcPr>
            <w:tcW w:w="54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序号</w:t>
            </w: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评标</w:t>
            </w:r>
          </w:p>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项目</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评标权重</w:t>
            </w:r>
          </w:p>
        </w:tc>
        <w:tc>
          <w:tcPr>
            <w:tcW w:w="622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评价方法</w:t>
            </w:r>
          </w:p>
        </w:tc>
      </w:tr>
      <w:tr>
        <w:tblPrEx>
          <w:tblCellMar>
            <w:top w:w="0" w:type="dxa"/>
            <w:left w:w="108" w:type="dxa"/>
            <w:bottom w:w="0" w:type="dxa"/>
            <w:right w:w="108" w:type="dxa"/>
          </w:tblCellMar>
        </w:tblPrEx>
        <w:trPr>
          <w:trHeight w:val="20" w:hRule="atLeast"/>
          <w:jc w:val="center"/>
        </w:trPr>
        <w:tc>
          <w:tcPr>
            <w:tcW w:w="548" w:type="dxa"/>
            <w:tcBorders>
              <w:top w:val="single" w:color="000000" w:sz="4" w:space="0"/>
              <w:left w:val="single" w:color="000000" w:sz="4" w:space="0"/>
              <w:bottom w:val="single" w:color="auto"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A</w:t>
            </w:r>
          </w:p>
        </w:tc>
        <w:tc>
          <w:tcPr>
            <w:tcW w:w="1335" w:type="dxa"/>
            <w:tcBorders>
              <w:top w:val="single" w:color="000000" w:sz="4" w:space="0"/>
              <w:left w:val="single" w:color="000000" w:sz="4" w:space="0"/>
              <w:bottom w:val="single" w:color="auto"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sz w:val="24"/>
                <w:highlight w:val="none"/>
              </w:rPr>
              <w:t>报价部分（15分）</w:t>
            </w:r>
            <w:r>
              <w:rPr>
                <w:rFonts w:hint="eastAsia" w:ascii="宋体" w:hAnsi="宋体" w:cs="宋体"/>
                <w:color w:val="auto"/>
                <w:kern w:val="1"/>
                <w:sz w:val="24"/>
                <w:highlight w:val="none"/>
              </w:rPr>
              <w:t xml:space="preserve"> </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0"/>
                <w:sz w:val="24"/>
                <w:highlight w:val="none"/>
              </w:rPr>
              <w:t>15分</w:t>
            </w:r>
          </w:p>
        </w:tc>
        <w:tc>
          <w:tcPr>
            <w:tcW w:w="6225" w:type="dxa"/>
            <w:tcBorders>
              <w:top w:val="single" w:color="000000" w:sz="4" w:space="0"/>
              <w:left w:val="single" w:color="000000" w:sz="4" w:space="0"/>
              <w:bottom w:val="single" w:color="000000" w:sz="4" w:space="0"/>
              <w:right w:val="single" w:color="000000" w:sz="4" w:space="0"/>
            </w:tcBorders>
          </w:tcPr>
          <w:p>
            <w:pPr>
              <w:tabs>
                <w:tab w:val="center" w:pos="4513"/>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投标人的投标总价经修正后，计算出报价评标价，评委将按下列方法计算合格投标人的报价部分得分。因落实政府采购政策进行价格调整的，以调整后的价格计算评标基准价和投标报价。</w:t>
            </w:r>
          </w:p>
          <w:p>
            <w:pPr>
              <w:tabs>
                <w:tab w:val="center" w:pos="4513"/>
              </w:tabs>
              <w:spacing w:line="440" w:lineRule="exact"/>
              <w:ind w:firstLine="480" w:firstLineChars="200"/>
              <w:rPr>
                <w:rFonts w:ascii="宋体" w:hAnsi="宋体" w:cs="宋体"/>
                <w:color w:val="auto"/>
                <w:sz w:val="24"/>
                <w:highlight w:val="none"/>
              </w:rPr>
            </w:pPr>
            <w:r>
              <w:rPr>
                <w:rFonts w:hint="eastAsia" w:ascii="宋体" w:hAnsi="宋体" w:cs="宋体"/>
                <w:color w:val="auto"/>
                <w:kern w:val="1"/>
                <w:sz w:val="24"/>
                <w:highlight w:val="none"/>
              </w:rPr>
              <w:t>A</w:t>
            </w:r>
            <w:r>
              <w:rPr>
                <w:rFonts w:hint="eastAsia" w:ascii="宋体" w:hAnsi="宋体" w:cs="宋体"/>
                <w:color w:val="auto"/>
                <w:sz w:val="24"/>
                <w:highlight w:val="none"/>
              </w:rPr>
              <w:t>=(Fn/F)×15分</w:t>
            </w:r>
          </w:p>
          <w:p>
            <w:pPr>
              <w:tabs>
                <w:tab w:val="center" w:pos="4513"/>
              </w:tabs>
              <w:spacing w:line="440" w:lineRule="exact"/>
              <w:ind w:firstLine="480" w:firstLineChars="200"/>
              <w:rPr>
                <w:rFonts w:ascii="宋体" w:hAnsi="宋体" w:cs="宋体"/>
                <w:color w:val="auto"/>
                <w:sz w:val="24"/>
                <w:highlight w:val="none"/>
              </w:rPr>
            </w:pPr>
            <w:r>
              <w:rPr>
                <w:rFonts w:hint="eastAsia" w:ascii="宋体" w:hAnsi="宋体" w:cs="宋体"/>
                <w:color w:val="auto"/>
                <w:kern w:val="1"/>
                <w:sz w:val="24"/>
                <w:highlight w:val="none"/>
              </w:rPr>
              <w:t>A</w:t>
            </w:r>
            <w:r>
              <w:rPr>
                <w:rFonts w:hint="eastAsia" w:ascii="宋体" w:hAnsi="宋体" w:cs="宋体"/>
                <w:color w:val="auto"/>
                <w:sz w:val="24"/>
                <w:highlight w:val="none"/>
              </w:rPr>
              <w:t>：投标人的投标总价得分</w:t>
            </w:r>
          </w:p>
          <w:p>
            <w:pPr>
              <w:tabs>
                <w:tab w:val="center" w:pos="4513"/>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F：各合格投标人报价（即经修正后的投标总价）</w:t>
            </w:r>
          </w:p>
          <w:p>
            <w:pPr>
              <w:tabs>
                <w:tab w:val="center" w:pos="4513"/>
              </w:tabs>
              <w:spacing w:line="440" w:lineRule="exact"/>
              <w:ind w:firstLine="470" w:firstLineChars="196"/>
              <w:rPr>
                <w:rFonts w:ascii="宋体" w:hAnsi="宋体" w:cs="宋体"/>
                <w:color w:val="auto"/>
                <w:sz w:val="24"/>
                <w:highlight w:val="none"/>
              </w:rPr>
            </w:pPr>
            <w:r>
              <w:rPr>
                <w:rFonts w:hint="eastAsia" w:ascii="宋体" w:hAnsi="宋体" w:cs="宋体"/>
                <w:color w:val="auto"/>
                <w:sz w:val="24"/>
                <w:highlight w:val="none"/>
              </w:rPr>
              <w:t>Fn：评标基准价即满足招标技术要求合格投标人中的最低报价。</w:t>
            </w:r>
          </w:p>
          <w:p>
            <w:pPr>
              <w:tabs>
                <w:tab w:val="center" w:pos="4513"/>
              </w:tabs>
              <w:spacing w:line="440" w:lineRule="exact"/>
              <w:ind w:firstLine="472" w:firstLineChars="196"/>
              <w:rPr>
                <w:rFonts w:ascii="宋体" w:hAnsi="宋体" w:cs="宋体"/>
                <w:color w:val="auto"/>
                <w:spacing w:val="-2"/>
                <w:kern w:val="1"/>
                <w:sz w:val="24"/>
                <w:highlight w:val="none"/>
              </w:rPr>
            </w:pPr>
            <w:r>
              <w:rPr>
                <w:rFonts w:hint="eastAsia" w:ascii="宋体" w:hAnsi="宋体" w:cs="宋体"/>
                <w:b/>
                <w:bCs/>
                <w:color w:val="auto"/>
                <w:sz w:val="24"/>
                <w:highlight w:val="none"/>
              </w:rPr>
              <w:t>注：采购人不接受投标人的恶意低价竞争。评标委员会认为投标人的报价明显低于其他通过符合性审查投标人的报价，有可能影响产品质量或者不能诚信履约的，要求其在评标现场提供书面说明，并提交相关证明材料；投标人不能证明其报价合理性的，评标委员会将其作为无效投标处理。</w:t>
            </w:r>
          </w:p>
        </w:tc>
      </w:tr>
      <w:tr>
        <w:tblPrEx>
          <w:tblCellMar>
            <w:top w:w="0" w:type="dxa"/>
            <w:left w:w="108" w:type="dxa"/>
            <w:bottom w:w="0" w:type="dxa"/>
            <w:right w:w="108" w:type="dxa"/>
          </w:tblCellMar>
        </w:tblPrEx>
        <w:trPr>
          <w:trHeight w:val="20" w:hRule="atLeast"/>
          <w:jc w:val="center"/>
        </w:trPr>
        <w:tc>
          <w:tcPr>
            <w:tcW w:w="54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auto"/>
                <w:kern w:val="1"/>
                <w:sz w:val="24"/>
                <w:highlight w:val="none"/>
              </w:rPr>
            </w:pPr>
            <w:r>
              <w:rPr>
                <w:rFonts w:hint="eastAsia" w:ascii="宋体" w:hAnsi="宋体" w:cs="宋体"/>
                <w:color w:val="auto"/>
                <w:kern w:val="1"/>
                <w:sz w:val="24"/>
                <w:highlight w:val="none"/>
              </w:rPr>
              <w:t>B</w:t>
            </w:r>
          </w:p>
        </w:tc>
        <w:tc>
          <w:tcPr>
            <w:tcW w:w="1335" w:type="dxa"/>
            <w:tcBorders>
              <w:top w:val="single" w:color="auto" w:sz="4" w:space="0"/>
              <w:left w:val="single" w:color="auto" w:sz="4" w:space="0"/>
              <w:right w:val="single" w:color="auto" w:sz="4" w:space="0"/>
            </w:tcBorders>
            <w:vAlign w:val="center"/>
          </w:tcPr>
          <w:p>
            <w:pPr>
              <w:pStyle w:val="168"/>
              <w:spacing w:line="440" w:lineRule="exact"/>
              <w:jc w:val="center"/>
              <w:rPr>
                <w:rFonts w:hint="default" w:ascii="宋体" w:hAnsi="宋体" w:cs="宋体"/>
                <w:color w:val="auto"/>
                <w:spacing w:val="-2"/>
                <w:sz w:val="24"/>
                <w:szCs w:val="24"/>
                <w:highlight w:val="none"/>
              </w:rPr>
            </w:pPr>
            <w:r>
              <w:rPr>
                <w:rFonts w:ascii="宋体" w:hAnsi="宋体" w:cs="宋体"/>
                <w:bCs/>
                <w:color w:val="auto"/>
                <w:sz w:val="24"/>
                <w:szCs w:val="24"/>
                <w:highlight w:val="none"/>
                <w:lang w:eastAsia="zh-CN"/>
              </w:rPr>
              <w:t>B1.认证证书</w:t>
            </w:r>
          </w:p>
        </w:tc>
        <w:tc>
          <w:tcPr>
            <w:tcW w:w="850" w:type="dxa"/>
            <w:tcBorders>
              <w:top w:val="single" w:color="000000" w:sz="4" w:space="0"/>
              <w:left w:val="single" w:color="auto" w:sz="4" w:space="0"/>
              <w:bottom w:val="single" w:color="000000" w:sz="4" w:space="0"/>
              <w:right w:val="single" w:color="000000" w:sz="4" w:space="0"/>
            </w:tcBorders>
            <w:vAlign w:val="center"/>
          </w:tcPr>
          <w:p>
            <w:pPr>
              <w:pStyle w:val="168"/>
              <w:spacing w:line="440" w:lineRule="exact"/>
              <w:jc w:val="center"/>
              <w:rPr>
                <w:rFonts w:hint="default" w:ascii="宋体" w:hAnsi="宋体" w:cs="宋体"/>
                <w:color w:val="auto"/>
                <w:spacing w:val="-2"/>
                <w:sz w:val="24"/>
                <w:szCs w:val="24"/>
                <w:highlight w:val="none"/>
              </w:rPr>
            </w:pPr>
            <w:r>
              <w:rPr>
                <w:rFonts w:ascii="宋体" w:hAnsi="宋体" w:cs="宋体"/>
                <w:bCs/>
                <w:color w:val="auto"/>
                <w:sz w:val="24"/>
                <w:szCs w:val="24"/>
                <w:highlight w:val="none"/>
                <w:lang w:eastAsia="zh-CN"/>
              </w:rPr>
              <w:t>6</w:t>
            </w:r>
            <w:r>
              <w:rPr>
                <w:rFonts w:ascii="宋体" w:hAnsi="宋体" w:cs="宋体"/>
                <w:color w:val="auto"/>
                <w:sz w:val="24"/>
                <w:szCs w:val="24"/>
                <w:highlight w:val="none"/>
              </w:rPr>
              <w:t>分</w:t>
            </w:r>
          </w:p>
        </w:tc>
        <w:tc>
          <w:tcPr>
            <w:tcW w:w="6225" w:type="dxa"/>
            <w:tcBorders>
              <w:top w:val="single" w:color="000000" w:sz="4" w:space="0"/>
              <w:left w:val="single" w:color="000000" w:sz="4" w:space="0"/>
              <w:bottom w:val="single" w:color="000000" w:sz="4" w:space="0"/>
              <w:right w:val="single" w:color="000000" w:sz="4" w:space="0"/>
            </w:tcBorders>
            <w:vAlign w:val="center"/>
          </w:tcPr>
          <w:p>
            <w:pPr>
              <w:pStyle w:val="168"/>
              <w:spacing w:line="440" w:lineRule="exact"/>
              <w:jc w:val="both"/>
              <w:rPr>
                <w:rFonts w:hint="default" w:ascii="宋体" w:hAnsi="宋体" w:cs="宋体"/>
                <w:color w:val="auto"/>
                <w:spacing w:val="-2"/>
                <w:sz w:val="24"/>
                <w:szCs w:val="24"/>
                <w:highlight w:val="none"/>
              </w:rPr>
            </w:pPr>
            <w:r>
              <w:rPr>
                <w:rFonts w:ascii="宋体" w:hAnsi="宋体" w:cs="宋体"/>
                <w:bCs/>
                <w:color w:val="auto"/>
                <w:sz w:val="24"/>
                <w:szCs w:val="24"/>
                <w:highlight w:val="none"/>
                <w:lang w:eastAsia="zh-CN"/>
              </w:rPr>
              <w:t>投标人具有ISO质量管理体系认证证书、ISO信息技术服务管理体系认证证书、ISO信息安全管理体系认证证书，每提供1份得2分，满分6分。 注：投标人须提供在有效期内的证书复印件或中国合格评定国家认可委员会(https://www.cnas.org.cn或中国国家认证认可监督管理委员会(http://www.cnca.gov.cn)）网站的下载网页并注明网址，未提供或提供不完整的的本项得0分。</w:t>
            </w:r>
          </w:p>
        </w:tc>
      </w:tr>
      <w:tr>
        <w:tblPrEx>
          <w:tblCellMar>
            <w:top w:w="0" w:type="dxa"/>
            <w:left w:w="108" w:type="dxa"/>
            <w:bottom w:w="0" w:type="dxa"/>
            <w:right w:w="108" w:type="dxa"/>
          </w:tblCellMar>
        </w:tblPrEx>
        <w:trPr>
          <w:trHeight w:val="90" w:hRule="atLeast"/>
          <w:jc w:val="center"/>
        </w:trPr>
        <w:tc>
          <w:tcPr>
            <w:tcW w:w="548" w:type="dxa"/>
            <w:vMerge w:val="continue"/>
            <w:tcBorders>
              <w:left w:val="single" w:color="auto"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color w:val="auto"/>
                <w:sz w:val="24"/>
                <w:szCs w:val="24"/>
                <w:highlight w:val="none"/>
              </w:rPr>
            </w:pPr>
            <w:r>
              <w:rPr>
                <w:rFonts w:ascii="宋体" w:hAnsi="宋体" w:cs="宋体"/>
                <w:bCs/>
                <w:color w:val="auto"/>
                <w:sz w:val="24"/>
                <w:szCs w:val="24"/>
                <w:highlight w:val="none"/>
                <w:lang w:eastAsia="zh-CN"/>
              </w:rPr>
              <w:t>B2.</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综合类机房搬迁项目业绩</w:t>
            </w:r>
          </w:p>
        </w:tc>
        <w:tc>
          <w:tcPr>
            <w:tcW w:w="850" w:type="dxa"/>
            <w:tcBorders>
              <w:top w:val="single" w:color="000000" w:sz="4" w:space="0"/>
              <w:left w:val="single" w:color="auto" w:sz="4" w:space="0"/>
              <w:bottom w:val="single" w:color="000000" w:sz="4" w:space="0"/>
              <w:right w:val="single" w:color="000000" w:sz="4" w:space="0"/>
            </w:tcBorders>
            <w:vAlign w:val="center"/>
          </w:tcPr>
          <w:p>
            <w:pPr>
              <w:pStyle w:val="168"/>
              <w:spacing w:line="440" w:lineRule="exact"/>
              <w:jc w:val="center"/>
              <w:rPr>
                <w:rFonts w:hint="default" w:ascii="宋体" w:hAnsi="宋体" w:cs="宋体"/>
                <w:color w:val="auto"/>
                <w:spacing w:val="-2"/>
                <w:sz w:val="24"/>
                <w:szCs w:val="24"/>
                <w:highlight w:val="none"/>
              </w:rPr>
            </w:pPr>
            <w:r>
              <w:rPr>
                <w:rFonts w:ascii="宋体" w:hAnsi="宋体" w:cs="宋体"/>
                <w:bCs/>
                <w:color w:val="auto"/>
                <w:sz w:val="24"/>
                <w:szCs w:val="24"/>
                <w:highlight w:val="none"/>
                <w:lang w:eastAsia="zh-CN"/>
              </w:rPr>
              <w:t>6</w:t>
            </w:r>
            <w:r>
              <w:rPr>
                <w:rFonts w:ascii="宋体" w:hAnsi="宋体" w:cs="宋体"/>
                <w:color w:val="auto"/>
                <w:sz w:val="24"/>
                <w:szCs w:val="24"/>
                <w:highlight w:val="none"/>
              </w:rPr>
              <w:t>分</w:t>
            </w:r>
          </w:p>
        </w:tc>
        <w:tc>
          <w:tcPr>
            <w:tcW w:w="6225" w:type="dxa"/>
            <w:tcBorders>
              <w:top w:val="single" w:color="000000" w:sz="4" w:space="0"/>
              <w:left w:val="single" w:color="000000" w:sz="4" w:space="0"/>
              <w:bottom w:val="single" w:color="000000" w:sz="4" w:space="0"/>
              <w:right w:val="single" w:color="000000" w:sz="4" w:space="0"/>
            </w:tcBorders>
            <w:vAlign w:val="center"/>
          </w:tcPr>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近五年来（合同签订日为2019年1月1日起至本项目投标截止时间止）作为独立承包人直接同最终用户签订的综合类机房搬迁项目业绩情况进行评分，以下案例须全部验收合格。投标人应在投标文件中列出业绩清单。并提供该业绩项目的中标/成交公告（提供相关网站中标/成交公告的下载网页并注明网址）或查询网址链接、中标/成交通知书复印件、采购合同文本复印件或查询网址链接以及能够证明该业绩项目已经采购人验收合格的相关证明文件复印件，所有材料缺一不可，否则得0分。每份合同证明材料只能计算一次业绩，不能重复使用，投标人须在投标文件中注明每个得分点对应的项目及合同金额。无上述规定的类似项目业绩或未提供任何业绩证明材料的本项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由评委根据投标人提供的综合类机房搬迁项目的成功案例进行评分。在小型机、存储(或磁盘阵列)、Oracle数据库、VMware虚拟化平台、PC服务器、备份系统（带库或虚拟带库或备份一体机或备份软件）、网络设备（交换机或路由器）、安全设备（防火墙、入侵检测等）、负载均衡、时间同步（时间同步系统或时间同步服务器）、线路割接、波分（波分网管系统或波分设备）的12个类别中，案例包含6个类别的得3分，每多提供一个类别增加0.5分，案例少于6个类别的</w:t>
            </w:r>
            <w:r>
              <w:rPr>
                <w:rFonts w:ascii="宋体" w:hAnsi="宋体" w:cs="宋体"/>
                <w:bCs/>
                <w:color w:val="auto"/>
                <w:sz w:val="24"/>
                <w:szCs w:val="24"/>
                <w:highlight w:val="none"/>
                <w:lang w:eastAsia="zh-CN"/>
              </w:rPr>
              <w:t>本项</w:t>
            </w:r>
            <w:r>
              <w:rPr>
                <w:rFonts w:ascii="宋体" w:hAnsi="宋体" w:cs="宋体"/>
                <w:bCs/>
                <w:color w:val="auto"/>
                <w:sz w:val="24"/>
                <w:szCs w:val="24"/>
                <w:highlight w:val="none"/>
              </w:rPr>
              <w:t>得</w:t>
            </w:r>
            <w:r>
              <w:rPr>
                <w:rFonts w:ascii="宋体" w:hAnsi="宋体" w:cs="宋体"/>
                <w:bCs/>
                <w:color w:val="auto"/>
                <w:sz w:val="24"/>
                <w:szCs w:val="24"/>
                <w:highlight w:val="none"/>
                <w:lang w:eastAsia="zh-CN"/>
              </w:rPr>
              <w:t>0</w:t>
            </w:r>
            <w:r>
              <w:rPr>
                <w:rFonts w:ascii="宋体" w:hAnsi="宋体" w:cs="宋体"/>
                <w:bCs/>
                <w:color w:val="auto"/>
                <w:sz w:val="24"/>
                <w:szCs w:val="24"/>
                <w:highlight w:val="none"/>
              </w:rPr>
              <w:t>分。</w:t>
            </w:r>
          </w:p>
          <w:p>
            <w:pPr>
              <w:pStyle w:val="168"/>
              <w:spacing w:line="440" w:lineRule="exact"/>
              <w:jc w:val="both"/>
              <w:rPr>
                <w:rFonts w:hint="default" w:ascii="宋体" w:hAnsi="宋体" w:cs="宋体"/>
                <w:color w:val="auto"/>
                <w:spacing w:val="-2"/>
                <w:sz w:val="24"/>
                <w:szCs w:val="24"/>
                <w:highlight w:val="none"/>
              </w:rPr>
            </w:pPr>
            <w:r>
              <w:rPr>
                <w:rFonts w:ascii="宋体" w:hAnsi="宋体" w:cs="宋体"/>
                <w:bCs/>
                <w:color w:val="auto"/>
                <w:sz w:val="24"/>
                <w:szCs w:val="24"/>
                <w:highlight w:val="none"/>
                <w:lang w:eastAsia="zh-CN"/>
              </w:rPr>
              <w:t>注：为方便评标，投标人只能提供1个案例（须注明案例的应答得分点，多提供的以第一个案例计算），须在案例中列举涉及产品的类别，并在合同复印件中将相应类别醒目标注出来。</w:t>
            </w:r>
          </w:p>
        </w:tc>
      </w:tr>
      <w:tr>
        <w:tblPrEx>
          <w:tblCellMar>
            <w:top w:w="0" w:type="dxa"/>
            <w:left w:w="108" w:type="dxa"/>
            <w:bottom w:w="0" w:type="dxa"/>
            <w:right w:w="108" w:type="dxa"/>
          </w:tblCellMar>
        </w:tblPrEx>
        <w:trPr>
          <w:trHeight w:val="90" w:hRule="atLeast"/>
          <w:jc w:val="center"/>
        </w:trPr>
        <w:tc>
          <w:tcPr>
            <w:tcW w:w="548" w:type="dxa"/>
            <w:tcBorders>
              <w:left w:val="single" w:color="auto"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B3.</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IT服务类项目业绩</w:t>
            </w:r>
          </w:p>
        </w:tc>
        <w:tc>
          <w:tcPr>
            <w:tcW w:w="850" w:type="dxa"/>
            <w:tcBorders>
              <w:top w:val="single" w:color="000000" w:sz="4" w:space="0"/>
              <w:left w:val="single" w:color="auto" w:sz="4" w:space="0"/>
              <w:bottom w:val="single" w:color="000000" w:sz="4" w:space="0"/>
              <w:right w:val="single" w:color="000000"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10</w:t>
            </w:r>
            <w:r>
              <w:rPr>
                <w:rFonts w:ascii="宋体" w:hAnsi="宋体" w:cs="宋体"/>
                <w:color w:val="auto"/>
                <w:sz w:val="24"/>
                <w:szCs w:val="24"/>
                <w:highlight w:val="none"/>
              </w:rPr>
              <w:t>分</w:t>
            </w:r>
          </w:p>
        </w:tc>
        <w:tc>
          <w:tcPr>
            <w:tcW w:w="6225" w:type="dxa"/>
            <w:tcBorders>
              <w:top w:val="single" w:color="000000" w:sz="4" w:space="0"/>
              <w:left w:val="single" w:color="000000" w:sz="4" w:space="0"/>
              <w:bottom w:val="single" w:color="000000" w:sz="4" w:space="0"/>
              <w:right w:val="single" w:color="000000" w:sz="4" w:space="0"/>
            </w:tcBorders>
            <w:vAlign w:val="center"/>
          </w:tcPr>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近五年来（合同签订日为2019年1月1日起至本项目投标截止时间止）作为独立承包人直接同最终用户签订的IT服务项目业绩情况进行评分，以下案例须全部验收合格。投标人应在投标文件中列出业绩清单。并提供该业绩项目的中标/成交公告（提供相关网站中标/成交公告的下载网页并注明网址）或查询网址链接、中标/成交通知书复印件、采购合同文本复印件或查询网址链接以及能够证明该业绩项目已经采购人验收合格的相关证明文件复印件，所有材料缺一不可，否则得0分。每份合同证明材料只能计算一次业绩，不能重复使用，投标人须在投标文件中注明每个得分点对应的项目及合同金额。无上述规定的类似项目业绩或未提供任何业绩证明材料的本项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①主机和备份软件类</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提供的案例中含有主机类（须包含IBM小型机和PC服务器）运维、备份类运维（须包含磁带库或虚拟带库和Veritas备份软件）2个类别，同时包含2个类别得2分，只包含1个类别得1分，其余得0分。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②数据库类</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提供的案例中含有Oracle数据库迁移和Oracle数据库优化2个类别，同时包含2个类别得2分，只包含1个类别得1分，其余得0分。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③虚拟化平台类</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提供的案例含有VMware虚拟化迁移且迁移的虚拟机操作系统包含Linux（须包含Redhat Linux、Oracle Linux）和Windows 2个类别，同时包含2个类别得2分，只包含1个类别得1分，其余得0分。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④网络优化类</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提供的案例中包含网络优化和线路割接2个类别，同时包含2个类别得2分，只包含1个类别得1分，其余得0分。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⑤通信设备类</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提供的案例中包含波分（网管系统或波分设备）和裸光纤线路2个类别，同时包含2个类别得2分，只包含1个类别得1分，其余得0分。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注：为方便评标，以上5个项目业绩投标人只能各提供1个案例（须注明案例的应答得分点，多提供的以第一个案例计算），且须在合同复印件中将案例需要的部分醒目标注出来。</w:t>
            </w:r>
          </w:p>
        </w:tc>
      </w:tr>
      <w:tr>
        <w:tblPrEx>
          <w:tblCellMar>
            <w:top w:w="0" w:type="dxa"/>
            <w:left w:w="108" w:type="dxa"/>
            <w:bottom w:w="0" w:type="dxa"/>
            <w:right w:w="108" w:type="dxa"/>
          </w:tblCellMar>
        </w:tblPrEx>
        <w:trPr>
          <w:trHeight w:val="418" w:hRule="atLeast"/>
          <w:jc w:val="center"/>
        </w:trPr>
        <w:tc>
          <w:tcPr>
            <w:tcW w:w="8958"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宋体" w:hAnsi="宋体" w:cs="宋体"/>
                <w:color w:val="auto"/>
                <w:spacing w:val="-2"/>
                <w:sz w:val="24"/>
                <w:highlight w:val="none"/>
              </w:rPr>
            </w:pPr>
            <w:r>
              <w:rPr>
                <w:rFonts w:hint="eastAsia" w:ascii="宋体" w:hAnsi="宋体" w:cs="宋体"/>
                <w:color w:val="auto"/>
                <w:spacing w:val="-2"/>
                <w:sz w:val="24"/>
                <w:highlight w:val="none"/>
              </w:rPr>
              <w:t>各投标人的商务部分得分B=B1+B2+B3</w:t>
            </w:r>
          </w:p>
        </w:tc>
      </w:tr>
      <w:tr>
        <w:tblPrEx>
          <w:tblCellMar>
            <w:top w:w="0" w:type="dxa"/>
            <w:left w:w="108" w:type="dxa"/>
            <w:bottom w:w="0" w:type="dxa"/>
            <w:right w:w="108" w:type="dxa"/>
          </w:tblCellMar>
        </w:tblPrEx>
        <w:trPr>
          <w:trHeight w:val="859" w:hRule="atLeast"/>
          <w:jc w:val="center"/>
        </w:trPr>
        <w:tc>
          <w:tcPr>
            <w:tcW w:w="548" w:type="dxa"/>
            <w:vMerge w:val="restart"/>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r>
              <w:rPr>
                <w:rFonts w:hint="eastAsia" w:ascii="宋体" w:hAnsi="宋体" w:cs="宋体"/>
                <w:color w:val="auto"/>
                <w:spacing w:val="-2"/>
                <w:sz w:val="24"/>
                <w:highlight w:val="none"/>
              </w:rPr>
              <w:t>C</w:t>
            </w:r>
          </w:p>
          <w:p>
            <w:pPr>
              <w:spacing w:line="440" w:lineRule="exact"/>
              <w:jc w:val="center"/>
              <w:rPr>
                <w:rFonts w:ascii="宋体" w:hAnsi="宋体" w:cs="宋体"/>
                <w:color w:val="auto"/>
                <w:sz w:val="24"/>
                <w:highlight w:val="none"/>
              </w:rPr>
            </w:pPr>
          </w:p>
          <w:p>
            <w:pPr>
              <w:pStyle w:val="7"/>
              <w:jc w:val="center"/>
              <w:rPr>
                <w:rFonts w:ascii="宋体" w:hAnsi="宋体" w:eastAsia="宋体" w:cs="宋体"/>
                <w:color w:val="auto"/>
                <w:sz w:val="24"/>
                <w:szCs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C1.</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服务保障</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8</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1.1 服务响应能力（满分4分）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对人员应急响应能力做出的承诺进行打分。投标人承诺在项目服务期内，若搬迁涉及的设备、系统和线路等发生重大故障或重要割接节点，除现场技术服务工程师，二线技术服务专业工程师在1小时内到达现场进行处置的得4分，2小时内到达现场进行处置的得2分。其余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1.2 应急支撑能力（满分4分）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根据投标人对与本项目相关的备品备件支撑能力进行评分。投标人承诺在项目服务期内，若搬迁涉及的设备出现硬件故障需要更换整机或配件，在2小时内完成整机或配件的更换且设备正常使用的得4分，4小时内完成整机或配件的更换且设备正常使用的得2分，8小时内完成整机或配件的更换且设备正常使用的得1分</w:t>
            </w:r>
            <w:r>
              <w:rPr>
                <w:rFonts w:ascii="宋体" w:hAnsi="宋体" w:cs="宋体"/>
                <w:bCs/>
                <w:color w:val="auto"/>
                <w:sz w:val="24"/>
                <w:szCs w:val="24"/>
                <w:highlight w:val="none"/>
                <w:lang w:eastAsia="zh-CN"/>
              </w:rPr>
              <w:t>。</w:t>
            </w:r>
            <w:r>
              <w:rPr>
                <w:rFonts w:ascii="宋体" w:hAnsi="宋体" w:cs="宋体"/>
                <w:bCs/>
                <w:color w:val="auto"/>
                <w:sz w:val="24"/>
                <w:szCs w:val="24"/>
                <w:highlight w:val="none"/>
              </w:rPr>
              <w:t>其余得</w:t>
            </w:r>
            <w:r>
              <w:rPr>
                <w:rFonts w:ascii="宋体" w:hAnsi="宋体" w:cs="宋体"/>
                <w:bCs/>
                <w:color w:val="auto"/>
                <w:sz w:val="24"/>
                <w:szCs w:val="24"/>
                <w:highlight w:val="none"/>
                <w:lang w:eastAsia="zh-CN"/>
              </w:rPr>
              <w:t>0</w:t>
            </w:r>
            <w:r>
              <w:rPr>
                <w:rFonts w:ascii="宋体" w:hAnsi="宋体" w:cs="宋体"/>
                <w:bCs/>
                <w:color w:val="auto"/>
                <w:sz w:val="24"/>
                <w:szCs w:val="24"/>
                <w:highlight w:val="none"/>
              </w:rPr>
              <w:t>分。</w:t>
            </w:r>
          </w:p>
        </w:tc>
      </w:tr>
      <w:tr>
        <w:tblPrEx>
          <w:tblCellMar>
            <w:top w:w="0" w:type="dxa"/>
            <w:left w:w="108" w:type="dxa"/>
            <w:bottom w:w="0" w:type="dxa"/>
            <w:right w:w="108" w:type="dxa"/>
          </w:tblCellMar>
        </w:tblPrEx>
        <w:trPr>
          <w:trHeight w:val="20" w:hRule="atLeast"/>
          <w:jc w:val="center"/>
        </w:trPr>
        <w:tc>
          <w:tcPr>
            <w:tcW w:w="548" w:type="dxa"/>
            <w:vMerge w:val="continue"/>
            <w:tcBorders>
              <w:left w:val="single" w:color="000000" w:sz="4" w:space="0"/>
              <w:right w:val="single" w:color="auto" w:sz="4" w:space="0"/>
            </w:tcBorders>
            <w:vAlign w:val="center"/>
          </w:tcPr>
          <w:p>
            <w:pPr>
              <w:pStyle w:val="7"/>
              <w:jc w:val="center"/>
              <w:rPr>
                <w:rFonts w:ascii="宋体" w:hAnsi="宋体" w:eastAsia="宋体" w:cs="宋体"/>
                <w:color w:val="auto"/>
                <w:sz w:val="24"/>
                <w:szCs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C2.</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项目技术服务团队管理人员</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6</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提供的拟参与本项目的项目组人员的资质、水平进行评分。投标人应在投标文件中明确列出承担本项目的项目经理、技术负责人人员名单并标明其学历、学位、资质证书名称以及在本项目中承担的角色（每人只能承担一个角色，不得兼职，须在投标文件中明确注明每人的角色)。投标人须提供为以上人员缴纳的近半年来任意一个月社保缴交的证明材料，并加盖投标人单位公章，否则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2.1项目经理（满分3分）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投标人承担本项目的项目经理具有信息系统项目管理师认证（或PMP证书）、IBM CATE认证、VMware VCP认证、Weblogic认证、Oracle OCP认证、Veritas NetBackup认证（或原Symantec NetBackup认证）等6个认证证书，项目经理</w:t>
            </w:r>
            <w:r>
              <w:rPr>
                <w:rFonts w:hint="default" w:ascii="宋体" w:hAnsi="宋体" w:cs="宋体"/>
                <w:bCs/>
                <w:color w:val="auto"/>
                <w:sz w:val="24"/>
                <w:szCs w:val="24"/>
                <w:highlight w:val="none"/>
                <w:lang w:eastAsia="zh-CN"/>
              </w:rPr>
              <w:t>1人</w:t>
            </w:r>
            <w:r>
              <w:rPr>
                <w:rFonts w:ascii="宋体" w:hAnsi="宋体" w:cs="宋体"/>
                <w:bCs/>
                <w:color w:val="auto"/>
                <w:sz w:val="24"/>
                <w:szCs w:val="24"/>
                <w:highlight w:val="none"/>
                <w:lang w:eastAsia="zh-CN"/>
              </w:rPr>
              <w:t>同时有3个证书的得1.5分，每多一个证书增加0.5分，少于3个证书的得0分。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2.2技术负责人（满分3分）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投标人承担本项目的技术负责人具有IBM CATE认证、VMware VCP认证、Weblogic认证、Oracle OCP认证、麒麟操作系统桌面工程师认证、Veritas NetBackup认证（或原Symantec NetBackup认证）等6个认证证书，技术负责人1人同时有3个证书的得1.5分，每多一个证书增加0.5分，少于3个证书的得0分。</w:t>
            </w:r>
          </w:p>
        </w:tc>
      </w:tr>
      <w:tr>
        <w:tblPrEx>
          <w:tblCellMar>
            <w:top w:w="0" w:type="dxa"/>
            <w:left w:w="108" w:type="dxa"/>
            <w:bottom w:w="0" w:type="dxa"/>
            <w:right w:w="108" w:type="dxa"/>
          </w:tblCellMar>
        </w:tblPrEx>
        <w:trPr>
          <w:trHeight w:val="20" w:hRule="atLeast"/>
          <w:jc w:val="center"/>
        </w:trPr>
        <w:tc>
          <w:tcPr>
            <w:tcW w:w="548" w:type="dxa"/>
            <w:vMerge w:val="continue"/>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C3.</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项目技术服务团队专业工程师</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10</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提供的拟参与本项目的项目组人员的资质、水平进行评分。投标人应在投标文件中明确列出承担本项目的除项目经理、技术负责人的技术服务团队其他人员名单并标明其学历、学位、资质证书名称以及在本项目中承担的角色（每人只能承担一个角色，不得兼职，须在投标文件中明确注明每人的角色)。投标人须提供为以上人员缴纳的近半年来任意一个月社保缴交的证明材料，并加盖投标人单位公章，否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以下评分针对现场技术服务团队（不包括项目经理、技术负责人）提供的服务进行打分，项目经理和技术负责人不参与评分。每个工程师只能参与一项评分。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①主机备份工程师支持服务（2分）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根据投标人针对本项目拟提供1名主机备份工程师且拥有IBM CATE认证（或RHCE认证）证书、Veritas NetBackup认证（或原Symantec NetBackup认证）证书的情况进行评分，同时有两个类别证书的得2分，只有一个类别证书的得1分，其余得0分。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②数据库工程师支持服务（2分）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根据投标人针对本项目拟提供数据库工程师进行评分，数据库工程师拥有Oracle OCM认证得2分，只拥有Oracle OCP认证的得1分，其余得0分。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③虚拟化平台工程师支持服务（2分）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根据投标人针对本项目拟提供1名虚拟化平台工程师且拥有VMware VCP认证证书、RHCE认证证书的情况进行评分，同时有两个类别证书的得2分，只有一个类别证书的得1分，其余得0分。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④网络工程师支持服务（2分）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根据投标人针对本项目拟提供的网络工程师进行评分，网络工程师拥有华为HCIE认证（或相对应的H3C、思科认证），每提供一人得1分，其余得0分。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⑤安全工程师支持服务（2分）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根据投标人针对本项目拟提供1名安全工程师且拥有CISP、CISAW认证证书的情况进行评分，同时有两个类别证书的得2分，只有一个类别证书的得1分，其余得0分。</w:t>
            </w:r>
          </w:p>
        </w:tc>
      </w:tr>
      <w:tr>
        <w:tblPrEx>
          <w:tblCellMar>
            <w:top w:w="0" w:type="dxa"/>
            <w:left w:w="108" w:type="dxa"/>
            <w:bottom w:w="0" w:type="dxa"/>
            <w:right w:w="108" w:type="dxa"/>
          </w:tblCellMar>
        </w:tblPrEx>
        <w:trPr>
          <w:trHeight w:val="20" w:hRule="atLeast"/>
          <w:jc w:val="center"/>
        </w:trPr>
        <w:tc>
          <w:tcPr>
            <w:tcW w:w="548" w:type="dxa"/>
            <w:vMerge w:val="continue"/>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C4.</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原厂技术支持服务</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9</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4.1信安世纪负载均衡原厂优化服务（满分2分）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由评委根据投标人承诺在项目服务期内采购信安世纪原厂服务，由原厂工程师根据目前负载均衡的使用情况和采购人的业务场景，充分考虑协议优化、可编程流量控制、全局负载均衡等因素，对负载均衡进行相关参数调整、优化，提高负载均衡使用率的得2分，其余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4.2华为存储厂商原厂优化服务（满分3分）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由评委根据投标人承诺在项目服务期内采购华为原厂服务，由原厂工程师根据目前存储的使用情况和采购人的业务场景，充分考虑压缩、重删、数据分层等先进技术，对存储进行重新规划并进行相关参数调整、优化，提高存储使用率的得3分，其余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4.3</w:t>
            </w:r>
            <w:r>
              <w:rPr>
                <w:rFonts w:ascii="宋体" w:hAnsi="宋体" w:cs="宋体"/>
                <w:bCs/>
                <w:color w:val="auto"/>
                <w:sz w:val="24"/>
                <w:szCs w:val="24"/>
                <w:highlight w:val="none"/>
              </w:rPr>
              <w:t>神州云科存储厂商原厂优化服务（满分2分）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由评委根据投标人承诺在项目服务期内采购神州云科原厂服务，由原厂工程师根据目前存储的使用情况和采购人的业务场景，充分考虑压缩、重删、数据分层等先进技术，对存储进行重新规划并进行相关参数调整、优化，提高存储使用率的得2分，其余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4.4Veritas备份系统原厂优化服务（满分2分）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由评委根据投标人承诺在项目服务期内采购Veritas原厂服务，由原厂工程师根据目前备份系统、相关备份设备的实际情况和采购人的业务场景，充分考虑数据安全、网络传输、备份空间、恢复时间等因素，对采购人Veritas备份系统进行重新规划并进行相应的配置，提高相关系统的灾备能力的得2分，其余得0分。</w:t>
            </w:r>
          </w:p>
        </w:tc>
      </w:tr>
      <w:tr>
        <w:tblPrEx>
          <w:tblCellMar>
            <w:top w:w="0" w:type="dxa"/>
            <w:left w:w="108" w:type="dxa"/>
            <w:bottom w:w="0" w:type="dxa"/>
            <w:right w:w="108" w:type="dxa"/>
          </w:tblCellMar>
        </w:tblPrEx>
        <w:trPr>
          <w:trHeight w:val="20" w:hRule="atLeast"/>
          <w:jc w:val="center"/>
        </w:trPr>
        <w:tc>
          <w:tcPr>
            <w:tcW w:w="548" w:type="dxa"/>
            <w:vMerge w:val="restart"/>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r>
              <w:rPr>
                <w:rFonts w:hint="eastAsia" w:ascii="宋体" w:hAnsi="宋体" w:cs="宋体"/>
                <w:color w:val="auto"/>
                <w:spacing w:val="-2"/>
                <w:sz w:val="24"/>
                <w:highlight w:val="none"/>
              </w:rPr>
              <w:t>C</w:t>
            </w: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C5.</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服务方案</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15</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5.1搬迁现状理解（满分5分）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根据投标人对本项目的现状理解，包含福建省税务局主机、数据库、虚拟化、网络、安全现状五个方面，由评委进行评议：有不少于4个方面描述周详、分析详细、符合福建省税务局业务现状的得5分；有2-3方面描述周详、分析详细、符合福建省税务局业务现状的得3分；只有1个方面描述周详、分析详细、符合福建省税务局业务现状的得1分，其余本项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5.2搬迁方案（满分5分）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根据投标人所提供的本项目整体搬迁方案，包含物理搬迁、数据库迁移、虚拟化平台迁移整合、网络搬迁、二次迁移割接五个方面，由评委进行评议：有不少于4个方面描述周详、可行性强、符合福建省税务局业务需求的得5分；有2-3方面描述周详、可行性强、符合福建省税务局业务现状的得3分；只有1个方面描述周详、可行性强、符合福建省税务局业务现状的得1分，其余本项得0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5.3项目应急保障方案（满分5分）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rPr>
              <w:t>根据投标人所提供的应急保障方案，包含突发事件、网络安全、数据安全、重大硬件故障、专线保障五个方面，由评委进行评议：有不少于4个方面描述周详、可行性强、符合福建省税务局业务需求的得5分；有2-3方面描述周详、可行性强、符合福建省税务局业务现状的得3分；只有1个方面描述周详、可行性强、符合福建省税务局业务现状的得1分，其余本项得0分。</w:t>
            </w:r>
          </w:p>
        </w:tc>
      </w:tr>
      <w:tr>
        <w:tblPrEx>
          <w:tblCellMar>
            <w:top w:w="0" w:type="dxa"/>
            <w:left w:w="108" w:type="dxa"/>
            <w:bottom w:w="0" w:type="dxa"/>
            <w:right w:w="108" w:type="dxa"/>
          </w:tblCellMar>
        </w:tblPrEx>
        <w:trPr>
          <w:trHeight w:val="20" w:hRule="atLeast"/>
          <w:jc w:val="center"/>
        </w:trPr>
        <w:tc>
          <w:tcPr>
            <w:tcW w:w="548" w:type="dxa"/>
            <w:vMerge w:val="continue"/>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C6.</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迁移软件要求</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5</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为提高核心搬迁工作（虚拟化迁移和数据库迁移）的效率和迁移的可靠性，由评委根据投标人拟在搬迁过程中采用的迁移软件的情况进行评分。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①投标人提供的迁移软件满足不少于2000个虚拟机和200套数据库迁移需求</w:t>
            </w:r>
            <w:r>
              <w:rPr>
                <w:rFonts w:ascii="宋体" w:hAnsi="宋体" w:cs="宋体"/>
                <w:bCs/>
                <w:color w:val="auto"/>
                <w:sz w:val="24"/>
                <w:szCs w:val="24"/>
                <w:highlight w:val="none"/>
                <w:lang w:eastAsia="zh-CN"/>
              </w:rPr>
              <w:t>的得1分。须</w:t>
            </w:r>
            <w:r>
              <w:rPr>
                <w:rFonts w:ascii="宋体" w:hAnsi="宋体" w:cs="宋体"/>
                <w:bCs/>
                <w:color w:val="auto"/>
                <w:sz w:val="24"/>
                <w:szCs w:val="24"/>
                <w:highlight w:val="none"/>
              </w:rPr>
              <w:t>提供</w:t>
            </w:r>
            <w:r>
              <w:rPr>
                <w:rFonts w:ascii="宋体" w:hAnsi="宋体" w:cs="宋体"/>
                <w:bCs/>
                <w:color w:val="auto"/>
                <w:sz w:val="24"/>
                <w:szCs w:val="24"/>
                <w:highlight w:val="none"/>
                <w:lang w:eastAsia="zh-CN"/>
              </w:rPr>
              <w:t>满足上述迁移需求的证明材料</w:t>
            </w:r>
            <w:r>
              <w:rPr>
                <w:rFonts w:ascii="宋体" w:hAnsi="宋体" w:cs="宋体"/>
                <w:bCs/>
                <w:color w:val="auto"/>
                <w:sz w:val="24"/>
                <w:szCs w:val="24"/>
                <w:highlight w:val="none"/>
              </w:rPr>
              <w:t>并加盖投标人公章，未提供</w:t>
            </w:r>
            <w:r>
              <w:rPr>
                <w:rFonts w:ascii="宋体" w:hAnsi="宋体" w:cs="宋体"/>
                <w:bCs/>
                <w:color w:val="auto"/>
                <w:sz w:val="24"/>
                <w:szCs w:val="24"/>
                <w:highlight w:val="none"/>
                <w:lang w:eastAsia="zh-CN"/>
              </w:rPr>
              <w:t>的本</w:t>
            </w:r>
            <w:r>
              <w:rPr>
                <w:rFonts w:ascii="宋体" w:hAnsi="宋体" w:cs="宋体"/>
                <w:bCs/>
                <w:color w:val="auto"/>
                <w:sz w:val="24"/>
                <w:szCs w:val="24"/>
                <w:highlight w:val="none"/>
              </w:rPr>
              <w:t>项得</w:t>
            </w:r>
            <w:r>
              <w:rPr>
                <w:rFonts w:ascii="宋体" w:hAnsi="宋体" w:cs="宋体"/>
                <w:bCs/>
                <w:color w:val="auto"/>
                <w:sz w:val="24"/>
                <w:szCs w:val="24"/>
                <w:highlight w:val="none"/>
                <w:lang w:eastAsia="zh-CN"/>
              </w:rPr>
              <w:t>0</w:t>
            </w:r>
            <w:r>
              <w:rPr>
                <w:rFonts w:ascii="宋体" w:hAnsi="宋体" w:cs="宋体"/>
                <w:bCs/>
                <w:color w:val="auto"/>
                <w:sz w:val="24"/>
                <w:szCs w:val="24"/>
                <w:highlight w:val="none"/>
              </w:rPr>
              <w:t>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②</w:t>
            </w:r>
            <w:r>
              <w:rPr>
                <w:rFonts w:ascii="宋体" w:hAnsi="宋体" w:cs="宋体"/>
                <w:bCs/>
                <w:color w:val="auto"/>
                <w:sz w:val="24"/>
                <w:szCs w:val="24"/>
                <w:highlight w:val="none"/>
              </w:rPr>
              <w:t>迁移软件具有计算机软件著作权登记证书</w:t>
            </w:r>
            <w:r>
              <w:rPr>
                <w:rFonts w:ascii="宋体" w:hAnsi="宋体" w:cs="宋体"/>
                <w:bCs/>
                <w:color w:val="auto"/>
                <w:sz w:val="24"/>
                <w:szCs w:val="24"/>
                <w:highlight w:val="none"/>
                <w:lang w:eastAsia="zh-CN"/>
              </w:rPr>
              <w:t>的得2分</w:t>
            </w:r>
            <w:r>
              <w:rPr>
                <w:rFonts w:ascii="宋体" w:hAnsi="宋体" w:cs="宋体"/>
                <w:bCs/>
                <w:color w:val="auto"/>
                <w:sz w:val="24"/>
                <w:szCs w:val="24"/>
                <w:highlight w:val="none"/>
              </w:rPr>
              <w:t>。</w:t>
            </w:r>
            <w:r>
              <w:rPr>
                <w:rFonts w:ascii="宋体" w:hAnsi="宋体" w:cs="宋体"/>
                <w:bCs/>
                <w:color w:val="auto"/>
                <w:sz w:val="24"/>
                <w:szCs w:val="24"/>
                <w:highlight w:val="none"/>
                <w:lang w:eastAsia="zh-CN"/>
              </w:rPr>
              <w:t>须</w:t>
            </w:r>
            <w:r>
              <w:rPr>
                <w:rFonts w:ascii="宋体" w:hAnsi="宋体" w:cs="宋体"/>
                <w:bCs/>
                <w:color w:val="auto"/>
                <w:sz w:val="24"/>
                <w:szCs w:val="24"/>
                <w:highlight w:val="none"/>
              </w:rPr>
              <w:t>提供计算机软件著作权登记证书复印件并加盖投标人公章，未提供</w:t>
            </w:r>
            <w:r>
              <w:rPr>
                <w:rFonts w:ascii="宋体" w:hAnsi="宋体" w:cs="宋体"/>
                <w:bCs/>
                <w:color w:val="auto"/>
                <w:sz w:val="24"/>
                <w:szCs w:val="24"/>
                <w:highlight w:val="none"/>
                <w:lang w:eastAsia="zh-CN"/>
              </w:rPr>
              <w:t>的本</w:t>
            </w:r>
            <w:r>
              <w:rPr>
                <w:rFonts w:ascii="宋体" w:hAnsi="宋体" w:cs="宋体"/>
                <w:bCs/>
                <w:color w:val="auto"/>
                <w:sz w:val="24"/>
                <w:szCs w:val="24"/>
                <w:highlight w:val="none"/>
              </w:rPr>
              <w:t>项得</w:t>
            </w:r>
            <w:r>
              <w:rPr>
                <w:rFonts w:ascii="宋体" w:hAnsi="宋体" w:cs="宋体"/>
                <w:bCs/>
                <w:color w:val="auto"/>
                <w:sz w:val="24"/>
                <w:szCs w:val="24"/>
                <w:highlight w:val="none"/>
                <w:lang w:eastAsia="zh-CN"/>
              </w:rPr>
              <w:t>0</w:t>
            </w:r>
            <w:r>
              <w:rPr>
                <w:rFonts w:ascii="宋体" w:hAnsi="宋体" w:cs="宋体"/>
                <w:bCs/>
                <w:color w:val="auto"/>
                <w:sz w:val="24"/>
                <w:szCs w:val="24"/>
                <w:highlight w:val="none"/>
              </w:rPr>
              <w:t>分。</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③投标人提供的迁移软件应满足迁移需求，支持统信、麒麟等操作系统。支持两个（含）以上操作系统的得2分，只支持一个操作系统的得1分。须提供软件兼容性证明材料复印件加盖投标人公章</w:t>
            </w:r>
            <w:r>
              <w:rPr>
                <w:rFonts w:ascii="宋体" w:hAnsi="宋体" w:cs="宋体"/>
                <w:bCs/>
                <w:color w:val="auto"/>
                <w:sz w:val="24"/>
                <w:szCs w:val="24"/>
                <w:highlight w:val="none"/>
              </w:rPr>
              <w:t>，未提供</w:t>
            </w:r>
            <w:r>
              <w:rPr>
                <w:rFonts w:ascii="宋体" w:hAnsi="宋体" w:cs="宋体"/>
                <w:bCs/>
                <w:color w:val="auto"/>
                <w:sz w:val="24"/>
                <w:szCs w:val="24"/>
                <w:highlight w:val="none"/>
                <w:lang w:eastAsia="zh-CN"/>
              </w:rPr>
              <w:t>的本</w:t>
            </w:r>
            <w:r>
              <w:rPr>
                <w:rFonts w:ascii="宋体" w:hAnsi="宋体" w:cs="宋体"/>
                <w:bCs/>
                <w:color w:val="auto"/>
                <w:sz w:val="24"/>
                <w:szCs w:val="24"/>
                <w:highlight w:val="none"/>
              </w:rPr>
              <w:t>项得</w:t>
            </w:r>
            <w:r>
              <w:rPr>
                <w:rFonts w:ascii="宋体" w:hAnsi="宋体" w:cs="宋体"/>
                <w:bCs/>
                <w:color w:val="auto"/>
                <w:sz w:val="24"/>
                <w:szCs w:val="24"/>
                <w:highlight w:val="none"/>
                <w:lang w:eastAsia="zh-CN"/>
              </w:rPr>
              <w:t>0</w:t>
            </w:r>
            <w:r>
              <w:rPr>
                <w:rFonts w:ascii="宋体" w:hAnsi="宋体" w:cs="宋体"/>
                <w:bCs/>
                <w:color w:val="auto"/>
                <w:sz w:val="24"/>
                <w:szCs w:val="24"/>
                <w:highlight w:val="none"/>
              </w:rPr>
              <w:t>分</w:t>
            </w:r>
            <w:r>
              <w:rPr>
                <w:rFonts w:ascii="宋体" w:hAnsi="宋体" w:cs="宋体"/>
                <w:bCs/>
                <w:color w:val="auto"/>
                <w:sz w:val="24"/>
                <w:szCs w:val="24"/>
                <w:highlight w:val="none"/>
                <w:lang w:eastAsia="zh-CN"/>
              </w:rPr>
              <w:t>。</w:t>
            </w:r>
          </w:p>
        </w:tc>
      </w:tr>
      <w:tr>
        <w:tblPrEx>
          <w:tblCellMar>
            <w:top w:w="0" w:type="dxa"/>
            <w:left w:w="108" w:type="dxa"/>
            <w:bottom w:w="0" w:type="dxa"/>
            <w:right w:w="108" w:type="dxa"/>
          </w:tblCellMar>
        </w:tblPrEx>
        <w:trPr>
          <w:trHeight w:val="20" w:hRule="atLeast"/>
          <w:jc w:val="center"/>
        </w:trPr>
        <w:tc>
          <w:tcPr>
            <w:tcW w:w="548" w:type="dxa"/>
            <w:vMerge w:val="continue"/>
            <w:tcBorders>
              <w:left w:val="single" w:color="000000" w:sz="4" w:space="0"/>
              <w:right w:val="single" w:color="auto" w:sz="4" w:space="0"/>
            </w:tcBorders>
            <w:vAlign w:val="center"/>
          </w:tcPr>
          <w:p>
            <w:pPr>
              <w:spacing w:line="440" w:lineRule="exact"/>
              <w:jc w:val="center"/>
              <w:rPr>
                <w:rFonts w:ascii="宋体" w:hAnsi="宋体" w:cs="宋体"/>
                <w:color w:val="auto"/>
                <w:spacing w:val="-2"/>
                <w:sz w:val="24"/>
                <w:highlight w:val="none"/>
              </w:rPr>
            </w:pPr>
          </w:p>
        </w:tc>
        <w:tc>
          <w:tcPr>
            <w:tcW w:w="133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C7.</w:t>
            </w:r>
            <w:r>
              <w:rPr>
                <w:rFonts w:ascii="宋体" w:hAnsi="宋体" w:cs="宋体"/>
                <w:color w:val="auto"/>
                <w:kern w:val="2"/>
                <w:sz w:val="24"/>
                <w:szCs w:val="24"/>
                <w:highlight w:val="none"/>
                <w:lang w:eastAsia="zh-CN"/>
              </w:rPr>
              <w:t xml:space="preserve"> </w:t>
            </w:r>
            <w:r>
              <w:rPr>
                <w:rFonts w:ascii="宋体" w:hAnsi="宋体" w:cs="宋体"/>
                <w:bCs/>
                <w:color w:val="auto"/>
                <w:sz w:val="24"/>
                <w:szCs w:val="24"/>
                <w:highlight w:val="none"/>
                <w:lang w:eastAsia="zh-CN"/>
              </w:rPr>
              <w:t>迁移软件现场演示</w:t>
            </w:r>
          </w:p>
        </w:tc>
        <w:tc>
          <w:tcPr>
            <w:tcW w:w="850"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center"/>
              <w:rPr>
                <w:rFonts w:hint="default" w:ascii="宋体" w:hAnsi="宋体" w:cs="宋体"/>
                <w:bCs/>
                <w:color w:val="auto"/>
                <w:sz w:val="24"/>
                <w:szCs w:val="24"/>
                <w:highlight w:val="none"/>
                <w:lang w:eastAsia="zh-CN"/>
              </w:rPr>
            </w:pPr>
            <w:r>
              <w:rPr>
                <w:rFonts w:ascii="宋体" w:hAnsi="宋体" w:cs="宋体"/>
                <w:bCs/>
                <w:color w:val="auto"/>
                <w:sz w:val="24"/>
                <w:szCs w:val="24"/>
                <w:highlight w:val="none"/>
                <w:lang w:eastAsia="zh-CN"/>
              </w:rPr>
              <w:t>10</w:t>
            </w:r>
            <w:r>
              <w:rPr>
                <w:rFonts w:ascii="宋体" w:hAnsi="宋体" w:cs="宋体"/>
                <w:color w:val="auto"/>
                <w:sz w:val="24"/>
                <w:szCs w:val="24"/>
                <w:highlight w:val="none"/>
              </w:rPr>
              <w:t>分</w:t>
            </w:r>
          </w:p>
        </w:tc>
        <w:tc>
          <w:tcPr>
            <w:tcW w:w="6225" w:type="dxa"/>
            <w:tcBorders>
              <w:top w:val="single" w:color="auto" w:sz="4" w:space="0"/>
              <w:left w:val="single" w:color="auto" w:sz="4" w:space="0"/>
              <w:bottom w:val="single" w:color="auto" w:sz="4" w:space="0"/>
              <w:right w:val="single" w:color="auto" w:sz="4" w:space="0"/>
            </w:tcBorders>
            <w:vAlign w:val="center"/>
          </w:tcPr>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迁移软件须提供功能演示，具体要求如下：</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①为提高迁移效率和节约存储空间，迁移软件支持通过配置目标主机分区类型（包括但不限于配置标准分区、扩展分区、逻辑分区等）、配置分区大小和配置文件系统类型（包括但不限于xfs、ext4、ext3等类型）功能，实现调整主机分区空间大小，完全满足的得2分，1项不满足扣1分，扣完为止。</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②为保障在线迁移效率和迁移过程业务正常运行，迁移软件支持通过限制CPU使用率、限制内存使用率和限制带宽速度等功能，实现控制迁移速度，完全满足的得2分，1项不满足扣1分，扣完为止。</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③为保证迁移正常进行，迁移软件可通过迁移软件界面下载对应操作系统的迁移代理软件，实现支持本次搬迁所涉及的Windows、Linux和麒麟等操作系统，完全满足的得2分，1项不满足扣1分，扣完为止。</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④为提高数据库迁移效率和正常进行，迁移软件支持通过检测源库表信息（包括但不限于表数量、表总行数、表总大小等）、数据库结构信息（包括但不限于存储过程、触发器、函数等）和迁移权限（包括但不限于全量迁移权限、增量迁移权限、修复权限等），实现迁移环境评估，完全满足的得2分，1项不满足扣1分，扣完为止。</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⑤为确保数据库迁移后数据一致性，迁移软件支持通过检测源表名及源记录数、检测目标表名及目标记录数、检测数据量一致性（演示检测表记录数需不少于5000行，现场演示需删除源数据库10条数据后，通过数据一致性修复功能，迁移后数据库能修复数据量保持一致），实现数据一致性，完全满足的得2分，1项不满足扣1分，扣完为止。</w:t>
            </w:r>
          </w:p>
          <w:p>
            <w:pPr>
              <w:pStyle w:val="168"/>
              <w:spacing w:line="440" w:lineRule="exact"/>
              <w:jc w:val="both"/>
              <w:rPr>
                <w:rFonts w:hint="default" w:ascii="宋体" w:hAnsi="宋体" w:cs="宋体"/>
                <w:bCs/>
                <w:color w:val="auto"/>
                <w:sz w:val="24"/>
                <w:szCs w:val="24"/>
                <w:highlight w:val="none"/>
              </w:rPr>
            </w:pPr>
            <w:r>
              <w:rPr>
                <w:rFonts w:ascii="宋体" w:hAnsi="宋体" w:cs="宋体"/>
                <w:bCs/>
                <w:color w:val="auto"/>
                <w:sz w:val="24"/>
                <w:szCs w:val="24"/>
                <w:highlight w:val="none"/>
              </w:rPr>
              <w:t>以上演示须提供真实的系统平台，并根据平台所展示的功能要点的完整性、操作便利性、逻辑是否清晰、界面是否友好等方面，由评委进行评分。</w:t>
            </w:r>
          </w:p>
          <w:p>
            <w:pPr>
              <w:pStyle w:val="168"/>
              <w:spacing w:line="440" w:lineRule="exact"/>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rPr>
              <w:t>注：（1）投标人须自带设备，自备现场演示配套设施，无法正常演示的，视为无效演示。（2）现场演示不接受静态图片或PPT或播放视频演示。（3）每个投标人进行演示的总时间不超过15分钟（不含评委提问），投标人应自行合理安排，</w:t>
            </w:r>
            <w:r>
              <w:rPr>
                <w:rFonts w:ascii="宋体" w:hAnsi="宋体" w:cs="宋体"/>
                <w:bCs/>
                <w:color w:val="auto"/>
                <w:sz w:val="24"/>
                <w:szCs w:val="24"/>
                <w:highlight w:val="none"/>
                <w:lang w:eastAsia="zh-CN"/>
              </w:rPr>
              <w:t>结合服务方案对搬迁现状理解、搬迁方案、项目应急保障方案，</w:t>
            </w:r>
            <w:r>
              <w:rPr>
                <w:rFonts w:ascii="宋体" w:hAnsi="宋体" w:cs="宋体"/>
                <w:bCs/>
                <w:color w:val="auto"/>
                <w:sz w:val="24"/>
                <w:szCs w:val="24"/>
                <w:highlight w:val="none"/>
              </w:rPr>
              <w:t>突出重点做好演示工作。</w:t>
            </w:r>
            <w:r>
              <w:rPr>
                <w:rFonts w:ascii="宋体" w:hAnsi="宋体" w:cs="宋体"/>
                <w:bCs/>
                <w:color w:val="auto"/>
                <w:sz w:val="24"/>
                <w:szCs w:val="24"/>
                <w:highlight w:val="none"/>
                <w:lang w:eastAsia="zh-CN"/>
              </w:rPr>
              <w:t>（4）演示顺序按投标人签到顺序进行。</w:t>
            </w:r>
          </w:p>
        </w:tc>
      </w:tr>
      <w:tr>
        <w:tblPrEx>
          <w:tblCellMar>
            <w:top w:w="0" w:type="dxa"/>
            <w:left w:w="108" w:type="dxa"/>
            <w:bottom w:w="0" w:type="dxa"/>
            <w:right w:w="108" w:type="dxa"/>
          </w:tblCellMar>
        </w:tblPrEx>
        <w:trPr>
          <w:trHeight w:val="20" w:hRule="atLeast"/>
          <w:jc w:val="center"/>
        </w:trPr>
        <w:tc>
          <w:tcPr>
            <w:tcW w:w="8958" w:type="dxa"/>
            <w:gridSpan w:val="4"/>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s="宋体"/>
                <w:color w:val="auto"/>
                <w:spacing w:val="-2"/>
                <w:sz w:val="24"/>
                <w:highlight w:val="none"/>
              </w:rPr>
            </w:pPr>
            <w:r>
              <w:rPr>
                <w:rFonts w:hint="eastAsia" w:ascii="宋体" w:hAnsi="宋体" w:cs="宋体"/>
                <w:color w:val="auto"/>
                <w:spacing w:val="-2"/>
                <w:sz w:val="24"/>
                <w:highlight w:val="none"/>
              </w:rPr>
              <w:t>各投标人的技术部分得分C= C1+C2+C3+C4+C5+C6+C7</w:t>
            </w:r>
          </w:p>
        </w:tc>
      </w:tr>
      <w:tr>
        <w:tblPrEx>
          <w:tblCellMar>
            <w:top w:w="0" w:type="dxa"/>
            <w:left w:w="108" w:type="dxa"/>
            <w:bottom w:w="0" w:type="dxa"/>
            <w:right w:w="108" w:type="dxa"/>
          </w:tblCellMar>
        </w:tblPrEx>
        <w:trPr>
          <w:trHeight w:val="20" w:hRule="atLeast"/>
          <w:jc w:val="center"/>
        </w:trPr>
        <w:tc>
          <w:tcPr>
            <w:tcW w:w="8958" w:type="dxa"/>
            <w:gridSpan w:val="4"/>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s="宋体"/>
                <w:color w:val="auto"/>
                <w:spacing w:val="-2"/>
                <w:sz w:val="24"/>
                <w:highlight w:val="none"/>
              </w:rPr>
            </w:pPr>
            <w:r>
              <w:rPr>
                <w:rFonts w:hint="eastAsia" w:ascii="宋体" w:hAnsi="宋体" w:cs="宋体"/>
                <w:color w:val="auto"/>
                <w:spacing w:val="-2"/>
                <w:sz w:val="24"/>
                <w:highlight w:val="none"/>
              </w:rPr>
              <w:t>各投标人的最终得分为A+B+C</w:t>
            </w:r>
          </w:p>
        </w:tc>
      </w:tr>
      <w:tr>
        <w:tblPrEx>
          <w:tblCellMar>
            <w:top w:w="0" w:type="dxa"/>
            <w:left w:w="108" w:type="dxa"/>
            <w:bottom w:w="0" w:type="dxa"/>
            <w:right w:w="108" w:type="dxa"/>
          </w:tblCellMar>
        </w:tblPrEx>
        <w:trPr>
          <w:trHeight w:val="20" w:hRule="atLeast"/>
          <w:jc w:val="center"/>
        </w:trPr>
        <w:tc>
          <w:tcPr>
            <w:tcW w:w="8958" w:type="dxa"/>
            <w:gridSpan w:val="4"/>
            <w:tcBorders>
              <w:top w:val="single" w:color="000000" w:sz="4" w:space="0"/>
              <w:left w:val="single" w:color="000000" w:sz="4" w:space="0"/>
              <w:bottom w:val="single" w:color="000000" w:sz="4" w:space="0"/>
              <w:right w:val="single" w:color="000000" w:sz="4" w:space="0"/>
            </w:tcBorders>
          </w:tcPr>
          <w:p>
            <w:pPr>
              <w:spacing w:line="440" w:lineRule="exact"/>
              <w:rPr>
                <w:rFonts w:ascii="宋体" w:hAnsi="宋体" w:cs="宋体"/>
                <w:color w:val="auto"/>
                <w:spacing w:val="-2"/>
                <w:sz w:val="24"/>
                <w:highlight w:val="none"/>
              </w:rPr>
            </w:pPr>
            <w:r>
              <w:rPr>
                <w:rFonts w:hint="eastAsia" w:ascii="宋体" w:hAnsi="宋体" w:cs="宋体"/>
                <w:color w:val="auto"/>
                <w:spacing w:val="-2"/>
                <w:sz w:val="24"/>
                <w:highlight w:val="none"/>
              </w:rPr>
              <w:t>注：评分项中涉及的相关证明材料（如证书、公告、合同、通知书、验收证书、荣誉证明等）若有属于“可以通过互联网或者相关信息系统查询的信息”，投标人可不提供复印件，提供查询网址链接、证书编号（或提供查询所需信息）视同响应评分项要求。若评标委员会通过投标人提供的查询网址链接无法查询或查询到信息不符合招标文件要求的，评标委员会将按照不利于投标人的内容进行认定。此条款表述若与上述评分项表述有矛盾，以此条款为准。</w:t>
            </w:r>
          </w:p>
        </w:tc>
      </w:tr>
    </w:tbl>
    <w:p>
      <w:pPr>
        <w:pStyle w:val="20"/>
        <w:tabs>
          <w:tab w:val="left" w:pos="312"/>
        </w:tabs>
        <w:spacing w:line="400" w:lineRule="exact"/>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2</w:t>
      </w:r>
      <w:r>
        <w:rPr>
          <w:rFonts w:hint="eastAsia" w:hAnsi="宋体" w:cs="宋体"/>
          <w:color w:val="auto"/>
          <w:sz w:val="24"/>
          <w:szCs w:val="24"/>
          <w:highlight w:val="none"/>
        </w:rPr>
        <w:t>）符合性审查相关要求详见投标人须知</w:t>
      </w:r>
      <w:r>
        <w:rPr>
          <w:rFonts w:hAnsi="宋体" w:cs="宋体"/>
          <w:color w:val="auto"/>
          <w:sz w:val="24"/>
          <w:szCs w:val="24"/>
          <w:highlight w:val="none"/>
        </w:rPr>
        <w:t>26.1</w:t>
      </w:r>
      <w:r>
        <w:rPr>
          <w:rFonts w:hint="eastAsia" w:hAnsi="宋体" w:cs="宋体"/>
          <w:color w:val="auto"/>
          <w:sz w:val="24"/>
          <w:szCs w:val="24"/>
          <w:highlight w:val="none"/>
        </w:rPr>
        <w:t>。</w:t>
      </w:r>
    </w:p>
    <w:p>
      <w:pPr>
        <w:pStyle w:val="20"/>
        <w:tabs>
          <w:tab w:val="left" w:pos="312"/>
        </w:tabs>
        <w:spacing w:line="400" w:lineRule="exact"/>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3</w:t>
      </w:r>
      <w:r>
        <w:rPr>
          <w:rFonts w:hint="eastAsia" w:hAnsi="宋体" w:cs="宋体"/>
          <w:color w:val="auto"/>
          <w:sz w:val="24"/>
          <w:szCs w:val="24"/>
          <w:highlight w:val="none"/>
        </w:rPr>
        <w:t>）核价原则详见投标人须知</w:t>
      </w:r>
      <w:r>
        <w:rPr>
          <w:rFonts w:hAnsi="宋体" w:cs="宋体"/>
          <w:color w:val="auto"/>
          <w:sz w:val="24"/>
          <w:szCs w:val="24"/>
          <w:highlight w:val="none"/>
        </w:rPr>
        <w:t>26.2</w:t>
      </w:r>
      <w:r>
        <w:rPr>
          <w:rFonts w:hint="eastAsia" w:hAnsi="宋体" w:cs="宋体"/>
          <w:color w:val="auto"/>
          <w:sz w:val="24"/>
          <w:szCs w:val="24"/>
          <w:highlight w:val="none"/>
        </w:rPr>
        <w:t>。</w:t>
      </w:r>
    </w:p>
    <w:p>
      <w:pPr>
        <w:pStyle w:val="20"/>
        <w:tabs>
          <w:tab w:val="left" w:pos="312"/>
        </w:tabs>
        <w:spacing w:line="400" w:lineRule="exact"/>
        <w:rPr>
          <w:rFonts w:cs="宋体"/>
          <w:color w:val="auto"/>
          <w:sz w:val="24"/>
          <w:szCs w:val="24"/>
          <w:highlight w:val="none"/>
        </w:rPr>
      </w:pPr>
      <w:r>
        <w:rPr>
          <w:rFonts w:hint="eastAsia" w:cs="宋体"/>
          <w:color w:val="auto"/>
          <w:sz w:val="24"/>
          <w:szCs w:val="24"/>
          <w:highlight w:val="none"/>
        </w:rPr>
        <w:t>（</w:t>
      </w:r>
      <w:r>
        <w:rPr>
          <w:rFonts w:cs="宋体"/>
          <w:color w:val="auto"/>
          <w:sz w:val="24"/>
          <w:szCs w:val="24"/>
          <w:highlight w:val="none"/>
        </w:rPr>
        <w:t>4</w:t>
      </w:r>
      <w:r>
        <w:rPr>
          <w:rFonts w:hint="eastAsia" w:cs="宋体"/>
          <w:color w:val="auto"/>
          <w:sz w:val="24"/>
          <w:szCs w:val="24"/>
          <w:highlight w:val="none"/>
        </w:rPr>
        <w:t>）价格扣除原则（若有）：</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对小型或微型企业、监狱企业以及残疾人福利性单位，在评审时按投标人须知前附表的规定对其投标价格给予</w:t>
      </w:r>
      <w:r>
        <w:rPr>
          <w:rFonts w:cs="宋体"/>
          <w:color w:val="auto"/>
          <w:sz w:val="24"/>
          <w:szCs w:val="24"/>
          <w:highlight w:val="none"/>
        </w:rPr>
        <w:t>20%</w:t>
      </w:r>
      <w:r>
        <w:rPr>
          <w:rFonts w:hint="eastAsia" w:cs="宋体"/>
          <w:color w:val="auto"/>
          <w:sz w:val="24"/>
          <w:szCs w:val="24"/>
          <w:highlight w:val="none"/>
        </w:rPr>
        <w:t>价格扣除</w:t>
      </w:r>
      <w:r>
        <w:rPr>
          <w:rFonts w:cs="宋体"/>
          <w:color w:val="auto"/>
          <w:sz w:val="24"/>
          <w:szCs w:val="24"/>
          <w:highlight w:val="none"/>
        </w:rPr>
        <w:t>,</w:t>
      </w:r>
      <w:r>
        <w:rPr>
          <w:rFonts w:hint="eastAsia" w:cs="宋体"/>
          <w:color w:val="auto"/>
          <w:sz w:val="24"/>
          <w:szCs w:val="24"/>
          <w:highlight w:val="none"/>
        </w:rPr>
        <w:t>对于分包意向协议约定小微企业的合同份额占到合同总金额</w:t>
      </w:r>
      <w:r>
        <w:rPr>
          <w:rFonts w:cs="宋体"/>
          <w:color w:val="auto"/>
          <w:sz w:val="24"/>
          <w:szCs w:val="24"/>
          <w:highlight w:val="none"/>
        </w:rPr>
        <w:t>30%</w:t>
      </w:r>
      <w:r>
        <w:rPr>
          <w:rFonts w:hint="eastAsia" w:cs="宋体"/>
          <w:color w:val="auto"/>
          <w:sz w:val="24"/>
          <w:szCs w:val="24"/>
          <w:highlight w:val="none"/>
        </w:rPr>
        <w:t>以上（含）的，对大中型企业的报价扣除比例为</w:t>
      </w:r>
      <w:r>
        <w:rPr>
          <w:rFonts w:cs="宋体"/>
          <w:color w:val="auto"/>
          <w:sz w:val="24"/>
          <w:szCs w:val="24"/>
          <w:highlight w:val="none"/>
        </w:rPr>
        <w:t>6%</w:t>
      </w:r>
      <w:r>
        <w:rPr>
          <w:rFonts w:hint="eastAsia" w:cs="宋体"/>
          <w:color w:val="auto"/>
          <w:sz w:val="24"/>
          <w:szCs w:val="24"/>
          <w:highlight w:val="none"/>
        </w:rPr>
        <w:t>。小型或微型企业投标人须在投标文件中提供《政府采购促进中小企业发展管理办法》</w:t>
      </w:r>
      <w:r>
        <w:rPr>
          <w:rFonts w:cs="宋体"/>
          <w:color w:val="auto"/>
          <w:sz w:val="24"/>
          <w:szCs w:val="24"/>
          <w:highlight w:val="none"/>
        </w:rPr>
        <w:t>(</w:t>
      </w:r>
      <w:r>
        <w:rPr>
          <w:rFonts w:hint="eastAsia" w:cs="宋体"/>
          <w:color w:val="auto"/>
          <w:sz w:val="24"/>
          <w:szCs w:val="24"/>
          <w:highlight w:val="none"/>
        </w:rPr>
        <w:t>财库〔</w:t>
      </w:r>
      <w:r>
        <w:rPr>
          <w:rFonts w:cs="宋体"/>
          <w:color w:val="auto"/>
          <w:sz w:val="24"/>
          <w:szCs w:val="24"/>
          <w:highlight w:val="none"/>
        </w:rPr>
        <w:t>2020</w:t>
      </w:r>
      <w:r>
        <w:rPr>
          <w:rFonts w:hint="eastAsia" w:cs="宋体"/>
          <w:color w:val="auto"/>
          <w:sz w:val="24"/>
          <w:szCs w:val="24"/>
          <w:highlight w:val="none"/>
        </w:rPr>
        <w:t>〕</w:t>
      </w:r>
      <w:r>
        <w:rPr>
          <w:rFonts w:cs="宋体"/>
          <w:color w:val="auto"/>
          <w:sz w:val="24"/>
          <w:szCs w:val="24"/>
          <w:highlight w:val="none"/>
        </w:rPr>
        <w:t>46</w:t>
      </w:r>
      <w:r>
        <w:rPr>
          <w:rFonts w:hint="eastAsia" w:cs="宋体"/>
          <w:color w:val="auto"/>
          <w:sz w:val="24"/>
          <w:szCs w:val="24"/>
          <w:highlight w:val="none"/>
        </w:rPr>
        <w:t>号</w:t>
      </w:r>
      <w:r>
        <w:rPr>
          <w:rFonts w:cs="宋体"/>
          <w:color w:val="auto"/>
          <w:sz w:val="24"/>
          <w:szCs w:val="24"/>
          <w:highlight w:val="none"/>
        </w:rPr>
        <w:t>)</w:t>
      </w:r>
      <w:r>
        <w:rPr>
          <w:rFonts w:hint="eastAsia" w:cs="宋体"/>
          <w:color w:val="auto"/>
          <w:sz w:val="24"/>
          <w:szCs w:val="24"/>
          <w:highlight w:val="none"/>
        </w:rPr>
        <w:t>规定的《中小企业声明函》</w:t>
      </w:r>
      <w:r>
        <w:rPr>
          <w:rFonts w:cs="宋体"/>
          <w:color w:val="auto"/>
          <w:sz w:val="24"/>
          <w:szCs w:val="24"/>
          <w:highlight w:val="none"/>
        </w:rPr>
        <w:t>(</w:t>
      </w:r>
      <w:r>
        <w:rPr>
          <w:rFonts w:hint="eastAsia" w:cs="宋体"/>
          <w:color w:val="auto"/>
          <w:sz w:val="24"/>
          <w:szCs w:val="24"/>
          <w:highlight w:val="none"/>
        </w:rPr>
        <w:t>格式见“第五章　投标文件组成”</w:t>
      </w:r>
      <w:r>
        <w:rPr>
          <w:rFonts w:cs="宋体"/>
          <w:color w:val="auto"/>
          <w:sz w:val="24"/>
          <w:szCs w:val="24"/>
          <w:highlight w:val="none"/>
        </w:rPr>
        <w:t>)</w:t>
      </w:r>
      <w:r>
        <w:rPr>
          <w:rFonts w:hint="eastAsia" w:cs="宋体"/>
          <w:color w:val="auto"/>
          <w:sz w:val="24"/>
          <w:szCs w:val="24"/>
          <w:highlight w:val="none"/>
        </w:rPr>
        <w:t>，否则在评审时将不给予价格扣除；监狱企业须在投标文件中提供由省级以上监狱管理局、戒毒管理局（含新疆生产建设兵团）出具的属于监狱企业的证明文件，否则在评审时将不给予价格扣除；残疾人福利性单位视同小型、微型企业，享受促进中小企业发展的政府采购政策，残疾人福利性单位须在投标文件中提供《残疾人福利性单位声明函》并对声明的真实性负责，否则评审时不予价格扣除优惠。</w:t>
      </w:r>
    </w:p>
    <w:p>
      <w:pPr>
        <w:pStyle w:val="20"/>
        <w:spacing w:line="460" w:lineRule="exact"/>
        <w:ind w:firstLine="480" w:firstLineChars="200"/>
        <w:jc w:val="left"/>
        <w:rPr>
          <w:rFonts w:cs="宋体"/>
          <w:color w:val="auto"/>
          <w:sz w:val="24"/>
          <w:szCs w:val="24"/>
          <w:highlight w:val="none"/>
        </w:rPr>
      </w:pPr>
      <w:r>
        <w:rPr>
          <w:rFonts w:hint="eastAsia" w:cs="宋体"/>
          <w:color w:val="auto"/>
          <w:sz w:val="24"/>
          <w:szCs w:val="24"/>
          <w:highlight w:val="none"/>
        </w:rPr>
        <w:t>根据财政部、工业和信息化部关于发布《政府采购促进中小企业发展管理办法》</w:t>
      </w:r>
      <w:r>
        <w:rPr>
          <w:rFonts w:cs="宋体"/>
          <w:color w:val="auto"/>
          <w:sz w:val="24"/>
          <w:szCs w:val="24"/>
          <w:highlight w:val="none"/>
        </w:rPr>
        <w:t>(</w:t>
      </w:r>
      <w:r>
        <w:rPr>
          <w:rFonts w:hint="eastAsia" w:cs="宋体"/>
          <w:color w:val="auto"/>
          <w:sz w:val="24"/>
          <w:szCs w:val="24"/>
          <w:highlight w:val="none"/>
        </w:rPr>
        <w:t>财库〔</w:t>
      </w:r>
      <w:r>
        <w:rPr>
          <w:rFonts w:cs="宋体"/>
          <w:color w:val="auto"/>
          <w:sz w:val="24"/>
          <w:szCs w:val="24"/>
          <w:highlight w:val="none"/>
        </w:rPr>
        <w:t>2020</w:t>
      </w:r>
      <w:r>
        <w:rPr>
          <w:rFonts w:hint="eastAsia" w:cs="宋体"/>
          <w:color w:val="auto"/>
          <w:sz w:val="24"/>
          <w:szCs w:val="24"/>
          <w:highlight w:val="none"/>
        </w:rPr>
        <w:t>〕</w:t>
      </w:r>
      <w:r>
        <w:rPr>
          <w:rFonts w:cs="宋体"/>
          <w:color w:val="auto"/>
          <w:sz w:val="24"/>
          <w:szCs w:val="24"/>
          <w:highlight w:val="none"/>
        </w:rPr>
        <w:t>46</w:t>
      </w:r>
      <w:r>
        <w:rPr>
          <w:rFonts w:hint="eastAsia" w:cs="宋体"/>
          <w:color w:val="auto"/>
          <w:sz w:val="24"/>
          <w:szCs w:val="24"/>
          <w:highlight w:val="none"/>
        </w:rPr>
        <w:t>号</w:t>
      </w:r>
      <w:r>
        <w:rPr>
          <w:rFonts w:cs="宋体"/>
          <w:color w:val="auto"/>
          <w:sz w:val="24"/>
          <w:szCs w:val="24"/>
          <w:highlight w:val="none"/>
        </w:rPr>
        <w:t>)</w:t>
      </w:r>
      <w:r>
        <w:rPr>
          <w:rFonts w:hint="eastAsia" w:cs="宋体"/>
          <w:color w:val="auto"/>
          <w:sz w:val="24"/>
          <w:szCs w:val="24"/>
          <w:highlight w:val="none"/>
        </w:rPr>
        <w:t>规定，本办法所称中小企业，是指在中华人民共和国境内依法设立，依据国务院批准的中小企业划分标准确定的中型企业、小型企业和微型企业，但与大企业的负责人为同一人，或者与大企业存在直接控股、管理关系的除外。</w:t>
      </w:r>
      <w:r>
        <w:rPr>
          <w:rFonts w:cs="宋体"/>
          <w:color w:val="auto"/>
          <w:sz w:val="24"/>
          <w:szCs w:val="24"/>
          <w:highlight w:val="none"/>
        </w:rPr>
        <w:t xml:space="preserve"> 1</w:t>
      </w:r>
      <w:r>
        <w:rPr>
          <w:rFonts w:hint="eastAsia" w:cs="宋体"/>
          <w:color w:val="auto"/>
          <w:sz w:val="24"/>
          <w:szCs w:val="24"/>
          <w:highlight w:val="none"/>
        </w:rPr>
        <w:t>、在政府采购活动中，供应商提供的货物、工程或者服务符合下列情形的，享受本评标项目第</w:t>
      </w:r>
      <w:r>
        <w:rPr>
          <w:rFonts w:cs="宋体"/>
          <w:color w:val="auto"/>
          <w:sz w:val="24"/>
          <w:szCs w:val="24"/>
          <w:highlight w:val="none"/>
        </w:rPr>
        <w:t>2</w:t>
      </w:r>
      <w:r>
        <w:rPr>
          <w:rFonts w:hint="eastAsia" w:cs="宋体"/>
          <w:color w:val="auto"/>
          <w:sz w:val="24"/>
          <w:szCs w:val="24"/>
          <w:highlight w:val="none"/>
        </w:rPr>
        <w:t>点规定的中小企业扶持政策：在服务采购项目中，服务由中小企业承接，即提供服务的人员为中小企业依照《中华人民共和国劳动合同法》订立劳动合同的从业人员。</w:t>
      </w:r>
      <w:r>
        <w:rPr>
          <w:rFonts w:cs="宋体"/>
          <w:color w:val="auto"/>
          <w:sz w:val="24"/>
          <w:szCs w:val="24"/>
          <w:highlight w:val="none"/>
        </w:rPr>
        <w:t>2</w:t>
      </w:r>
      <w:r>
        <w:rPr>
          <w:rFonts w:hint="eastAsia" w:cs="宋体"/>
          <w:color w:val="auto"/>
          <w:sz w:val="24"/>
          <w:szCs w:val="24"/>
          <w:highlight w:val="none"/>
        </w:rPr>
        <w:t>、本项目为非专门面向中小企业的项目，对小微企业报价给予</w:t>
      </w:r>
      <w:r>
        <w:rPr>
          <w:rFonts w:cs="宋体"/>
          <w:color w:val="auto"/>
          <w:sz w:val="24"/>
          <w:szCs w:val="24"/>
          <w:highlight w:val="none"/>
        </w:rPr>
        <w:t>20%</w:t>
      </w:r>
      <w:r>
        <w:rPr>
          <w:rFonts w:hint="eastAsia" w:cs="宋体"/>
          <w:color w:val="auto"/>
          <w:sz w:val="24"/>
          <w:szCs w:val="24"/>
          <w:highlight w:val="none"/>
        </w:rPr>
        <w:t>的扣除，对于分包意向协议约定小微企业的合同份额占到合同总金额</w:t>
      </w:r>
      <w:r>
        <w:rPr>
          <w:rFonts w:cs="宋体"/>
          <w:color w:val="auto"/>
          <w:sz w:val="24"/>
          <w:szCs w:val="24"/>
          <w:highlight w:val="none"/>
        </w:rPr>
        <w:t xml:space="preserve"> 30%</w:t>
      </w:r>
      <w:r>
        <w:rPr>
          <w:rFonts w:hint="eastAsia" w:cs="宋体"/>
          <w:color w:val="auto"/>
          <w:sz w:val="24"/>
          <w:szCs w:val="24"/>
          <w:highlight w:val="none"/>
        </w:rPr>
        <w:t>以上（含）的，对大中型企业的报价扣除比例为</w:t>
      </w:r>
      <w:r>
        <w:rPr>
          <w:rFonts w:cs="宋体"/>
          <w:color w:val="auto"/>
          <w:sz w:val="24"/>
          <w:szCs w:val="24"/>
          <w:highlight w:val="none"/>
        </w:rPr>
        <w:t>6%</w:t>
      </w:r>
      <w:r>
        <w:rPr>
          <w:rFonts w:hint="eastAsia" w:cs="宋体"/>
          <w:color w:val="auto"/>
          <w:sz w:val="24"/>
          <w:szCs w:val="24"/>
          <w:highlight w:val="none"/>
        </w:rPr>
        <w:t>，用扣除后的价格参加评审。</w:t>
      </w:r>
      <w:r>
        <w:rPr>
          <w:rFonts w:cs="宋体"/>
          <w:color w:val="auto"/>
          <w:sz w:val="24"/>
          <w:szCs w:val="24"/>
          <w:highlight w:val="none"/>
        </w:rPr>
        <w:t>3</w:t>
      </w:r>
      <w:r>
        <w:rPr>
          <w:rFonts w:hint="eastAsia" w:cs="宋体"/>
          <w:color w:val="auto"/>
          <w:sz w:val="24"/>
          <w:szCs w:val="24"/>
          <w:highlight w:val="none"/>
        </w:rPr>
        <w:t>、依据《政府采购促进中小企业发展管理办法》规定享受扶持政策获得政府采购合同的，小微企业不得将合同分包给大中型企业，中型企业不得将合同分包给大型企业。</w:t>
      </w:r>
      <w:r>
        <w:rPr>
          <w:rFonts w:cs="宋体"/>
          <w:color w:val="auto"/>
          <w:sz w:val="24"/>
          <w:szCs w:val="24"/>
          <w:highlight w:val="none"/>
        </w:rPr>
        <w:t>4</w:t>
      </w:r>
      <w:r>
        <w:rPr>
          <w:rFonts w:hint="eastAsia" w:cs="宋体"/>
          <w:color w:val="auto"/>
          <w:sz w:val="24"/>
          <w:szCs w:val="24"/>
          <w:highlight w:val="none"/>
        </w:rPr>
        <w:t>、本项目为服务类采购项目，对应的中小企业划分标准所属行业为</w:t>
      </w:r>
      <w:r>
        <w:rPr>
          <w:rFonts w:hint="eastAsia" w:cs="宋体"/>
          <w:b/>
          <w:color w:val="auto"/>
          <w:sz w:val="24"/>
          <w:szCs w:val="24"/>
          <w:highlight w:val="none"/>
        </w:rPr>
        <w:t>软件和信息技术服务业</w:t>
      </w:r>
      <w:r>
        <w:rPr>
          <w:rFonts w:hint="eastAsia" w:cs="宋体"/>
          <w:color w:val="auto"/>
          <w:sz w:val="24"/>
          <w:szCs w:val="24"/>
          <w:highlight w:val="none"/>
        </w:rPr>
        <w:t>。</w:t>
      </w:r>
    </w:p>
    <w:p>
      <w:pPr>
        <w:pStyle w:val="4"/>
        <w:jc w:val="center"/>
        <w:rPr>
          <w:color w:val="auto"/>
          <w:sz w:val="24"/>
          <w:highlight w:val="none"/>
        </w:rPr>
      </w:pPr>
      <w:r>
        <w:rPr>
          <w:color w:val="auto"/>
          <w:sz w:val="24"/>
          <w:highlight w:val="none"/>
        </w:rPr>
        <w:br w:type="page"/>
      </w:r>
      <w:r>
        <w:rPr>
          <w:rFonts w:hint="eastAsia"/>
          <w:color w:val="auto"/>
          <w:highlight w:val="none"/>
        </w:rPr>
        <w:t>第四章　拟签订的合同文本</w:t>
      </w:r>
    </w:p>
    <w:p>
      <w:pPr>
        <w:pStyle w:val="20"/>
        <w:ind w:firstLine="420" w:firstLineChars="200"/>
        <w:jc w:val="center"/>
        <w:rPr>
          <w:rFonts w:ascii="Times New Roman" w:hAnsi="Times New Roman"/>
          <w:color w:val="auto"/>
          <w:highlight w:val="none"/>
        </w:rPr>
      </w:pPr>
    </w:p>
    <w:p>
      <w:pPr>
        <w:pStyle w:val="20"/>
        <w:ind w:firstLine="420" w:firstLineChars="200"/>
        <w:jc w:val="center"/>
        <w:rPr>
          <w:rFonts w:ascii="Times New Roman" w:hAnsi="Times New Roman"/>
          <w:color w:val="auto"/>
          <w:highlight w:val="none"/>
        </w:rPr>
      </w:pPr>
    </w:p>
    <w:p>
      <w:pPr>
        <w:pStyle w:val="20"/>
        <w:ind w:firstLine="420" w:firstLineChars="200"/>
        <w:jc w:val="center"/>
        <w:rPr>
          <w:rFonts w:ascii="Times New Roman" w:hAnsi="Times New Roman"/>
          <w:color w:val="auto"/>
          <w:highlight w:val="none"/>
        </w:rPr>
      </w:pPr>
    </w:p>
    <w:p>
      <w:pPr>
        <w:pStyle w:val="20"/>
        <w:ind w:firstLine="420" w:firstLineChars="200"/>
        <w:jc w:val="center"/>
        <w:rPr>
          <w:rFonts w:ascii="Times New Roman" w:hAnsi="Times New Roman"/>
          <w:color w:val="auto"/>
          <w:highlight w:val="none"/>
        </w:rPr>
      </w:pPr>
    </w:p>
    <w:p>
      <w:pPr>
        <w:pStyle w:val="20"/>
        <w:ind w:firstLine="420" w:firstLineChars="200"/>
        <w:jc w:val="center"/>
        <w:rPr>
          <w:rFonts w:ascii="Times New Roman" w:hAnsi="Times New Roman"/>
          <w:color w:val="auto"/>
          <w:highlight w:val="none"/>
        </w:rPr>
      </w:pPr>
    </w:p>
    <w:p>
      <w:pPr>
        <w:pStyle w:val="20"/>
        <w:ind w:firstLine="420" w:firstLineChars="200"/>
        <w:jc w:val="center"/>
        <w:rPr>
          <w:rFonts w:ascii="Times New Roman" w:hAnsi="Times New Roman"/>
          <w:color w:val="auto"/>
          <w:highlight w:val="none"/>
        </w:rPr>
      </w:pPr>
    </w:p>
    <w:p>
      <w:pPr>
        <w:pStyle w:val="20"/>
        <w:ind w:firstLine="480" w:firstLineChars="200"/>
        <w:jc w:val="center"/>
        <w:rPr>
          <w:rFonts w:cs="宋体"/>
          <w:color w:val="auto"/>
          <w:sz w:val="24"/>
          <w:szCs w:val="24"/>
          <w:highlight w:val="none"/>
        </w:rPr>
      </w:pPr>
      <w:r>
        <w:rPr>
          <w:rFonts w:cs="宋体"/>
          <w:color w:val="auto"/>
          <w:sz w:val="24"/>
          <w:szCs w:val="24"/>
          <w:highlight w:val="none"/>
        </w:rPr>
        <w:t>____________</w:t>
      </w:r>
      <w:r>
        <w:rPr>
          <w:rFonts w:hint="eastAsia" w:cs="宋体"/>
          <w:color w:val="auto"/>
          <w:sz w:val="24"/>
          <w:szCs w:val="24"/>
          <w:highlight w:val="none"/>
        </w:rPr>
        <w:t>项目</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8"/>
        <w:jc w:val="center"/>
        <w:rPr>
          <w:rFonts w:ascii="宋体" w:cs="宋体"/>
          <w:color w:val="auto"/>
          <w:highlight w:val="none"/>
        </w:rPr>
      </w:pPr>
      <w:r>
        <w:rPr>
          <w:rFonts w:hint="eastAsia" w:ascii="宋体" w:cs="宋体"/>
          <w:color w:val="auto"/>
          <w:highlight w:val="none"/>
        </w:rPr>
        <w:t>合　　同</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合同编号：</w:t>
      </w:r>
      <w:r>
        <w:rPr>
          <w:rFonts w:cs="宋体"/>
          <w:color w:val="auto"/>
          <w:sz w:val="24"/>
          <w:szCs w:val="24"/>
          <w:highlight w:val="none"/>
        </w:rPr>
        <w:t>____________________</w:t>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甲　　方：</w:t>
      </w:r>
      <w:r>
        <w:rPr>
          <w:rFonts w:cs="宋体"/>
          <w:color w:val="auto"/>
          <w:sz w:val="24"/>
          <w:szCs w:val="24"/>
          <w:highlight w:val="none"/>
        </w:rPr>
        <w:t>____________________(</w:t>
      </w:r>
      <w:r>
        <w:rPr>
          <w:rFonts w:hint="eastAsia" w:cs="宋体"/>
          <w:color w:val="auto"/>
          <w:sz w:val="24"/>
          <w:szCs w:val="24"/>
          <w:highlight w:val="none"/>
        </w:rPr>
        <w:t>采购人名称</w:t>
      </w:r>
      <w:r>
        <w:rPr>
          <w:rFonts w:cs="宋体"/>
          <w:color w:val="auto"/>
          <w:sz w:val="24"/>
          <w:szCs w:val="24"/>
          <w:highlight w:val="none"/>
        </w:rPr>
        <w:t>)</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乙　　方：</w:t>
      </w:r>
      <w:r>
        <w:rPr>
          <w:rFonts w:cs="宋体"/>
          <w:color w:val="auto"/>
          <w:sz w:val="24"/>
          <w:szCs w:val="24"/>
          <w:highlight w:val="none"/>
        </w:rPr>
        <w:t>____________________(</w:t>
      </w:r>
      <w:r>
        <w:rPr>
          <w:rFonts w:hint="eastAsia" w:cs="宋体"/>
          <w:color w:val="auto"/>
          <w:sz w:val="24"/>
          <w:szCs w:val="24"/>
          <w:highlight w:val="none"/>
        </w:rPr>
        <w:t>供应商名称</w:t>
      </w:r>
      <w:r>
        <w:rPr>
          <w:rFonts w:cs="宋体"/>
          <w:color w:val="auto"/>
          <w:sz w:val="24"/>
          <w:szCs w:val="24"/>
          <w:highlight w:val="none"/>
        </w:rPr>
        <w:t>)</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根据《中华人民共和国政府采购法》、《中华人民共和国民法典》等有关法律法规规定，</w:t>
      </w:r>
      <w:r>
        <w:rPr>
          <w:rFonts w:cs="宋体"/>
          <w:color w:val="auto"/>
          <w:sz w:val="24"/>
          <w:szCs w:val="24"/>
          <w:highlight w:val="none"/>
        </w:rPr>
        <w:t>____________(</w:t>
      </w:r>
      <w:r>
        <w:rPr>
          <w:rFonts w:hint="eastAsia" w:cs="宋体"/>
          <w:color w:val="auto"/>
          <w:sz w:val="24"/>
          <w:szCs w:val="24"/>
          <w:highlight w:val="none"/>
        </w:rPr>
        <w:t>采购人名称</w:t>
      </w:r>
      <w:r>
        <w:rPr>
          <w:rFonts w:cs="宋体"/>
          <w:color w:val="auto"/>
          <w:sz w:val="24"/>
          <w:szCs w:val="24"/>
          <w:highlight w:val="none"/>
        </w:rPr>
        <w:t>)(</w:t>
      </w:r>
      <w:r>
        <w:rPr>
          <w:rFonts w:hint="eastAsia" w:cs="宋体"/>
          <w:color w:val="auto"/>
          <w:sz w:val="24"/>
          <w:szCs w:val="24"/>
          <w:highlight w:val="none"/>
        </w:rPr>
        <w:t>以下简称：“甲方”</w:t>
      </w:r>
      <w:r>
        <w:rPr>
          <w:rFonts w:cs="宋体"/>
          <w:color w:val="auto"/>
          <w:sz w:val="24"/>
          <w:szCs w:val="24"/>
          <w:highlight w:val="none"/>
        </w:rPr>
        <w:t>)</w:t>
      </w:r>
      <w:r>
        <w:rPr>
          <w:rFonts w:hint="eastAsia" w:cs="宋体"/>
          <w:color w:val="auto"/>
          <w:sz w:val="24"/>
          <w:szCs w:val="24"/>
          <w:highlight w:val="none"/>
        </w:rPr>
        <w:t>通过</w:t>
      </w:r>
      <w:r>
        <w:rPr>
          <w:rFonts w:cs="宋体"/>
          <w:color w:val="auto"/>
          <w:sz w:val="24"/>
          <w:szCs w:val="24"/>
          <w:highlight w:val="none"/>
        </w:rPr>
        <w:t>______</w:t>
      </w:r>
      <w:r>
        <w:rPr>
          <w:rFonts w:hint="eastAsia" w:cs="宋体"/>
          <w:color w:val="auto"/>
          <w:sz w:val="24"/>
          <w:szCs w:val="24"/>
          <w:highlight w:val="none"/>
        </w:rPr>
        <w:t>采购</w:t>
      </w:r>
      <w:r>
        <w:rPr>
          <w:rFonts w:cs="宋体"/>
          <w:color w:val="auto"/>
          <w:sz w:val="24"/>
          <w:szCs w:val="24"/>
          <w:highlight w:val="none"/>
        </w:rPr>
        <w:t>(</w:t>
      </w:r>
      <w:r>
        <w:rPr>
          <w:rFonts w:hint="eastAsia" w:cs="宋体"/>
          <w:color w:val="auto"/>
          <w:sz w:val="24"/>
          <w:szCs w:val="24"/>
          <w:highlight w:val="none"/>
        </w:rPr>
        <w:t>采购方式</w:t>
      </w:r>
      <w:r>
        <w:rPr>
          <w:rFonts w:cs="宋体"/>
          <w:color w:val="auto"/>
          <w:sz w:val="24"/>
          <w:szCs w:val="24"/>
          <w:highlight w:val="none"/>
        </w:rPr>
        <w:t>)</w:t>
      </w:r>
      <w:r>
        <w:rPr>
          <w:rFonts w:hint="eastAsia" w:cs="宋体"/>
          <w:color w:val="auto"/>
          <w:sz w:val="24"/>
          <w:szCs w:val="24"/>
          <w:highlight w:val="none"/>
        </w:rPr>
        <w:t>确定</w:t>
      </w:r>
      <w:r>
        <w:rPr>
          <w:rFonts w:cs="宋体"/>
          <w:color w:val="auto"/>
          <w:sz w:val="24"/>
          <w:szCs w:val="24"/>
          <w:highlight w:val="none"/>
        </w:rPr>
        <w:t>______(</w:t>
      </w:r>
      <w:r>
        <w:rPr>
          <w:rFonts w:hint="eastAsia" w:cs="宋体"/>
          <w:color w:val="auto"/>
          <w:sz w:val="24"/>
          <w:szCs w:val="24"/>
          <w:highlight w:val="none"/>
        </w:rPr>
        <w:t>供应商名称</w:t>
      </w:r>
      <w:r>
        <w:rPr>
          <w:rFonts w:cs="宋体"/>
          <w:color w:val="auto"/>
          <w:sz w:val="24"/>
          <w:szCs w:val="24"/>
          <w:highlight w:val="none"/>
        </w:rPr>
        <w:t>)(</w:t>
      </w:r>
      <w:r>
        <w:rPr>
          <w:rFonts w:hint="eastAsia" w:cs="宋体"/>
          <w:color w:val="auto"/>
          <w:sz w:val="24"/>
          <w:szCs w:val="24"/>
          <w:highlight w:val="none"/>
        </w:rPr>
        <w:t>以下简称：“乙方”</w:t>
      </w:r>
      <w:r>
        <w:rPr>
          <w:rFonts w:cs="宋体"/>
          <w:color w:val="auto"/>
          <w:sz w:val="24"/>
          <w:szCs w:val="24"/>
          <w:highlight w:val="none"/>
        </w:rPr>
        <w:t>)</w:t>
      </w:r>
      <w:r>
        <w:rPr>
          <w:rFonts w:hint="eastAsia" w:cs="宋体"/>
          <w:color w:val="auto"/>
          <w:sz w:val="24"/>
          <w:szCs w:val="24"/>
          <w:highlight w:val="none"/>
        </w:rPr>
        <w:t>为</w:t>
      </w:r>
      <w:r>
        <w:rPr>
          <w:rFonts w:cs="宋体"/>
          <w:color w:val="auto"/>
          <w:sz w:val="24"/>
          <w:szCs w:val="24"/>
          <w:highlight w:val="none"/>
        </w:rPr>
        <w:t>______</w:t>
      </w:r>
      <w:r>
        <w:rPr>
          <w:rFonts w:hint="eastAsia" w:cs="宋体"/>
          <w:color w:val="auto"/>
          <w:sz w:val="24"/>
          <w:szCs w:val="24"/>
          <w:highlight w:val="none"/>
        </w:rPr>
        <w:t>项目</w:t>
      </w:r>
      <w:r>
        <w:rPr>
          <w:rFonts w:cs="宋体"/>
          <w:color w:val="auto"/>
          <w:sz w:val="24"/>
          <w:szCs w:val="24"/>
          <w:highlight w:val="none"/>
        </w:rPr>
        <w:t>(</w:t>
      </w:r>
      <w:r>
        <w:rPr>
          <w:rFonts w:hint="eastAsia" w:cs="宋体"/>
          <w:color w:val="auto"/>
          <w:sz w:val="24"/>
          <w:szCs w:val="24"/>
          <w:highlight w:val="none"/>
        </w:rPr>
        <w:t>项目名称</w:t>
      </w:r>
      <w:r>
        <w:rPr>
          <w:rFonts w:cs="宋体"/>
          <w:color w:val="auto"/>
          <w:sz w:val="24"/>
          <w:szCs w:val="24"/>
          <w:highlight w:val="none"/>
        </w:rPr>
        <w:t>)</w:t>
      </w:r>
      <w:r>
        <w:rPr>
          <w:rFonts w:hint="eastAsia" w:cs="宋体"/>
          <w:color w:val="auto"/>
          <w:sz w:val="24"/>
          <w:szCs w:val="24"/>
          <w:highlight w:val="none"/>
        </w:rPr>
        <w:t>的</w:t>
      </w:r>
      <w:r>
        <w:rPr>
          <w:rFonts w:cs="宋体"/>
          <w:color w:val="auto"/>
          <w:sz w:val="24"/>
          <w:szCs w:val="24"/>
          <w:highlight w:val="none"/>
        </w:rPr>
        <w:t>______</w:t>
      </w:r>
      <w:r>
        <w:rPr>
          <w:rFonts w:hint="eastAsia" w:cs="宋体"/>
          <w:color w:val="auto"/>
          <w:sz w:val="24"/>
          <w:szCs w:val="24"/>
          <w:highlight w:val="none"/>
        </w:rPr>
        <w:t>供应商。甲乙双方同意签署《</w:t>
      </w:r>
      <w:r>
        <w:rPr>
          <w:rFonts w:cs="宋体"/>
          <w:color w:val="auto"/>
          <w:sz w:val="24"/>
          <w:szCs w:val="24"/>
          <w:highlight w:val="none"/>
        </w:rPr>
        <w:t>______</w:t>
      </w:r>
      <w:r>
        <w:rPr>
          <w:rFonts w:hint="eastAsia" w:cs="宋体"/>
          <w:color w:val="auto"/>
          <w:sz w:val="24"/>
          <w:szCs w:val="24"/>
          <w:highlight w:val="none"/>
        </w:rPr>
        <w:t>项目</w:t>
      </w:r>
      <w:r>
        <w:rPr>
          <w:rFonts w:cs="宋体"/>
          <w:color w:val="auto"/>
          <w:sz w:val="24"/>
          <w:szCs w:val="24"/>
          <w:highlight w:val="none"/>
        </w:rPr>
        <w:t>(</w:t>
      </w:r>
      <w:r>
        <w:rPr>
          <w:rFonts w:hint="eastAsia" w:cs="宋体"/>
          <w:color w:val="auto"/>
          <w:sz w:val="24"/>
          <w:szCs w:val="24"/>
          <w:highlight w:val="none"/>
        </w:rPr>
        <w:t>项目名称</w:t>
      </w:r>
      <w:r>
        <w:rPr>
          <w:rFonts w:cs="宋体"/>
          <w:color w:val="auto"/>
          <w:sz w:val="24"/>
          <w:szCs w:val="24"/>
          <w:highlight w:val="none"/>
        </w:rPr>
        <w:t>)</w:t>
      </w:r>
      <w:r>
        <w:rPr>
          <w:rFonts w:hint="eastAsia" w:cs="宋体"/>
          <w:color w:val="auto"/>
          <w:sz w:val="24"/>
          <w:szCs w:val="24"/>
          <w:highlight w:val="none"/>
        </w:rPr>
        <w:t>合同》</w:t>
      </w:r>
      <w:r>
        <w:rPr>
          <w:rFonts w:cs="宋体"/>
          <w:color w:val="auto"/>
          <w:sz w:val="24"/>
          <w:szCs w:val="24"/>
          <w:highlight w:val="none"/>
        </w:rPr>
        <w:t>(</w:t>
      </w:r>
      <w:r>
        <w:rPr>
          <w:rFonts w:hint="eastAsia" w:cs="宋体"/>
          <w:color w:val="auto"/>
          <w:sz w:val="24"/>
          <w:szCs w:val="24"/>
          <w:highlight w:val="none"/>
        </w:rPr>
        <w:t>合同编号：</w:t>
      </w:r>
      <w:r>
        <w:rPr>
          <w:rFonts w:cs="宋体"/>
          <w:color w:val="auto"/>
          <w:sz w:val="24"/>
          <w:szCs w:val="24"/>
          <w:highlight w:val="none"/>
        </w:rPr>
        <w:t>______</w:t>
      </w:r>
      <w:r>
        <w:rPr>
          <w:rFonts w:hint="eastAsia" w:cs="宋体"/>
          <w:color w:val="auto"/>
          <w:sz w:val="24"/>
          <w:szCs w:val="24"/>
          <w:highlight w:val="none"/>
        </w:rPr>
        <w:t>，以下简称：“合同”</w:t>
      </w:r>
      <w:r>
        <w:rPr>
          <w:rFonts w:cs="宋体"/>
          <w:color w:val="auto"/>
          <w:sz w:val="24"/>
          <w:szCs w:val="24"/>
          <w:highlight w:val="none"/>
        </w:rPr>
        <w:t>)</w:t>
      </w:r>
      <w:r>
        <w:rPr>
          <w:rFonts w:hint="eastAsia" w:cs="宋体"/>
          <w:color w:val="auto"/>
          <w:sz w:val="24"/>
          <w:szCs w:val="24"/>
          <w:highlight w:val="none"/>
        </w:rPr>
        <w:t>。</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合同文件</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下列文件是构成本合同不可分割的部分：</w:t>
      </w:r>
    </w:p>
    <w:p>
      <w:pPr>
        <w:pStyle w:val="20"/>
        <w:numPr>
          <w:ilvl w:val="0"/>
          <w:numId w:val="2"/>
        </w:numPr>
        <w:spacing w:line="360" w:lineRule="exact"/>
        <w:rPr>
          <w:rFonts w:cs="宋体"/>
          <w:color w:val="auto"/>
          <w:sz w:val="24"/>
          <w:szCs w:val="24"/>
          <w:highlight w:val="none"/>
        </w:rPr>
      </w:pPr>
      <w:r>
        <w:rPr>
          <w:rFonts w:hint="eastAsia" w:cs="宋体"/>
          <w:color w:val="auto"/>
          <w:sz w:val="24"/>
          <w:szCs w:val="24"/>
          <w:highlight w:val="none"/>
        </w:rPr>
        <w:t>合同条款；</w:t>
      </w:r>
    </w:p>
    <w:p>
      <w:pPr>
        <w:pStyle w:val="20"/>
        <w:numPr>
          <w:ilvl w:val="0"/>
          <w:numId w:val="2"/>
        </w:numPr>
        <w:spacing w:line="360" w:lineRule="exact"/>
        <w:rPr>
          <w:rFonts w:cs="宋体"/>
          <w:color w:val="auto"/>
          <w:sz w:val="24"/>
          <w:szCs w:val="24"/>
          <w:highlight w:val="none"/>
        </w:rPr>
      </w:pPr>
      <w:r>
        <w:rPr>
          <w:rFonts w:hint="eastAsia" w:cs="宋体"/>
          <w:color w:val="auto"/>
          <w:sz w:val="24"/>
          <w:szCs w:val="24"/>
          <w:highlight w:val="none"/>
        </w:rPr>
        <w:t>招标文件；</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报价表；</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投标文件技术部分；</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其他。</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合同标的</w:t>
      </w:r>
      <w:r>
        <w:rPr>
          <w:rFonts w:cs="宋体"/>
          <w:color w:val="auto"/>
          <w:sz w:val="24"/>
          <w:szCs w:val="24"/>
          <w:highlight w:val="none"/>
        </w:rPr>
        <w:t>(</w:t>
      </w:r>
      <w:r>
        <w:rPr>
          <w:rFonts w:hint="eastAsia" w:cs="宋体"/>
          <w:color w:val="auto"/>
          <w:sz w:val="24"/>
          <w:szCs w:val="24"/>
          <w:highlight w:val="none"/>
        </w:rPr>
        <w:t>根据实际情况填写</w:t>
      </w:r>
      <w:r>
        <w:rPr>
          <w:rFonts w:cs="宋体"/>
          <w:color w:val="auto"/>
          <w:sz w:val="24"/>
          <w:szCs w:val="24"/>
          <w:highlight w:val="none"/>
        </w:rPr>
        <w:t>)</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68"/>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90" w:type="dxa"/>
            <w:vAlign w:val="center"/>
          </w:tcPr>
          <w:p>
            <w:pPr>
              <w:spacing w:line="360" w:lineRule="exact"/>
              <w:jc w:val="center"/>
              <w:rPr>
                <w:rFonts w:ascii="宋体" w:cs="宋体"/>
                <w:color w:val="auto"/>
                <w:sz w:val="24"/>
                <w:highlight w:val="none"/>
              </w:rPr>
            </w:pPr>
            <w:r>
              <w:rPr>
                <w:rFonts w:hint="eastAsia" w:ascii="宋体" w:cs="宋体"/>
                <w:color w:val="auto"/>
                <w:sz w:val="24"/>
                <w:highlight w:val="none"/>
              </w:rPr>
              <w:t>项目名称</w:t>
            </w:r>
          </w:p>
        </w:tc>
        <w:tc>
          <w:tcPr>
            <w:tcW w:w="1468" w:type="dxa"/>
            <w:vAlign w:val="center"/>
          </w:tcPr>
          <w:p>
            <w:pPr>
              <w:spacing w:line="360" w:lineRule="exact"/>
              <w:jc w:val="center"/>
              <w:rPr>
                <w:rFonts w:ascii="宋体" w:cs="宋体"/>
                <w:color w:val="auto"/>
                <w:sz w:val="24"/>
                <w:highlight w:val="none"/>
              </w:rPr>
            </w:pPr>
            <w:r>
              <w:rPr>
                <w:rFonts w:hint="eastAsia" w:ascii="宋体" w:cs="宋体"/>
                <w:color w:val="auto"/>
                <w:sz w:val="24"/>
                <w:highlight w:val="none"/>
              </w:rPr>
              <w:t>服务时间</w:t>
            </w:r>
          </w:p>
        </w:tc>
        <w:tc>
          <w:tcPr>
            <w:tcW w:w="5378" w:type="dxa"/>
            <w:vAlign w:val="center"/>
          </w:tcPr>
          <w:p>
            <w:pPr>
              <w:spacing w:line="360" w:lineRule="exact"/>
              <w:jc w:val="center"/>
              <w:rPr>
                <w:rFonts w:ascii="宋体" w:cs="宋体"/>
                <w:color w:val="auto"/>
                <w:sz w:val="24"/>
                <w:highlight w:val="none"/>
              </w:rPr>
            </w:pPr>
            <w:r>
              <w:rPr>
                <w:rFonts w:hint="eastAsia" w:ascii="宋体" w:cs="宋体"/>
                <w:color w:val="auto"/>
                <w:sz w:val="24"/>
                <w:highlight w:val="none"/>
              </w:rPr>
              <w:t>具体服务范围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90" w:type="dxa"/>
            <w:vAlign w:val="center"/>
          </w:tcPr>
          <w:p>
            <w:pPr>
              <w:spacing w:line="360" w:lineRule="exact"/>
              <w:jc w:val="center"/>
              <w:rPr>
                <w:rFonts w:ascii="宋体" w:cs="宋体"/>
                <w:color w:val="auto"/>
                <w:sz w:val="24"/>
                <w:highlight w:val="none"/>
              </w:rPr>
            </w:pPr>
          </w:p>
        </w:tc>
        <w:tc>
          <w:tcPr>
            <w:tcW w:w="1468" w:type="dxa"/>
            <w:vAlign w:val="center"/>
          </w:tcPr>
          <w:p>
            <w:pPr>
              <w:spacing w:line="360" w:lineRule="exact"/>
              <w:jc w:val="center"/>
              <w:rPr>
                <w:rFonts w:ascii="宋体" w:cs="宋体"/>
                <w:color w:val="auto"/>
                <w:sz w:val="24"/>
                <w:highlight w:val="none"/>
              </w:rPr>
            </w:pPr>
          </w:p>
        </w:tc>
        <w:tc>
          <w:tcPr>
            <w:tcW w:w="5378" w:type="dxa"/>
            <w:vAlign w:val="center"/>
          </w:tcPr>
          <w:p>
            <w:pPr>
              <w:spacing w:line="360" w:lineRule="exact"/>
              <w:jc w:val="left"/>
              <w:rPr>
                <w:rFonts w:ascii="宋体" w:cs="宋体"/>
                <w:color w:val="auto"/>
                <w:sz w:val="24"/>
                <w:highlight w:val="none"/>
              </w:rPr>
            </w:pPr>
          </w:p>
        </w:tc>
      </w:tr>
    </w:tbl>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合同金额</w:t>
      </w:r>
    </w:p>
    <w:p>
      <w:pPr>
        <w:spacing w:line="360" w:lineRule="exact"/>
        <w:ind w:left="-372" w:leftChars="-177" w:right="-323" w:rightChars="-154" w:firstLine="480" w:firstLineChars="200"/>
        <w:rPr>
          <w:rFonts w:ascii="宋体" w:cs="宋体"/>
          <w:color w:val="auto"/>
          <w:sz w:val="24"/>
          <w:highlight w:val="none"/>
        </w:rPr>
      </w:pPr>
      <w:r>
        <w:rPr>
          <w:rFonts w:hint="eastAsia" w:ascii="宋体" w:cs="宋体"/>
          <w:color w:val="auto"/>
          <w:sz w:val="24"/>
          <w:highlight w:val="none"/>
        </w:rPr>
        <w:t>本合同总金额为人民币</w:t>
      </w:r>
      <w:r>
        <w:rPr>
          <w:rFonts w:hint="eastAsia" w:ascii="宋体" w:cs="宋体"/>
          <w:color w:val="auto"/>
          <w:sz w:val="24"/>
          <w:highlight w:val="none"/>
          <w:u w:val="single"/>
        </w:rPr>
        <w:t xml:space="preserve">      元</w:t>
      </w:r>
      <w:r>
        <w:rPr>
          <w:rFonts w:hint="eastAsia" w:ascii="宋体" w:cs="宋体"/>
          <w:color w:val="auto"/>
          <w:sz w:val="24"/>
          <w:highlight w:val="none"/>
        </w:rPr>
        <w:t>整</w:t>
      </w:r>
      <w:r>
        <w:rPr>
          <w:rFonts w:ascii="宋体" w:cs="宋体"/>
          <w:color w:val="auto"/>
          <w:sz w:val="24"/>
          <w:highlight w:val="none"/>
        </w:rPr>
        <w:t>(</w:t>
      </w:r>
      <w:r>
        <w:rPr>
          <w:rFonts w:hint="eastAsia" w:ascii="宋体" w:cs="宋体"/>
          <w:color w:val="auto"/>
          <w:sz w:val="24"/>
          <w:highlight w:val="none"/>
        </w:rPr>
        <w:t>￥             ）</w:t>
      </w:r>
      <w:r>
        <w:rPr>
          <w:rFonts w:ascii="宋体" w:cs="宋体"/>
          <w:color w:val="auto"/>
          <w:sz w:val="24"/>
          <w:highlight w:val="none"/>
        </w:rPr>
        <w:t xml:space="preserve"> </w:t>
      </w:r>
      <w:r>
        <w:rPr>
          <w:rFonts w:hint="eastAsia" w:ascii="宋体" w:cs="宋体"/>
          <w:color w:val="auto"/>
          <w:sz w:val="24"/>
          <w:highlight w:val="none"/>
        </w:rPr>
        <w:t>。本合同项下所有服务的全部税费均已包含于合同价中，甲方不再另行支付。</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合同签订地：福建省福州市</w:t>
      </w:r>
      <w:r>
        <w:rPr>
          <w:rFonts w:cs="宋体"/>
          <w:color w:val="auto"/>
          <w:sz w:val="24"/>
          <w:szCs w:val="24"/>
          <w:highlight w:val="none"/>
        </w:rPr>
        <w:t xml:space="preserve"> </w:t>
      </w:r>
    </w:p>
    <w:p>
      <w:pPr>
        <w:pStyle w:val="20"/>
        <w:spacing w:line="36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合同生效</w:t>
      </w:r>
    </w:p>
    <w:p>
      <w:pPr>
        <w:pStyle w:val="20"/>
        <w:ind w:firstLine="480" w:firstLineChars="200"/>
        <w:rPr>
          <w:rFonts w:cs="宋体"/>
          <w:color w:val="auto"/>
          <w:sz w:val="24"/>
          <w:szCs w:val="24"/>
          <w:highlight w:val="none"/>
        </w:rPr>
      </w:pPr>
      <w:r>
        <w:rPr>
          <w:rFonts w:hint="eastAsia" w:cs="宋体"/>
          <w:color w:val="auto"/>
          <w:sz w:val="24"/>
          <w:szCs w:val="24"/>
          <w:highlight w:val="none"/>
        </w:rPr>
        <w:t>本合同一式</w:t>
      </w:r>
      <w:r>
        <w:rPr>
          <w:rFonts w:cs="宋体"/>
          <w:color w:val="auto"/>
          <w:sz w:val="24"/>
          <w:szCs w:val="24"/>
          <w:highlight w:val="none"/>
        </w:rPr>
        <w:t>______</w:t>
      </w:r>
      <w:r>
        <w:rPr>
          <w:rFonts w:hint="eastAsia" w:cs="宋体"/>
          <w:color w:val="auto"/>
          <w:sz w:val="24"/>
          <w:szCs w:val="24"/>
          <w:highlight w:val="none"/>
        </w:rPr>
        <w:t>份，经甲乙双方法定代表人或其授权代表签字并加盖公章后生效。</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甲方：</w:t>
      </w:r>
      <w:r>
        <w:rPr>
          <w:rFonts w:cs="宋体"/>
          <w:color w:val="auto"/>
          <w:sz w:val="24"/>
          <w:szCs w:val="24"/>
          <w:highlight w:val="none"/>
        </w:rPr>
        <w:t>(</w:t>
      </w:r>
      <w:r>
        <w:rPr>
          <w:rFonts w:hint="eastAsia" w:cs="宋体"/>
          <w:color w:val="auto"/>
          <w:sz w:val="24"/>
          <w:szCs w:val="24"/>
          <w:highlight w:val="none"/>
        </w:rPr>
        <w:t>采购人名称</w:t>
      </w:r>
      <w:r>
        <w:rPr>
          <w:rFonts w:cs="宋体"/>
          <w:color w:val="auto"/>
          <w:sz w:val="24"/>
          <w:szCs w:val="24"/>
          <w:highlight w:val="none"/>
        </w:rPr>
        <w:t>)</w:t>
      </w:r>
      <w:r>
        <w:rPr>
          <w:rFonts w:hint="eastAsia" w:cs="宋体"/>
          <w:color w:val="auto"/>
          <w:sz w:val="24"/>
          <w:szCs w:val="24"/>
          <w:highlight w:val="none"/>
        </w:rPr>
        <w:t>　　　　　　　　</w:t>
      </w:r>
      <w:r>
        <w:rPr>
          <w:rFonts w:cs="宋体"/>
          <w:color w:val="auto"/>
          <w:sz w:val="24"/>
          <w:szCs w:val="24"/>
          <w:highlight w:val="none"/>
        </w:rPr>
        <w:tab/>
      </w:r>
      <w:r>
        <w:rPr>
          <w:rFonts w:hint="eastAsia" w:cs="宋体"/>
          <w:color w:val="auto"/>
          <w:sz w:val="24"/>
          <w:szCs w:val="24"/>
          <w:highlight w:val="none"/>
        </w:rPr>
        <w:t>　乙方：</w:t>
      </w:r>
      <w:r>
        <w:rPr>
          <w:rFonts w:cs="宋体"/>
          <w:color w:val="auto"/>
          <w:sz w:val="24"/>
          <w:szCs w:val="24"/>
          <w:highlight w:val="none"/>
        </w:rPr>
        <w:t>(</w:t>
      </w:r>
      <w:r>
        <w:rPr>
          <w:rFonts w:hint="eastAsia" w:cs="宋体"/>
          <w:color w:val="auto"/>
          <w:sz w:val="24"/>
          <w:szCs w:val="24"/>
          <w:highlight w:val="none"/>
        </w:rPr>
        <w:t>供应商名称</w:t>
      </w:r>
      <w:r>
        <w:rPr>
          <w:rFonts w:cs="宋体"/>
          <w:color w:val="auto"/>
          <w:sz w:val="24"/>
          <w:szCs w:val="24"/>
          <w:highlight w:val="none"/>
        </w:rPr>
        <w:t>)</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法定代表人或其授权代表签字</w:t>
      </w:r>
      <w:r>
        <w:rPr>
          <w:rFonts w:cs="宋体"/>
          <w:color w:val="auto"/>
          <w:sz w:val="24"/>
          <w:szCs w:val="24"/>
          <w:highlight w:val="none"/>
        </w:rPr>
        <w:t>(</w:t>
      </w:r>
      <w:r>
        <w:rPr>
          <w:rFonts w:hint="eastAsia" w:cs="宋体"/>
          <w:color w:val="auto"/>
          <w:sz w:val="24"/>
          <w:szCs w:val="24"/>
          <w:highlight w:val="none"/>
        </w:rPr>
        <w:t>签章</w:t>
      </w:r>
      <w:r>
        <w:rPr>
          <w:rFonts w:cs="宋体"/>
          <w:color w:val="auto"/>
          <w:sz w:val="24"/>
          <w:szCs w:val="24"/>
          <w:highlight w:val="none"/>
        </w:rPr>
        <w:t xml:space="preserve">): </w:t>
      </w:r>
      <w:r>
        <w:rPr>
          <w:rFonts w:cs="宋体"/>
          <w:color w:val="auto"/>
          <w:sz w:val="24"/>
          <w:szCs w:val="24"/>
          <w:highlight w:val="none"/>
        </w:rPr>
        <w:tab/>
      </w:r>
      <w:r>
        <w:rPr>
          <w:rFonts w:hint="eastAsia" w:cs="宋体"/>
          <w:color w:val="auto"/>
          <w:sz w:val="24"/>
          <w:szCs w:val="24"/>
          <w:highlight w:val="none"/>
        </w:rPr>
        <w:t>法定代表人或其授权代表签字</w:t>
      </w:r>
      <w:r>
        <w:rPr>
          <w:rFonts w:cs="宋体"/>
          <w:color w:val="auto"/>
          <w:sz w:val="24"/>
          <w:szCs w:val="24"/>
          <w:highlight w:val="none"/>
        </w:rPr>
        <w:t>(</w:t>
      </w:r>
      <w:r>
        <w:rPr>
          <w:rFonts w:hint="eastAsia" w:cs="宋体"/>
          <w:color w:val="auto"/>
          <w:sz w:val="24"/>
          <w:szCs w:val="24"/>
          <w:highlight w:val="none"/>
        </w:rPr>
        <w:t>签章</w:t>
      </w:r>
      <w:r>
        <w:rPr>
          <w:rFonts w:cs="宋体"/>
          <w:color w:val="auto"/>
          <w:sz w:val="24"/>
          <w:szCs w:val="24"/>
          <w:highlight w:val="none"/>
        </w:rPr>
        <w:t>)</w:t>
      </w:r>
      <w:r>
        <w:rPr>
          <w:rFonts w:hint="eastAsia" w:cs="宋体"/>
          <w:color w:val="auto"/>
          <w:sz w:val="24"/>
          <w:szCs w:val="24"/>
          <w:highlight w:val="none"/>
        </w:rPr>
        <w:t>：</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盖章：</w:t>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cs="宋体"/>
          <w:color w:val="auto"/>
          <w:sz w:val="24"/>
          <w:szCs w:val="24"/>
          <w:highlight w:val="none"/>
        </w:rPr>
        <w:tab/>
      </w:r>
      <w:r>
        <w:rPr>
          <w:rFonts w:hint="eastAsia" w:cs="宋体"/>
          <w:color w:val="auto"/>
          <w:sz w:val="24"/>
          <w:szCs w:val="24"/>
          <w:highlight w:val="none"/>
        </w:rPr>
        <w:t>盖章：</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r>
        <w:rPr>
          <w:rFonts w:cs="宋体"/>
          <w:color w:val="auto"/>
          <w:sz w:val="24"/>
          <w:szCs w:val="24"/>
          <w:highlight w:val="none"/>
        </w:rPr>
        <w:tab/>
      </w:r>
      <w:r>
        <w:rPr>
          <w:rFonts w:cs="宋体"/>
          <w:color w:val="auto"/>
          <w:sz w:val="24"/>
          <w:szCs w:val="24"/>
          <w:highlight w:val="none"/>
        </w:rPr>
        <w:tab/>
      </w: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spacing w:line="460" w:lineRule="exact"/>
        <w:ind w:firstLine="480" w:firstLineChars="200"/>
        <w:rPr>
          <w:rFonts w:cs="宋体"/>
          <w:color w:val="auto"/>
          <w:sz w:val="24"/>
          <w:szCs w:val="24"/>
          <w:highlight w:val="none"/>
        </w:rPr>
      </w:pP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　　一、合同条款</w:t>
      </w:r>
    </w:p>
    <w:p>
      <w:pPr>
        <w:pStyle w:val="20"/>
        <w:spacing w:line="460" w:lineRule="exact"/>
        <w:ind w:firstLine="480" w:firstLineChars="200"/>
        <w:rPr>
          <w:rFonts w:cs="宋体"/>
          <w:color w:val="auto"/>
          <w:sz w:val="24"/>
          <w:szCs w:val="24"/>
          <w:highlight w:val="none"/>
        </w:rPr>
      </w:pPr>
    </w:p>
    <w:p>
      <w:pPr>
        <w:pStyle w:val="20"/>
        <w:spacing w:line="440" w:lineRule="exact"/>
        <w:ind w:firstLine="480" w:firstLineChars="200"/>
        <w:jc w:val="center"/>
        <w:rPr>
          <w:rFonts w:hAnsi="宋体"/>
          <w:color w:val="auto"/>
          <w:sz w:val="24"/>
          <w:szCs w:val="24"/>
          <w:highlight w:val="none"/>
        </w:rPr>
      </w:pPr>
      <w:r>
        <w:rPr>
          <w:rFonts w:hint="eastAsia" w:hAnsi="宋体"/>
          <w:color w:val="auto"/>
          <w:sz w:val="24"/>
          <w:szCs w:val="24"/>
          <w:highlight w:val="none"/>
        </w:rPr>
        <w:t>合同条款前附表</w:t>
      </w:r>
    </w:p>
    <w:p>
      <w:pPr>
        <w:pStyle w:val="20"/>
        <w:spacing w:line="440" w:lineRule="exact"/>
        <w:ind w:firstLine="480" w:firstLineChars="200"/>
        <w:rPr>
          <w:rFonts w:hAnsi="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int="eastAsia" w:hAnsi="宋体"/>
                <w:color w:val="auto"/>
                <w:sz w:val="24"/>
                <w:szCs w:val="24"/>
                <w:highlight w:val="none"/>
              </w:rPr>
              <w:t>序号</w:t>
            </w:r>
          </w:p>
        </w:tc>
        <w:tc>
          <w:tcPr>
            <w:tcW w:w="7799" w:type="dxa"/>
            <w:vAlign w:val="center"/>
          </w:tcPr>
          <w:p>
            <w:pPr>
              <w:pStyle w:val="20"/>
              <w:spacing w:line="440" w:lineRule="exact"/>
              <w:jc w:val="center"/>
              <w:rPr>
                <w:rFonts w:hAnsi="宋体"/>
                <w:color w:val="auto"/>
                <w:sz w:val="24"/>
                <w:szCs w:val="24"/>
                <w:highlight w:val="none"/>
              </w:rPr>
            </w:pPr>
            <w:r>
              <w:rPr>
                <w:rFonts w:hint="eastAsia" w:hAnsi="宋体"/>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1</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合同名称：</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2</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20"/>
              <w:spacing w:line="440" w:lineRule="exact"/>
              <w:jc w:val="center"/>
              <w:rPr>
                <w:rFonts w:hAnsi="宋体"/>
                <w:color w:val="auto"/>
                <w:sz w:val="24"/>
                <w:szCs w:val="24"/>
                <w:highlight w:val="none"/>
              </w:rPr>
            </w:pP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20"/>
              <w:spacing w:line="440" w:lineRule="exact"/>
              <w:jc w:val="center"/>
              <w:rPr>
                <w:rFonts w:hAnsi="宋体"/>
                <w:color w:val="auto"/>
                <w:sz w:val="24"/>
                <w:szCs w:val="24"/>
                <w:highlight w:val="none"/>
              </w:rPr>
            </w:pP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3</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20"/>
              <w:spacing w:line="440" w:lineRule="exact"/>
              <w:jc w:val="center"/>
              <w:rPr>
                <w:rFonts w:hAnsi="宋体"/>
                <w:color w:val="auto"/>
                <w:sz w:val="24"/>
                <w:szCs w:val="24"/>
                <w:highlight w:val="none"/>
              </w:rPr>
            </w:pP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20"/>
              <w:spacing w:line="440" w:lineRule="exact"/>
              <w:jc w:val="center"/>
              <w:rPr>
                <w:rFonts w:hAnsi="宋体"/>
                <w:color w:val="auto"/>
                <w:sz w:val="24"/>
                <w:szCs w:val="24"/>
                <w:highlight w:val="none"/>
              </w:rPr>
            </w:pP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pStyle w:val="20"/>
              <w:spacing w:line="440" w:lineRule="exact"/>
              <w:jc w:val="center"/>
              <w:rPr>
                <w:rFonts w:hAnsi="宋体"/>
                <w:color w:val="auto"/>
                <w:sz w:val="24"/>
                <w:szCs w:val="24"/>
                <w:highlight w:val="none"/>
              </w:rPr>
            </w:pP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乙方开户银行名称：</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4</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5</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服务时间、地点：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6</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服务履行期：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7</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验收方式及标准：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8</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9</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10</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□违约金约定：</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□损失赔偿约定：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11</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误期赔偿费约定：如果乙方没有按照合同规定的时间交货和提供服务，甲方有权从货款或履约保证金中扣除误期赔偿费而不影响合同项下的其他补救方法。赔偿费按每日加收合同金额的</w:t>
            </w:r>
            <w:r>
              <w:rPr>
                <w:rFonts w:hAnsi="宋体"/>
                <w:color w:val="auto"/>
                <w:sz w:val="24"/>
                <w:szCs w:val="24"/>
                <w:highlight w:val="none"/>
              </w:rPr>
              <w:t>0.5%(</w:t>
            </w:r>
            <w:r>
              <w:rPr>
                <w:rFonts w:hint="eastAsia" w:hAnsi="宋体"/>
                <w:color w:val="auto"/>
                <w:sz w:val="24"/>
                <w:szCs w:val="24"/>
                <w:highlight w:val="none"/>
              </w:rPr>
              <w:t>各单位可根据实际情况重新设定</w:t>
            </w:r>
            <w:r>
              <w:rPr>
                <w:rFonts w:hAnsi="宋体"/>
                <w:color w:val="auto"/>
                <w:sz w:val="24"/>
                <w:szCs w:val="24"/>
                <w:highlight w:val="none"/>
              </w:rPr>
              <w:t>)</w:t>
            </w:r>
            <w:r>
              <w:rPr>
                <w:rFonts w:hint="eastAsia" w:hAnsi="宋体"/>
                <w:color w:val="auto"/>
                <w:sz w:val="24"/>
                <w:szCs w:val="24"/>
                <w:highlight w:val="none"/>
              </w:rPr>
              <w:t>计收，直至交货或提供服务为止。但误期赔偿费的最高限额不超过合同价的</w:t>
            </w:r>
            <w:r>
              <w:rPr>
                <w:rFonts w:hAnsi="宋体"/>
                <w:color w:val="auto"/>
                <w:sz w:val="24"/>
                <w:szCs w:val="24"/>
                <w:highlight w:val="none"/>
              </w:rPr>
              <w:t>15%(</w:t>
            </w:r>
            <w:r>
              <w:rPr>
                <w:rFonts w:hint="eastAsia" w:hAnsi="宋体"/>
                <w:color w:val="auto"/>
                <w:sz w:val="24"/>
                <w:szCs w:val="24"/>
                <w:highlight w:val="none"/>
              </w:rPr>
              <w:t>各单位可根据实际情况重新设定</w:t>
            </w:r>
            <w:r>
              <w:rPr>
                <w:rFonts w:hAnsi="宋体"/>
                <w:color w:val="auto"/>
                <w:sz w:val="24"/>
                <w:szCs w:val="24"/>
                <w:highlight w:val="none"/>
              </w:rPr>
              <w:t>)</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12</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合同履行期限：自合同生效之日起至合同全部权利义务履行完毕之日止。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817" w:type="dxa"/>
            <w:vAlign w:val="center"/>
          </w:tcPr>
          <w:p>
            <w:pPr>
              <w:pStyle w:val="20"/>
              <w:spacing w:line="440" w:lineRule="exact"/>
              <w:jc w:val="center"/>
              <w:rPr>
                <w:rFonts w:hAnsi="宋体"/>
                <w:color w:val="auto"/>
                <w:sz w:val="24"/>
                <w:szCs w:val="24"/>
                <w:highlight w:val="none"/>
              </w:rPr>
            </w:pPr>
            <w:r>
              <w:rPr>
                <w:rFonts w:hAnsi="宋体"/>
                <w:color w:val="auto"/>
                <w:sz w:val="24"/>
                <w:szCs w:val="24"/>
                <w:highlight w:val="none"/>
              </w:rPr>
              <w:t>13</w:t>
            </w:r>
          </w:p>
        </w:tc>
        <w:tc>
          <w:tcPr>
            <w:tcW w:w="7799" w:type="dxa"/>
            <w:vAlign w:val="center"/>
          </w:tcPr>
          <w:p>
            <w:pPr>
              <w:pStyle w:val="20"/>
              <w:spacing w:line="440" w:lineRule="exact"/>
              <w:jc w:val="left"/>
              <w:rPr>
                <w:rFonts w:hAnsi="宋体"/>
                <w:color w:val="auto"/>
                <w:sz w:val="24"/>
                <w:szCs w:val="24"/>
                <w:highlight w:val="none"/>
              </w:rPr>
            </w:pPr>
            <w:r>
              <w:rPr>
                <w:rFonts w:hint="eastAsia" w:hAnsi="宋体"/>
                <w:color w:val="auto"/>
                <w:sz w:val="24"/>
                <w:szCs w:val="24"/>
                <w:highlight w:val="none"/>
              </w:rPr>
              <w:t>合同纠纷的解决方式：</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首先通过双方协商解决，协商解决不成，则通过以下途径之一解决纠纷</w:t>
            </w:r>
            <w:r>
              <w:rPr>
                <w:rFonts w:hAnsi="宋体"/>
                <w:color w:val="auto"/>
                <w:sz w:val="24"/>
                <w:szCs w:val="24"/>
                <w:highlight w:val="none"/>
              </w:rPr>
              <w:t>(</w:t>
            </w:r>
            <w:r>
              <w:rPr>
                <w:rFonts w:hint="eastAsia" w:hAnsi="宋体"/>
                <w:color w:val="auto"/>
                <w:sz w:val="24"/>
                <w:szCs w:val="24"/>
                <w:highlight w:val="none"/>
              </w:rPr>
              <w:t>请在方框内画“√”选择</w:t>
            </w:r>
            <w:r>
              <w:rPr>
                <w:rFonts w:hAnsi="宋体"/>
                <w:color w:val="auto"/>
                <w:sz w:val="24"/>
                <w:szCs w:val="24"/>
                <w:highlight w:val="none"/>
              </w:rPr>
              <w:t>)</w:t>
            </w:r>
            <w:r>
              <w:rPr>
                <w:rFonts w:hint="eastAsia" w:hAnsi="宋体"/>
                <w:color w:val="auto"/>
                <w:sz w:val="24"/>
                <w:szCs w:val="24"/>
                <w:highlight w:val="none"/>
              </w:rPr>
              <w:t>：</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□提请</w:t>
            </w:r>
            <w:r>
              <w:rPr>
                <w:rFonts w:hAnsi="宋体"/>
                <w:color w:val="auto"/>
                <w:sz w:val="24"/>
                <w:szCs w:val="24"/>
                <w:highlight w:val="none"/>
              </w:rPr>
              <w:t>______</w:t>
            </w:r>
            <w:r>
              <w:rPr>
                <w:rFonts w:hint="eastAsia" w:hAnsi="宋体"/>
                <w:color w:val="auto"/>
                <w:sz w:val="24"/>
                <w:szCs w:val="24"/>
                <w:highlight w:val="none"/>
              </w:rPr>
              <w:t>仲裁委员会按照仲裁程序在</w:t>
            </w:r>
            <w:r>
              <w:rPr>
                <w:rFonts w:hAnsi="宋体"/>
                <w:color w:val="auto"/>
                <w:sz w:val="24"/>
                <w:szCs w:val="24"/>
                <w:highlight w:val="none"/>
              </w:rPr>
              <w:t>______(</w:t>
            </w:r>
            <w:r>
              <w:rPr>
                <w:rFonts w:hint="eastAsia" w:hAnsi="宋体"/>
                <w:color w:val="auto"/>
                <w:sz w:val="24"/>
                <w:szCs w:val="24"/>
                <w:highlight w:val="none"/>
              </w:rPr>
              <w:t>仲裁地</w:t>
            </w:r>
            <w:r>
              <w:rPr>
                <w:rFonts w:hAnsi="宋体"/>
                <w:color w:val="auto"/>
                <w:sz w:val="24"/>
                <w:szCs w:val="24"/>
                <w:highlight w:val="none"/>
              </w:rPr>
              <w:t>)</w:t>
            </w:r>
            <w:r>
              <w:rPr>
                <w:rFonts w:hint="eastAsia" w:hAnsi="宋体"/>
                <w:color w:val="auto"/>
                <w:sz w:val="24"/>
                <w:szCs w:val="24"/>
                <w:highlight w:val="none"/>
              </w:rPr>
              <w:t>仲裁</w:t>
            </w:r>
          </w:p>
          <w:p>
            <w:pPr>
              <w:pStyle w:val="20"/>
              <w:spacing w:line="440" w:lineRule="exact"/>
              <w:jc w:val="left"/>
              <w:rPr>
                <w:rFonts w:hAnsi="宋体"/>
                <w:color w:val="auto"/>
                <w:sz w:val="24"/>
                <w:szCs w:val="24"/>
                <w:highlight w:val="none"/>
              </w:rPr>
            </w:pPr>
            <w:r>
              <w:rPr>
                <w:rFonts w:hint="eastAsia" w:hAnsi="宋体"/>
                <w:color w:val="auto"/>
                <w:sz w:val="24"/>
                <w:szCs w:val="24"/>
                <w:highlight w:val="none"/>
              </w:rPr>
              <w:t>□向人民法院提起诉讼</w:t>
            </w:r>
          </w:p>
        </w:tc>
      </w:tr>
    </w:tbl>
    <w:p>
      <w:pPr>
        <w:pStyle w:val="20"/>
        <w:spacing w:line="440" w:lineRule="exact"/>
        <w:ind w:firstLine="480" w:firstLineChars="200"/>
        <w:rPr>
          <w:rFonts w:hAnsi="宋体"/>
          <w:color w:val="auto"/>
          <w:sz w:val="24"/>
          <w:szCs w:val="24"/>
          <w:highlight w:val="none"/>
        </w:rPr>
      </w:pPr>
    </w:p>
    <w:p>
      <w:pPr>
        <w:pStyle w:val="20"/>
        <w:spacing w:line="460" w:lineRule="exact"/>
        <w:ind w:firstLine="480" w:firstLineChars="200"/>
        <w:rPr>
          <w:rFonts w:cs="宋体"/>
          <w:color w:val="auto"/>
          <w:sz w:val="24"/>
          <w:szCs w:val="24"/>
          <w:highlight w:val="none"/>
        </w:rPr>
      </w:pPr>
      <w:r>
        <w:rPr>
          <w:rFonts w:hAnsi="宋体"/>
          <w:color w:val="auto"/>
          <w:sz w:val="24"/>
          <w:szCs w:val="24"/>
          <w:highlight w:val="none"/>
        </w:rPr>
        <w:br w:type="page"/>
      </w:r>
      <w:r>
        <w:rPr>
          <w:rFonts w:cs="宋体"/>
          <w:color w:val="auto"/>
          <w:sz w:val="24"/>
          <w:szCs w:val="24"/>
          <w:highlight w:val="none"/>
        </w:rPr>
        <w:t>1.</w:t>
      </w:r>
      <w:r>
        <w:rPr>
          <w:rFonts w:hint="eastAsia" w:cs="宋体"/>
          <w:color w:val="auto"/>
          <w:sz w:val="24"/>
          <w:szCs w:val="24"/>
          <w:highlight w:val="none"/>
        </w:rPr>
        <w:t>定义</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本合同下列术语应解释为：</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w:t>
      </w:r>
      <w:r>
        <w:rPr>
          <w:rFonts w:hint="eastAsia" w:cs="宋体"/>
          <w:color w:val="auto"/>
          <w:sz w:val="24"/>
          <w:szCs w:val="24"/>
          <w:highlight w:val="none"/>
        </w:rPr>
        <w:t>　“甲方”是指采购人。</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1.2</w:t>
      </w:r>
      <w:r>
        <w:rPr>
          <w:rFonts w:hint="eastAsia" w:cs="宋体"/>
          <w:color w:val="auto"/>
          <w:sz w:val="24"/>
          <w:szCs w:val="24"/>
          <w:highlight w:val="none"/>
        </w:rPr>
        <w:t>　“乙方”是指中标人。</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1.3</w:t>
      </w:r>
      <w:r>
        <w:rPr>
          <w:rFonts w:hint="eastAsia" w:cs="宋体"/>
          <w:color w:val="auto"/>
          <w:sz w:val="24"/>
          <w:szCs w:val="24"/>
          <w:highlight w:val="none"/>
        </w:rPr>
        <w:t>　“合同”系指甲乙双方签署的、合同中载明的甲乙双方所达成的协议，包括所有的附件、附录和上述文件所提到的构成合同的所有文件。</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w:t>
      </w:r>
      <w:r>
        <w:rPr>
          <w:rFonts w:hint="eastAsia" w:cs="宋体"/>
          <w:color w:val="auto"/>
          <w:sz w:val="24"/>
          <w:szCs w:val="24"/>
          <w:highlight w:val="none"/>
        </w:rPr>
        <w:t>　“服务”是指乙方按照招标</w:t>
      </w:r>
      <w:r>
        <w:rPr>
          <w:rFonts w:cs="宋体"/>
          <w:color w:val="auto"/>
          <w:sz w:val="24"/>
          <w:szCs w:val="24"/>
          <w:highlight w:val="none"/>
        </w:rPr>
        <w:t>(</w:t>
      </w:r>
      <w:r>
        <w:rPr>
          <w:rFonts w:hint="eastAsia" w:cs="宋体"/>
          <w:color w:val="auto"/>
          <w:sz w:val="24"/>
          <w:szCs w:val="24"/>
          <w:highlight w:val="none"/>
        </w:rPr>
        <w:t>采购</w:t>
      </w:r>
      <w:r>
        <w:rPr>
          <w:rFonts w:cs="宋体"/>
          <w:color w:val="auto"/>
          <w:sz w:val="24"/>
          <w:szCs w:val="24"/>
          <w:highlight w:val="none"/>
        </w:rPr>
        <w:t>)</w:t>
      </w:r>
      <w:r>
        <w:rPr>
          <w:rFonts w:hint="eastAsia" w:cs="宋体"/>
          <w:color w:val="auto"/>
          <w:sz w:val="24"/>
          <w:szCs w:val="24"/>
          <w:highlight w:val="none"/>
        </w:rPr>
        <w:t>、投标</w:t>
      </w:r>
      <w:r>
        <w:rPr>
          <w:rFonts w:cs="宋体"/>
          <w:color w:val="auto"/>
          <w:sz w:val="24"/>
          <w:szCs w:val="24"/>
          <w:highlight w:val="none"/>
        </w:rPr>
        <w:t>(</w:t>
      </w:r>
      <w:r>
        <w:rPr>
          <w:rFonts w:hint="eastAsia" w:cs="宋体"/>
          <w:color w:val="auto"/>
          <w:sz w:val="24"/>
          <w:szCs w:val="24"/>
          <w:highlight w:val="none"/>
        </w:rPr>
        <w:t>响应</w:t>
      </w:r>
      <w:r>
        <w:rPr>
          <w:rFonts w:cs="宋体"/>
          <w:color w:val="auto"/>
          <w:sz w:val="24"/>
          <w:szCs w:val="24"/>
          <w:highlight w:val="none"/>
        </w:rPr>
        <w:t>)</w:t>
      </w:r>
      <w:r>
        <w:rPr>
          <w:rFonts w:hint="eastAsia" w:cs="宋体"/>
          <w:color w:val="auto"/>
          <w:sz w:val="24"/>
          <w:szCs w:val="24"/>
          <w:highlight w:val="none"/>
        </w:rPr>
        <w:t>文件要求，向采购人提供的技术支持服务。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1.5</w:t>
      </w:r>
      <w:r>
        <w:rPr>
          <w:rFonts w:hint="eastAsia" w:cs="宋体"/>
          <w:color w:val="auto"/>
          <w:sz w:val="24"/>
          <w:szCs w:val="24"/>
          <w:highlight w:val="none"/>
        </w:rPr>
        <w:t>　“项目现场”是指甲方指定的最终服务地点。</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1.6</w:t>
      </w:r>
      <w:r>
        <w:rPr>
          <w:rFonts w:hint="eastAsia" w:cs="宋体"/>
          <w:color w:val="auto"/>
          <w:sz w:val="24"/>
          <w:szCs w:val="24"/>
          <w:highlight w:val="none"/>
        </w:rPr>
        <w:t>　“天”除非特别指出，“天”均为自然天。</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服务标准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2.1</w:t>
      </w:r>
      <w:r>
        <w:rPr>
          <w:rFonts w:hint="eastAsia" w:cs="宋体"/>
          <w:color w:val="auto"/>
          <w:sz w:val="24"/>
          <w:szCs w:val="24"/>
          <w:highlight w:val="none"/>
        </w:rPr>
        <w:t>　乙方为甲方交付的服务应符合招标</w:t>
      </w:r>
      <w:r>
        <w:rPr>
          <w:rFonts w:cs="宋体"/>
          <w:color w:val="auto"/>
          <w:sz w:val="24"/>
          <w:szCs w:val="24"/>
          <w:highlight w:val="none"/>
        </w:rPr>
        <w:t>(</w:t>
      </w:r>
      <w:r>
        <w:rPr>
          <w:rFonts w:hint="eastAsia" w:cs="宋体"/>
          <w:color w:val="auto"/>
          <w:sz w:val="24"/>
          <w:szCs w:val="24"/>
          <w:highlight w:val="none"/>
        </w:rPr>
        <w:t>采购</w:t>
      </w:r>
      <w:r>
        <w:rPr>
          <w:rFonts w:cs="宋体"/>
          <w:color w:val="auto"/>
          <w:sz w:val="24"/>
          <w:szCs w:val="24"/>
          <w:highlight w:val="none"/>
        </w:rPr>
        <w:t>)</w:t>
      </w:r>
      <w:r>
        <w:rPr>
          <w:rFonts w:hint="eastAsia" w:cs="宋体"/>
          <w:color w:val="auto"/>
          <w:sz w:val="24"/>
          <w:szCs w:val="24"/>
          <w:highlight w:val="none"/>
        </w:rPr>
        <w:t>文件所述的内容，如果没有提及适用标准，则应符合相应的国家标准。这些标准必须是有关机构发布的最新版本的标准。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2.2</w:t>
      </w:r>
      <w:r>
        <w:rPr>
          <w:rFonts w:hint="eastAsia" w:cs="宋体"/>
          <w:color w:val="auto"/>
          <w:sz w:val="24"/>
          <w:szCs w:val="24"/>
          <w:highlight w:val="none"/>
        </w:rPr>
        <w:t>　除非技术要求中另有规定，计量单位均采用中华人民共和国法定计量单位。</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3.1</w:t>
      </w:r>
      <w:r>
        <w:rPr>
          <w:rFonts w:hint="eastAsia" w:cs="宋体"/>
          <w:color w:val="auto"/>
          <w:sz w:val="24"/>
          <w:szCs w:val="24"/>
          <w:highlight w:val="none"/>
        </w:rPr>
        <w:t>　乙方应按照合同的规定，提供符合甲方要求的服务。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知识产权</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4.1</w:t>
      </w:r>
      <w:r>
        <w:rPr>
          <w:rFonts w:hint="eastAsia" w:cs="宋体"/>
          <w:color w:val="auto"/>
          <w:sz w:val="24"/>
          <w:szCs w:val="24"/>
          <w:highlight w:val="none"/>
        </w:rPr>
        <w:t>　乙方应保证所提供的服务免受第三方提出侵犯其知识产权</w:t>
      </w:r>
      <w:r>
        <w:rPr>
          <w:rFonts w:cs="宋体"/>
          <w:color w:val="auto"/>
          <w:sz w:val="24"/>
          <w:szCs w:val="24"/>
          <w:highlight w:val="none"/>
        </w:rPr>
        <w:t>(</w:t>
      </w:r>
      <w:r>
        <w:rPr>
          <w:rFonts w:hint="eastAsia" w:cs="宋体"/>
          <w:color w:val="auto"/>
          <w:sz w:val="24"/>
          <w:szCs w:val="24"/>
          <w:highlight w:val="none"/>
        </w:rPr>
        <w:t>专利权、商标权、版权等</w:t>
      </w:r>
      <w:r>
        <w:rPr>
          <w:rFonts w:cs="宋体"/>
          <w:color w:val="auto"/>
          <w:sz w:val="24"/>
          <w:szCs w:val="24"/>
          <w:highlight w:val="none"/>
        </w:rPr>
        <w:t>)</w:t>
      </w:r>
      <w:r>
        <w:rPr>
          <w:rFonts w:hint="eastAsia" w:cs="宋体"/>
          <w:color w:val="auto"/>
          <w:sz w:val="24"/>
          <w:szCs w:val="24"/>
          <w:highlight w:val="none"/>
        </w:rPr>
        <w:t>的起诉。因侵害他人知识产权而产生的法律责任，全部由供应商承担。</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保密条款</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5.1</w:t>
      </w:r>
      <w:r>
        <w:rPr>
          <w:rFonts w:hint="eastAsia" w:cs="宋体"/>
          <w:color w:val="auto"/>
          <w:sz w:val="24"/>
          <w:szCs w:val="24"/>
          <w:highlight w:val="none"/>
        </w:rPr>
        <w:t>　甲乙双方应对在本合同签订或履行过程中所接触的对方信息，包括但不限于知识产权、技术资料、技术诀窍、内部管理及其他相关信息，负有保密义务。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5.2</w:t>
      </w:r>
      <w:r>
        <w:rPr>
          <w:rFonts w:hint="eastAsia" w:cs="宋体"/>
          <w:color w:val="auto"/>
          <w:sz w:val="24"/>
          <w:szCs w:val="24"/>
          <w:highlight w:val="none"/>
        </w:rPr>
        <w:t>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应以审慎态度避免泄露、公开或传播甲方的信息；</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未经甲方书面许可，不得对有关信息进行修改、补充、复制；</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未经甲方书面许可，不得将信息以任何方式</w:t>
      </w:r>
      <w:r>
        <w:rPr>
          <w:rFonts w:cs="宋体"/>
          <w:color w:val="auto"/>
          <w:sz w:val="24"/>
          <w:szCs w:val="24"/>
          <w:highlight w:val="none"/>
        </w:rPr>
        <w:t>(</w:t>
      </w:r>
      <w:r>
        <w:rPr>
          <w:rFonts w:hint="eastAsia" w:cs="宋体"/>
          <w:color w:val="auto"/>
          <w:sz w:val="24"/>
          <w:szCs w:val="24"/>
          <w:highlight w:val="none"/>
        </w:rPr>
        <w:t>如</w:t>
      </w:r>
      <w:r>
        <w:rPr>
          <w:rFonts w:cs="宋体"/>
          <w:color w:val="auto"/>
          <w:sz w:val="24"/>
          <w:szCs w:val="24"/>
          <w:highlight w:val="none"/>
        </w:rPr>
        <w:t>E</w:t>
      </w:r>
      <w:r>
        <w:rPr>
          <w:rFonts w:hint="eastAsia" w:cs="宋体"/>
          <w:color w:val="auto"/>
          <w:sz w:val="24"/>
          <w:szCs w:val="24"/>
          <w:highlight w:val="none"/>
        </w:rPr>
        <w:t>－</w:t>
      </w:r>
      <w:r>
        <w:rPr>
          <w:rFonts w:cs="宋体"/>
          <w:color w:val="auto"/>
          <w:sz w:val="24"/>
          <w:szCs w:val="24"/>
          <w:highlight w:val="none"/>
        </w:rPr>
        <w:t>mail)</w:t>
      </w:r>
      <w:r>
        <w:rPr>
          <w:rFonts w:hint="eastAsia" w:cs="宋体"/>
          <w:color w:val="auto"/>
          <w:sz w:val="24"/>
          <w:szCs w:val="24"/>
          <w:highlight w:val="none"/>
        </w:rPr>
        <w:t>携带出甲方场所；</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未经甲方书面许可，不得将信息透露给任何其他人；</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甲方以书面形式提出的其他保密措施。</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5.3</w:t>
      </w:r>
      <w:r>
        <w:rPr>
          <w:rFonts w:hint="eastAsia" w:cs="宋体"/>
          <w:color w:val="auto"/>
          <w:sz w:val="24"/>
          <w:szCs w:val="24"/>
          <w:highlight w:val="none"/>
        </w:rPr>
        <w:t>　保密期限不受合同有效期的限制，在合同有效期结束后，信息接受方仍应承担保密义务，直至该等信息成为公开信息。</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5.4</w:t>
      </w:r>
      <w:r>
        <w:rPr>
          <w:rFonts w:hint="eastAsia" w:cs="宋体"/>
          <w:color w:val="auto"/>
          <w:sz w:val="24"/>
          <w:szCs w:val="24"/>
          <w:highlight w:val="none"/>
        </w:rPr>
        <w:t>　甲乙双方如出现泄密行为，泄密方应承担相关的法律责任，包括但是不限于对由此给对方造成的经济损失进行赔偿。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服务质量保证</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6.1</w:t>
      </w:r>
      <w:r>
        <w:rPr>
          <w:rFonts w:hint="eastAsia" w:cs="宋体"/>
          <w:color w:val="auto"/>
          <w:sz w:val="24"/>
          <w:szCs w:val="24"/>
          <w:highlight w:val="none"/>
        </w:rPr>
        <w:t>　乙方应保证所提供的服务，符合合同规定的技术要求。如不符时，乙方应负全责并尽快处理解决，由此造成的损失和相关费用由乙方负责，甲方保留终止合同及索赔的权利。</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6.2</w:t>
      </w:r>
      <w:r>
        <w:rPr>
          <w:rFonts w:hint="eastAsia" w:cs="宋体"/>
          <w:color w:val="auto"/>
          <w:sz w:val="24"/>
          <w:szCs w:val="24"/>
          <w:highlight w:val="none"/>
        </w:rPr>
        <w:t>　乙方应保证通过执行合同中全部方案后，可以取得本合同规定的结果，达到本合同规定的预期目标。对任何情况下出现问题的，应尽快提出解决方案。</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6.3</w:t>
      </w:r>
      <w:r>
        <w:rPr>
          <w:rFonts w:hint="eastAsia" w:cs="宋体"/>
          <w:color w:val="auto"/>
          <w:sz w:val="24"/>
          <w:szCs w:val="24"/>
          <w:highlight w:val="none"/>
        </w:rPr>
        <w:t>　如果乙方提供的服务和解决方案不符合甲方要求，或在规定的时间内没有弥补缺陷，甲方有权采取一切必要的补救措施，由此产生的费用全部由乙方负责。</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7.</w:t>
      </w:r>
      <w:r>
        <w:rPr>
          <w:rFonts w:hint="eastAsia" w:cs="宋体"/>
          <w:color w:val="auto"/>
          <w:sz w:val="24"/>
          <w:szCs w:val="24"/>
          <w:highlight w:val="none"/>
        </w:rPr>
        <w:t>履约保证金（本项目不要求提供）</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7.1</w:t>
      </w:r>
      <w:r>
        <w:rPr>
          <w:rFonts w:hint="eastAsia" w:cs="宋体"/>
          <w:color w:val="auto"/>
          <w:sz w:val="24"/>
          <w:szCs w:val="24"/>
          <w:highlight w:val="none"/>
        </w:rPr>
        <w:t>　乙方应在签署合同前，以银行保函、银行电汇或履约担保函形式向甲方提供。</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7.2</w:t>
      </w:r>
      <w:r>
        <w:rPr>
          <w:rFonts w:hint="eastAsia" w:cs="宋体"/>
          <w:color w:val="auto"/>
          <w:sz w:val="24"/>
          <w:szCs w:val="24"/>
          <w:highlight w:val="none"/>
        </w:rPr>
        <w:t>　履约保证金具体金额及返还要求见合同条款前附表。</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7.3</w:t>
      </w:r>
      <w:r>
        <w:rPr>
          <w:rFonts w:hint="eastAsia" w:cs="宋体"/>
          <w:color w:val="auto"/>
          <w:sz w:val="24"/>
          <w:szCs w:val="24"/>
          <w:highlight w:val="none"/>
        </w:rPr>
        <w:t>　如乙方未能履行合同规定的义务，甲方有权按照本合同的约定从履约保证金中进行相应扣除。乙方应在甲方扣除履约保证金后</w:t>
      </w:r>
      <w:r>
        <w:rPr>
          <w:rFonts w:cs="宋体"/>
          <w:color w:val="auto"/>
          <w:sz w:val="24"/>
          <w:szCs w:val="24"/>
          <w:highlight w:val="none"/>
        </w:rPr>
        <w:t>15</w:t>
      </w:r>
      <w:r>
        <w:rPr>
          <w:rFonts w:hint="eastAsia" w:cs="宋体"/>
          <w:color w:val="auto"/>
          <w:sz w:val="24"/>
          <w:szCs w:val="24"/>
          <w:highlight w:val="none"/>
        </w:rPr>
        <w:t>天内，及时补充扣除部分金额。</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7.4</w:t>
      </w:r>
      <w:r>
        <w:rPr>
          <w:rFonts w:hint="eastAsia" w:cs="宋体"/>
          <w:color w:val="auto"/>
          <w:sz w:val="24"/>
          <w:szCs w:val="24"/>
          <w:highlight w:val="none"/>
        </w:rPr>
        <w:t>　乙方不履行合同，或者履行合同义务不符合约定使得合同目的不能实现，履约保证金不予退还，给甲方造成的损失超过履约保证金数额的，还应当对超过部分予以赔偿。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8.</w:t>
      </w:r>
      <w:r>
        <w:rPr>
          <w:rFonts w:hint="eastAsia" w:cs="宋体"/>
          <w:color w:val="auto"/>
          <w:sz w:val="24"/>
          <w:szCs w:val="24"/>
          <w:highlight w:val="none"/>
        </w:rPr>
        <w:t>服务时间、地点与验收</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8.1</w:t>
      </w:r>
      <w:r>
        <w:rPr>
          <w:rFonts w:hint="eastAsia" w:cs="宋体"/>
          <w:color w:val="auto"/>
          <w:sz w:val="24"/>
          <w:szCs w:val="24"/>
          <w:highlight w:val="none"/>
        </w:rPr>
        <w:t>　服务地点：合同条款前附表指定地点。</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8.2</w:t>
      </w:r>
      <w:r>
        <w:rPr>
          <w:rFonts w:hint="eastAsia" w:cs="宋体"/>
          <w:color w:val="auto"/>
          <w:sz w:val="24"/>
          <w:szCs w:val="24"/>
          <w:highlight w:val="none"/>
        </w:rPr>
        <w:t>　服务时间：合同条款前附表指定时间。</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8.3</w:t>
      </w:r>
      <w:r>
        <w:rPr>
          <w:rFonts w:hint="eastAsia" w:cs="宋体"/>
          <w:color w:val="auto"/>
          <w:sz w:val="24"/>
          <w:szCs w:val="24"/>
          <w:highlight w:val="none"/>
        </w:rPr>
        <w:t>　甲方应在乙方完成相关服务工作后及时对服务质量、技术指标、服务成果进行验收。</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9.</w:t>
      </w:r>
      <w:r>
        <w:rPr>
          <w:rFonts w:hint="eastAsia" w:cs="宋体"/>
          <w:color w:val="auto"/>
          <w:sz w:val="24"/>
          <w:szCs w:val="24"/>
          <w:highlight w:val="none"/>
        </w:rPr>
        <w:t>违约责任</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9.1</w:t>
      </w:r>
      <w:r>
        <w:rPr>
          <w:rFonts w:hint="eastAsia" w:cs="宋体"/>
          <w:color w:val="auto"/>
          <w:sz w:val="24"/>
          <w:szCs w:val="24"/>
          <w:highlight w:val="none"/>
        </w:rPr>
        <w:t>　服务缺陷的补救措施和索赔</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如果乙方提供的服务不符合本合同约定以及招标文件、投标文件关于服务的要求和承诺，乙方应按照甲方同意的下列一种或几种方式结合起来解决索赔事宜：</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①乙方同意将服务款项目退还给甲方，由此发生的一切费用和损失由乙方承担。如甲方以适当的条件和方法购买与未履约标的相类似的服务，乙方应负担新购买类似服务所超出的费用。</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②根据服务的质量状况以及甲方所遭受的损失，经过甲乙双方商定降低服务的价格。</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如果在甲方发出索赔通知后</w:t>
      </w:r>
      <w:r>
        <w:rPr>
          <w:rFonts w:cs="宋体"/>
          <w:color w:val="auto"/>
          <w:sz w:val="24"/>
          <w:szCs w:val="24"/>
          <w:highlight w:val="none"/>
        </w:rPr>
        <w:t>10</w:t>
      </w:r>
      <w:r>
        <w:rPr>
          <w:rFonts w:hint="eastAsia" w:cs="宋体"/>
          <w:color w:val="auto"/>
          <w:sz w:val="24"/>
          <w:szCs w:val="24"/>
          <w:highlight w:val="none"/>
        </w:rPr>
        <w:t>日内乙方未作答复，上述索赔应视为已被乙方接受。如果乙方未能在甲方发出索赔通知后</w:t>
      </w:r>
      <w:r>
        <w:rPr>
          <w:rFonts w:cs="宋体"/>
          <w:color w:val="auto"/>
          <w:sz w:val="24"/>
          <w:szCs w:val="24"/>
          <w:highlight w:val="none"/>
        </w:rPr>
        <w:t>10</w:t>
      </w:r>
      <w:r>
        <w:rPr>
          <w:rFonts w:hint="eastAsia" w:cs="宋体"/>
          <w:color w:val="auto"/>
          <w:sz w:val="24"/>
          <w:szCs w:val="24"/>
          <w:highlight w:val="none"/>
        </w:rPr>
        <w:t>日内或甲方同意延长的期限内，按照上述规定的任何一种方法采取补救措施，甲方有权从应付服务款中扣除索赔金额，如不足以弥补甲方损失的，甲方有权进一步要求乙方赔偿。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9.2</w:t>
      </w:r>
      <w:r>
        <w:rPr>
          <w:rFonts w:hint="eastAsia" w:cs="宋体"/>
          <w:color w:val="auto"/>
          <w:sz w:val="24"/>
          <w:szCs w:val="24"/>
          <w:highlight w:val="none"/>
        </w:rPr>
        <w:t>　迟延履约的违约责任</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乙方应按照本合同规定的时间、地点提供服务。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除甲乙双方另有约定外，如果乙方没有按照合同规定的时间提供服务，且没有在甲方同意的延长的期限内进行补救时，甲方有权从服务款中扣除或要求乙方另行支付逾期违约金而不影响合同项下的其他补救方法。逾期违约金按每日加收合同金额的</w:t>
      </w:r>
      <w:r>
        <w:rPr>
          <w:rFonts w:cs="宋体"/>
          <w:color w:val="auto"/>
          <w:sz w:val="24"/>
          <w:szCs w:val="24"/>
          <w:highlight w:val="none"/>
        </w:rPr>
        <w:t>0.5%(</w:t>
      </w:r>
      <w:r>
        <w:rPr>
          <w:rFonts w:hint="eastAsia" w:cs="宋体"/>
          <w:color w:val="auto"/>
          <w:sz w:val="24"/>
          <w:szCs w:val="24"/>
          <w:highlight w:val="none"/>
        </w:rPr>
        <w:t>各单位可根据实际情况重新设定</w:t>
      </w:r>
      <w:r>
        <w:rPr>
          <w:rFonts w:cs="宋体"/>
          <w:color w:val="auto"/>
          <w:sz w:val="24"/>
          <w:szCs w:val="24"/>
          <w:highlight w:val="none"/>
        </w:rPr>
        <w:t>)</w:t>
      </w:r>
      <w:r>
        <w:rPr>
          <w:rFonts w:hint="eastAsia" w:cs="宋体"/>
          <w:color w:val="auto"/>
          <w:sz w:val="24"/>
          <w:szCs w:val="24"/>
          <w:highlight w:val="none"/>
        </w:rPr>
        <w:t>计收，直至交货或提供服务为止。但逾期违约金的最高限额不超过合同价的</w:t>
      </w:r>
      <w:r>
        <w:rPr>
          <w:rFonts w:cs="宋体"/>
          <w:color w:val="auto"/>
          <w:sz w:val="24"/>
          <w:szCs w:val="24"/>
          <w:highlight w:val="none"/>
        </w:rPr>
        <w:t>15%(</w:t>
      </w:r>
      <w:r>
        <w:rPr>
          <w:rFonts w:hint="eastAsia" w:cs="宋体"/>
          <w:color w:val="auto"/>
          <w:sz w:val="24"/>
          <w:szCs w:val="24"/>
          <w:highlight w:val="none"/>
        </w:rPr>
        <w:t>各单位可根据实际情况重新设定</w:t>
      </w:r>
      <w:r>
        <w:rPr>
          <w:rFonts w:cs="宋体"/>
          <w:color w:val="auto"/>
          <w:sz w:val="24"/>
          <w:szCs w:val="24"/>
          <w:highlight w:val="none"/>
        </w:rPr>
        <w:t>)</w:t>
      </w:r>
      <w:r>
        <w:rPr>
          <w:rFonts w:hint="eastAsia" w:cs="宋体"/>
          <w:color w:val="auto"/>
          <w:sz w:val="24"/>
          <w:szCs w:val="24"/>
          <w:highlight w:val="none"/>
        </w:rPr>
        <w:t>。</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如果乙方延迟履约超过</w:t>
      </w:r>
      <w:r>
        <w:rPr>
          <w:rFonts w:cs="宋体"/>
          <w:color w:val="auto"/>
          <w:sz w:val="24"/>
          <w:szCs w:val="24"/>
          <w:highlight w:val="none"/>
        </w:rPr>
        <w:t>30</w:t>
      </w:r>
      <w:r>
        <w:rPr>
          <w:rFonts w:hint="eastAsia" w:cs="宋体"/>
          <w:color w:val="auto"/>
          <w:sz w:val="24"/>
          <w:szCs w:val="24"/>
          <w:highlight w:val="none"/>
        </w:rPr>
        <w:t>日，甲方有权终止全部或部分合同，并依其认为适当的条件和方法购买与未履约类似的服务，乙方应负担购买类似服务所超出的费用。但是，乙方应继续执行合同中未终止的部分。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9.3</w:t>
      </w:r>
      <w:r>
        <w:rPr>
          <w:rFonts w:hint="eastAsia" w:cs="宋体"/>
          <w:color w:val="auto"/>
          <w:sz w:val="24"/>
          <w:szCs w:val="24"/>
          <w:highlight w:val="none"/>
        </w:rPr>
        <w:t>　未履行合同义务的违约责任</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9.3</w:t>
      </w:r>
      <w:r>
        <w:rPr>
          <w:rFonts w:hint="eastAsia" w:cs="宋体"/>
          <w:color w:val="auto"/>
          <w:sz w:val="24"/>
          <w:szCs w:val="24"/>
          <w:highlight w:val="none"/>
        </w:rPr>
        <w:t>　未履行合同义务的违约责任</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守约方有权终止全部或部分合同。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 xml:space="preserve">(2) </w:t>
      </w:r>
      <w:r>
        <w:rPr>
          <w:rFonts w:hint="eastAsia" w:cs="宋体"/>
          <w:color w:val="auto"/>
          <w:sz w:val="24"/>
          <w:szCs w:val="24"/>
          <w:highlight w:val="none"/>
        </w:rPr>
        <w:t>由违约一方支付违约金，违约金标准见合同条款前附表</w:t>
      </w:r>
      <w:r>
        <w:rPr>
          <w:rFonts w:cs="宋体"/>
          <w:color w:val="auto"/>
          <w:sz w:val="24"/>
          <w:szCs w:val="24"/>
          <w:highlight w:val="none"/>
        </w:rPr>
        <w:t>(</w:t>
      </w:r>
      <w:r>
        <w:rPr>
          <w:rFonts w:hint="eastAsia" w:cs="宋体"/>
          <w:color w:val="auto"/>
          <w:sz w:val="24"/>
          <w:szCs w:val="24"/>
          <w:highlight w:val="none"/>
        </w:rPr>
        <w:t>各单位可根据实际情况自行约定</w:t>
      </w:r>
      <w:r>
        <w:rPr>
          <w:rFonts w:cs="宋体"/>
          <w:color w:val="auto"/>
          <w:sz w:val="24"/>
          <w:szCs w:val="24"/>
          <w:highlight w:val="none"/>
        </w:rPr>
        <w:t>)</w:t>
      </w:r>
      <w:r>
        <w:rPr>
          <w:rFonts w:hint="eastAsia" w:cs="宋体"/>
          <w:color w:val="auto"/>
          <w:sz w:val="24"/>
          <w:szCs w:val="24"/>
          <w:highlight w:val="none"/>
        </w:rPr>
        <w:t>。</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 xml:space="preserve">(3) </w:t>
      </w:r>
      <w:r>
        <w:rPr>
          <w:rFonts w:hint="eastAsia" w:cs="宋体"/>
          <w:color w:val="auto"/>
          <w:sz w:val="24"/>
          <w:szCs w:val="24"/>
          <w:highlight w:val="none"/>
        </w:rPr>
        <w:t>违约金不足以弥补守约方实际损失、可预见或者应当预见的损失，由违约方全额予以赔偿。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10.</w:t>
      </w:r>
      <w:r>
        <w:rPr>
          <w:rFonts w:hint="eastAsia" w:cs="宋体"/>
          <w:color w:val="auto"/>
          <w:sz w:val="24"/>
          <w:szCs w:val="24"/>
          <w:highlight w:val="none"/>
        </w:rPr>
        <w:t>不可抗力</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10.1</w:t>
      </w:r>
      <w:r>
        <w:rPr>
          <w:rFonts w:hint="eastAsia" w:cs="宋体"/>
          <w:color w:val="auto"/>
          <w:sz w:val="24"/>
          <w:szCs w:val="24"/>
          <w:highlight w:val="none"/>
        </w:rPr>
        <w:t>　如果合同双方因不可抗力而导致合同实施延误或合同无法实施，不应该承担误期赔偿或不能履行合同义务的责任。</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10.2</w:t>
      </w:r>
      <w:r>
        <w:rPr>
          <w:rFonts w:hint="eastAsia" w:cs="宋体"/>
          <w:color w:val="auto"/>
          <w:sz w:val="24"/>
          <w:szCs w:val="24"/>
          <w:highlight w:val="none"/>
        </w:rPr>
        <w:t>　本条所述的“不可抗力”系指那些双方不可预见、不可避免、不可克服的客观情况，但不包括双方的违约或疏忽。这些事件包括但不限于：战争、严重火灾、洪水、台风、地震等。</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10.3</w:t>
      </w:r>
      <w:r>
        <w:rPr>
          <w:rFonts w:hint="eastAsia" w:cs="宋体"/>
          <w:color w:val="auto"/>
          <w:sz w:val="24"/>
          <w:szCs w:val="24"/>
          <w:highlight w:val="none"/>
        </w:rPr>
        <w:t>　在不可抗力事件发生后，当事方应及时将不可抗力情况通知合同对方，在不可抗力事件结束后</w:t>
      </w:r>
      <w:r>
        <w:rPr>
          <w:rFonts w:cs="宋体"/>
          <w:color w:val="auto"/>
          <w:sz w:val="24"/>
          <w:szCs w:val="24"/>
          <w:highlight w:val="none"/>
        </w:rPr>
        <w:t>3</w:t>
      </w:r>
      <w:r>
        <w:rPr>
          <w:rFonts w:hint="eastAsia" w:cs="宋体"/>
          <w:color w:val="auto"/>
          <w:sz w:val="24"/>
          <w:szCs w:val="24"/>
          <w:highlight w:val="none"/>
        </w:rPr>
        <w:t>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w:t>
      </w:r>
      <w:r>
        <w:rPr>
          <w:rFonts w:hint="eastAsia" w:cs="宋体"/>
          <w:color w:val="auto"/>
          <w:sz w:val="24"/>
          <w:szCs w:val="24"/>
          <w:highlight w:val="none"/>
        </w:rPr>
        <w:t>合同纠纷的解决方式</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11.1</w:t>
      </w:r>
      <w:r>
        <w:rPr>
          <w:rFonts w:hint="eastAsia" w:cs="宋体"/>
          <w:color w:val="auto"/>
          <w:sz w:val="24"/>
          <w:szCs w:val="24"/>
          <w:highlight w:val="none"/>
        </w:rPr>
        <w:t>　合同各方应通过友好协商，解决在执行合同过程中所发生的或与合同有关的一切争端。如协商</w:t>
      </w:r>
      <w:r>
        <w:rPr>
          <w:rFonts w:cs="宋体"/>
          <w:color w:val="auto"/>
          <w:sz w:val="24"/>
          <w:szCs w:val="24"/>
          <w:highlight w:val="none"/>
        </w:rPr>
        <w:t>30</w:t>
      </w:r>
      <w:r>
        <w:rPr>
          <w:rFonts w:hint="eastAsia" w:cs="宋体"/>
          <w:color w:val="auto"/>
          <w:sz w:val="24"/>
          <w:szCs w:val="24"/>
          <w:highlight w:val="none"/>
        </w:rPr>
        <w:t>日内</w:t>
      </w:r>
      <w:r>
        <w:rPr>
          <w:rFonts w:cs="宋体"/>
          <w:color w:val="auto"/>
          <w:sz w:val="24"/>
          <w:szCs w:val="24"/>
          <w:highlight w:val="none"/>
        </w:rPr>
        <w:t>(</w:t>
      </w:r>
      <w:r>
        <w:rPr>
          <w:rFonts w:hint="eastAsia" w:cs="宋体"/>
          <w:color w:val="auto"/>
          <w:sz w:val="24"/>
          <w:szCs w:val="24"/>
          <w:highlight w:val="none"/>
        </w:rPr>
        <w:t>根据实际情况设定</w:t>
      </w:r>
      <w:r>
        <w:rPr>
          <w:rFonts w:cs="宋体"/>
          <w:color w:val="auto"/>
          <w:sz w:val="24"/>
          <w:szCs w:val="24"/>
          <w:highlight w:val="none"/>
        </w:rPr>
        <w:t>)</w:t>
      </w:r>
      <w:r>
        <w:rPr>
          <w:rFonts w:hint="eastAsia" w:cs="宋体"/>
          <w:color w:val="auto"/>
          <w:sz w:val="24"/>
          <w:szCs w:val="24"/>
          <w:highlight w:val="none"/>
        </w:rPr>
        <w:t>不能解决，可以按合同规定的方式提起仲裁或诉讼。</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11.2</w:t>
      </w:r>
      <w:r>
        <w:rPr>
          <w:rFonts w:hint="eastAsia" w:cs="宋体"/>
          <w:color w:val="auto"/>
          <w:sz w:val="24"/>
          <w:szCs w:val="24"/>
          <w:highlight w:val="none"/>
        </w:rPr>
        <w:t>　仲裁裁决应为最终裁决，对双方均具有约束力。</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11.3</w:t>
      </w:r>
      <w:r>
        <w:rPr>
          <w:rFonts w:hint="eastAsia" w:cs="宋体"/>
          <w:color w:val="auto"/>
          <w:sz w:val="24"/>
          <w:szCs w:val="24"/>
          <w:highlight w:val="none"/>
        </w:rPr>
        <w:t>　仲裁费除仲裁机关另有裁决外应由败诉方负担。</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11.4</w:t>
      </w:r>
      <w:r>
        <w:rPr>
          <w:rFonts w:hint="eastAsia" w:cs="宋体"/>
          <w:color w:val="auto"/>
          <w:sz w:val="24"/>
          <w:szCs w:val="24"/>
          <w:highlight w:val="none"/>
        </w:rPr>
        <w:t>　诉讼应由服务所在地人民法院管辖。诉讼费除人民法院另有判决外应由败诉方负担。</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11.5</w:t>
      </w:r>
      <w:r>
        <w:rPr>
          <w:rFonts w:hint="eastAsia" w:cs="宋体"/>
          <w:color w:val="auto"/>
          <w:sz w:val="24"/>
          <w:szCs w:val="24"/>
          <w:highlight w:val="none"/>
        </w:rPr>
        <w:t>　如仲裁或诉讼事项不影响合同其他部分的履行，则在仲裁或诉讼期间，除正在进行仲裁或诉讼的部分外，合同的其他部分应继续执行。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12.</w:t>
      </w:r>
      <w:r>
        <w:rPr>
          <w:rFonts w:hint="eastAsia" w:cs="宋体"/>
          <w:color w:val="auto"/>
          <w:sz w:val="24"/>
          <w:szCs w:val="24"/>
          <w:highlight w:val="none"/>
        </w:rPr>
        <w:t>合同修改或变更</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12.1</w:t>
      </w:r>
      <w:r>
        <w:rPr>
          <w:rFonts w:hint="eastAsia" w:cs="宋体"/>
          <w:color w:val="auto"/>
          <w:sz w:val="24"/>
          <w:szCs w:val="24"/>
          <w:highlight w:val="none"/>
        </w:rPr>
        <w:t>　如无重大变故，甲方双方不得擅自变更合同。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12.2</w:t>
      </w:r>
      <w:r>
        <w:rPr>
          <w:rFonts w:hint="eastAsia" w:cs="宋体"/>
          <w:color w:val="auto"/>
          <w:sz w:val="24"/>
          <w:szCs w:val="24"/>
          <w:highlight w:val="none"/>
        </w:rPr>
        <w:t>　如确需变更合同，甲乙双方应签署书面变更协议。变更协议为本合同不可分割的一部分。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12.3</w:t>
      </w:r>
      <w:r>
        <w:rPr>
          <w:rFonts w:hint="eastAsia" w:cs="宋体"/>
          <w:color w:val="auto"/>
          <w:sz w:val="24"/>
          <w:szCs w:val="24"/>
          <w:highlight w:val="none"/>
        </w:rPr>
        <w:t>　在不改变合同其他条款的前提下，甲方有权在合同价款</w:t>
      </w:r>
      <w:r>
        <w:rPr>
          <w:rFonts w:cs="宋体"/>
          <w:color w:val="auto"/>
          <w:sz w:val="24"/>
          <w:szCs w:val="24"/>
          <w:highlight w:val="none"/>
        </w:rPr>
        <w:t>10%</w:t>
      </w:r>
      <w:r>
        <w:rPr>
          <w:rFonts w:hint="eastAsia" w:cs="宋体"/>
          <w:color w:val="auto"/>
          <w:sz w:val="24"/>
          <w:szCs w:val="24"/>
          <w:highlight w:val="none"/>
        </w:rPr>
        <w:t>的范围内追加与合同标的相同的货物或服务，并就此与乙方签订补充合同，乙方不得拒绝。</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13.</w:t>
      </w:r>
      <w:r>
        <w:rPr>
          <w:rFonts w:hint="eastAsia" w:cs="宋体"/>
          <w:color w:val="auto"/>
          <w:sz w:val="24"/>
          <w:szCs w:val="24"/>
          <w:highlight w:val="none"/>
        </w:rPr>
        <w:t>合同中止</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13.1</w:t>
      </w:r>
      <w:r>
        <w:rPr>
          <w:rFonts w:hint="eastAsia" w:cs="宋体"/>
          <w:color w:val="auto"/>
          <w:sz w:val="24"/>
          <w:szCs w:val="24"/>
          <w:highlight w:val="none"/>
        </w:rPr>
        <w:t>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w:t>
      </w:r>
      <w:r>
        <w:rPr>
          <w:rFonts w:hint="eastAsia" w:cs="宋体"/>
          <w:color w:val="auto"/>
          <w:sz w:val="24"/>
          <w:szCs w:val="24"/>
          <w:highlight w:val="none"/>
        </w:rPr>
        <w:t>违约终止合同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w:t>
      </w:r>
      <w:r>
        <w:rPr>
          <w:rFonts w:hint="eastAsia" w:cs="宋体"/>
          <w:color w:val="auto"/>
          <w:sz w:val="24"/>
          <w:szCs w:val="24"/>
          <w:highlight w:val="none"/>
        </w:rPr>
        <w:t>　若出现如下情况，在甲方对乙方违约行为而采取的任何补救措施不受影响的情况下，甲方可向乙方发出书面通知书，提出终止部分或全部合同。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14.1.1</w:t>
      </w:r>
      <w:r>
        <w:rPr>
          <w:rFonts w:hint="eastAsia" w:cs="宋体"/>
          <w:color w:val="auto"/>
          <w:sz w:val="24"/>
          <w:szCs w:val="24"/>
          <w:highlight w:val="none"/>
        </w:rPr>
        <w:t>　如果乙方未能在合同规定的期限或甲方同意延长的期限内提供服务；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14.1.2</w:t>
      </w:r>
      <w:r>
        <w:rPr>
          <w:rFonts w:hint="eastAsia" w:cs="宋体"/>
          <w:color w:val="auto"/>
          <w:sz w:val="24"/>
          <w:szCs w:val="24"/>
          <w:highlight w:val="none"/>
        </w:rPr>
        <w:t>　因乙方技术人员自身技术能力、经验不足等原因造成甲方硬件设备、应用系统发生重大紧急故障或应用系统数据丢失，带来重大影响和损失的；</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14.1.3</w:t>
      </w:r>
      <w:r>
        <w:rPr>
          <w:rFonts w:hint="eastAsia" w:cs="宋体"/>
          <w:color w:val="auto"/>
          <w:sz w:val="24"/>
          <w:szCs w:val="24"/>
          <w:highlight w:val="none"/>
        </w:rPr>
        <w:t>　乙方对甲方硬件设备、应用系统重大紧急故障没有及时响应，或不能在规定时间内解决处理故障，恢复系统正常运行的；</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14.1.4</w:t>
      </w:r>
      <w:r>
        <w:rPr>
          <w:rFonts w:hint="eastAsia" w:cs="宋体"/>
          <w:color w:val="auto"/>
          <w:sz w:val="24"/>
          <w:szCs w:val="24"/>
          <w:highlight w:val="none"/>
        </w:rPr>
        <w:t>　不能满足本项目技术需求的管理要求和规范，且经多次整改无明显改进的；</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14.1.5</w:t>
      </w:r>
      <w:r>
        <w:rPr>
          <w:rFonts w:hint="eastAsia" w:cs="宋体"/>
          <w:color w:val="auto"/>
          <w:sz w:val="24"/>
          <w:szCs w:val="24"/>
          <w:highlight w:val="none"/>
        </w:rPr>
        <w:t>　在合同规定的每个服务年度</w:t>
      </w:r>
      <w:r>
        <w:rPr>
          <w:rFonts w:cs="宋体"/>
          <w:color w:val="auto"/>
          <w:sz w:val="24"/>
          <w:szCs w:val="24"/>
          <w:highlight w:val="none"/>
        </w:rPr>
        <w:t>(12</w:t>
      </w:r>
      <w:r>
        <w:rPr>
          <w:rFonts w:hint="eastAsia" w:cs="宋体"/>
          <w:color w:val="auto"/>
          <w:sz w:val="24"/>
          <w:szCs w:val="24"/>
          <w:highlight w:val="none"/>
        </w:rPr>
        <w:t>个自然月</w:t>
      </w:r>
      <w:r>
        <w:rPr>
          <w:rFonts w:cs="宋体"/>
          <w:color w:val="auto"/>
          <w:sz w:val="24"/>
          <w:szCs w:val="24"/>
          <w:highlight w:val="none"/>
        </w:rPr>
        <w:t>)</w:t>
      </w:r>
      <w:r>
        <w:rPr>
          <w:rFonts w:hint="eastAsia" w:cs="宋体"/>
          <w:color w:val="auto"/>
          <w:sz w:val="24"/>
          <w:szCs w:val="24"/>
          <w:highlight w:val="none"/>
        </w:rPr>
        <w:t>内，在运行维护支持服务过程中，出现</w:t>
      </w:r>
      <w:r>
        <w:rPr>
          <w:rFonts w:cs="宋体"/>
          <w:color w:val="auto"/>
          <w:sz w:val="24"/>
          <w:szCs w:val="24"/>
          <w:highlight w:val="none"/>
        </w:rPr>
        <w:t>2</w:t>
      </w:r>
      <w:r>
        <w:rPr>
          <w:rFonts w:hint="eastAsia" w:cs="宋体"/>
          <w:color w:val="auto"/>
          <w:sz w:val="24"/>
          <w:szCs w:val="24"/>
          <w:highlight w:val="none"/>
        </w:rPr>
        <w:t>次经甲乙双方确认的违规操作的。</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14.2</w:t>
      </w:r>
      <w:r>
        <w:rPr>
          <w:rFonts w:hint="eastAsia" w:cs="宋体"/>
          <w:color w:val="auto"/>
          <w:sz w:val="24"/>
          <w:szCs w:val="24"/>
          <w:highlight w:val="none"/>
        </w:rPr>
        <w:t>　如果甲方根据上述第</w:t>
      </w:r>
      <w:r>
        <w:rPr>
          <w:rFonts w:cs="宋体"/>
          <w:color w:val="auto"/>
          <w:sz w:val="24"/>
          <w:szCs w:val="24"/>
          <w:highlight w:val="none"/>
        </w:rPr>
        <w:t>14.1</w:t>
      </w:r>
      <w:r>
        <w:rPr>
          <w:rFonts w:hint="eastAsia" w:cs="宋体"/>
          <w:color w:val="auto"/>
          <w:sz w:val="24"/>
          <w:szCs w:val="24"/>
          <w:highlight w:val="none"/>
        </w:rPr>
        <w:t>条的规定，终止了全部或部分合同，甲方可以适当的条件和方法购买乙方未能提供的服务，乙方应对甲方购买类似服务所超出的费用负责。同时，乙方应继续执行合同中未终止的部分。</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15.</w:t>
      </w:r>
      <w:r>
        <w:rPr>
          <w:rFonts w:hint="eastAsia" w:cs="宋体"/>
          <w:color w:val="auto"/>
          <w:sz w:val="24"/>
          <w:szCs w:val="24"/>
          <w:highlight w:val="none"/>
        </w:rPr>
        <w:t>破产终止合同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15.1</w:t>
      </w:r>
      <w:r>
        <w:rPr>
          <w:rFonts w:hint="eastAsia" w:cs="宋体"/>
          <w:color w:val="auto"/>
          <w:sz w:val="24"/>
          <w:szCs w:val="24"/>
          <w:highlight w:val="none"/>
        </w:rPr>
        <w:t>　如果乙方破产或无清偿能力，甲方可在任何时候以书面形式通知乙方终止合同而不给乙方补偿。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15.2</w:t>
      </w:r>
      <w:r>
        <w:rPr>
          <w:rFonts w:hint="eastAsia" w:cs="宋体"/>
          <w:color w:val="auto"/>
          <w:sz w:val="24"/>
          <w:szCs w:val="24"/>
          <w:highlight w:val="none"/>
        </w:rPr>
        <w:t>　该终止协议将不损害或影响甲方已经采取或将要采取的任何行动或补救措施的权利。</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16.</w:t>
      </w:r>
      <w:r>
        <w:rPr>
          <w:rFonts w:hint="eastAsia" w:cs="宋体"/>
          <w:color w:val="auto"/>
          <w:sz w:val="24"/>
          <w:szCs w:val="24"/>
          <w:highlight w:val="none"/>
        </w:rPr>
        <w:t>其他情况的终止合同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16.1</w:t>
      </w:r>
      <w:r>
        <w:rPr>
          <w:rFonts w:hint="eastAsia" w:cs="宋体"/>
          <w:color w:val="auto"/>
          <w:sz w:val="24"/>
          <w:szCs w:val="24"/>
          <w:highlight w:val="none"/>
        </w:rPr>
        <w:t>　若合同继续履行将给甲方造成重大损失的，甲方可以终止合同而不给予乙方任何补偿。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16.2</w:t>
      </w:r>
      <w:r>
        <w:rPr>
          <w:rFonts w:hint="eastAsia" w:cs="宋体"/>
          <w:color w:val="auto"/>
          <w:sz w:val="24"/>
          <w:szCs w:val="24"/>
          <w:highlight w:val="none"/>
        </w:rPr>
        <w:t>　乙方在执行合同的过程中发生重大事故，对履行合同有直接影响的，甲方可以终止合同而不给予乙方任何补偿。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16.3</w:t>
      </w:r>
      <w:r>
        <w:rPr>
          <w:rFonts w:hint="eastAsia" w:cs="宋体"/>
          <w:color w:val="auto"/>
          <w:sz w:val="24"/>
          <w:szCs w:val="24"/>
          <w:highlight w:val="none"/>
        </w:rPr>
        <w:t>　甲方因重大变故取消或部分取消原来的采购任务，导致合同全部或部分内容无须继续履行的，可以终止合同而不给予乙方任何补偿。</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17.</w:t>
      </w:r>
      <w:r>
        <w:rPr>
          <w:rFonts w:hint="eastAsia" w:cs="宋体"/>
          <w:color w:val="auto"/>
          <w:sz w:val="24"/>
          <w:szCs w:val="24"/>
          <w:highlight w:val="none"/>
        </w:rPr>
        <w:t>合同转让和分包</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17.1</w:t>
      </w:r>
      <w:r>
        <w:rPr>
          <w:rFonts w:hint="eastAsia" w:cs="宋体"/>
          <w:color w:val="auto"/>
          <w:sz w:val="24"/>
          <w:szCs w:val="24"/>
          <w:highlight w:val="none"/>
        </w:rPr>
        <w:t>　乙方不得以任何形式将合同转包，或部分或全部转让其应履行的合同义务。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17.2</w:t>
      </w:r>
      <w:r>
        <w:rPr>
          <w:rFonts w:hint="eastAsia" w:cs="宋体"/>
          <w:color w:val="auto"/>
          <w:sz w:val="24"/>
          <w:szCs w:val="24"/>
          <w:highlight w:val="none"/>
        </w:rPr>
        <w:t>　除经甲方事先书面同意外，乙方不得以任何形式将合同分包。</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18.</w:t>
      </w:r>
      <w:r>
        <w:rPr>
          <w:rFonts w:hint="eastAsia" w:cs="宋体"/>
          <w:color w:val="auto"/>
          <w:sz w:val="24"/>
          <w:szCs w:val="24"/>
          <w:highlight w:val="none"/>
        </w:rPr>
        <w:t>适用法律</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18.1</w:t>
      </w:r>
      <w:r>
        <w:rPr>
          <w:rFonts w:hint="eastAsia" w:cs="宋体"/>
          <w:color w:val="auto"/>
          <w:sz w:val="24"/>
          <w:szCs w:val="24"/>
          <w:highlight w:val="none"/>
        </w:rPr>
        <w:t>　本合同适用中华人民共和国现行法律、行政法规和规章，如合同条款与法律、行政法规和规章不一致的，按照法律、行政法规和规章修改本合同。</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19.</w:t>
      </w:r>
      <w:r>
        <w:rPr>
          <w:rFonts w:hint="eastAsia" w:cs="宋体"/>
          <w:color w:val="auto"/>
          <w:sz w:val="24"/>
          <w:szCs w:val="24"/>
          <w:highlight w:val="none"/>
        </w:rPr>
        <w:t>合同语言</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19.1</w:t>
      </w:r>
      <w:r>
        <w:rPr>
          <w:rFonts w:hint="eastAsia" w:cs="宋体"/>
          <w:color w:val="auto"/>
          <w:sz w:val="24"/>
          <w:szCs w:val="24"/>
          <w:highlight w:val="none"/>
        </w:rPr>
        <w:t>　本合同语言为中文。</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19.2</w:t>
      </w:r>
      <w:r>
        <w:rPr>
          <w:rFonts w:hint="eastAsia" w:cs="宋体"/>
          <w:color w:val="auto"/>
          <w:sz w:val="24"/>
          <w:szCs w:val="24"/>
          <w:highlight w:val="none"/>
        </w:rPr>
        <w:t>　双方交换的与合同有关的信件和其他文件应用合同语言书写。</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20.</w:t>
      </w:r>
      <w:r>
        <w:rPr>
          <w:rFonts w:hint="eastAsia" w:cs="宋体"/>
          <w:color w:val="auto"/>
          <w:sz w:val="24"/>
          <w:szCs w:val="24"/>
          <w:highlight w:val="none"/>
        </w:rPr>
        <w:t>合同生效</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20.1</w:t>
      </w:r>
      <w:r>
        <w:rPr>
          <w:rFonts w:hint="eastAsia" w:cs="宋体"/>
          <w:color w:val="auto"/>
          <w:sz w:val="24"/>
          <w:szCs w:val="24"/>
          <w:highlight w:val="none"/>
        </w:rPr>
        <w:t>　本合同应在双方签字盖章后生效。</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21.</w:t>
      </w:r>
      <w:r>
        <w:rPr>
          <w:rFonts w:hint="eastAsia" w:cs="宋体"/>
          <w:color w:val="auto"/>
          <w:sz w:val="24"/>
          <w:szCs w:val="24"/>
          <w:highlight w:val="none"/>
        </w:rPr>
        <w:t>合同效力</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21.1</w:t>
      </w:r>
      <w:r>
        <w:rPr>
          <w:rFonts w:hint="eastAsia" w:cs="宋体"/>
          <w:color w:val="auto"/>
          <w:sz w:val="24"/>
          <w:szCs w:val="24"/>
          <w:highlight w:val="none"/>
        </w:rPr>
        <w:t>　除本合同和甲乙双方书面签署的补充协议外，其他任何形式的双方约定和往来函件均不具有合同效力，对本项目无约束。</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22.</w:t>
      </w:r>
      <w:r>
        <w:rPr>
          <w:rFonts w:hint="eastAsia" w:cs="宋体"/>
          <w:color w:val="auto"/>
          <w:sz w:val="24"/>
          <w:szCs w:val="24"/>
          <w:highlight w:val="none"/>
        </w:rPr>
        <w:t>检查和审计</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22.1</w:t>
      </w:r>
      <w:r>
        <w:rPr>
          <w:rFonts w:hint="eastAsia" w:cs="宋体"/>
          <w:color w:val="auto"/>
          <w:sz w:val="24"/>
          <w:szCs w:val="24"/>
          <w:highlight w:val="none"/>
        </w:rPr>
        <w:t>在本合同的履行过程中，甲方有权对乙方的合同履约情况进行阶段性检查，并对乙方投标时提供的相关资料进行复核。</w:t>
      </w:r>
    </w:p>
    <w:p>
      <w:pPr>
        <w:pStyle w:val="20"/>
        <w:spacing w:line="460" w:lineRule="exact"/>
        <w:ind w:firstLine="480" w:firstLineChars="200"/>
        <w:rPr>
          <w:rFonts w:cs="宋体"/>
          <w:color w:val="auto"/>
          <w:sz w:val="24"/>
          <w:szCs w:val="24"/>
          <w:highlight w:val="none"/>
        </w:rPr>
      </w:pPr>
      <w:r>
        <w:rPr>
          <w:rFonts w:cs="宋体"/>
          <w:color w:val="auto"/>
          <w:sz w:val="24"/>
          <w:szCs w:val="24"/>
          <w:highlight w:val="none"/>
        </w:rPr>
        <w:t>22.2</w:t>
      </w:r>
      <w:r>
        <w:rPr>
          <w:rFonts w:hint="eastAsia" w:cs="宋体"/>
          <w:color w:val="auto"/>
          <w:sz w:val="24"/>
          <w:szCs w:val="24"/>
          <w:highlight w:val="none"/>
        </w:rPr>
        <w:t>　在本合同的履行过程中，如果甲乙双方发生争议或者乙方没有按照合同约定履行义务，乙方应允许甲方检查乙方与实施本合同有关的账户和记录，并由甲方指定的审计人员对其进行审计。</w:t>
      </w:r>
    </w:p>
    <w:p>
      <w:pPr>
        <w:pStyle w:val="20"/>
        <w:spacing w:line="400" w:lineRule="exact"/>
        <w:ind w:firstLine="480" w:firstLineChars="200"/>
        <w:jc w:val="center"/>
        <w:rPr>
          <w:rFonts w:cs="宋体"/>
          <w:b/>
          <w:bCs/>
          <w:color w:val="auto"/>
          <w:sz w:val="28"/>
          <w:szCs w:val="28"/>
          <w:highlight w:val="none"/>
        </w:rPr>
      </w:pPr>
      <w:r>
        <w:rPr>
          <w:rFonts w:cs="宋体"/>
          <w:color w:val="auto"/>
          <w:sz w:val="24"/>
          <w:szCs w:val="24"/>
          <w:highlight w:val="none"/>
        </w:rPr>
        <w:br w:type="page"/>
      </w:r>
      <w:r>
        <w:rPr>
          <w:rFonts w:hint="eastAsia" w:cs="宋体"/>
          <w:b/>
          <w:bCs/>
          <w:color w:val="auto"/>
          <w:sz w:val="28"/>
          <w:szCs w:val="28"/>
          <w:highlight w:val="none"/>
        </w:rPr>
        <w:t>第五章　投标文件组成</w:t>
      </w:r>
    </w:p>
    <w:p>
      <w:pPr>
        <w:pStyle w:val="20"/>
        <w:ind w:firstLine="560" w:firstLineChars="200"/>
        <w:jc w:val="center"/>
        <w:rPr>
          <w:rFonts w:cs="宋体"/>
          <w:color w:val="auto"/>
          <w:sz w:val="28"/>
          <w:szCs w:val="28"/>
          <w:highlight w:val="none"/>
        </w:rPr>
      </w:pPr>
      <w:r>
        <w:rPr>
          <w:rFonts w:hint="eastAsia" w:cs="宋体"/>
          <w:color w:val="auto"/>
          <w:sz w:val="28"/>
          <w:szCs w:val="28"/>
          <w:highlight w:val="none"/>
        </w:rPr>
        <w:t>第一部分　商务部分</w:t>
      </w:r>
    </w:p>
    <w:p>
      <w:pPr>
        <w:pStyle w:val="20"/>
        <w:spacing w:line="400" w:lineRule="exact"/>
        <w:ind w:firstLine="482" w:firstLineChars="200"/>
        <w:rPr>
          <w:rFonts w:cs="宋体"/>
          <w:b/>
          <w:color w:val="auto"/>
          <w:sz w:val="24"/>
          <w:szCs w:val="24"/>
          <w:highlight w:val="none"/>
        </w:rPr>
      </w:pPr>
      <w:r>
        <w:rPr>
          <w:rFonts w:hint="eastAsia" w:cs="宋体"/>
          <w:b/>
          <w:color w:val="auto"/>
          <w:sz w:val="24"/>
          <w:szCs w:val="24"/>
          <w:highlight w:val="none"/>
        </w:rPr>
        <w:t>商务部分评标内容对应表</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一、投标函</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　法定代表人身份证明复印件</w:t>
      </w:r>
      <w:r>
        <w:rPr>
          <w:rFonts w:cs="宋体"/>
          <w:color w:val="auto"/>
          <w:sz w:val="24"/>
          <w:szCs w:val="24"/>
          <w:highlight w:val="none"/>
        </w:rPr>
        <w:t>(</w:t>
      </w:r>
      <w:r>
        <w:rPr>
          <w:rFonts w:hint="eastAsia" w:cs="宋体"/>
          <w:color w:val="auto"/>
          <w:sz w:val="24"/>
          <w:szCs w:val="24"/>
          <w:highlight w:val="none"/>
        </w:rPr>
        <w:t>法定代表人参加投标</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　法定代表人授权书</w:t>
      </w:r>
      <w:r>
        <w:rPr>
          <w:rFonts w:cs="宋体"/>
          <w:color w:val="auto"/>
          <w:sz w:val="24"/>
          <w:szCs w:val="24"/>
          <w:highlight w:val="none"/>
        </w:rPr>
        <w:t>(</w:t>
      </w:r>
      <w:r>
        <w:rPr>
          <w:rFonts w:hint="eastAsia" w:cs="宋体"/>
          <w:color w:val="auto"/>
          <w:sz w:val="24"/>
          <w:szCs w:val="24"/>
          <w:highlight w:val="none"/>
        </w:rPr>
        <w:t>授权代表参加投标</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二、附件</w:t>
      </w:r>
      <w:r>
        <w:rPr>
          <w:rFonts w:cs="宋体"/>
          <w:color w:val="auto"/>
          <w:sz w:val="24"/>
          <w:szCs w:val="24"/>
          <w:highlight w:val="none"/>
        </w:rPr>
        <w:t xml:space="preserve">2 </w:t>
      </w:r>
      <w:r>
        <w:rPr>
          <w:rFonts w:hint="eastAsia" w:cs="宋体"/>
          <w:color w:val="auto"/>
          <w:sz w:val="24"/>
          <w:szCs w:val="24"/>
          <w:highlight w:val="none"/>
        </w:rPr>
        <w:t>开标一览表</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三、附件</w:t>
      </w:r>
      <w:r>
        <w:rPr>
          <w:rFonts w:cs="宋体"/>
          <w:color w:val="auto"/>
          <w:sz w:val="24"/>
          <w:szCs w:val="24"/>
          <w:highlight w:val="none"/>
        </w:rPr>
        <w:t xml:space="preserve">3 </w:t>
      </w:r>
      <w:r>
        <w:rPr>
          <w:rFonts w:hint="eastAsia" w:cs="宋体"/>
          <w:color w:val="auto"/>
          <w:sz w:val="24"/>
          <w:szCs w:val="24"/>
          <w:highlight w:val="none"/>
        </w:rPr>
        <w:t>分项价格表</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四、附件</w:t>
      </w:r>
      <w:r>
        <w:rPr>
          <w:rFonts w:cs="宋体"/>
          <w:color w:val="auto"/>
          <w:sz w:val="24"/>
          <w:szCs w:val="24"/>
          <w:highlight w:val="none"/>
        </w:rPr>
        <w:t xml:space="preserve">4 </w:t>
      </w:r>
      <w:r>
        <w:rPr>
          <w:rFonts w:hint="eastAsia" w:cs="宋体"/>
          <w:color w:val="auto"/>
          <w:sz w:val="24"/>
          <w:szCs w:val="24"/>
          <w:highlight w:val="none"/>
        </w:rPr>
        <w:t>商务条款偏离表</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五、投标人的资格证明材料</w:t>
      </w:r>
    </w:p>
    <w:p>
      <w:pPr>
        <w:pStyle w:val="20"/>
        <w:spacing w:line="400" w:lineRule="exact"/>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一</w:t>
      </w:r>
      <w:r>
        <w:rPr>
          <w:rFonts w:cs="宋体"/>
          <w:color w:val="auto"/>
          <w:sz w:val="24"/>
          <w:szCs w:val="24"/>
          <w:highlight w:val="none"/>
        </w:rPr>
        <w:t xml:space="preserve">) </w:t>
      </w:r>
      <w:r>
        <w:rPr>
          <w:rFonts w:hint="eastAsia" w:cs="宋体"/>
          <w:color w:val="auto"/>
          <w:sz w:val="24"/>
          <w:szCs w:val="24"/>
          <w:highlight w:val="none"/>
        </w:rPr>
        <w:t>投标人基本情况表</w:t>
      </w:r>
      <w:r>
        <w:rPr>
          <w:rFonts w:cs="宋体"/>
          <w:color w:val="auto"/>
          <w:sz w:val="24"/>
          <w:szCs w:val="24"/>
          <w:highlight w:val="none"/>
        </w:rPr>
        <w:t>(</w:t>
      </w: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1)</w:t>
      </w:r>
    </w:p>
    <w:p>
      <w:pPr>
        <w:pStyle w:val="20"/>
        <w:spacing w:line="400" w:lineRule="exact"/>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二</w:t>
      </w:r>
      <w:r>
        <w:rPr>
          <w:rFonts w:cs="宋体"/>
          <w:color w:val="auto"/>
          <w:sz w:val="24"/>
          <w:szCs w:val="24"/>
          <w:highlight w:val="none"/>
        </w:rPr>
        <w:t>)</w:t>
      </w:r>
      <w:r>
        <w:rPr>
          <w:rFonts w:hint="eastAsia" w:cs="宋体"/>
          <w:color w:val="auto"/>
          <w:sz w:val="24"/>
          <w:szCs w:val="24"/>
          <w:highlight w:val="none"/>
        </w:rPr>
        <w:t>参加政府采购活动的供应商应当具备《政府采购法》第二十二条第一款规定的条件，提供下列材料：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　营业执照副本复印件；</w:t>
      </w:r>
    </w:p>
    <w:p>
      <w:pPr>
        <w:snapToGrid w:val="0"/>
        <w:spacing w:line="390" w:lineRule="exact"/>
        <w:ind w:firstLine="480" w:firstLineChars="200"/>
        <w:jc w:val="left"/>
        <w:rPr>
          <w:rFonts w:ascii="inherit" w:hAnsi="inherit" w:eastAsia="微软雅黑" w:cs="宋体"/>
          <w:color w:val="auto"/>
          <w:kern w:val="0"/>
          <w:sz w:val="17"/>
          <w:szCs w:val="17"/>
          <w:highlight w:val="none"/>
        </w:rPr>
      </w:pPr>
      <w:r>
        <w:rPr>
          <w:rFonts w:hint="eastAsia" w:ascii="宋体" w:cs="宋体"/>
          <w:color w:val="auto"/>
          <w:sz w:val="24"/>
          <w:highlight w:val="none"/>
        </w:rPr>
        <w:t>附件5－2－2　</w:t>
      </w:r>
      <w:r>
        <w:rPr>
          <w:rFonts w:hint="eastAsia" w:cs="宋体"/>
          <w:color w:val="auto"/>
          <w:sz w:val="24"/>
          <w:highlight w:val="none"/>
        </w:rPr>
        <w:t>投标人的财务状况报告：</w:t>
      </w:r>
      <w:r>
        <w:rPr>
          <w:rFonts w:hint="eastAsia" w:ascii="宋体" w:cs="宋体"/>
          <w:color w:val="auto"/>
          <w:sz w:val="24"/>
          <w:highlight w:val="none"/>
        </w:rPr>
        <w:t>提供经会计师事务所审计的</w:t>
      </w:r>
      <w:r>
        <w:rPr>
          <w:rFonts w:ascii="宋体" w:cs="宋体"/>
          <w:color w:val="auto"/>
          <w:sz w:val="24"/>
          <w:highlight w:val="none"/>
        </w:rPr>
        <w:t>2021</w:t>
      </w:r>
      <w:r>
        <w:rPr>
          <w:rFonts w:hint="eastAsia" w:ascii="宋体" w:cs="宋体"/>
          <w:color w:val="auto"/>
          <w:sz w:val="24"/>
          <w:highlight w:val="none"/>
        </w:rPr>
        <w:t>年度的财务报告</w:t>
      </w:r>
      <w:r>
        <w:rPr>
          <w:rFonts w:ascii="宋体" w:cs="宋体"/>
          <w:color w:val="auto"/>
          <w:sz w:val="24"/>
          <w:highlight w:val="none"/>
        </w:rPr>
        <w:t>[</w:t>
      </w:r>
      <w:r>
        <w:rPr>
          <w:rFonts w:hint="eastAsia" w:ascii="宋体" w:cs="宋体"/>
          <w:color w:val="auto"/>
          <w:sz w:val="24"/>
          <w:highlight w:val="none"/>
        </w:rPr>
        <w:t>包括资产负债表、利润表、现金流量表、所有者权益变动表（若有）及其附注（若有）、会计师事务所营业执照和注册会计师资格证书</w:t>
      </w:r>
      <w:r>
        <w:rPr>
          <w:rFonts w:ascii="宋体" w:cs="宋体"/>
          <w:color w:val="auto"/>
          <w:sz w:val="24"/>
          <w:highlight w:val="none"/>
        </w:rPr>
        <w:t>]</w:t>
      </w:r>
      <w:r>
        <w:rPr>
          <w:rFonts w:hint="eastAsia" w:ascii="宋体" w:cs="宋体"/>
          <w:color w:val="auto"/>
          <w:sz w:val="24"/>
          <w:highlight w:val="none"/>
        </w:rPr>
        <w:t>或银行出具的资信证明文件等；</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　依法缴纳税收和社会保障资金的相关材料；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4</w:t>
      </w:r>
      <w:r>
        <w:rPr>
          <w:rFonts w:hint="eastAsia" w:cs="宋体"/>
          <w:color w:val="auto"/>
          <w:sz w:val="24"/>
          <w:szCs w:val="24"/>
          <w:highlight w:val="none"/>
        </w:rPr>
        <w:t>　</w:t>
      </w:r>
      <w:r>
        <w:rPr>
          <w:rFonts w:hint="eastAsia"/>
          <w:color w:val="auto"/>
          <w:sz w:val="24"/>
          <w:szCs w:val="24"/>
          <w:highlight w:val="none"/>
        </w:rPr>
        <w:t>具备履行合同所必需的设备和专业技术能力的声明函</w:t>
      </w:r>
      <w:r>
        <w:rPr>
          <w:rFonts w:hint="eastAsia"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5</w:t>
      </w:r>
      <w:r>
        <w:rPr>
          <w:rFonts w:hint="eastAsia" w:cs="宋体"/>
          <w:color w:val="auto"/>
          <w:sz w:val="24"/>
          <w:szCs w:val="24"/>
          <w:highlight w:val="none"/>
        </w:rPr>
        <w:t>　参加政府采购活动前三年内在经营活动中没有重大违法记录的书面声明；</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6</w:t>
      </w:r>
      <w:r>
        <w:rPr>
          <w:rFonts w:hint="eastAsia" w:cs="宋体"/>
          <w:color w:val="auto"/>
          <w:sz w:val="24"/>
          <w:szCs w:val="24"/>
          <w:highlight w:val="none"/>
        </w:rPr>
        <w:t>　无不良信用记录承诺函；</w:t>
      </w:r>
    </w:p>
    <w:p>
      <w:pPr>
        <w:pStyle w:val="20"/>
        <w:spacing w:line="400" w:lineRule="exact"/>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三</w:t>
      </w:r>
      <w:r>
        <w:rPr>
          <w:rFonts w:cs="宋体"/>
          <w:color w:val="auto"/>
          <w:sz w:val="24"/>
          <w:szCs w:val="24"/>
          <w:highlight w:val="none"/>
        </w:rPr>
        <w:t>)</w:t>
      </w:r>
      <w:r>
        <w:rPr>
          <w:rFonts w:hint="eastAsia" w:cs="宋体"/>
          <w:color w:val="auto"/>
          <w:sz w:val="24"/>
          <w:szCs w:val="24"/>
          <w:highlight w:val="none"/>
        </w:rPr>
        <w:t>符合投标文件要求的投标人特定资格条件的证明材料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　符合招标文件要求的投标人特定资格条件的证明材料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六、提供符合政府采购政策的证明材料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　中小企业声明函</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　残疾人福利性单位声明函（若有）</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　分包意向协议</w:t>
      </w:r>
      <w:r>
        <w:rPr>
          <w:rFonts w:cs="宋体"/>
          <w:color w:val="auto"/>
          <w:sz w:val="24"/>
          <w:szCs w:val="24"/>
          <w:highlight w:val="none"/>
        </w:rPr>
        <w:t>(</w:t>
      </w:r>
      <w:r>
        <w:rPr>
          <w:rFonts w:hint="eastAsia" w:cs="宋体"/>
          <w:color w:val="auto"/>
          <w:sz w:val="24"/>
          <w:szCs w:val="24"/>
          <w:highlight w:val="none"/>
        </w:rPr>
        <w:t>格式附后</w:t>
      </w:r>
      <w:r>
        <w:rPr>
          <w:rFonts w:cs="宋体"/>
          <w:color w:val="auto"/>
          <w:sz w:val="24"/>
          <w:szCs w:val="24"/>
          <w:highlight w:val="none"/>
        </w:rPr>
        <w:t>)</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七、附件</w:t>
      </w:r>
      <w:r>
        <w:rPr>
          <w:rFonts w:cs="宋体"/>
          <w:color w:val="auto"/>
          <w:sz w:val="24"/>
          <w:szCs w:val="24"/>
          <w:highlight w:val="none"/>
        </w:rPr>
        <w:t xml:space="preserve">7 </w:t>
      </w:r>
      <w:r>
        <w:rPr>
          <w:rFonts w:hint="eastAsia" w:cs="宋体"/>
          <w:color w:val="auto"/>
          <w:sz w:val="24"/>
          <w:szCs w:val="24"/>
          <w:highlight w:val="none"/>
        </w:rPr>
        <w:t>投标人须知前附表要求的其他投标资料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八、附件</w:t>
      </w:r>
      <w:r>
        <w:rPr>
          <w:rFonts w:cs="宋体"/>
          <w:color w:val="auto"/>
          <w:sz w:val="24"/>
          <w:szCs w:val="24"/>
          <w:highlight w:val="none"/>
        </w:rPr>
        <w:t>8</w:t>
      </w:r>
      <w:r>
        <w:rPr>
          <w:rFonts w:hint="eastAsia" w:cs="宋体"/>
          <w:color w:val="auto"/>
          <w:sz w:val="24"/>
          <w:szCs w:val="24"/>
          <w:highlight w:val="none"/>
        </w:rPr>
        <w:t>投标人认为需提供的其他资料</w:t>
      </w: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九、附件</w:t>
      </w:r>
      <w:r>
        <w:rPr>
          <w:rFonts w:cs="宋体"/>
          <w:color w:val="auto"/>
          <w:sz w:val="24"/>
          <w:szCs w:val="24"/>
          <w:highlight w:val="none"/>
        </w:rPr>
        <w:t>9</w:t>
      </w:r>
      <w:r>
        <w:rPr>
          <w:rFonts w:hint="eastAsia" w:cs="宋体"/>
          <w:color w:val="auto"/>
          <w:sz w:val="24"/>
          <w:szCs w:val="24"/>
          <w:highlight w:val="none"/>
        </w:rPr>
        <w:t>招标代理服务费承诺函</w:t>
      </w:r>
    </w:p>
    <w:p>
      <w:pPr>
        <w:pStyle w:val="20"/>
        <w:ind w:firstLine="420" w:firstLineChars="200"/>
        <w:jc w:val="center"/>
        <w:rPr>
          <w:rFonts w:cs="宋体"/>
          <w:b/>
          <w:color w:val="auto"/>
          <w:sz w:val="28"/>
          <w:szCs w:val="28"/>
          <w:highlight w:val="none"/>
        </w:rPr>
      </w:pPr>
      <w:r>
        <w:rPr>
          <w:rFonts w:cs="宋体"/>
          <w:color w:val="auto"/>
          <w:highlight w:val="none"/>
        </w:rPr>
        <w:br w:type="page"/>
      </w:r>
      <w:r>
        <w:rPr>
          <w:rFonts w:hint="eastAsia" w:cs="宋体"/>
          <w:b/>
          <w:color w:val="auto"/>
          <w:sz w:val="28"/>
          <w:szCs w:val="28"/>
          <w:highlight w:val="none"/>
        </w:rPr>
        <w:t>第二部分　技术部分</w:t>
      </w:r>
    </w:p>
    <w:p>
      <w:pPr>
        <w:pStyle w:val="20"/>
        <w:ind w:firstLine="482" w:firstLineChars="200"/>
        <w:rPr>
          <w:rFonts w:cs="宋体"/>
          <w:b/>
          <w:color w:val="auto"/>
          <w:sz w:val="24"/>
          <w:szCs w:val="24"/>
          <w:highlight w:val="none"/>
        </w:rPr>
      </w:pPr>
    </w:p>
    <w:p>
      <w:pPr>
        <w:pStyle w:val="20"/>
        <w:ind w:firstLine="482" w:firstLineChars="200"/>
        <w:rPr>
          <w:rFonts w:cs="宋体"/>
          <w:b/>
          <w:color w:val="auto"/>
          <w:sz w:val="24"/>
          <w:szCs w:val="24"/>
          <w:highlight w:val="none"/>
        </w:rPr>
      </w:pPr>
      <w:r>
        <w:rPr>
          <w:rFonts w:hint="eastAsia" w:cs="宋体"/>
          <w:b/>
          <w:color w:val="auto"/>
          <w:sz w:val="24"/>
          <w:szCs w:val="24"/>
          <w:highlight w:val="none"/>
        </w:rPr>
        <w:t>技术部分评标内容对应表</w:t>
      </w:r>
    </w:p>
    <w:p>
      <w:pPr>
        <w:pStyle w:val="20"/>
        <w:ind w:left="480"/>
        <w:rPr>
          <w:rFonts w:cs="宋体"/>
          <w:color w:val="auto"/>
          <w:sz w:val="24"/>
          <w:szCs w:val="24"/>
          <w:highlight w:val="none"/>
        </w:rPr>
      </w:pPr>
    </w:p>
    <w:p>
      <w:pPr>
        <w:pStyle w:val="20"/>
        <w:ind w:left="480"/>
        <w:rPr>
          <w:rFonts w:cs="宋体"/>
          <w:color w:val="auto"/>
          <w:sz w:val="24"/>
          <w:szCs w:val="24"/>
          <w:highlight w:val="none"/>
        </w:rPr>
      </w:pPr>
      <w:r>
        <w:rPr>
          <w:rFonts w:hint="eastAsia" w:cs="宋体"/>
          <w:color w:val="auto"/>
          <w:sz w:val="24"/>
          <w:szCs w:val="24"/>
          <w:highlight w:val="none"/>
        </w:rPr>
        <w:t>一、服务方案、实施方案、验收方案等</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二、技术响应与偏离表</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三、投标人售后服务承诺</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rPr>
        <w:t>四、用于本项目人员清单列表、简历表、相关证明材料等</w:t>
      </w:r>
    </w:p>
    <w:p>
      <w:pPr>
        <w:pStyle w:val="20"/>
        <w:spacing w:line="460" w:lineRule="exact"/>
        <w:ind w:firstLine="480" w:firstLineChars="200"/>
        <w:rPr>
          <w:rFonts w:hint="eastAsia" w:cs="宋体"/>
          <w:color w:val="auto"/>
          <w:sz w:val="24"/>
          <w:szCs w:val="24"/>
          <w:highlight w:val="none"/>
        </w:rPr>
      </w:pPr>
      <w:r>
        <w:rPr>
          <w:rFonts w:hint="eastAsia" w:cs="宋体"/>
          <w:color w:val="auto"/>
          <w:sz w:val="24"/>
          <w:szCs w:val="24"/>
          <w:highlight w:val="none"/>
        </w:rPr>
        <w:t>五、投标标的物符合招标文件规定的其他证明材料</w:t>
      </w:r>
    </w:p>
    <w:p>
      <w:pPr>
        <w:pStyle w:val="20"/>
        <w:spacing w:line="460" w:lineRule="exact"/>
        <w:ind w:firstLine="480" w:firstLineChars="200"/>
        <w:rPr>
          <w:rFonts w:hint="default" w:eastAsia="宋体" w:cs="宋体"/>
          <w:color w:val="auto"/>
          <w:sz w:val="24"/>
          <w:szCs w:val="24"/>
          <w:highlight w:val="none"/>
          <w:lang w:val="en-US" w:eastAsia="zh-CN"/>
        </w:rPr>
      </w:pPr>
      <w:r>
        <w:rPr>
          <w:rFonts w:hint="eastAsia" w:cs="宋体"/>
          <w:color w:val="auto"/>
          <w:sz w:val="24"/>
          <w:szCs w:val="24"/>
          <w:highlight w:val="none"/>
          <w:lang w:val="en-US" w:eastAsia="zh-CN"/>
        </w:rPr>
        <w:t>六、相关承诺函</w:t>
      </w:r>
    </w:p>
    <w:p>
      <w:pPr>
        <w:pStyle w:val="20"/>
        <w:spacing w:line="460" w:lineRule="exact"/>
        <w:ind w:firstLine="480" w:firstLineChars="200"/>
        <w:rPr>
          <w:rFonts w:cs="宋体"/>
          <w:color w:val="auto"/>
          <w:sz w:val="24"/>
          <w:szCs w:val="24"/>
          <w:highlight w:val="none"/>
        </w:rPr>
      </w:pPr>
      <w:r>
        <w:rPr>
          <w:rFonts w:hint="eastAsia" w:cs="宋体"/>
          <w:color w:val="auto"/>
          <w:sz w:val="24"/>
          <w:szCs w:val="24"/>
          <w:highlight w:val="none"/>
          <w:lang w:val="en-US" w:eastAsia="zh-CN"/>
        </w:rPr>
        <w:t>七</w:t>
      </w:r>
      <w:r>
        <w:rPr>
          <w:rFonts w:hint="eastAsia" w:cs="宋体"/>
          <w:color w:val="auto"/>
          <w:sz w:val="24"/>
          <w:szCs w:val="24"/>
          <w:highlight w:val="none"/>
        </w:rPr>
        <w:t>、其他资料</w:t>
      </w:r>
    </w:p>
    <w:p>
      <w:pPr>
        <w:pStyle w:val="20"/>
        <w:ind w:firstLine="480" w:firstLineChars="200"/>
        <w:rPr>
          <w:rFonts w:cs="宋体"/>
          <w:color w:val="auto"/>
          <w:sz w:val="24"/>
          <w:szCs w:val="24"/>
          <w:highlight w:val="none"/>
        </w:rPr>
      </w:pPr>
      <w:r>
        <w:rPr>
          <w:rFonts w:cs="宋体"/>
          <w:color w:val="auto"/>
          <w:sz w:val="24"/>
          <w:szCs w:val="24"/>
          <w:highlight w:val="none"/>
        </w:rPr>
        <w:br w:type="page"/>
      </w:r>
    </w:p>
    <w:p>
      <w:pPr>
        <w:pStyle w:val="8"/>
        <w:jc w:val="center"/>
        <w:rPr>
          <w:rFonts w:ascii="宋体" w:cs="宋体"/>
          <w:color w:val="auto"/>
          <w:sz w:val="28"/>
          <w:szCs w:val="28"/>
          <w:highlight w:val="none"/>
        </w:rPr>
      </w:pPr>
      <w:r>
        <w:rPr>
          <w:rFonts w:hint="eastAsia" w:ascii="宋体" w:cs="宋体"/>
          <w:color w:val="auto"/>
          <w:sz w:val="28"/>
          <w:szCs w:val="28"/>
          <w:highlight w:val="none"/>
        </w:rPr>
        <w:t>政府采购投标文件</w:t>
      </w:r>
    </w:p>
    <w:p>
      <w:pPr>
        <w:pStyle w:val="20"/>
        <w:ind w:firstLine="420" w:firstLineChars="200"/>
        <w:rPr>
          <w:rFonts w:cs="宋体"/>
          <w:color w:val="auto"/>
          <w:highlight w:val="none"/>
        </w:rPr>
      </w:pPr>
    </w:p>
    <w:p>
      <w:pPr>
        <w:pStyle w:val="20"/>
        <w:ind w:firstLine="480" w:firstLineChars="200"/>
        <w:jc w:val="center"/>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商务部分</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项目名称：</w:t>
      </w:r>
      <w:r>
        <w:rPr>
          <w:rFonts w:cs="宋体"/>
          <w:color w:val="auto"/>
          <w:sz w:val="24"/>
          <w:szCs w:val="24"/>
          <w:highlight w:val="none"/>
        </w:rPr>
        <w:t>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项目编号：</w:t>
      </w:r>
      <w:r>
        <w:rPr>
          <w:rFonts w:cs="宋体"/>
          <w:color w:val="auto"/>
          <w:sz w:val="24"/>
          <w:szCs w:val="24"/>
          <w:highlight w:val="none"/>
        </w:rPr>
        <w:t>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合同包号：</w:t>
      </w:r>
      <w:r>
        <w:rPr>
          <w:rFonts w:cs="宋体"/>
          <w:color w:val="auto"/>
          <w:sz w:val="24"/>
          <w:szCs w:val="24"/>
          <w:highlight w:val="none"/>
        </w:rPr>
        <w:t>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__________________</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投标代表人：</w:t>
      </w:r>
      <w:r>
        <w:rPr>
          <w:rFonts w:cs="宋体"/>
          <w:color w:val="auto"/>
          <w:sz w:val="24"/>
          <w:szCs w:val="24"/>
          <w:highlight w:val="none"/>
        </w:rPr>
        <w:t>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联系电话</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149"/>
        <w:keepNext w:val="0"/>
        <w:keepLines w:val="0"/>
        <w:spacing w:before="0" w:after="0" w:line="360" w:lineRule="auto"/>
        <w:ind w:left="0" w:firstLine="480"/>
        <w:outlineLvl w:val="9"/>
        <w:rPr>
          <w:rFonts w:ascii="宋体" w:eastAsia="宋体"/>
          <w:color w:val="auto"/>
          <w:sz w:val="28"/>
          <w:szCs w:val="28"/>
          <w:highlight w:val="none"/>
        </w:rPr>
      </w:pPr>
      <w:r>
        <w:rPr>
          <w:rFonts w:cs="宋体"/>
          <w:color w:val="auto"/>
          <w:highlight w:val="none"/>
        </w:rPr>
        <w:br w:type="page"/>
      </w:r>
      <w:r>
        <w:rPr>
          <w:rFonts w:hint="eastAsia" w:ascii="宋体" w:eastAsia="宋体"/>
          <w:b/>
          <w:color w:val="auto"/>
          <w:kern w:val="0"/>
          <w:sz w:val="28"/>
          <w:szCs w:val="28"/>
          <w:highlight w:val="none"/>
        </w:rPr>
        <w:t>商务部分评标内容对应表</w:t>
      </w:r>
    </w:p>
    <w:p>
      <w:pPr>
        <w:spacing w:line="440" w:lineRule="exact"/>
        <w:ind w:firstLine="204" w:firstLineChars="85"/>
        <w:rPr>
          <w:rFonts w:ascii="宋体"/>
          <w:color w:val="auto"/>
          <w:sz w:val="24"/>
          <w:highlight w:val="none"/>
        </w:rPr>
      </w:pPr>
      <w:r>
        <w:rPr>
          <w:rFonts w:hint="eastAsia" w:ascii="宋体"/>
          <w:color w:val="auto"/>
          <w:sz w:val="24"/>
          <w:highlight w:val="none"/>
        </w:rPr>
        <w:t>投标人名称：</w:t>
      </w:r>
      <w:r>
        <w:rPr>
          <w:rFonts w:ascii="宋体"/>
          <w:color w:val="auto"/>
          <w:sz w:val="24"/>
          <w:highlight w:val="none"/>
        </w:rPr>
        <w:t xml:space="preserve">                          </w:t>
      </w:r>
      <w:r>
        <w:rPr>
          <w:rFonts w:hint="eastAsia" w:ascii="宋体"/>
          <w:color w:val="auto"/>
          <w:sz w:val="24"/>
          <w:highlight w:val="none"/>
        </w:rPr>
        <w:t>招标编号∶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030"/>
        <w:gridCol w:w="2964"/>
        <w:gridCol w:w="283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61" w:type="dxa"/>
            <w:gridSpan w:val="2"/>
            <w:vAlign w:val="center"/>
          </w:tcPr>
          <w:p>
            <w:pPr>
              <w:spacing w:line="440" w:lineRule="exact"/>
              <w:jc w:val="center"/>
              <w:rPr>
                <w:rFonts w:ascii="宋体"/>
                <w:color w:val="auto"/>
                <w:sz w:val="24"/>
                <w:highlight w:val="none"/>
              </w:rPr>
            </w:pPr>
            <w:r>
              <w:rPr>
                <w:rFonts w:hint="eastAsia" w:ascii="宋体" w:cs="Arial"/>
                <w:color w:val="auto"/>
                <w:sz w:val="24"/>
                <w:highlight w:val="none"/>
              </w:rPr>
              <w:t>项</w:t>
            </w:r>
            <w:r>
              <w:rPr>
                <w:rFonts w:ascii="宋体" w:cs="Arial"/>
                <w:color w:val="auto"/>
                <w:sz w:val="24"/>
                <w:highlight w:val="none"/>
              </w:rPr>
              <w:t xml:space="preserve">  </w:t>
            </w:r>
            <w:r>
              <w:rPr>
                <w:rFonts w:hint="eastAsia" w:ascii="宋体" w:cs="Arial"/>
                <w:color w:val="auto"/>
                <w:sz w:val="24"/>
                <w:highlight w:val="none"/>
              </w:rPr>
              <w:t>目</w:t>
            </w:r>
          </w:p>
        </w:tc>
        <w:tc>
          <w:tcPr>
            <w:tcW w:w="2964"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评</w:t>
            </w:r>
            <w:r>
              <w:rPr>
                <w:rFonts w:ascii="宋体" w:cs="Arial"/>
                <w:color w:val="auto"/>
                <w:sz w:val="24"/>
                <w:highlight w:val="none"/>
              </w:rPr>
              <w:t xml:space="preserve"> </w:t>
            </w:r>
            <w:r>
              <w:rPr>
                <w:rFonts w:hint="eastAsia" w:ascii="宋体" w:cs="Arial"/>
                <w:color w:val="auto"/>
                <w:sz w:val="24"/>
                <w:highlight w:val="none"/>
              </w:rPr>
              <w:t>标</w:t>
            </w:r>
            <w:r>
              <w:rPr>
                <w:rFonts w:ascii="宋体" w:cs="Arial"/>
                <w:color w:val="auto"/>
                <w:sz w:val="24"/>
                <w:highlight w:val="none"/>
              </w:rPr>
              <w:t xml:space="preserve"> </w:t>
            </w:r>
            <w:r>
              <w:rPr>
                <w:rFonts w:hint="eastAsia" w:ascii="宋体" w:cs="Arial"/>
                <w:color w:val="auto"/>
                <w:sz w:val="24"/>
                <w:highlight w:val="none"/>
              </w:rPr>
              <w:t>内</w:t>
            </w:r>
            <w:r>
              <w:rPr>
                <w:rFonts w:ascii="宋体" w:cs="Arial"/>
                <w:color w:val="auto"/>
                <w:sz w:val="24"/>
                <w:highlight w:val="none"/>
              </w:rPr>
              <w:t xml:space="preserve"> </w:t>
            </w:r>
            <w:r>
              <w:rPr>
                <w:rFonts w:hint="eastAsia" w:ascii="宋体" w:cs="Arial"/>
                <w:color w:val="auto"/>
                <w:sz w:val="24"/>
                <w:highlight w:val="none"/>
              </w:rPr>
              <w:t>容</w:t>
            </w:r>
          </w:p>
        </w:tc>
        <w:tc>
          <w:tcPr>
            <w:tcW w:w="2835"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投标文件响应情况</w:t>
            </w:r>
          </w:p>
        </w:tc>
        <w:tc>
          <w:tcPr>
            <w:tcW w:w="1134"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31" w:type="dxa"/>
            <w:vMerge w:val="restart"/>
            <w:vAlign w:val="center"/>
          </w:tcPr>
          <w:p>
            <w:pPr>
              <w:spacing w:line="440" w:lineRule="exact"/>
              <w:jc w:val="center"/>
              <w:rPr>
                <w:rFonts w:ascii="宋体"/>
                <w:color w:val="auto"/>
                <w:sz w:val="24"/>
                <w:highlight w:val="none"/>
              </w:rPr>
            </w:pPr>
            <w:r>
              <w:rPr>
                <w:rFonts w:hint="eastAsia" w:ascii="宋体"/>
                <w:color w:val="auto"/>
                <w:sz w:val="24"/>
                <w:highlight w:val="none"/>
              </w:rPr>
              <w:t>商务</w:t>
            </w:r>
          </w:p>
          <w:p>
            <w:pPr>
              <w:spacing w:line="440" w:lineRule="exact"/>
              <w:jc w:val="center"/>
              <w:rPr>
                <w:rFonts w:ascii="宋体"/>
                <w:color w:val="auto"/>
                <w:sz w:val="24"/>
                <w:highlight w:val="none"/>
              </w:rPr>
            </w:pPr>
            <w:r>
              <w:rPr>
                <w:rFonts w:hint="eastAsia" w:ascii="宋体"/>
                <w:color w:val="auto"/>
                <w:sz w:val="24"/>
                <w:highlight w:val="none"/>
              </w:rPr>
              <w:t>部</w:t>
            </w:r>
          </w:p>
          <w:p>
            <w:pPr>
              <w:spacing w:line="440" w:lineRule="exact"/>
              <w:jc w:val="center"/>
              <w:rPr>
                <w:rFonts w:ascii="宋体"/>
                <w:color w:val="auto"/>
                <w:sz w:val="24"/>
                <w:highlight w:val="none"/>
              </w:rPr>
            </w:pPr>
            <w:r>
              <w:rPr>
                <w:rFonts w:hint="eastAsia" w:ascii="宋体"/>
                <w:color w:val="auto"/>
                <w:sz w:val="24"/>
                <w:highlight w:val="none"/>
              </w:rPr>
              <w:t>分</w:t>
            </w: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B</w:t>
            </w:r>
            <w:r>
              <w:rPr>
                <w:rFonts w:ascii="宋体"/>
                <w:color w:val="auto"/>
                <w:sz w:val="24"/>
                <w:highlight w:val="none"/>
              </w:rPr>
              <w:t>1</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B</w:t>
            </w:r>
            <w:r>
              <w:rPr>
                <w:rFonts w:ascii="宋体"/>
                <w:color w:val="auto"/>
                <w:sz w:val="24"/>
                <w:highlight w:val="none"/>
              </w:rPr>
              <w:t>2</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B</w:t>
            </w:r>
            <w:r>
              <w:rPr>
                <w:rFonts w:ascii="宋体"/>
                <w:color w:val="auto"/>
                <w:sz w:val="24"/>
                <w:highlight w:val="none"/>
              </w:rPr>
              <w:t>3</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ascii="宋体"/>
                <w:color w:val="auto"/>
                <w:sz w:val="24"/>
                <w:highlight w:val="none"/>
              </w:rPr>
              <w:t>---</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tcPr>
          <w:p>
            <w:pPr>
              <w:spacing w:line="440" w:lineRule="exact"/>
              <w:jc w:val="center"/>
              <w:rPr>
                <w:rFonts w:ascii="宋体"/>
                <w:color w:val="auto"/>
                <w:sz w:val="24"/>
                <w:highlight w:val="none"/>
              </w:rPr>
            </w:pPr>
            <w:r>
              <w:rPr>
                <w:rFonts w:ascii="宋体"/>
                <w:color w:val="auto"/>
                <w:sz w:val="24"/>
                <w:highlight w:val="none"/>
              </w:rPr>
              <w:t>---</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tcPr>
          <w:p>
            <w:pPr>
              <w:spacing w:line="440" w:lineRule="exact"/>
              <w:jc w:val="center"/>
              <w:rPr>
                <w:rFonts w:ascii="宋体"/>
                <w:color w:val="auto"/>
                <w:sz w:val="24"/>
                <w:highlight w:val="none"/>
              </w:rPr>
            </w:pPr>
            <w:r>
              <w:rPr>
                <w:rFonts w:ascii="宋体"/>
                <w:color w:val="auto"/>
                <w:sz w:val="24"/>
                <w:highlight w:val="none"/>
              </w:rPr>
              <w:t>---</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continue"/>
          </w:tcPr>
          <w:p>
            <w:pPr>
              <w:rPr>
                <w:color w:val="auto"/>
                <w:highlight w:val="none"/>
              </w:rPr>
            </w:pPr>
          </w:p>
        </w:tc>
        <w:tc>
          <w:tcPr>
            <w:tcW w:w="1030" w:type="dxa"/>
          </w:tcPr>
          <w:p>
            <w:pPr>
              <w:spacing w:line="440" w:lineRule="exact"/>
              <w:jc w:val="center"/>
              <w:rPr>
                <w:rFonts w:ascii="宋体"/>
                <w:color w:val="auto"/>
                <w:sz w:val="24"/>
                <w:highlight w:val="none"/>
              </w:rPr>
            </w:pPr>
            <w:r>
              <w:rPr>
                <w:rFonts w:ascii="宋体"/>
                <w:color w:val="auto"/>
                <w:sz w:val="24"/>
                <w:highlight w:val="none"/>
              </w:rPr>
              <w:t>---</w:t>
            </w:r>
          </w:p>
        </w:tc>
        <w:tc>
          <w:tcPr>
            <w:tcW w:w="2964" w:type="dxa"/>
          </w:tcPr>
          <w:p>
            <w:pPr>
              <w:spacing w:line="440" w:lineRule="exact"/>
              <w:rPr>
                <w:rFonts w:ascii="仿宋_GB2312" w:eastAsia="仿宋_GB2312"/>
                <w:b/>
                <w:color w:val="auto"/>
                <w:sz w:val="24"/>
                <w:highlight w:val="none"/>
              </w:rPr>
            </w:pPr>
          </w:p>
        </w:tc>
        <w:tc>
          <w:tcPr>
            <w:tcW w:w="2835" w:type="dxa"/>
          </w:tcPr>
          <w:p>
            <w:pPr>
              <w:spacing w:line="440" w:lineRule="exact"/>
              <w:rPr>
                <w:rFonts w:ascii="仿宋_GB2312" w:eastAsia="仿宋_GB2312"/>
                <w:b/>
                <w:color w:val="auto"/>
                <w:sz w:val="24"/>
                <w:highlight w:val="none"/>
              </w:rPr>
            </w:pPr>
          </w:p>
        </w:tc>
        <w:tc>
          <w:tcPr>
            <w:tcW w:w="1134" w:type="dxa"/>
          </w:tcPr>
          <w:p>
            <w:pPr>
              <w:spacing w:line="440" w:lineRule="exact"/>
              <w:rPr>
                <w:rFonts w:ascii="仿宋_GB2312" w:eastAsia="仿宋_GB2312"/>
                <w:b/>
                <w:color w:val="auto"/>
                <w:sz w:val="24"/>
                <w:highlight w:val="none"/>
              </w:rPr>
            </w:pPr>
          </w:p>
        </w:tc>
      </w:tr>
    </w:tbl>
    <w:p>
      <w:pPr>
        <w:spacing w:line="440" w:lineRule="exact"/>
        <w:rPr>
          <w:rFonts w:ascii="宋体"/>
          <w:color w:val="auto"/>
          <w:sz w:val="24"/>
          <w:highlight w:val="none"/>
        </w:rPr>
      </w:pPr>
    </w:p>
    <w:p>
      <w:pPr>
        <w:spacing w:line="440" w:lineRule="exact"/>
        <w:rPr>
          <w:rFonts w:ascii="宋体"/>
          <w:snapToGrid w:val="0"/>
          <w:color w:val="auto"/>
          <w:sz w:val="24"/>
          <w:highlight w:val="none"/>
        </w:rPr>
      </w:pPr>
      <w:r>
        <w:rPr>
          <w:rFonts w:hint="eastAsia" w:ascii="宋体"/>
          <w:color w:val="auto"/>
          <w:sz w:val="24"/>
          <w:highlight w:val="none"/>
        </w:rPr>
        <w:t>注：投标人必须将投标文件中的相关内容按上述要求及以上格式，逐条对应填写</w:t>
      </w:r>
      <w:r>
        <w:rPr>
          <w:rFonts w:hint="eastAsia" w:ascii="宋体"/>
          <w:snapToGrid w:val="0"/>
          <w:color w:val="auto"/>
          <w:sz w:val="24"/>
          <w:highlight w:val="none"/>
        </w:rPr>
        <w:t>，以便评委进行评标，未按以上格式逐条填写导致条理不清，解释不明的，</w:t>
      </w:r>
      <w:r>
        <w:rPr>
          <w:rFonts w:hint="eastAsia" w:ascii="宋体"/>
          <w:color w:val="auto"/>
          <w:sz w:val="24"/>
          <w:highlight w:val="none"/>
        </w:rPr>
        <w:t>评标委员会</w:t>
      </w:r>
      <w:r>
        <w:rPr>
          <w:rFonts w:hint="eastAsia" w:ascii="宋体"/>
          <w:snapToGrid w:val="0"/>
          <w:color w:val="auto"/>
          <w:sz w:val="24"/>
          <w:highlight w:val="none"/>
        </w:rPr>
        <w:t>将做出不利于投标人的</w:t>
      </w:r>
      <w:r>
        <w:rPr>
          <w:rFonts w:hint="eastAsia" w:ascii="宋体"/>
          <w:color w:val="auto"/>
          <w:sz w:val="24"/>
          <w:highlight w:val="none"/>
        </w:rPr>
        <w:t>判断</w:t>
      </w:r>
      <w:r>
        <w:rPr>
          <w:rFonts w:hint="eastAsia" w:ascii="宋体"/>
          <w:snapToGrid w:val="0"/>
          <w:color w:val="auto"/>
          <w:sz w:val="24"/>
          <w:highlight w:val="none"/>
        </w:rPr>
        <w:t>。</w:t>
      </w:r>
    </w:p>
    <w:p>
      <w:pPr>
        <w:spacing w:line="440" w:lineRule="exact"/>
        <w:rPr>
          <w:rFonts w:ascii="仿宋_GB2312" w:eastAsia="仿宋_GB2312"/>
          <w:b/>
          <w:color w:val="auto"/>
          <w:sz w:val="24"/>
          <w:highlight w:val="none"/>
        </w:rPr>
      </w:pP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投标人名称</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公章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法定代表人或其授权代表</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签字或签章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日期：</w:t>
      </w:r>
      <w:r>
        <w:rPr>
          <w:rFonts w:ascii="Times New Roman" w:hAnsi="Times New Roman"/>
          <w:color w:val="auto"/>
          <w:sz w:val="24"/>
          <w:szCs w:val="24"/>
          <w:highlight w:val="none"/>
        </w:rPr>
        <w:t>______</w:t>
      </w:r>
      <w:r>
        <w:rPr>
          <w:rFonts w:hint="eastAsia" w:ascii="Times New Roman" w:hAnsi="Times New Roman"/>
          <w:color w:val="auto"/>
          <w:sz w:val="24"/>
          <w:szCs w:val="24"/>
          <w:highlight w:val="none"/>
        </w:rPr>
        <w:t>年</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月</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日</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说明：授权用投标专用章的</w:t>
      </w:r>
      <w:r>
        <w:rPr>
          <w:rFonts w:hint="eastAsia" w:ascii="Times New Roman" w:hAnsi="Times New Roman" w:eastAsia="MingLiU_HKSCS"/>
          <w:color w:val="auto"/>
          <w:sz w:val="24"/>
          <w:szCs w:val="24"/>
          <w:highlight w:val="none"/>
        </w:rPr>
        <w:t>，</w:t>
      </w:r>
      <w:r>
        <w:rPr>
          <w:rFonts w:hint="eastAsia" w:ascii="Times New Roman" w:hAnsi="Times New Roman"/>
          <w:color w:val="auto"/>
          <w:sz w:val="24"/>
          <w:szCs w:val="24"/>
          <w:highlight w:val="none"/>
        </w:rPr>
        <w:t>与公章具有相同法律效力。</w:t>
      </w:r>
    </w:p>
    <w:p>
      <w:pPr>
        <w:spacing w:line="380" w:lineRule="exact"/>
        <w:rPr>
          <w:rFonts w:ascii="宋体" w:cs="宋体"/>
          <w:color w:val="auto"/>
          <w:sz w:val="24"/>
          <w:highlight w:val="none"/>
        </w:rPr>
      </w:pPr>
    </w:p>
    <w:p>
      <w:pPr>
        <w:pStyle w:val="20"/>
        <w:ind w:firstLine="420" w:firstLineChars="200"/>
        <w:rPr>
          <w:rFonts w:cs="宋体"/>
          <w:color w:val="auto"/>
          <w:sz w:val="24"/>
          <w:szCs w:val="24"/>
          <w:highlight w:val="none"/>
        </w:rPr>
      </w:pPr>
      <w:r>
        <w:rPr>
          <w:rFonts w:cs="宋体"/>
          <w:color w:val="auto"/>
          <w:highlight w:val="none"/>
        </w:rPr>
        <w:br w:type="page"/>
      </w:r>
      <w:r>
        <w:rPr>
          <w:rFonts w:hint="eastAsia" w:cs="宋体"/>
          <w:color w:val="auto"/>
          <w:sz w:val="24"/>
          <w:szCs w:val="24"/>
          <w:highlight w:val="none"/>
        </w:rPr>
        <w:t>附件</w:t>
      </w:r>
      <w:r>
        <w:rPr>
          <w:rFonts w:cs="宋体"/>
          <w:color w:val="auto"/>
          <w:sz w:val="24"/>
          <w:szCs w:val="24"/>
          <w:highlight w:val="none"/>
        </w:rPr>
        <w:t>1</w:t>
      </w:r>
    </w:p>
    <w:p>
      <w:pPr>
        <w:pStyle w:val="20"/>
        <w:ind w:firstLine="480" w:firstLineChars="200"/>
        <w:rPr>
          <w:rFonts w:cs="宋体"/>
          <w:color w:val="auto"/>
          <w:sz w:val="24"/>
          <w:szCs w:val="24"/>
          <w:highlight w:val="none"/>
        </w:rPr>
      </w:pPr>
      <w:r>
        <w:rPr>
          <w:rFonts w:hint="eastAsia" w:cs="宋体"/>
          <w:color w:val="auto"/>
          <w:sz w:val="24"/>
          <w:szCs w:val="24"/>
          <w:highlight w:val="none"/>
        </w:rPr>
        <w:t>一、投标函</w:t>
      </w:r>
    </w:p>
    <w:p>
      <w:pPr>
        <w:pStyle w:val="8"/>
        <w:jc w:val="center"/>
        <w:rPr>
          <w:rFonts w:ascii="宋体" w:cs="宋体"/>
          <w:color w:val="auto"/>
          <w:highlight w:val="none"/>
        </w:rPr>
      </w:pPr>
      <w:r>
        <w:rPr>
          <w:rFonts w:hint="eastAsia" w:ascii="宋体" w:cs="宋体"/>
          <w:color w:val="auto"/>
          <w:highlight w:val="none"/>
        </w:rPr>
        <w:t>投　标　函</w:t>
      </w:r>
    </w:p>
    <w:p>
      <w:pPr>
        <w:pStyle w:val="20"/>
        <w:rPr>
          <w:rFonts w:cs="宋体"/>
          <w:color w:val="auto"/>
          <w:sz w:val="24"/>
          <w:szCs w:val="24"/>
          <w:highlight w:val="none"/>
        </w:rPr>
      </w:pPr>
      <w:r>
        <w:rPr>
          <w:rFonts w:hint="eastAsia" w:cs="宋体"/>
          <w:color w:val="auto"/>
          <w:sz w:val="24"/>
          <w:szCs w:val="24"/>
          <w:highlight w:val="none"/>
        </w:rPr>
        <w:t>致</w:t>
      </w:r>
      <w:r>
        <w:rPr>
          <w:rFonts w:cs="宋体"/>
          <w:color w:val="auto"/>
          <w:sz w:val="24"/>
          <w:szCs w:val="24"/>
          <w:highlight w:val="none"/>
        </w:rPr>
        <w:t>_</w:t>
      </w:r>
      <w:r>
        <w:rPr>
          <w:rFonts w:hint="eastAsia" w:cs="宋体"/>
          <w:color w:val="auto"/>
          <w:sz w:val="24"/>
          <w:szCs w:val="24"/>
          <w:highlight w:val="none"/>
          <w:u w:val="single"/>
        </w:rPr>
        <w:t>国家税务总局福建省税务局、福建省智信招标有限公司</w:t>
      </w:r>
      <w:r>
        <w:rPr>
          <w:rFonts w:hint="eastAsia" w:cs="宋体"/>
          <w:color w:val="auto"/>
          <w:sz w:val="24"/>
          <w:szCs w:val="24"/>
          <w:highlight w:val="none"/>
        </w:rPr>
        <w:t>：</w:t>
      </w:r>
    </w:p>
    <w:p>
      <w:pPr>
        <w:pStyle w:val="20"/>
        <w:ind w:firstLine="480" w:firstLineChars="200"/>
        <w:rPr>
          <w:rFonts w:cs="宋体"/>
          <w:color w:val="auto"/>
          <w:sz w:val="24"/>
          <w:szCs w:val="24"/>
          <w:highlight w:val="none"/>
        </w:rPr>
      </w:pPr>
      <w:r>
        <w:rPr>
          <w:rFonts w:hint="eastAsia" w:cs="宋体"/>
          <w:color w:val="auto"/>
          <w:sz w:val="24"/>
          <w:szCs w:val="24"/>
          <w:highlight w:val="none"/>
        </w:rPr>
        <w:t>根据</w:t>
      </w:r>
      <w:r>
        <w:rPr>
          <w:rFonts w:cs="宋体"/>
          <w:color w:val="auto"/>
          <w:sz w:val="24"/>
          <w:szCs w:val="24"/>
          <w:highlight w:val="none"/>
        </w:rPr>
        <w:t>________(</w:t>
      </w:r>
      <w:r>
        <w:rPr>
          <w:rFonts w:hint="eastAsia" w:cs="宋体"/>
          <w:color w:val="auto"/>
          <w:sz w:val="24"/>
          <w:szCs w:val="24"/>
          <w:highlight w:val="none"/>
        </w:rPr>
        <w:t>项目名称</w:t>
      </w:r>
      <w:r>
        <w:rPr>
          <w:rFonts w:cs="宋体"/>
          <w:color w:val="auto"/>
          <w:sz w:val="24"/>
          <w:szCs w:val="24"/>
          <w:highlight w:val="none"/>
        </w:rPr>
        <w:t>)(</w:t>
      </w:r>
      <w:r>
        <w:rPr>
          <w:rFonts w:hint="eastAsia" w:cs="宋体"/>
          <w:color w:val="auto"/>
          <w:sz w:val="24"/>
          <w:szCs w:val="24"/>
          <w:highlight w:val="none"/>
        </w:rPr>
        <w:t>项目编号：</w:t>
      </w:r>
      <w:r>
        <w:rPr>
          <w:rFonts w:cs="宋体"/>
          <w:color w:val="auto"/>
          <w:sz w:val="24"/>
          <w:szCs w:val="24"/>
          <w:highlight w:val="none"/>
        </w:rPr>
        <w:t>________)</w:t>
      </w:r>
      <w:r>
        <w:rPr>
          <w:rFonts w:hint="eastAsia" w:cs="宋体"/>
          <w:color w:val="auto"/>
          <w:sz w:val="24"/>
          <w:szCs w:val="24"/>
          <w:highlight w:val="none"/>
        </w:rPr>
        <w:t>的投标邀请，</w:t>
      </w:r>
      <w:r>
        <w:rPr>
          <w:rFonts w:cs="宋体"/>
          <w:color w:val="auto"/>
          <w:sz w:val="24"/>
          <w:szCs w:val="24"/>
          <w:highlight w:val="none"/>
        </w:rPr>
        <w:t>________(</w:t>
      </w:r>
      <w:r>
        <w:rPr>
          <w:rFonts w:hint="eastAsia" w:cs="宋体"/>
          <w:color w:val="auto"/>
          <w:sz w:val="24"/>
          <w:szCs w:val="24"/>
          <w:highlight w:val="none"/>
        </w:rPr>
        <w:t>姓名、职务</w:t>
      </w:r>
      <w:r>
        <w:rPr>
          <w:rFonts w:cs="宋体"/>
          <w:color w:val="auto"/>
          <w:sz w:val="24"/>
          <w:szCs w:val="24"/>
          <w:highlight w:val="none"/>
        </w:rPr>
        <w:t>)</w:t>
      </w:r>
      <w:r>
        <w:rPr>
          <w:rFonts w:hint="eastAsia" w:cs="宋体"/>
          <w:color w:val="auto"/>
          <w:sz w:val="24"/>
          <w:szCs w:val="24"/>
          <w:highlight w:val="none"/>
        </w:rPr>
        <w:t>代表投标人</w:t>
      </w:r>
      <w:r>
        <w:rPr>
          <w:rFonts w:cs="宋体"/>
          <w:color w:val="auto"/>
          <w:sz w:val="24"/>
          <w:szCs w:val="24"/>
          <w:highlight w:val="none"/>
        </w:rPr>
        <w:t>________(</w:t>
      </w:r>
      <w:r>
        <w:rPr>
          <w:rFonts w:hint="eastAsia" w:cs="宋体"/>
          <w:color w:val="auto"/>
          <w:sz w:val="24"/>
          <w:szCs w:val="24"/>
          <w:highlight w:val="none"/>
        </w:rPr>
        <w:t>投标人名称、地址</w:t>
      </w:r>
      <w:r>
        <w:rPr>
          <w:rFonts w:cs="宋体"/>
          <w:color w:val="auto"/>
          <w:sz w:val="24"/>
          <w:szCs w:val="24"/>
          <w:highlight w:val="none"/>
        </w:rPr>
        <w:t>)</w:t>
      </w:r>
      <w:r>
        <w:rPr>
          <w:rFonts w:hint="eastAsia" w:cs="宋体"/>
          <w:color w:val="auto"/>
          <w:sz w:val="24"/>
          <w:szCs w:val="24"/>
          <w:highlight w:val="none"/>
        </w:rPr>
        <w:t>参加本项目招标的有关活动。据此函，作如下承诺：</w:t>
      </w:r>
    </w:p>
    <w:p>
      <w:pPr>
        <w:pStyle w:val="20"/>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同意在本项目招标文件中规定的开标日起</w:t>
      </w:r>
      <w:r>
        <w:rPr>
          <w:rFonts w:cs="宋体"/>
          <w:color w:val="auto"/>
          <w:sz w:val="24"/>
          <w:szCs w:val="24"/>
          <w:highlight w:val="none"/>
          <w:u w:val="single"/>
        </w:rPr>
        <w:t>90</w:t>
      </w:r>
      <w:r>
        <w:rPr>
          <w:rFonts w:hint="eastAsia" w:cs="宋体"/>
          <w:color w:val="auto"/>
          <w:sz w:val="24"/>
          <w:szCs w:val="24"/>
          <w:highlight w:val="none"/>
        </w:rPr>
        <w:t>天遵守本投标文件中的承诺，且在期满之前均具有约束力。</w:t>
      </w:r>
    </w:p>
    <w:p>
      <w:pPr>
        <w:pStyle w:val="20"/>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具备政府采购相关法律法规规定的参加政府采购活动的供应商应当具备的条件：</w:t>
      </w:r>
    </w:p>
    <w:p>
      <w:pPr>
        <w:pStyle w:val="20"/>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具有独立承担民事责任的能力；</w:t>
      </w:r>
    </w:p>
    <w:p>
      <w:pPr>
        <w:pStyle w:val="20"/>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具有良好的商业信誉和健全的财务会计制度；</w:t>
      </w:r>
    </w:p>
    <w:p>
      <w:pPr>
        <w:pStyle w:val="20"/>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具有履行合同所必需的设备和专业技术能力；</w:t>
      </w:r>
    </w:p>
    <w:p>
      <w:pPr>
        <w:pStyle w:val="20"/>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有依法缴纳税收和社会保障资金的良好记录；</w:t>
      </w:r>
    </w:p>
    <w:p>
      <w:pPr>
        <w:pStyle w:val="20"/>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参加此项采购活动前</w:t>
      </w:r>
      <w:r>
        <w:rPr>
          <w:rFonts w:cs="宋体"/>
          <w:color w:val="auto"/>
          <w:sz w:val="24"/>
          <w:szCs w:val="24"/>
          <w:highlight w:val="none"/>
        </w:rPr>
        <w:t>3</w:t>
      </w:r>
      <w:r>
        <w:rPr>
          <w:rFonts w:hint="eastAsia" w:cs="宋体"/>
          <w:color w:val="auto"/>
          <w:sz w:val="24"/>
          <w:szCs w:val="24"/>
          <w:highlight w:val="none"/>
        </w:rPr>
        <w:t>年内，在经营活动中没有重大违法记录。</w:t>
      </w:r>
    </w:p>
    <w:p>
      <w:pPr>
        <w:pStyle w:val="20"/>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具备本项目招标文件中规定的其他资格条件。</w:t>
      </w:r>
    </w:p>
    <w:p>
      <w:pPr>
        <w:pStyle w:val="20"/>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提供投标人须知规定的全部投标文件，包括投标文件正本</w:t>
      </w:r>
      <w:r>
        <w:rPr>
          <w:rFonts w:cs="宋体"/>
          <w:color w:val="auto"/>
          <w:sz w:val="24"/>
          <w:szCs w:val="24"/>
          <w:highlight w:val="none"/>
          <w:u w:val="single"/>
        </w:rPr>
        <w:t>1_</w:t>
      </w:r>
      <w:r>
        <w:rPr>
          <w:rFonts w:hint="eastAsia" w:cs="宋体"/>
          <w:color w:val="auto"/>
          <w:sz w:val="24"/>
          <w:szCs w:val="24"/>
          <w:highlight w:val="none"/>
        </w:rPr>
        <w:t>份，副本</w:t>
      </w:r>
      <w:r>
        <w:rPr>
          <w:rFonts w:cs="宋体"/>
          <w:color w:val="auto"/>
          <w:sz w:val="24"/>
          <w:szCs w:val="24"/>
          <w:highlight w:val="none"/>
        </w:rPr>
        <w:t>_</w:t>
      </w:r>
      <w:r>
        <w:rPr>
          <w:rFonts w:cs="宋体"/>
          <w:color w:val="auto"/>
          <w:sz w:val="24"/>
          <w:szCs w:val="24"/>
          <w:highlight w:val="none"/>
          <w:u w:val="single"/>
        </w:rPr>
        <w:t>5_</w:t>
      </w:r>
      <w:r>
        <w:rPr>
          <w:rFonts w:hint="eastAsia" w:cs="宋体"/>
          <w:color w:val="auto"/>
          <w:sz w:val="24"/>
          <w:szCs w:val="24"/>
          <w:highlight w:val="none"/>
        </w:rPr>
        <w:t>份，电子文档</w:t>
      </w:r>
      <w:r>
        <w:rPr>
          <w:rFonts w:cs="宋体"/>
          <w:color w:val="auto"/>
          <w:sz w:val="24"/>
          <w:szCs w:val="24"/>
          <w:highlight w:val="none"/>
          <w:u w:val="single"/>
        </w:rPr>
        <w:t>_1_</w:t>
      </w:r>
      <w:r>
        <w:rPr>
          <w:rFonts w:hint="eastAsia" w:cs="宋体"/>
          <w:color w:val="auto"/>
          <w:sz w:val="24"/>
          <w:szCs w:val="24"/>
          <w:highlight w:val="none"/>
        </w:rPr>
        <w:t>份，开标一览表</w:t>
      </w:r>
      <w:r>
        <w:rPr>
          <w:rFonts w:cs="宋体"/>
          <w:color w:val="auto"/>
          <w:sz w:val="24"/>
          <w:szCs w:val="24"/>
          <w:highlight w:val="none"/>
        </w:rPr>
        <w:t>(</w:t>
      </w:r>
      <w:r>
        <w:rPr>
          <w:rFonts w:hint="eastAsia" w:cs="宋体"/>
          <w:color w:val="auto"/>
          <w:sz w:val="24"/>
          <w:szCs w:val="24"/>
          <w:highlight w:val="none"/>
        </w:rPr>
        <w:t>投标报价表</w:t>
      </w:r>
      <w:r>
        <w:rPr>
          <w:rFonts w:cs="宋体"/>
          <w:color w:val="auto"/>
          <w:sz w:val="24"/>
          <w:szCs w:val="24"/>
          <w:highlight w:val="none"/>
        </w:rPr>
        <w:t>)</w:t>
      </w:r>
      <w:r>
        <w:rPr>
          <w:rFonts w:cs="宋体"/>
          <w:color w:val="auto"/>
          <w:sz w:val="24"/>
          <w:szCs w:val="24"/>
          <w:highlight w:val="none"/>
          <w:u w:val="single"/>
        </w:rPr>
        <w:t>__1_</w:t>
      </w:r>
      <w:r>
        <w:rPr>
          <w:rFonts w:hint="eastAsia" w:cs="宋体"/>
          <w:color w:val="auto"/>
          <w:sz w:val="24"/>
          <w:szCs w:val="24"/>
          <w:highlight w:val="none"/>
        </w:rPr>
        <w:t>份。</w:t>
      </w:r>
    </w:p>
    <w:p>
      <w:pPr>
        <w:pStyle w:val="20"/>
        <w:ind w:firstLine="480" w:firstLineChars="200"/>
        <w:rPr>
          <w:rFonts w:cs="宋体"/>
          <w:color w:val="auto"/>
          <w:sz w:val="24"/>
          <w:szCs w:val="24"/>
          <w:highlight w:val="none"/>
        </w:rPr>
      </w:pPr>
      <w:r>
        <w:rPr>
          <w:rFonts w:cs="宋体"/>
          <w:color w:val="auto"/>
          <w:sz w:val="24"/>
          <w:szCs w:val="24"/>
          <w:highlight w:val="none"/>
        </w:rPr>
        <w:t>5.</w:t>
      </w:r>
      <w:r>
        <w:rPr>
          <w:rFonts w:hint="eastAsia" w:cs="宋体"/>
          <w:color w:val="auto"/>
          <w:sz w:val="24"/>
          <w:szCs w:val="24"/>
          <w:highlight w:val="none"/>
        </w:rPr>
        <w:t>已详细审阅全部招标文件</w:t>
      </w:r>
      <w:r>
        <w:rPr>
          <w:rFonts w:cs="宋体"/>
          <w:color w:val="auto"/>
          <w:sz w:val="24"/>
          <w:szCs w:val="24"/>
          <w:highlight w:val="none"/>
        </w:rPr>
        <w:t>(</w:t>
      </w:r>
      <w:r>
        <w:rPr>
          <w:rFonts w:hint="eastAsia" w:cs="宋体"/>
          <w:color w:val="auto"/>
          <w:sz w:val="24"/>
          <w:szCs w:val="24"/>
          <w:highlight w:val="none"/>
        </w:rPr>
        <w:t>包括招标文件澄清函</w:t>
      </w:r>
      <w:r>
        <w:rPr>
          <w:rFonts w:cs="宋体"/>
          <w:color w:val="auto"/>
          <w:sz w:val="24"/>
          <w:szCs w:val="24"/>
          <w:highlight w:val="none"/>
        </w:rPr>
        <w:t>)</w:t>
      </w:r>
      <w:r>
        <w:rPr>
          <w:rFonts w:hint="eastAsia" w:cs="宋体"/>
          <w:color w:val="auto"/>
          <w:sz w:val="24"/>
          <w:szCs w:val="24"/>
          <w:highlight w:val="none"/>
        </w:rPr>
        <w:t>，理解投标人须知的所有条款。</w:t>
      </w:r>
    </w:p>
    <w:p>
      <w:pPr>
        <w:pStyle w:val="20"/>
        <w:ind w:firstLine="480" w:firstLineChars="200"/>
        <w:rPr>
          <w:rFonts w:cs="宋体"/>
          <w:color w:val="auto"/>
          <w:sz w:val="24"/>
          <w:szCs w:val="24"/>
          <w:highlight w:val="none"/>
        </w:rPr>
      </w:pPr>
      <w:r>
        <w:rPr>
          <w:rFonts w:cs="宋体"/>
          <w:color w:val="auto"/>
          <w:sz w:val="24"/>
          <w:szCs w:val="24"/>
          <w:highlight w:val="none"/>
        </w:rPr>
        <w:t>6.</w:t>
      </w:r>
      <w:r>
        <w:rPr>
          <w:rFonts w:hint="eastAsia" w:cs="宋体"/>
          <w:color w:val="auto"/>
          <w:sz w:val="24"/>
          <w:szCs w:val="24"/>
          <w:highlight w:val="none"/>
        </w:rPr>
        <w:t>完全理解贵方“最低报价不能作为中标的保证”的规定。</w:t>
      </w:r>
    </w:p>
    <w:p>
      <w:pPr>
        <w:pStyle w:val="20"/>
        <w:ind w:firstLine="480" w:firstLineChars="200"/>
        <w:rPr>
          <w:rFonts w:cs="宋体"/>
          <w:color w:val="auto"/>
          <w:sz w:val="24"/>
          <w:szCs w:val="24"/>
          <w:highlight w:val="none"/>
        </w:rPr>
      </w:pPr>
      <w:r>
        <w:rPr>
          <w:rFonts w:cs="宋体"/>
          <w:color w:val="auto"/>
          <w:sz w:val="24"/>
          <w:szCs w:val="24"/>
          <w:highlight w:val="none"/>
        </w:rPr>
        <w:t>7.</w:t>
      </w:r>
      <w:r>
        <w:rPr>
          <w:rFonts w:hint="eastAsia" w:cs="宋体"/>
          <w:color w:val="auto"/>
          <w:sz w:val="24"/>
          <w:szCs w:val="24"/>
          <w:highlight w:val="none"/>
        </w:rPr>
        <w:t>接受招标文件中全部合同条款，且无任何异议；保证忠实地执行双方所签订的合同，并承担合同规定的责任和义务。</w:t>
      </w:r>
    </w:p>
    <w:p>
      <w:pPr>
        <w:pStyle w:val="20"/>
        <w:ind w:firstLine="480" w:firstLineChars="200"/>
        <w:rPr>
          <w:rFonts w:cs="宋体"/>
          <w:color w:val="auto"/>
          <w:sz w:val="24"/>
          <w:szCs w:val="24"/>
          <w:highlight w:val="none"/>
        </w:rPr>
      </w:pPr>
      <w:r>
        <w:rPr>
          <w:rFonts w:cs="宋体"/>
          <w:color w:val="auto"/>
          <w:sz w:val="24"/>
          <w:szCs w:val="24"/>
          <w:highlight w:val="none"/>
        </w:rPr>
        <w:t>8.</w:t>
      </w:r>
      <w:r>
        <w:rPr>
          <w:rFonts w:hint="eastAsia" w:cs="宋体"/>
          <w:color w:val="auto"/>
          <w:sz w:val="24"/>
          <w:szCs w:val="24"/>
          <w:highlight w:val="none"/>
        </w:rPr>
        <w:t>完全满足和响应招标文件中的各项商务和技术要求，若有偏差，已在投标文件中明确说明。</w:t>
      </w:r>
    </w:p>
    <w:p>
      <w:pPr>
        <w:pStyle w:val="20"/>
        <w:ind w:firstLine="480" w:firstLineChars="200"/>
        <w:rPr>
          <w:rFonts w:cs="宋体"/>
          <w:color w:val="auto"/>
          <w:sz w:val="24"/>
          <w:szCs w:val="24"/>
          <w:highlight w:val="none"/>
        </w:rPr>
      </w:pPr>
      <w:r>
        <w:rPr>
          <w:rFonts w:cs="宋体"/>
          <w:color w:val="auto"/>
          <w:sz w:val="24"/>
          <w:szCs w:val="24"/>
          <w:highlight w:val="none"/>
        </w:rPr>
        <w:t>9.</w:t>
      </w:r>
      <w:r>
        <w:rPr>
          <w:rFonts w:hint="eastAsia" w:cs="宋体"/>
          <w:color w:val="auto"/>
          <w:sz w:val="24"/>
          <w:szCs w:val="24"/>
          <w:highlight w:val="none"/>
        </w:rPr>
        <w:t>愿意提供任何与投标有关的数据、情况和技术资料等。</w:t>
      </w:r>
    </w:p>
    <w:p>
      <w:pPr>
        <w:pStyle w:val="20"/>
        <w:ind w:firstLine="480" w:firstLineChars="200"/>
        <w:rPr>
          <w:rFonts w:cs="宋体"/>
          <w:color w:val="auto"/>
          <w:sz w:val="24"/>
          <w:szCs w:val="24"/>
          <w:highlight w:val="none"/>
        </w:rPr>
      </w:pPr>
      <w:r>
        <w:rPr>
          <w:rFonts w:cs="宋体"/>
          <w:color w:val="auto"/>
          <w:sz w:val="24"/>
          <w:szCs w:val="24"/>
          <w:highlight w:val="none"/>
        </w:rPr>
        <w:t>10.</w:t>
      </w:r>
      <w:r>
        <w:rPr>
          <w:rFonts w:hint="eastAsia" w:cs="宋体"/>
          <w:color w:val="auto"/>
          <w:sz w:val="24"/>
          <w:szCs w:val="24"/>
          <w:highlight w:val="none"/>
        </w:rPr>
        <w:t>我方已详细审核全部投标文件、参考资料及有关附件，确认无误。</w:t>
      </w:r>
    </w:p>
    <w:p>
      <w:pPr>
        <w:pStyle w:val="20"/>
        <w:ind w:firstLine="480" w:firstLineChars="200"/>
        <w:rPr>
          <w:rFonts w:cs="宋体"/>
          <w:color w:val="auto"/>
          <w:sz w:val="24"/>
          <w:szCs w:val="24"/>
          <w:highlight w:val="none"/>
        </w:rPr>
      </w:pPr>
      <w:r>
        <w:rPr>
          <w:rFonts w:cs="宋体"/>
          <w:color w:val="auto"/>
          <w:sz w:val="24"/>
          <w:szCs w:val="24"/>
          <w:highlight w:val="none"/>
        </w:rPr>
        <w:t>11.</w:t>
      </w:r>
      <w:r>
        <w:rPr>
          <w:rFonts w:hint="eastAsia" w:cs="宋体"/>
          <w:color w:val="auto"/>
          <w:sz w:val="24"/>
          <w:szCs w:val="24"/>
          <w:highlight w:val="none"/>
        </w:rPr>
        <w:t>对本次招标内容及与本项目有关的知识产权、技术资料、商业秘密及相关信息保密。</w:t>
      </w:r>
    </w:p>
    <w:p>
      <w:pPr>
        <w:pStyle w:val="20"/>
        <w:ind w:firstLine="480" w:firstLineChars="200"/>
        <w:rPr>
          <w:rFonts w:cs="宋体"/>
          <w:color w:val="auto"/>
          <w:sz w:val="24"/>
          <w:szCs w:val="24"/>
          <w:highlight w:val="none"/>
        </w:rPr>
      </w:pPr>
      <w:r>
        <w:rPr>
          <w:rFonts w:cs="宋体"/>
          <w:color w:val="auto"/>
          <w:sz w:val="24"/>
          <w:szCs w:val="24"/>
          <w:highlight w:val="none"/>
        </w:rPr>
        <w:t>12.</w:t>
      </w:r>
      <w:r>
        <w:rPr>
          <w:rFonts w:hint="eastAsia" w:cs="宋体"/>
          <w:color w:val="auto"/>
          <w:sz w:val="24"/>
          <w:szCs w:val="24"/>
          <w:highlight w:val="none"/>
        </w:rPr>
        <w:t>与采购人和采购代理机构无任何的隶属关系或者其他利害关系。</w:t>
      </w: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：法定代表人身份证明复印件</w:t>
      </w:r>
      <w:r>
        <w:rPr>
          <w:rFonts w:cs="宋体"/>
          <w:color w:val="auto"/>
          <w:sz w:val="24"/>
          <w:szCs w:val="24"/>
          <w:highlight w:val="none"/>
        </w:rPr>
        <w:t>(</w:t>
      </w:r>
      <w:r>
        <w:rPr>
          <w:rFonts w:hint="eastAsia" w:cs="宋体"/>
          <w:color w:val="auto"/>
          <w:sz w:val="24"/>
          <w:szCs w:val="24"/>
          <w:highlight w:val="none"/>
        </w:rPr>
        <w:t>法定代表人参加投标</w:t>
      </w:r>
      <w:r>
        <w:rPr>
          <w:rFonts w:cs="宋体"/>
          <w:color w:val="auto"/>
          <w:sz w:val="24"/>
          <w:szCs w:val="24"/>
          <w:highlight w:val="none"/>
        </w:rPr>
        <w:t>)</w:t>
      </w: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：法定代表人授权书</w:t>
      </w:r>
      <w:r>
        <w:rPr>
          <w:rFonts w:cs="宋体"/>
          <w:color w:val="auto"/>
          <w:sz w:val="24"/>
          <w:szCs w:val="24"/>
          <w:highlight w:val="none"/>
        </w:rPr>
        <w:t>(</w:t>
      </w:r>
      <w:r>
        <w:rPr>
          <w:rFonts w:hint="eastAsia" w:cs="宋体"/>
          <w:color w:val="auto"/>
          <w:sz w:val="24"/>
          <w:szCs w:val="24"/>
          <w:highlight w:val="none"/>
        </w:rPr>
        <w:t>授权代表参加投标</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____________</w:t>
      </w:r>
      <w:r>
        <w:rPr>
          <w:rFonts w:hint="eastAsia" w:cs="宋体"/>
          <w:color w:val="auto"/>
          <w:sz w:val="24"/>
          <w:szCs w:val="24"/>
          <w:highlight w:val="none"/>
        </w:rPr>
        <w:t>投标人公章：</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投标人地址：</w:t>
      </w:r>
      <w:r>
        <w:rPr>
          <w:rFonts w:cs="宋体"/>
          <w:color w:val="auto"/>
          <w:sz w:val="24"/>
          <w:szCs w:val="24"/>
          <w:highlight w:val="none"/>
        </w:rPr>
        <w:t>____________</w:t>
      </w:r>
      <w:r>
        <w:rPr>
          <w:rFonts w:hint="eastAsia" w:cs="宋体"/>
          <w:color w:val="auto"/>
          <w:sz w:val="24"/>
          <w:szCs w:val="24"/>
          <w:highlight w:val="none"/>
        </w:rPr>
        <w:t>邮编：</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电话：</w:t>
      </w:r>
      <w:r>
        <w:rPr>
          <w:rFonts w:cs="宋体"/>
          <w:color w:val="auto"/>
          <w:sz w:val="24"/>
          <w:szCs w:val="24"/>
          <w:highlight w:val="none"/>
        </w:rPr>
        <w:t>____________</w:t>
      </w:r>
      <w:r>
        <w:rPr>
          <w:rFonts w:hint="eastAsia" w:cs="宋体"/>
          <w:color w:val="auto"/>
          <w:sz w:val="24"/>
          <w:szCs w:val="24"/>
          <w:highlight w:val="none"/>
        </w:rPr>
        <w:t>传真：</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法定代表人或投标人代表</w:t>
      </w:r>
      <w:r>
        <w:rPr>
          <w:rFonts w:cs="宋体"/>
          <w:color w:val="auto"/>
          <w:sz w:val="24"/>
          <w:szCs w:val="24"/>
          <w:highlight w:val="none"/>
        </w:rPr>
        <w:t>(</w:t>
      </w:r>
      <w:r>
        <w:rPr>
          <w:rFonts w:hint="eastAsia" w:cs="宋体"/>
          <w:color w:val="auto"/>
          <w:sz w:val="24"/>
          <w:szCs w:val="24"/>
          <w:highlight w:val="none"/>
        </w:rPr>
        <w:t>签字或</w:t>
      </w:r>
      <w:r>
        <w:rPr>
          <w:rFonts w:hint="eastAsia" w:ascii="Times New Roman" w:hAnsi="Times New Roman"/>
          <w:color w:val="auto"/>
          <w:sz w:val="24"/>
          <w:szCs w:val="24"/>
          <w:highlight w:val="none"/>
        </w:rPr>
        <w:t>签</w:t>
      </w:r>
      <w:r>
        <w:rPr>
          <w:rFonts w:hint="eastAsia" w:cs="宋体"/>
          <w:color w:val="auto"/>
          <w:sz w:val="24"/>
          <w:szCs w:val="24"/>
          <w:highlight w:val="none"/>
        </w:rPr>
        <w:t>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联系电话：</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　</w:t>
      </w: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　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　法定代表人身份证明复印件</w:t>
      </w:r>
      <w:r>
        <w:rPr>
          <w:rFonts w:cs="宋体"/>
          <w:color w:val="auto"/>
          <w:sz w:val="24"/>
          <w:szCs w:val="24"/>
          <w:highlight w:val="none"/>
        </w:rPr>
        <w:t>(</w:t>
      </w:r>
      <w:r>
        <w:rPr>
          <w:rFonts w:hint="eastAsia" w:cs="宋体"/>
          <w:color w:val="auto"/>
          <w:sz w:val="24"/>
          <w:szCs w:val="24"/>
          <w:highlight w:val="none"/>
        </w:rPr>
        <w:t>法定代表人参加投标的</w:t>
      </w:r>
      <w:r>
        <w:rPr>
          <w:rFonts w:cs="宋体"/>
          <w:color w:val="auto"/>
          <w:sz w:val="24"/>
          <w:szCs w:val="24"/>
          <w:highlight w:val="none"/>
        </w:rPr>
        <w:t>)</w:t>
      </w:r>
    </w:p>
    <w:p>
      <w:pPr>
        <w:pStyle w:val="20"/>
        <w:ind w:firstLine="480" w:firstLineChars="200"/>
        <w:rPr>
          <w:rFonts w:cs="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118" w:type="dxa"/>
            <w:tcBorders>
              <w:top w:val="single" w:color="auto" w:sz="4" w:space="0"/>
              <w:bottom w:val="single" w:color="auto" w:sz="4" w:space="0"/>
            </w:tcBorders>
            <w:vAlign w:val="center"/>
          </w:tcPr>
          <w:p>
            <w:pPr>
              <w:pStyle w:val="20"/>
              <w:jc w:val="center"/>
              <w:rPr>
                <w:rFonts w:cs="宋体"/>
                <w:color w:val="auto"/>
                <w:sz w:val="24"/>
                <w:szCs w:val="24"/>
                <w:highlight w:val="none"/>
              </w:rPr>
            </w:pPr>
            <w:r>
              <w:rPr>
                <w:rFonts w:hint="eastAsia" w:cs="宋体"/>
                <w:color w:val="auto"/>
                <w:sz w:val="24"/>
                <w:szCs w:val="24"/>
                <w:highlight w:val="none"/>
              </w:rPr>
              <w:t>法定代表人身份证明复印件</w:t>
            </w:r>
          </w:p>
        </w:tc>
      </w:tr>
    </w:tbl>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1</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　法定代表人授权委托书</w:t>
      </w:r>
      <w:r>
        <w:rPr>
          <w:rFonts w:cs="宋体"/>
          <w:color w:val="auto"/>
          <w:sz w:val="24"/>
          <w:szCs w:val="24"/>
          <w:highlight w:val="none"/>
        </w:rPr>
        <w:t>(</w:t>
      </w:r>
      <w:r>
        <w:rPr>
          <w:rFonts w:hint="eastAsia" w:cs="宋体"/>
          <w:color w:val="auto"/>
          <w:sz w:val="24"/>
          <w:szCs w:val="24"/>
          <w:highlight w:val="none"/>
        </w:rPr>
        <w:t>授权代表参加投标的</w:t>
      </w:r>
      <w:r>
        <w:rPr>
          <w:rFonts w:cs="宋体"/>
          <w:color w:val="auto"/>
          <w:sz w:val="24"/>
          <w:szCs w:val="24"/>
          <w:highlight w:val="none"/>
        </w:rPr>
        <w:t>)</w:t>
      </w:r>
    </w:p>
    <w:p>
      <w:pPr>
        <w:pStyle w:val="8"/>
        <w:jc w:val="center"/>
        <w:rPr>
          <w:rFonts w:ascii="宋体" w:cs="宋体"/>
          <w:color w:val="auto"/>
          <w:highlight w:val="none"/>
        </w:rPr>
      </w:pPr>
      <w:r>
        <w:rPr>
          <w:rFonts w:hint="eastAsia" w:ascii="宋体" w:cs="宋体"/>
          <w:color w:val="auto"/>
          <w:highlight w:val="none"/>
        </w:rPr>
        <w:t>法定代表人授权委托书</w:t>
      </w:r>
      <w:r>
        <w:rPr>
          <w:rFonts w:ascii="宋体" w:cs="宋体"/>
          <w:color w:val="auto"/>
          <w:highlight w:val="none"/>
        </w:rPr>
        <w:t>(</w:t>
      </w:r>
      <w:r>
        <w:rPr>
          <w:rFonts w:hint="eastAsia" w:ascii="宋体" w:cs="宋体"/>
          <w:color w:val="auto"/>
          <w:highlight w:val="none"/>
        </w:rPr>
        <w:t>格式一</w:t>
      </w:r>
      <w:r>
        <w:rPr>
          <w:rFonts w:ascii="宋体" w:cs="宋体"/>
          <w:color w:val="auto"/>
          <w:highlight w:val="none"/>
        </w:rPr>
        <w:t>)(</w:t>
      </w:r>
      <w:r>
        <w:rPr>
          <w:rFonts w:hint="eastAsia" w:ascii="宋体" w:cs="宋体"/>
          <w:color w:val="auto"/>
          <w:highlight w:val="none"/>
        </w:rPr>
        <w:t>适用于法人投标</w:t>
      </w:r>
      <w:r>
        <w:rPr>
          <w:rFonts w:ascii="宋体" w:cs="宋体"/>
          <w:color w:val="auto"/>
          <w:highlight w:val="none"/>
        </w:rPr>
        <w:t>)</w:t>
      </w:r>
    </w:p>
    <w:p>
      <w:pPr>
        <w:pStyle w:val="20"/>
        <w:ind w:firstLine="480" w:firstLineChars="200"/>
        <w:rPr>
          <w:rFonts w:cs="宋体"/>
          <w:color w:val="auto"/>
          <w:sz w:val="24"/>
          <w:szCs w:val="24"/>
          <w:highlight w:val="none"/>
        </w:rPr>
      </w:pPr>
      <w:r>
        <w:rPr>
          <w:rFonts w:cs="宋体"/>
          <w:color w:val="auto"/>
          <w:sz w:val="24"/>
          <w:szCs w:val="24"/>
          <w:highlight w:val="none"/>
        </w:rPr>
        <w:t>____________(</w:t>
      </w: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的法定代表人</w:t>
      </w:r>
      <w:r>
        <w:rPr>
          <w:rFonts w:cs="宋体"/>
          <w:color w:val="auto"/>
          <w:sz w:val="24"/>
          <w:szCs w:val="24"/>
          <w:highlight w:val="none"/>
        </w:rPr>
        <w:t>________(</w:t>
      </w:r>
      <w:r>
        <w:rPr>
          <w:rFonts w:hint="eastAsia" w:cs="宋体"/>
          <w:color w:val="auto"/>
          <w:sz w:val="24"/>
          <w:szCs w:val="24"/>
          <w:highlight w:val="none"/>
        </w:rPr>
        <w:t>姓名、职务</w:t>
      </w:r>
      <w:r>
        <w:rPr>
          <w:rFonts w:cs="宋体"/>
          <w:color w:val="auto"/>
          <w:sz w:val="24"/>
          <w:szCs w:val="24"/>
          <w:highlight w:val="none"/>
        </w:rPr>
        <w:t>)</w:t>
      </w:r>
      <w:r>
        <w:rPr>
          <w:rFonts w:hint="eastAsia" w:cs="宋体"/>
          <w:color w:val="auto"/>
          <w:sz w:val="24"/>
          <w:szCs w:val="24"/>
          <w:highlight w:val="none"/>
        </w:rPr>
        <w:t>授权</w:t>
      </w:r>
      <w:r>
        <w:rPr>
          <w:rFonts w:cs="宋体"/>
          <w:color w:val="auto"/>
          <w:sz w:val="24"/>
          <w:szCs w:val="24"/>
          <w:highlight w:val="none"/>
        </w:rPr>
        <w:t>________(</w:t>
      </w:r>
      <w:r>
        <w:rPr>
          <w:rFonts w:hint="eastAsia" w:cs="宋体"/>
          <w:color w:val="auto"/>
          <w:sz w:val="24"/>
          <w:szCs w:val="24"/>
          <w:highlight w:val="none"/>
        </w:rPr>
        <w:t>投标人代表姓名、职务</w:t>
      </w:r>
      <w:r>
        <w:rPr>
          <w:rFonts w:cs="宋体"/>
          <w:color w:val="auto"/>
          <w:sz w:val="24"/>
          <w:szCs w:val="24"/>
          <w:highlight w:val="none"/>
        </w:rPr>
        <w:t>)</w:t>
      </w:r>
      <w:r>
        <w:rPr>
          <w:rFonts w:hint="eastAsia" w:cs="宋体"/>
          <w:color w:val="auto"/>
          <w:sz w:val="24"/>
          <w:szCs w:val="24"/>
          <w:highlight w:val="none"/>
        </w:rPr>
        <w:t>为本公司的投标人代表，就</w:t>
      </w:r>
      <w:r>
        <w:rPr>
          <w:rFonts w:cs="宋体"/>
          <w:color w:val="auto"/>
          <w:sz w:val="24"/>
          <w:szCs w:val="24"/>
          <w:highlight w:val="none"/>
        </w:rPr>
        <w:t>________(</w:t>
      </w:r>
      <w:r>
        <w:rPr>
          <w:rFonts w:hint="eastAsia" w:cs="宋体"/>
          <w:color w:val="auto"/>
          <w:sz w:val="24"/>
          <w:szCs w:val="24"/>
          <w:highlight w:val="none"/>
        </w:rPr>
        <w:t>项目名称</w:t>
      </w:r>
      <w:r>
        <w:rPr>
          <w:rFonts w:cs="宋体"/>
          <w:color w:val="auto"/>
          <w:sz w:val="24"/>
          <w:szCs w:val="24"/>
          <w:highlight w:val="none"/>
        </w:rPr>
        <w:t>)</w:t>
      </w:r>
      <w:r>
        <w:rPr>
          <w:rFonts w:hint="eastAsia" w:cs="宋体"/>
          <w:color w:val="auto"/>
          <w:sz w:val="24"/>
          <w:szCs w:val="24"/>
          <w:highlight w:val="none"/>
        </w:rPr>
        <w:t>投标及相关事务代表本公司处理与之有关的一切事务。</w:t>
      </w:r>
    </w:p>
    <w:p>
      <w:pPr>
        <w:pStyle w:val="20"/>
        <w:ind w:firstLine="480" w:firstLineChars="200"/>
        <w:rPr>
          <w:rFonts w:cs="宋体"/>
          <w:color w:val="auto"/>
          <w:sz w:val="24"/>
          <w:szCs w:val="24"/>
          <w:highlight w:val="none"/>
        </w:rPr>
      </w:pPr>
      <w:r>
        <w:rPr>
          <w:rFonts w:hint="eastAsia" w:cs="宋体"/>
          <w:color w:val="auto"/>
          <w:sz w:val="24"/>
          <w:szCs w:val="24"/>
          <w:highlight w:val="none"/>
        </w:rPr>
        <w:t>委托期限：</w:t>
      </w:r>
      <w:r>
        <w:rPr>
          <w:rFonts w:cs="宋体"/>
          <w:color w:val="auto"/>
          <w:sz w:val="24"/>
          <w:szCs w:val="24"/>
          <w:highlight w:val="none"/>
        </w:rPr>
        <w:t>____________________</w:t>
      </w:r>
      <w:r>
        <w:rPr>
          <w:rFonts w:hint="eastAsia" w:cs="宋体"/>
          <w:color w:val="auto"/>
          <w:sz w:val="24"/>
          <w:szCs w:val="24"/>
          <w:highlight w:val="none"/>
        </w:rPr>
        <w:t>。</w:t>
      </w:r>
    </w:p>
    <w:p>
      <w:pPr>
        <w:pStyle w:val="20"/>
        <w:ind w:firstLine="480" w:firstLineChars="200"/>
        <w:rPr>
          <w:rFonts w:cs="宋体"/>
          <w:color w:val="auto"/>
          <w:sz w:val="24"/>
          <w:szCs w:val="24"/>
          <w:highlight w:val="none"/>
        </w:rPr>
      </w:pPr>
      <w:r>
        <w:rPr>
          <w:rFonts w:hint="eastAsia" w:cs="宋体"/>
          <w:color w:val="auto"/>
          <w:sz w:val="24"/>
          <w:szCs w:val="24"/>
          <w:highlight w:val="none"/>
        </w:rPr>
        <w:t>代理人无转委托权。</w:t>
      </w:r>
    </w:p>
    <w:p>
      <w:pPr>
        <w:pStyle w:val="20"/>
        <w:ind w:firstLine="480" w:firstLineChars="200"/>
        <w:rPr>
          <w:rFonts w:cs="宋体"/>
          <w:color w:val="auto"/>
          <w:sz w:val="24"/>
          <w:szCs w:val="24"/>
          <w:highlight w:val="none"/>
        </w:rPr>
      </w:pPr>
      <w:r>
        <w:rPr>
          <w:rFonts w:hint="eastAsia" w:cs="宋体"/>
          <w:color w:val="auto"/>
          <w:sz w:val="24"/>
          <w:szCs w:val="24"/>
          <w:highlight w:val="none"/>
        </w:rPr>
        <w:t>本授权书于</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日签字生效，特此声明。</w:t>
      </w:r>
    </w:p>
    <w:p>
      <w:pPr>
        <w:pStyle w:val="20"/>
        <w:ind w:firstLine="480" w:firstLineChars="200"/>
        <w:rPr>
          <w:rFonts w:cs="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jc w:val="center"/>
        </w:trPr>
        <w:tc>
          <w:tcPr>
            <w:tcW w:w="5223" w:type="dxa"/>
            <w:tcBorders>
              <w:top w:val="single" w:color="auto" w:sz="4" w:space="0"/>
              <w:bottom w:val="single" w:color="auto" w:sz="4" w:space="0"/>
            </w:tcBorders>
            <w:vAlign w:val="center"/>
          </w:tcPr>
          <w:p>
            <w:pPr>
              <w:pStyle w:val="20"/>
              <w:jc w:val="center"/>
              <w:rPr>
                <w:rFonts w:cs="宋体"/>
                <w:color w:val="auto"/>
                <w:sz w:val="24"/>
                <w:szCs w:val="24"/>
                <w:highlight w:val="none"/>
              </w:rPr>
            </w:pPr>
            <w:r>
              <w:rPr>
                <w:rFonts w:hint="eastAsia" w:cs="宋体"/>
                <w:color w:val="auto"/>
                <w:sz w:val="24"/>
                <w:szCs w:val="24"/>
                <w:highlight w:val="none"/>
              </w:rPr>
              <w:t>法定代表人身份证明复印件与授权代表身份证明复印件正反两面</w:t>
            </w:r>
          </w:p>
        </w:tc>
      </w:tr>
    </w:tbl>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____________________</w:t>
      </w:r>
    </w:p>
    <w:p>
      <w:pPr>
        <w:pStyle w:val="20"/>
        <w:ind w:firstLine="480" w:firstLineChars="200"/>
        <w:jc w:val="right"/>
        <w:rPr>
          <w:rFonts w:cs="宋体"/>
          <w:color w:val="auto"/>
          <w:sz w:val="24"/>
          <w:szCs w:val="24"/>
          <w:highlight w:val="none"/>
        </w:rPr>
      </w:pP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ascii="Times New Roman" w:hAnsi="Times New Roman"/>
          <w:color w:val="auto"/>
          <w:sz w:val="24"/>
          <w:szCs w:val="24"/>
          <w:highlight w:val="none"/>
        </w:rPr>
      </w:pPr>
    </w:p>
    <w:p>
      <w:pPr>
        <w:pStyle w:val="20"/>
        <w:ind w:firstLine="480" w:firstLineChars="200"/>
        <w:rPr>
          <w:rFonts w:ascii="Times New Roman" w:hAnsi="Times New Roman"/>
          <w:color w:val="auto"/>
          <w:sz w:val="24"/>
          <w:szCs w:val="24"/>
          <w:highlight w:val="none"/>
        </w:rPr>
      </w:pPr>
    </w:p>
    <w:p>
      <w:pPr>
        <w:pStyle w:val="20"/>
        <w:ind w:firstLine="480" w:firstLineChars="200"/>
        <w:rPr>
          <w:rFonts w:ascii="Times New Roman" w:hAnsi="Times New Roman"/>
          <w:color w:val="auto"/>
          <w:sz w:val="24"/>
          <w:szCs w:val="24"/>
          <w:highlight w:val="none"/>
        </w:rPr>
      </w:pPr>
      <w:r>
        <w:rPr>
          <w:rFonts w:hint="eastAsia" w:ascii="Times New Roman" w:hAnsi="Times New Roman"/>
          <w:color w:val="auto"/>
          <w:sz w:val="24"/>
          <w:szCs w:val="24"/>
          <w:highlight w:val="none"/>
        </w:rPr>
        <w:t>　　</w:t>
      </w:r>
    </w:p>
    <w:p>
      <w:pPr>
        <w:pStyle w:val="20"/>
        <w:ind w:firstLine="480" w:firstLineChars="200"/>
        <w:rPr>
          <w:rFonts w:ascii="Times New Roman" w:hAnsi="Times New Roman" w:eastAsia="MingLiU_HKSCS"/>
          <w:color w:val="auto"/>
          <w:sz w:val="24"/>
          <w:szCs w:val="24"/>
          <w:highlight w:val="none"/>
        </w:rPr>
      </w:pPr>
      <w:r>
        <w:rPr>
          <w:rFonts w:ascii="Times New Roman" w:hAnsi="Times New Roman"/>
          <w:color w:val="auto"/>
          <w:sz w:val="24"/>
          <w:szCs w:val="24"/>
          <w:highlight w:val="none"/>
        </w:rPr>
        <w:br w:type="page"/>
      </w:r>
      <w:r>
        <w:rPr>
          <w:rFonts w:hint="eastAsia" w:ascii="Times New Roman" w:hAnsi="Times New Roman"/>
          <w:color w:val="auto"/>
          <w:sz w:val="24"/>
          <w:szCs w:val="24"/>
          <w:highlight w:val="none"/>
        </w:rPr>
        <w:t>附件</w:t>
      </w:r>
      <w:r>
        <w:rPr>
          <w:rFonts w:ascii="Times New Roman" w:hAnsi="Times New Roman"/>
          <w:color w:val="auto"/>
          <w:sz w:val="24"/>
          <w:szCs w:val="24"/>
          <w:highlight w:val="none"/>
        </w:rPr>
        <w:t>2</w:t>
      </w:r>
    </w:p>
    <w:p>
      <w:pPr>
        <w:pStyle w:val="20"/>
        <w:ind w:firstLine="480" w:firstLineChars="200"/>
        <w:rPr>
          <w:rFonts w:cs="宋体"/>
          <w:color w:val="auto"/>
          <w:sz w:val="24"/>
          <w:szCs w:val="24"/>
          <w:highlight w:val="none"/>
        </w:rPr>
      </w:pPr>
      <w:r>
        <w:rPr>
          <w:rFonts w:hint="eastAsia" w:cs="宋体"/>
          <w:color w:val="auto"/>
          <w:sz w:val="24"/>
          <w:szCs w:val="24"/>
          <w:highlight w:val="none"/>
        </w:rPr>
        <w:t>　　</w:t>
      </w:r>
    </w:p>
    <w:p>
      <w:pPr>
        <w:pStyle w:val="20"/>
        <w:ind w:firstLine="480" w:firstLineChars="200"/>
        <w:rPr>
          <w:rFonts w:cs="宋体"/>
          <w:color w:val="auto"/>
          <w:sz w:val="24"/>
          <w:szCs w:val="24"/>
          <w:highlight w:val="none"/>
        </w:rPr>
      </w:pPr>
      <w:r>
        <w:rPr>
          <w:rFonts w:hint="eastAsia" w:cs="宋体"/>
          <w:color w:val="auto"/>
          <w:sz w:val="24"/>
          <w:szCs w:val="24"/>
          <w:highlight w:val="none"/>
        </w:rPr>
        <w:t>　　二、开标一览表</w:t>
      </w:r>
    </w:p>
    <w:p>
      <w:pPr>
        <w:pStyle w:val="20"/>
        <w:ind w:firstLine="480" w:firstLineChars="200"/>
        <w:rPr>
          <w:rFonts w:cs="宋体"/>
          <w:color w:val="auto"/>
          <w:sz w:val="24"/>
          <w:szCs w:val="24"/>
          <w:highlight w:val="none"/>
        </w:rPr>
      </w:pPr>
    </w:p>
    <w:p>
      <w:pPr>
        <w:pStyle w:val="20"/>
        <w:ind w:firstLine="480" w:firstLineChars="200"/>
        <w:jc w:val="center"/>
        <w:rPr>
          <w:rFonts w:ascii="MingLiU_HKSCS" w:hAnsi="MingLiU_HKSCS" w:eastAsia="MingLiU_HKSCS" w:cs="MingLiU_HKSCS"/>
          <w:color w:val="auto"/>
          <w:sz w:val="24"/>
          <w:szCs w:val="24"/>
          <w:highlight w:val="none"/>
        </w:rPr>
      </w:pPr>
      <w:r>
        <w:rPr>
          <w:rFonts w:hint="eastAsia" w:ascii="Times New Roman" w:hAnsi="Times New Roman" w:eastAsia="黑体"/>
          <w:color w:val="auto"/>
          <w:sz w:val="24"/>
          <w:szCs w:val="24"/>
          <w:highlight w:val="none"/>
        </w:rPr>
        <w:t>开标一览表</w:t>
      </w:r>
    </w:p>
    <w:tbl>
      <w:tblPr>
        <w:tblStyle w:val="3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951"/>
        <w:gridCol w:w="2835"/>
        <w:gridCol w:w="1276"/>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11"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序号</w:t>
            </w:r>
          </w:p>
        </w:tc>
        <w:tc>
          <w:tcPr>
            <w:tcW w:w="1951"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项目名称</w:t>
            </w:r>
          </w:p>
        </w:tc>
        <w:tc>
          <w:tcPr>
            <w:tcW w:w="2835"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福建税务2023年机房搬迁项目</w:t>
            </w:r>
          </w:p>
        </w:tc>
        <w:tc>
          <w:tcPr>
            <w:tcW w:w="1276"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项目编号</w:t>
            </w:r>
          </w:p>
        </w:tc>
        <w:tc>
          <w:tcPr>
            <w:tcW w:w="1943"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ZXWT-2024-68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11" w:type="dxa"/>
            <w:vAlign w:val="center"/>
          </w:tcPr>
          <w:p>
            <w:pPr>
              <w:pStyle w:val="20"/>
              <w:jc w:val="center"/>
              <w:rPr>
                <w:rFonts w:ascii="Times New Roman" w:hAnsi="Times New Roman"/>
                <w:color w:val="auto"/>
                <w:sz w:val="24"/>
                <w:szCs w:val="24"/>
                <w:highlight w:val="none"/>
              </w:rPr>
            </w:pPr>
            <w:r>
              <w:rPr>
                <w:rFonts w:ascii="Times New Roman" w:hAnsi="Times New Roman"/>
                <w:color w:val="auto"/>
                <w:sz w:val="24"/>
                <w:szCs w:val="24"/>
                <w:highlight w:val="none"/>
              </w:rPr>
              <w:t>1</w:t>
            </w:r>
          </w:p>
        </w:tc>
        <w:tc>
          <w:tcPr>
            <w:tcW w:w="1951"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包号</w:t>
            </w:r>
          </w:p>
        </w:tc>
        <w:tc>
          <w:tcPr>
            <w:tcW w:w="6054" w:type="dxa"/>
            <w:gridSpan w:val="3"/>
            <w:vAlign w:val="center"/>
          </w:tcPr>
          <w:p>
            <w:pPr>
              <w:pStyle w:val="20"/>
              <w:jc w:val="center"/>
              <w:rPr>
                <w:rFonts w:cs="宋体"/>
                <w:color w:val="auto"/>
                <w:sz w:val="24"/>
                <w:szCs w:val="24"/>
                <w:highlight w:val="none"/>
              </w:rPr>
            </w:pPr>
            <w:r>
              <w:rPr>
                <w:rFonts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11" w:type="dxa"/>
            <w:vAlign w:val="center"/>
          </w:tcPr>
          <w:p>
            <w:pPr>
              <w:pStyle w:val="20"/>
              <w:jc w:val="center"/>
              <w:rPr>
                <w:rFonts w:ascii="Times New Roman" w:hAnsi="Times New Roman"/>
                <w:color w:val="auto"/>
                <w:sz w:val="24"/>
                <w:szCs w:val="24"/>
                <w:highlight w:val="none"/>
              </w:rPr>
            </w:pPr>
            <w:r>
              <w:rPr>
                <w:rFonts w:ascii="Times New Roman" w:hAnsi="Times New Roman"/>
                <w:color w:val="auto"/>
                <w:sz w:val="24"/>
                <w:szCs w:val="24"/>
                <w:highlight w:val="none"/>
              </w:rPr>
              <w:t>2</w:t>
            </w:r>
          </w:p>
        </w:tc>
        <w:tc>
          <w:tcPr>
            <w:tcW w:w="1951" w:type="dxa"/>
            <w:vAlign w:val="center"/>
          </w:tcPr>
          <w:p>
            <w:pPr>
              <w:pStyle w:val="20"/>
              <w:jc w:val="center"/>
              <w:rPr>
                <w:rFonts w:ascii="Times New Roman" w:hAnsi="Times New Roman"/>
                <w:color w:val="auto"/>
                <w:sz w:val="24"/>
                <w:szCs w:val="24"/>
                <w:highlight w:val="none"/>
              </w:rPr>
            </w:pPr>
            <w:r>
              <w:rPr>
                <w:rFonts w:hint="eastAsia" w:cs="Courier New"/>
                <w:color w:val="auto"/>
                <w:sz w:val="24"/>
                <w:szCs w:val="24"/>
                <w:highlight w:val="none"/>
              </w:rPr>
              <w:t>投标报价</w:t>
            </w:r>
          </w:p>
        </w:tc>
        <w:tc>
          <w:tcPr>
            <w:tcW w:w="6054" w:type="dxa"/>
            <w:gridSpan w:val="3"/>
            <w:vAlign w:val="center"/>
          </w:tcPr>
          <w:p>
            <w:pPr>
              <w:pStyle w:val="20"/>
              <w:spacing w:line="400" w:lineRule="exact"/>
              <w:jc w:val="left"/>
              <w:rPr>
                <w:rFonts w:cs="Courier New"/>
                <w:color w:val="auto"/>
                <w:sz w:val="24"/>
                <w:szCs w:val="24"/>
                <w:highlight w:val="none"/>
              </w:rPr>
            </w:pPr>
            <w:r>
              <w:rPr>
                <w:rFonts w:hint="eastAsia" w:cs="Courier New"/>
                <w:color w:val="auto"/>
                <w:sz w:val="24"/>
                <w:szCs w:val="24"/>
                <w:highlight w:val="none"/>
              </w:rPr>
              <w:t>大写：人民币</w:t>
            </w:r>
            <w:r>
              <w:rPr>
                <w:rFonts w:cs="Courier New"/>
                <w:color w:val="auto"/>
                <w:sz w:val="24"/>
                <w:szCs w:val="24"/>
                <w:highlight w:val="none"/>
              </w:rPr>
              <w:t>______</w:t>
            </w:r>
            <w:r>
              <w:rPr>
                <w:rFonts w:hint="eastAsia" w:cs="Courier New"/>
                <w:color w:val="auto"/>
                <w:sz w:val="24"/>
                <w:szCs w:val="24"/>
                <w:highlight w:val="none"/>
              </w:rPr>
              <w:t>元</w:t>
            </w:r>
          </w:p>
          <w:p>
            <w:pPr>
              <w:pStyle w:val="20"/>
              <w:spacing w:line="400" w:lineRule="exact"/>
              <w:jc w:val="left"/>
              <w:rPr>
                <w:rFonts w:cs="宋体"/>
                <w:color w:val="auto"/>
                <w:sz w:val="24"/>
                <w:szCs w:val="24"/>
                <w:highlight w:val="none"/>
              </w:rPr>
            </w:pPr>
            <w:r>
              <w:rPr>
                <w:rFonts w:hint="eastAsia" w:cs="Courier New"/>
                <w:color w:val="auto"/>
                <w:sz w:val="24"/>
                <w:szCs w:val="24"/>
                <w:highlight w:val="none"/>
              </w:rPr>
              <w:t>小写：￥</w:t>
            </w:r>
            <w:r>
              <w:rPr>
                <w:rFonts w:cs="Courier New"/>
                <w:color w:val="auto"/>
                <w:sz w:val="24"/>
                <w:szCs w:val="24"/>
                <w:highlight w:val="none"/>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11" w:type="dxa"/>
            <w:vAlign w:val="center"/>
          </w:tcPr>
          <w:p>
            <w:pPr>
              <w:pStyle w:val="20"/>
              <w:jc w:val="center"/>
              <w:rPr>
                <w:rFonts w:ascii="Times New Roman" w:hAnsi="Times New Roman"/>
                <w:color w:val="auto"/>
                <w:sz w:val="24"/>
                <w:szCs w:val="24"/>
                <w:highlight w:val="none"/>
              </w:rPr>
            </w:pPr>
            <w:r>
              <w:rPr>
                <w:rFonts w:ascii="Times New Roman" w:hAnsi="Times New Roman"/>
                <w:color w:val="auto"/>
                <w:sz w:val="24"/>
                <w:szCs w:val="24"/>
                <w:highlight w:val="none"/>
              </w:rPr>
              <w:t>3</w:t>
            </w:r>
          </w:p>
        </w:tc>
        <w:tc>
          <w:tcPr>
            <w:tcW w:w="1951"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项目实施时间</w:t>
            </w:r>
          </w:p>
        </w:tc>
        <w:tc>
          <w:tcPr>
            <w:tcW w:w="6054" w:type="dxa"/>
            <w:gridSpan w:val="3"/>
            <w:vAlign w:val="center"/>
          </w:tcPr>
          <w:p>
            <w:pPr>
              <w:pStyle w:val="2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pStyle w:val="20"/>
              <w:jc w:val="center"/>
              <w:rPr>
                <w:rFonts w:ascii="Times New Roman" w:hAnsi="Times New Roman"/>
                <w:color w:val="auto"/>
                <w:sz w:val="24"/>
                <w:szCs w:val="24"/>
                <w:highlight w:val="none"/>
              </w:rPr>
            </w:pPr>
            <w:r>
              <w:rPr>
                <w:rFonts w:ascii="Times New Roman" w:hAnsi="Times New Roman"/>
                <w:color w:val="auto"/>
                <w:sz w:val="24"/>
                <w:szCs w:val="24"/>
                <w:highlight w:val="none"/>
              </w:rPr>
              <w:t>4</w:t>
            </w:r>
          </w:p>
        </w:tc>
        <w:tc>
          <w:tcPr>
            <w:tcW w:w="1951" w:type="dxa"/>
            <w:vAlign w:val="center"/>
          </w:tcPr>
          <w:p>
            <w:pPr>
              <w:pStyle w:val="20"/>
              <w:jc w:val="center"/>
              <w:rPr>
                <w:rFonts w:ascii="Times New Roman" w:hAnsi="Times New Roman" w:eastAsia="MingLiU_HKSCS"/>
                <w:color w:val="auto"/>
                <w:sz w:val="24"/>
                <w:szCs w:val="24"/>
                <w:highlight w:val="none"/>
              </w:rPr>
            </w:pPr>
          </w:p>
        </w:tc>
        <w:tc>
          <w:tcPr>
            <w:tcW w:w="6054" w:type="dxa"/>
            <w:gridSpan w:val="3"/>
            <w:vAlign w:val="center"/>
          </w:tcPr>
          <w:p>
            <w:pPr>
              <w:pStyle w:val="20"/>
              <w:jc w:val="center"/>
              <w:rPr>
                <w:rFonts w:ascii="Times New Roman" w:hAnsi="Times New Roman" w:eastAsia="MingLiU_HKS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pStyle w:val="20"/>
              <w:jc w:val="center"/>
              <w:rPr>
                <w:rFonts w:ascii="Times New Roman" w:hAnsi="Times New Roman"/>
                <w:color w:val="auto"/>
                <w:sz w:val="24"/>
                <w:szCs w:val="24"/>
                <w:highlight w:val="none"/>
              </w:rPr>
            </w:pPr>
            <w:r>
              <w:rPr>
                <w:rFonts w:ascii="Times New Roman" w:hAnsi="Times New Roman"/>
                <w:color w:val="auto"/>
                <w:sz w:val="24"/>
                <w:szCs w:val="24"/>
                <w:highlight w:val="none"/>
              </w:rPr>
              <w:t>5</w:t>
            </w:r>
          </w:p>
        </w:tc>
        <w:tc>
          <w:tcPr>
            <w:tcW w:w="1951" w:type="dxa"/>
            <w:vAlign w:val="center"/>
          </w:tcPr>
          <w:p>
            <w:pPr>
              <w:pStyle w:val="20"/>
              <w:jc w:val="center"/>
              <w:rPr>
                <w:rFonts w:ascii="Times New Roman" w:hAnsi="Times New Roman" w:eastAsia="MingLiU_HKSCS"/>
                <w:color w:val="auto"/>
                <w:sz w:val="24"/>
                <w:szCs w:val="24"/>
                <w:highlight w:val="none"/>
              </w:rPr>
            </w:pPr>
            <w:r>
              <w:rPr>
                <w:rFonts w:hint="eastAsia"/>
                <w:color w:val="auto"/>
                <w:sz w:val="24"/>
                <w:szCs w:val="24"/>
                <w:highlight w:val="none"/>
              </w:rPr>
              <w:t>…</w:t>
            </w:r>
          </w:p>
        </w:tc>
        <w:tc>
          <w:tcPr>
            <w:tcW w:w="6054" w:type="dxa"/>
            <w:gridSpan w:val="3"/>
            <w:vAlign w:val="center"/>
          </w:tcPr>
          <w:p>
            <w:pPr>
              <w:pStyle w:val="20"/>
              <w:jc w:val="center"/>
              <w:rPr>
                <w:rFonts w:ascii="Times New Roman" w:hAnsi="Times New Roman" w:eastAsia="MingLiU_HKS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pStyle w:val="20"/>
              <w:jc w:val="center"/>
              <w:rPr>
                <w:rFonts w:ascii="Times New Roman" w:hAnsi="Times New Roman"/>
                <w:color w:val="auto"/>
                <w:sz w:val="24"/>
                <w:szCs w:val="24"/>
                <w:highlight w:val="none"/>
              </w:rPr>
            </w:pPr>
          </w:p>
        </w:tc>
        <w:tc>
          <w:tcPr>
            <w:tcW w:w="1951" w:type="dxa"/>
            <w:vAlign w:val="center"/>
          </w:tcPr>
          <w:p>
            <w:pPr>
              <w:pStyle w:val="20"/>
              <w:jc w:val="center"/>
              <w:rPr>
                <w:rFonts w:ascii="Times New Roman" w:hAnsi="Times New Roman"/>
                <w:color w:val="auto"/>
                <w:sz w:val="24"/>
                <w:szCs w:val="24"/>
                <w:highlight w:val="none"/>
              </w:rPr>
            </w:pPr>
            <w:r>
              <w:rPr>
                <w:rFonts w:hint="eastAsia" w:ascii="Times New Roman" w:hAnsi="Times New Roman"/>
                <w:color w:val="auto"/>
                <w:sz w:val="24"/>
                <w:szCs w:val="24"/>
                <w:highlight w:val="none"/>
              </w:rPr>
              <w:t>备注</w:t>
            </w:r>
          </w:p>
        </w:tc>
        <w:tc>
          <w:tcPr>
            <w:tcW w:w="6054" w:type="dxa"/>
            <w:gridSpan w:val="3"/>
            <w:vAlign w:val="center"/>
          </w:tcPr>
          <w:p>
            <w:pPr>
              <w:pStyle w:val="20"/>
              <w:jc w:val="center"/>
              <w:rPr>
                <w:rFonts w:ascii="Times New Roman" w:hAnsi="Times New Roman" w:eastAsia="MingLiU_HKSCS"/>
                <w:color w:val="auto"/>
                <w:sz w:val="24"/>
                <w:szCs w:val="24"/>
                <w:highlight w:val="none"/>
              </w:rPr>
            </w:pPr>
          </w:p>
        </w:tc>
      </w:tr>
    </w:tbl>
    <w:p>
      <w:pPr>
        <w:pStyle w:val="20"/>
        <w:ind w:firstLine="480" w:firstLineChars="200"/>
        <w:rPr>
          <w:rFonts w:ascii="Times New Roman" w:hAnsi="Times New Roman" w:eastAsia="MingLiU_HKSCS"/>
          <w:color w:val="auto"/>
          <w:sz w:val="24"/>
          <w:szCs w:val="24"/>
          <w:highlight w:val="none"/>
        </w:rPr>
      </w:pP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投标人名称</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公章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法定代表人或其授权代表</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签字或签章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日期：</w:t>
      </w:r>
      <w:r>
        <w:rPr>
          <w:rFonts w:ascii="Times New Roman" w:hAnsi="Times New Roman"/>
          <w:color w:val="auto"/>
          <w:sz w:val="24"/>
          <w:szCs w:val="24"/>
          <w:highlight w:val="none"/>
        </w:rPr>
        <w:t>______</w:t>
      </w:r>
      <w:r>
        <w:rPr>
          <w:rFonts w:hint="eastAsia" w:ascii="Times New Roman" w:hAnsi="Times New Roman"/>
          <w:color w:val="auto"/>
          <w:sz w:val="24"/>
          <w:szCs w:val="24"/>
          <w:highlight w:val="none"/>
        </w:rPr>
        <w:t>年</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月</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日</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说明：授权用投标专用章的</w:t>
      </w:r>
      <w:r>
        <w:rPr>
          <w:rFonts w:hint="eastAsia" w:ascii="Times New Roman" w:hAnsi="Times New Roman" w:eastAsia="MingLiU_HKSCS"/>
          <w:color w:val="auto"/>
          <w:sz w:val="24"/>
          <w:szCs w:val="24"/>
          <w:highlight w:val="none"/>
        </w:rPr>
        <w:t>，</w:t>
      </w:r>
      <w:r>
        <w:rPr>
          <w:rFonts w:hint="eastAsia" w:ascii="Times New Roman" w:hAnsi="Times New Roman"/>
          <w:color w:val="auto"/>
          <w:sz w:val="24"/>
          <w:szCs w:val="24"/>
          <w:highlight w:val="none"/>
        </w:rPr>
        <w:t>与公章具有相同法律效力。</w:t>
      </w:r>
    </w:p>
    <w:p>
      <w:pPr>
        <w:pStyle w:val="20"/>
        <w:ind w:firstLine="480" w:firstLineChars="200"/>
        <w:rPr>
          <w:rFonts w:cs="宋体"/>
          <w:color w:val="auto"/>
          <w:sz w:val="24"/>
          <w:szCs w:val="24"/>
          <w:highlight w:val="none"/>
        </w:rPr>
      </w:pPr>
    </w:p>
    <w:p>
      <w:pPr>
        <w:pStyle w:val="20"/>
        <w:rPr>
          <w:rFonts w:ascii="Times New Roman" w:hAnsi="Times New Roman" w:eastAsia="MingLiU_HKSCS"/>
          <w:color w:val="auto"/>
          <w:sz w:val="24"/>
          <w:szCs w:val="24"/>
          <w:highlight w:val="none"/>
        </w:rPr>
      </w:pPr>
    </w:p>
    <w:p>
      <w:pPr>
        <w:ind w:firstLine="420"/>
        <w:rPr>
          <w:rFonts w:cs="宋体"/>
          <w:color w:val="auto"/>
          <w:highlight w:val="none"/>
        </w:rPr>
      </w:pPr>
      <w:r>
        <w:rPr>
          <w:rFonts w:hint="eastAsia" w:cs="宋体"/>
          <w:color w:val="auto"/>
          <w:highlight w:val="none"/>
        </w:rPr>
        <w:t>　</w:t>
      </w:r>
    </w:p>
    <w:p>
      <w:pPr>
        <w:ind w:firstLine="420"/>
        <w:rPr>
          <w:color w:val="auto"/>
          <w:highlight w:val="none"/>
        </w:rPr>
      </w:pPr>
      <w:r>
        <w:rPr>
          <w:rFonts w:cs="宋体"/>
          <w:color w:val="auto"/>
          <w:highlight w:val="none"/>
        </w:rPr>
        <w:br w:type="page"/>
      </w:r>
      <w:r>
        <w:rPr>
          <w:rFonts w:hint="eastAsia"/>
          <w:color w:val="auto"/>
          <w:highlight w:val="none"/>
        </w:rPr>
        <w:t>附件</w:t>
      </w:r>
      <w:r>
        <w:rPr>
          <w:color w:val="auto"/>
          <w:highlight w:val="none"/>
        </w:rPr>
        <w:t>3</w:t>
      </w:r>
    </w:p>
    <w:p>
      <w:pPr>
        <w:pStyle w:val="20"/>
        <w:ind w:firstLine="480" w:firstLineChars="200"/>
        <w:rPr>
          <w:rFonts w:cs="宋体"/>
          <w:color w:val="auto"/>
          <w:sz w:val="24"/>
          <w:szCs w:val="24"/>
          <w:highlight w:val="none"/>
        </w:rPr>
      </w:pPr>
      <w:r>
        <w:rPr>
          <w:rFonts w:hint="eastAsia" w:cs="宋体"/>
          <w:color w:val="auto"/>
          <w:sz w:val="24"/>
          <w:szCs w:val="24"/>
          <w:highlight w:val="none"/>
        </w:rPr>
        <w:t>三、分项价格表</w:t>
      </w:r>
    </w:p>
    <w:p>
      <w:pPr>
        <w:pStyle w:val="20"/>
        <w:ind w:firstLine="480" w:firstLineChars="200"/>
        <w:rPr>
          <w:rFonts w:cs="宋体"/>
          <w:color w:val="auto"/>
          <w:sz w:val="24"/>
          <w:szCs w:val="24"/>
          <w:highlight w:val="none"/>
        </w:rPr>
      </w:pPr>
    </w:p>
    <w:p>
      <w:pPr>
        <w:pStyle w:val="20"/>
        <w:ind w:firstLine="482" w:firstLineChars="200"/>
        <w:jc w:val="center"/>
        <w:rPr>
          <w:rFonts w:cs="宋体"/>
          <w:b/>
          <w:color w:val="auto"/>
          <w:sz w:val="24"/>
          <w:szCs w:val="24"/>
          <w:highlight w:val="none"/>
        </w:rPr>
      </w:pPr>
      <w:r>
        <w:rPr>
          <w:rFonts w:hint="eastAsia" w:cs="宋体"/>
          <w:b/>
          <w:color w:val="auto"/>
          <w:sz w:val="24"/>
          <w:szCs w:val="24"/>
          <w:highlight w:val="none"/>
        </w:rPr>
        <w:t>分项价格表</w:t>
      </w:r>
    </w:p>
    <w:p>
      <w:pPr>
        <w:pStyle w:val="20"/>
        <w:spacing w:line="400" w:lineRule="exact"/>
        <w:ind w:firstLine="480" w:firstLineChars="200"/>
        <w:jc w:val="center"/>
        <w:rPr>
          <w:color w:val="auto"/>
          <w:sz w:val="24"/>
          <w:szCs w:val="24"/>
          <w:highlight w:val="none"/>
        </w:rPr>
      </w:pPr>
      <w:r>
        <w:rPr>
          <w:rFonts w:hint="eastAsia" w:cs="宋体"/>
          <w:color w:val="auto"/>
          <w:sz w:val="24"/>
          <w:szCs w:val="24"/>
          <w:highlight w:val="none"/>
        </w:rPr>
        <w:t>　</w:t>
      </w:r>
      <w:r>
        <w:rPr>
          <w:color w:val="auto"/>
          <w:sz w:val="24"/>
          <w:szCs w:val="24"/>
          <w:highlight w:val="none"/>
        </w:rPr>
        <w:t>(</w:t>
      </w:r>
      <w:r>
        <w:rPr>
          <w:rFonts w:hint="eastAsia"/>
          <w:color w:val="auto"/>
          <w:sz w:val="24"/>
          <w:szCs w:val="24"/>
          <w:highlight w:val="none"/>
        </w:rPr>
        <w:t>服务类项目适用</w:t>
      </w:r>
      <w:r>
        <w:rPr>
          <w:color w:val="auto"/>
          <w:sz w:val="24"/>
          <w:szCs w:val="24"/>
          <w:highlight w:val="none"/>
        </w:rPr>
        <w:t>)</w:t>
      </w:r>
    </w:p>
    <w:p>
      <w:pPr>
        <w:pStyle w:val="20"/>
        <w:spacing w:line="400" w:lineRule="exact"/>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项目名称：福建税务2023年机房搬迁项目</w:t>
      </w:r>
      <w:r>
        <w:rPr>
          <w:rFonts w:ascii="Times New Roman" w:hAnsi="Times New Roman" w:cs="Arial"/>
          <w:color w:val="auto"/>
          <w:kern w:val="0"/>
          <w:sz w:val="24"/>
          <w:szCs w:val="24"/>
          <w:highlight w:val="none"/>
        </w:rPr>
        <w:t xml:space="preserve">   </w:t>
      </w:r>
    </w:p>
    <w:p>
      <w:pPr>
        <w:pStyle w:val="20"/>
        <w:spacing w:line="400" w:lineRule="exact"/>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项目编号：ZXWT-2024-68</w:t>
      </w:r>
      <w:r>
        <w:rPr>
          <w:rFonts w:ascii="Times New Roman" w:hAnsi="Times New Roman" w:cs="Arial"/>
          <w:color w:val="auto"/>
          <w:kern w:val="0"/>
          <w:sz w:val="24"/>
          <w:szCs w:val="24"/>
          <w:highlight w:val="none"/>
        </w:rPr>
        <w:t xml:space="preserve">         </w:t>
      </w:r>
      <w:r>
        <w:rPr>
          <w:rFonts w:hint="eastAsia" w:ascii="Times New Roman" w:hAnsi="Times New Roman" w:cs="Arial"/>
          <w:color w:val="auto"/>
          <w:kern w:val="0"/>
          <w:sz w:val="24"/>
          <w:szCs w:val="24"/>
          <w:highlight w:val="none"/>
        </w:rPr>
        <w:t>包号：</w:t>
      </w:r>
      <w:r>
        <w:rPr>
          <w:rFonts w:ascii="Times New Roman" w:hAnsi="Times New Roman" w:cs="Arial"/>
          <w:color w:val="auto"/>
          <w:kern w:val="0"/>
          <w:sz w:val="24"/>
          <w:szCs w:val="24"/>
          <w:highlight w:val="none"/>
        </w:rPr>
        <w:t xml:space="preserve"> </w:t>
      </w:r>
      <w:r>
        <w:rPr>
          <w:rFonts w:ascii="Times New Roman" w:hAnsi="Times New Roman" w:cs="Arial"/>
          <w:color w:val="auto"/>
          <w:kern w:val="0"/>
          <w:sz w:val="24"/>
          <w:szCs w:val="24"/>
          <w:highlight w:val="none"/>
        </w:rPr>
        <w:tab/>
      </w:r>
      <w:r>
        <w:rPr>
          <w:rFonts w:ascii="Times New Roman" w:hAnsi="Times New Roman" w:cs="Arial"/>
          <w:color w:val="auto"/>
          <w:kern w:val="0"/>
          <w:sz w:val="24"/>
          <w:szCs w:val="24"/>
          <w:highlight w:val="none"/>
        </w:rPr>
        <w:tab/>
      </w:r>
      <w:r>
        <w:rPr>
          <w:rFonts w:ascii="Times New Roman" w:hAnsi="Times New Roman" w:cs="Arial"/>
          <w:color w:val="auto"/>
          <w:kern w:val="0"/>
          <w:sz w:val="24"/>
          <w:szCs w:val="24"/>
          <w:highlight w:val="none"/>
        </w:rPr>
        <w:t xml:space="preserve">    </w:t>
      </w:r>
      <w:r>
        <w:rPr>
          <w:rFonts w:hint="eastAsia" w:ascii="Times New Roman" w:hAnsi="Times New Roman" w:cs="Arial"/>
          <w:color w:val="auto"/>
          <w:kern w:val="0"/>
          <w:sz w:val="24"/>
          <w:szCs w:val="24"/>
          <w:highlight w:val="none"/>
        </w:rPr>
        <w:t>金额单位：元</w:t>
      </w:r>
    </w:p>
    <w:tbl>
      <w:tblPr>
        <w:tblStyle w:val="3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38"/>
        <w:gridCol w:w="1136"/>
        <w:gridCol w:w="2221"/>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jc w:val="left"/>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序号</w:t>
            </w:r>
          </w:p>
        </w:tc>
        <w:tc>
          <w:tcPr>
            <w:tcW w:w="1038" w:type="dxa"/>
            <w:vAlign w:val="center"/>
          </w:tcPr>
          <w:p>
            <w:pPr>
              <w:pStyle w:val="20"/>
              <w:spacing w:line="400" w:lineRule="exact"/>
              <w:jc w:val="left"/>
              <w:rPr>
                <w:rFonts w:ascii="Times New Roman" w:hAnsi="Times New Roman" w:cs="Arial"/>
                <w:color w:val="auto"/>
                <w:kern w:val="0"/>
                <w:sz w:val="24"/>
                <w:szCs w:val="24"/>
                <w:highlight w:val="none"/>
              </w:rPr>
            </w:pPr>
          </w:p>
        </w:tc>
        <w:tc>
          <w:tcPr>
            <w:tcW w:w="1136" w:type="dxa"/>
            <w:vAlign w:val="center"/>
          </w:tcPr>
          <w:p>
            <w:pPr>
              <w:pStyle w:val="20"/>
              <w:spacing w:line="400" w:lineRule="exact"/>
              <w:ind w:firstLine="763" w:firstLineChars="318"/>
              <w:jc w:val="left"/>
              <w:rPr>
                <w:rFonts w:ascii="Times New Roman" w:hAnsi="Times New Roman" w:cs="Arial"/>
                <w:color w:val="auto"/>
                <w:kern w:val="0"/>
                <w:sz w:val="24"/>
                <w:szCs w:val="24"/>
                <w:highlight w:val="none"/>
              </w:rPr>
            </w:pPr>
          </w:p>
        </w:tc>
        <w:tc>
          <w:tcPr>
            <w:tcW w:w="2221" w:type="dxa"/>
            <w:vAlign w:val="center"/>
          </w:tcPr>
          <w:p>
            <w:pPr>
              <w:pStyle w:val="20"/>
              <w:spacing w:line="400" w:lineRule="exact"/>
              <w:ind w:firstLine="763" w:firstLineChars="318"/>
              <w:jc w:val="left"/>
              <w:rPr>
                <w:rFonts w:ascii="Times New Roman" w:hAnsi="Times New Roman" w:cs="Arial"/>
                <w:color w:val="auto"/>
                <w:kern w:val="0"/>
                <w:sz w:val="24"/>
                <w:szCs w:val="24"/>
                <w:highlight w:val="none"/>
              </w:rPr>
            </w:pPr>
          </w:p>
        </w:tc>
        <w:tc>
          <w:tcPr>
            <w:tcW w:w="3546" w:type="dxa"/>
            <w:vAlign w:val="center"/>
          </w:tcPr>
          <w:p>
            <w:pPr>
              <w:pStyle w:val="20"/>
              <w:spacing w:line="400" w:lineRule="exact"/>
              <w:ind w:firstLine="480"/>
              <w:jc w:val="left"/>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1</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2</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3</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4</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5</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6</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7</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8</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0"/>
              <w:spacing w:line="400" w:lineRule="exact"/>
              <w:rPr>
                <w:rFonts w:ascii="Times New Roman" w:hAnsi="Times New Roman" w:cs="Arial"/>
                <w:color w:val="auto"/>
                <w:kern w:val="0"/>
                <w:sz w:val="24"/>
                <w:szCs w:val="24"/>
                <w:highlight w:val="none"/>
              </w:rPr>
            </w:pPr>
            <w:r>
              <w:rPr>
                <w:rFonts w:ascii="Times New Roman" w:hAnsi="Times New Roman" w:cs="Arial"/>
                <w:color w:val="auto"/>
                <w:kern w:val="0"/>
                <w:sz w:val="24"/>
                <w:szCs w:val="24"/>
                <w:highlight w:val="none"/>
              </w:rPr>
              <w:t>--</w:t>
            </w:r>
          </w:p>
        </w:tc>
        <w:tc>
          <w:tcPr>
            <w:tcW w:w="1038"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1136"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2221" w:type="dxa"/>
            <w:vAlign w:val="center"/>
          </w:tcPr>
          <w:p>
            <w:pPr>
              <w:pStyle w:val="20"/>
              <w:spacing w:line="400" w:lineRule="exact"/>
              <w:ind w:firstLine="766" w:firstLineChars="318"/>
              <w:jc w:val="left"/>
              <w:rPr>
                <w:rFonts w:ascii="Times New Roman" w:hAnsi="Times New Roman" w:cs="Arial"/>
                <w:b/>
                <w:bCs/>
                <w:color w:val="auto"/>
                <w:kern w:val="0"/>
                <w:sz w:val="24"/>
                <w:szCs w:val="24"/>
                <w:highlight w:val="none"/>
              </w:rPr>
            </w:pPr>
          </w:p>
        </w:tc>
        <w:tc>
          <w:tcPr>
            <w:tcW w:w="3546" w:type="dxa"/>
            <w:vAlign w:val="center"/>
          </w:tcPr>
          <w:p>
            <w:pPr>
              <w:pStyle w:val="20"/>
              <w:spacing w:line="400" w:lineRule="exact"/>
              <w:ind w:firstLine="480"/>
              <w:jc w:val="center"/>
              <w:rPr>
                <w:rFonts w:ascii="Times New Roman" w:hAnsi="Times New Roman" w:cs="Arial"/>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9" w:type="dxa"/>
            <w:gridSpan w:val="3"/>
            <w:vAlign w:val="center"/>
          </w:tcPr>
          <w:p>
            <w:pPr>
              <w:pStyle w:val="20"/>
              <w:spacing w:line="400" w:lineRule="exact"/>
              <w:ind w:firstLine="480"/>
              <w:jc w:val="center"/>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合计</w:t>
            </w:r>
          </w:p>
        </w:tc>
        <w:tc>
          <w:tcPr>
            <w:tcW w:w="5767" w:type="dxa"/>
            <w:gridSpan w:val="2"/>
            <w:vAlign w:val="center"/>
          </w:tcPr>
          <w:p>
            <w:pPr>
              <w:pStyle w:val="20"/>
              <w:spacing w:line="400" w:lineRule="exact"/>
              <w:ind w:firstLine="480"/>
              <w:jc w:val="left"/>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大写：人民币</w:t>
            </w:r>
            <w:r>
              <w:rPr>
                <w:rFonts w:ascii="Times New Roman" w:hAnsi="Times New Roman" w:cs="Arial"/>
                <w:color w:val="auto"/>
                <w:kern w:val="0"/>
                <w:sz w:val="24"/>
                <w:szCs w:val="24"/>
                <w:highlight w:val="none"/>
              </w:rPr>
              <w:t>____________________</w:t>
            </w:r>
            <w:r>
              <w:rPr>
                <w:rFonts w:hint="eastAsia" w:ascii="Times New Roman" w:hAnsi="Times New Roman" w:cs="Arial"/>
                <w:color w:val="auto"/>
                <w:kern w:val="0"/>
                <w:sz w:val="24"/>
                <w:szCs w:val="24"/>
                <w:highlight w:val="none"/>
              </w:rPr>
              <w:t>元</w:t>
            </w:r>
          </w:p>
          <w:p>
            <w:pPr>
              <w:pStyle w:val="20"/>
              <w:spacing w:line="400" w:lineRule="exact"/>
              <w:ind w:firstLine="480"/>
              <w:jc w:val="left"/>
              <w:rPr>
                <w:rFonts w:ascii="Times New Roman" w:hAnsi="Times New Roman" w:cs="Arial"/>
                <w:color w:val="auto"/>
                <w:kern w:val="0"/>
                <w:sz w:val="24"/>
                <w:szCs w:val="24"/>
                <w:highlight w:val="none"/>
              </w:rPr>
            </w:pPr>
            <w:r>
              <w:rPr>
                <w:rFonts w:hint="eastAsia" w:ascii="Times New Roman" w:hAnsi="Times New Roman" w:cs="Arial"/>
                <w:color w:val="auto"/>
                <w:kern w:val="0"/>
                <w:sz w:val="24"/>
                <w:szCs w:val="24"/>
                <w:highlight w:val="none"/>
              </w:rPr>
              <w:t>小写：￥</w:t>
            </w:r>
            <w:r>
              <w:rPr>
                <w:rFonts w:ascii="Times New Roman" w:hAnsi="Times New Roman" w:cs="Arial"/>
                <w:color w:val="auto"/>
                <w:kern w:val="0"/>
                <w:sz w:val="24"/>
                <w:szCs w:val="24"/>
                <w:highlight w:val="none"/>
              </w:rPr>
              <w:t>____________________</w:t>
            </w:r>
          </w:p>
        </w:tc>
      </w:tr>
    </w:tbl>
    <w:p>
      <w:pPr>
        <w:pStyle w:val="144"/>
        <w:snapToGrid w:val="0"/>
        <w:spacing w:after="156" w:line="276" w:lineRule="auto"/>
        <w:ind w:firstLine="480"/>
        <w:rPr>
          <w:rFonts w:hint="eastAsia" w:ascii="Times New Roman" w:hAnsi="Times New Roman" w:eastAsia="宋体" w:cs="Arial"/>
          <w:b/>
          <w:bCs/>
          <w:color w:val="auto"/>
          <w:kern w:val="0"/>
          <w:sz w:val="24"/>
          <w:szCs w:val="24"/>
          <w:highlight w:val="none"/>
          <w:lang w:val="en-US" w:eastAsia="zh-CN" w:bidi="ar-SA"/>
        </w:rPr>
      </w:pPr>
      <w:r>
        <w:rPr>
          <w:rFonts w:hint="eastAsia" w:ascii="Times New Roman" w:hAnsi="Times New Roman" w:eastAsia="宋体" w:cs="Arial"/>
          <w:b/>
          <w:bCs/>
          <w:color w:val="auto"/>
          <w:kern w:val="0"/>
          <w:sz w:val="24"/>
          <w:szCs w:val="24"/>
          <w:highlight w:val="none"/>
          <w:lang w:val="en-US" w:eastAsia="zh-CN" w:bidi="ar-SA"/>
        </w:rPr>
        <w:t>注：格式由投标人根据本项目实际情况自拟。但须针对本项目的基础搬迁服务、过渡环境服务分别报价，明确每一部分的投标金额。</w:t>
      </w:r>
    </w:p>
    <w:p>
      <w:pPr>
        <w:pStyle w:val="20"/>
        <w:rPr>
          <w:rFonts w:cs="宋体"/>
          <w:color w:val="auto"/>
          <w:sz w:val="24"/>
          <w:szCs w:val="24"/>
          <w:highlight w:val="none"/>
        </w:rPr>
      </w:pPr>
    </w:p>
    <w:p>
      <w:pPr>
        <w:pStyle w:val="20"/>
        <w:rPr>
          <w:rFonts w:cs="宋体"/>
          <w:color w:val="auto"/>
          <w:sz w:val="24"/>
          <w:szCs w:val="24"/>
          <w:highlight w:val="none"/>
        </w:rPr>
      </w:pPr>
    </w:p>
    <w:p>
      <w:pPr>
        <w:pStyle w:val="20"/>
        <w:ind w:firstLine="480" w:firstLineChars="200"/>
        <w:rPr>
          <w:rFonts w:ascii="Times New Roman" w:hAnsi="Times New Roman" w:eastAsia="MingLiU_HKSCS"/>
          <w:color w:val="auto"/>
          <w:sz w:val="24"/>
          <w:szCs w:val="24"/>
          <w:highlight w:val="none"/>
        </w:rPr>
      </w:pPr>
      <w:r>
        <w:rPr>
          <w:rFonts w:hint="eastAsia" w:cs="宋体"/>
          <w:color w:val="auto"/>
          <w:sz w:val="24"/>
          <w:szCs w:val="24"/>
          <w:highlight w:val="none"/>
        </w:rPr>
        <w:t>投标人</w:t>
      </w:r>
      <w:r>
        <w:rPr>
          <w:rFonts w:hint="eastAsia" w:ascii="Times New Roman" w:hAnsi="Times New Roman"/>
          <w:color w:val="auto"/>
          <w:sz w:val="24"/>
          <w:szCs w:val="24"/>
          <w:highlight w:val="none"/>
        </w:rPr>
        <w:t>名称</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盖公章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法定代表人或授权代表</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签字或签章</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w:t>
      </w:r>
      <w:r>
        <w:rPr>
          <w:rFonts w:ascii="Times New Roman" w:hAnsi="Times New Roman"/>
          <w:color w:val="auto"/>
          <w:sz w:val="24"/>
          <w:szCs w:val="24"/>
          <w:highlight w:val="none"/>
        </w:rPr>
        <w:t>____________________</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日期：</w:t>
      </w:r>
      <w:r>
        <w:rPr>
          <w:rFonts w:ascii="Times New Roman" w:hAnsi="Times New Roman"/>
          <w:color w:val="auto"/>
          <w:sz w:val="24"/>
          <w:szCs w:val="24"/>
          <w:highlight w:val="none"/>
        </w:rPr>
        <w:t>______</w:t>
      </w:r>
      <w:r>
        <w:rPr>
          <w:rFonts w:hint="eastAsia" w:ascii="Times New Roman" w:hAnsi="Times New Roman"/>
          <w:color w:val="auto"/>
          <w:sz w:val="24"/>
          <w:szCs w:val="24"/>
          <w:highlight w:val="none"/>
        </w:rPr>
        <w:t>年</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月</w:t>
      </w:r>
      <w:r>
        <w:rPr>
          <w:rFonts w:ascii="Times New Roman" w:hAnsi="Times New Roman"/>
          <w:color w:val="auto"/>
          <w:sz w:val="24"/>
          <w:szCs w:val="24"/>
          <w:highlight w:val="none"/>
        </w:rPr>
        <w:t>____</w:t>
      </w:r>
      <w:r>
        <w:rPr>
          <w:rFonts w:hint="eastAsia" w:ascii="Times New Roman" w:hAnsi="Times New Roman"/>
          <w:color w:val="auto"/>
          <w:sz w:val="24"/>
          <w:szCs w:val="24"/>
          <w:highlight w:val="none"/>
        </w:rPr>
        <w:t>日</w:t>
      </w:r>
    </w:p>
    <w:p>
      <w:pPr>
        <w:pStyle w:val="20"/>
        <w:ind w:firstLine="480" w:firstLineChars="200"/>
        <w:rPr>
          <w:rFonts w:ascii="Times New Roman" w:hAnsi="Times New Roman" w:eastAsia="MingLiU_HKSCS"/>
          <w:color w:val="auto"/>
          <w:sz w:val="24"/>
          <w:szCs w:val="24"/>
          <w:highlight w:val="none"/>
        </w:rPr>
      </w:pPr>
      <w:r>
        <w:rPr>
          <w:rFonts w:hint="eastAsia" w:ascii="Times New Roman" w:hAnsi="Times New Roman"/>
          <w:color w:val="auto"/>
          <w:sz w:val="24"/>
          <w:szCs w:val="24"/>
          <w:highlight w:val="none"/>
        </w:rPr>
        <w:t>说明：授权用投标专用章的</w:t>
      </w:r>
      <w:r>
        <w:rPr>
          <w:rFonts w:hint="eastAsia" w:ascii="Times New Roman" w:hAnsi="Times New Roman" w:eastAsia="MingLiU_HKSCS"/>
          <w:color w:val="auto"/>
          <w:sz w:val="24"/>
          <w:szCs w:val="24"/>
          <w:highlight w:val="none"/>
        </w:rPr>
        <w:t>，</w:t>
      </w:r>
      <w:r>
        <w:rPr>
          <w:rFonts w:hint="eastAsia" w:ascii="Times New Roman" w:hAnsi="Times New Roman"/>
          <w:color w:val="auto"/>
          <w:sz w:val="24"/>
          <w:szCs w:val="24"/>
          <w:highlight w:val="none"/>
        </w:rPr>
        <w:t>与公章具有相同法律效力。</w:t>
      </w:r>
    </w:p>
    <w:p>
      <w:pPr>
        <w:pStyle w:val="20"/>
        <w:ind w:firstLine="480" w:firstLineChars="200"/>
        <w:jc w:val="center"/>
        <w:rPr>
          <w:rFonts w:ascii="Times New Roman" w:hAnsi="Times New Roman"/>
          <w:color w:val="auto"/>
          <w:sz w:val="24"/>
          <w:szCs w:val="24"/>
          <w:highlight w:val="none"/>
        </w:rPr>
      </w:pPr>
      <w:r>
        <w:rPr>
          <w:rFonts w:ascii="Times New Roman" w:hAnsi="Times New Roman"/>
          <w:color w:val="auto"/>
          <w:sz w:val="24"/>
          <w:szCs w:val="24"/>
          <w:highlight w:val="none"/>
        </w:rPr>
        <w:br w:type="page"/>
      </w:r>
    </w:p>
    <w:p>
      <w:pPr>
        <w:pStyle w:val="20"/>
        <w:ind w:firstLine="480" w:firstLineChars="20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附件</w:t>
      </w:r>
      <w:r>
        <w:rPr>
          <w:rFonts w:ascii="Times New Roman" w:hAnsi="Times New Roman"/>
          <w:color w:val="auto"/>
          <w:sz w:val="24"/>
          <w:szCs w:val="24"/>
          <w:highlight w:val="none"/>
        </w:rPr>
        <w:t>4</w:t>
      </w:r>
    </w:p>
    <w:p>
      <w:pPr>
        <w:pStyle w:val="20"/>
        <w:ind w:firstLine="480" w:firstLineChars="200"/>
        <w:rPr>
          <w:rFonts w:cs="宋体"/>
          <w:color w:val="auto"/>
          <w:sz w:val="24"/>
          <w:szCs w:val="24"/>
          <w:highlight w:val="none"/>
        </w:rPr>
      </w:pPr>
      <w:r>
        <w:rPr>
          <w:rFonts w:hint="eastAsia" w:cs="宋体"/>
          <w:color w:val="auto"/>
          <w:sz w:val="24"/>
          <w:szCs w:val="24"/>
          <w:highlight w:val="none"/>
        </w:rPr>
        <w:t>四、商务条款偏离表</w:t>
      </w: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商务条款偏离表</w:t>
      </w:r>
    </w:p>
    <w:p>
      <w:pPr>
        <w:pStyle w:val="20"/>
        <w:spacing w:line="400" w:lineRule="exact"/>
        <w:rPr>
          <w:rFonts w:cs="宋体"/>
          <w:color w:val="auto"/>
          <w:sz w:val="24"/>
          <w:szCs w:val="24"/>
          <w:highlight w:val="none"/>
        </w:rPr>
      </w:pPr>
      <w:r>
        <w:rPr>
          <w:rFonts w:hint="eastAsia" w:cs="宋体"/>
          <w:color w:val="auto"/>
          <w:sz w:val="24"/>
          <w:szCs w:val="24"/>
          <w:highlight w:val="none"/>
        </w:rPr>
        <w:t>项目名称：福建税务2023年机房搬迁项目</w:t>
      </w:r>
      <w:r>
        <w:rPr>
          <w:rFonts w:cs="宋体"/>
          <w:color w:val="auto"/>
          <w:sz w:val="24"/>
          <w:szCs w:val="24"/>
          <w:highlight w:val="none"/>
        </w:rPr>
        <w:t xml:space="preserve">   </w:t>
      </w:r>
    </w:p>
    <w:p>
      <w:pPr>
        <w:pStyle w:val="20"/>
        <w:spacing w:line="400" w:lineRule="exact"/>
        <w:rPr>
          <w:rFonts w:cs="宋体"/>
          <w:color w:val="auto"/>
          <w:sz w:val="24"/>
          <w:szCs w:val="24"/>
          <w:highlight w:val="none"/>
        </w:rPr>
      </w:pPr>
      <w:r>
        <w:rPr>
          <w:rFonts w:hint="eastAsia" w:cs="宋体"/>
          <w:color w:val="auto"/>
          <w:sz w:val="24"/>
          <w:szCs w:val="24"/>
          <w:highlight w:val="none"/>
        </w:rPr>
        <w:t>项目编号：ZXWT-2024-68</w:t>
      </w:r>
      <w:r>
        <w:rPr>
          <w:rFonts w:cs="宋体"/>
          <w:color w:val="auto"/>
          <w:sz w:val="24"/>
          <w:szCs w:val="24"/>
          <w:highlight w:val="none"/>
        </w:rPr>
        <w:t xml:space="preserve">                             </w:t>
      </w:r>
      <w:r>
        <w:rPr>
          <w:rFonts w:hint="eastAsia" w:cs="宋体"/>
          <w:color w:val="auto"/>
          <w:sz w:val="24"/>
          <w:szCs w:val="24"/>
          <w:highlight w:val="none"/>
        </w:rPr>
        <w:t>包号：</w:t>
      </w:r>
      <w:r>
        <w:rPr>
          <w:rFonts w:cs="宋体"/>
          <w:color w:val="auto"/>
          <w:sz w:val="24"/>
          <w:szCs w:val="24"/>
          <w:highlight w:val="none"/>
        </w:rPr>
        <w:t xml:space="preserve"> </w:t>
      </w:r>
      <w:r>
        <w:rPr>
          <w:color w:val="auto"/>
          <w:szCs w:val="24"/>
          <w:highlight w:val="none"/>
        </w:rPr>
        <w:tab/>
      </w:r>
      <w:r>
        <w:rPr>
          <w:color w:val="auto"/>
          <w:szCs w:val="24"/>
          <w:highlight w:val="none"/>
        </w:rPr>
        <w:tab/>
      </w:r>
      <w:r>
        <w:rPr>
          <w:color w:val="auto"/>
          <w:szCs w:val="24"/>
          <w:highlight w:val="none"/>
        </w:rPr>
        <w:tab/>
      </w:r>
    </w:p>
    <w:tbl>
      <w:tblPr>
        <w:tblStyle w:val="35"/>
        <w:tblW w:w="8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48"/>
        <w:gridCol w:w="2835"/>
        <w:gridCol w:w="866"/>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r>
              <w:rPr>
                <w:rFonts w:hint="eastAsia" w:cs="宋体"/>
                <w:color w:val="auto"/>
                <w:sz w:val="24"/>
                <w:szCs w:val="24"/>
                <w:highlight w:val="none"/>
              </w:rPr>
              <w:t>序号</w:t>
            </w:r>
          </w:p>
        </w:tc>
        <w:tc>
          <w:tcPr>
            <w:tcW w:w="2748" w:type="dxa"/>
            <w:vAlign w:val="center"/>
          </w:tcPr>
          <w:p>
            <w:pPr>
              <w:pStyle w:val="20"/>
              <w:jc w:val="center"/>
              <w:rPr>
                <w:rFonts w:cs="宋体"/>
                <w:color w:val="auto"/>
                <w:sz w:val="24"/>
                <w:szCs w:val="24"/>
                <w:highlight w:val="none"/>
              </w:rPr>
            </w:pPr>
            <w:r>
              <w:rPr>
                <w:rFonts w:hint="eastAsia" w:cs="宋体"/>
                <w:color w:val="auto"/>
                <w:sz w:val="24"/>
                <w:szCs w:val="24"/>
                <w:highlight w:val="none"/>
              </w:rPr>
              <w:t>招标文件的商务条款</w:t>
            </w:r>
          </w:p>
        </w:tc>
        <w:tc>
          <w:tcPr>
            <w:tcW w:w="2835" w:type="dxa"/>
            <w:vAlign w:val="center"/>
          </w:tcPr>
          <w:p>
            <w:pPr>
              <w:pStyle w:val="20"/>
              <w:jc w:val="center"/>
              <w:rPr>
                <w:rFonts w:cs="宋体"/>
                <w:color w:val="auto"/>
                <w:sz w:val="24"/>
                <w:szCs w:val="24"/>
                <w:highlight w:val="none"/>
              </w:rPr>
            </w:pPr>
            <w:r>
              <w:rPr>
                <w:rFonts w:hint="eastAsia" w:cs="宋体"/>
                <w:color w:val="auto"/>
                <w:sz w:val="24"/>
                <w:szCs w:val="24"/>
                <w:highlight w:val="none"/>
              </w:rPr>
              <w:t>投标文件的商务条款</w:t>
            </w:r>
          </w:p>
        </w:tc>
        <w:tc>
          <w:tcPr>
            <w:tcW w:w="866" w:type="dxa"/>
            <w:vAlign w:val="center"/>
          </w:tcPr>
          <w:p>
            <w:pPr>
              <w:pStyle w:val="20"/>
              <w:jc w:val="center"/>
              <w:rPr>
                <w:rFonts w:cs="宋体"/>
                <w:color w:val="auto"/>
                <w:sz w:val="24"/>
                <w:szCs w:val="24"/>
                <w:highlight w:val="none"/>
              </w:rPr>
            </w:pPr>
            <w:r>
              <w:rPr>
                <w:rFonts w:hint="eastAsia" w:cs="宋体"/>
                <w:color w:val="auto"/>
                <w:sz w:val="24"/>
                <w:szCs w:val="24"/>
                <w:highlight w:val="none"/>
              </w:rPr>
              <w:t>偏离</w:t>
            </w:r>
          </w:p>
        </w:tc>
        <w:tc>
          <w:tcPr>
            <w:tcW w:w="835" w:type="dxa"/>
            <w:vAlign w:val="center"/>
          </w:tcPr>
          <w:p>
            <w:pPr>
              <w:pStyle w:val="20"/>
              <w:jc w:val="center"/>
              <w:rPr>
                <w:rFonts w:cs="宋体"/>
                <w:color w:val="auto"/>
                <w:sz w:val="24"/>
                <w:szCs w:val="24"/>
                <w:highlight w:val="none"/>
              </w:rPr>
            </w:pPr>
            <w:r>
              <w:rPr>
                <w:rFonts w:hint="eastAsia"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r>
              <w:rPr>
                <w:rFonts w:cs="宋体"/>
                <w:color w:val="auto"/>
                <w:sz w:val="22"/>
                <w:szCs w:val="24"/>
                <w:highlight w:val="none"/>
              </w:rPr>
              <w:t>1.</w:t>
            </w:r>
          </w:p>
        </w:tc>
        <w:tc>
          <w:tcPr>
            <w:tcW w:w="2748" w:type="dxa"/>
            <w:vAlign w:val="center"/>
          </w:tcPr>
          <w:p>
            <w:pPr>
              <w:pStyle w:val="20"/>
              <w:spacing w:line="460" w:lineRule="exact"/>
              <w:jc w:val="left"/>
              <w:rPr>
                <w:rFonts w:cs="宋体"/>
                <w:color w:val="auto"/>
                <w:sz w:val="24"/>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r>
              <w:rPr>
                <w:rFonts w:cs="宋体"/>
                <w:color w:val="auto"/>
                <w:sz w:val="22"/>
                <w:szCs w:val="24"/>
                <w:highlight w:val="none"/>
              </w:rPr>
              <w:t>2.</w:t>
            </w:r>
          </w:p>
        </w:tc>
        <w:tc>
          <w:tcPr>
            <w:tcW w:w="2748" w:type="dxa"/>
            <w:vAlign w:val="center"/>
          </w:tcPr>
          <w:p>
            <w:pPr>
              <w:pStyle w:val="20"/>
              <w:spacing w:line="460" w:lineRule="exact"/>
              <w:jc w:val="left"/>
              <w:rPr>
                <w:rFonts w:cs="宋体"/>
                <w:color w:val="auto"/>
                <w:sz w:val="24"/>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r>
              <w:rPr>
                <w:rFonts w:cs="宋体"/>
                <w:color w:val="auto"/>
                <w:sz w:val="22"/>
                <w:szCs w:val="24"/>
                <w:highlight w:val="none"/>
              </w:rPr>
              <w:t>3.</w:t>
            </w:r>
          </w:p>
        </w:tc>
        <w:tc>
          <w:tcPr>
            <w:tcW w:w="2748" w:type="dxa"/>
            <w:vAlign w:val="center"/>
          </w:tcPr>
          <w:p>
            <w:pPr>
              <w:pStyle w:val="20"/>
              <w:spacing w:line="460" w:lineRule="exact"/>
              <w:jc w:val="left"/>
              <w:rPr>
                <w:rFonts w:cs="宋体"/>
                <w:color w:val="auto"/>
                <w:sz w:val="24"/>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r>
              <w:rPr>
                <w:rFonts w:cs="宋体"/>
                <w:color w:val="auto"/>
                <w:sz w:val="22"/>
                <w:szCs w:val="24"/>
                <w:highlight w:val="none"/>
              </w:rPr>
              <w:t>4.</w:t>
            </w:r>
          </w:p>
        </w:tc>
        <w:tc>
          <w:tcPr>
            <w:tcW w:w="2748" w:type="dxa"/>
            <w:vAlign w:val="center"/>
          </w:tcPr>
          <w:p>
            <w:pPr>
              <w:pStyle w:val="20"/>
              <w:jc w:val="left"/>
              <w:rPr>
                <w:rFonts w:cs="宋体"/>
                <w:color w:val="auto"/>
                <w:sz w:val="22"/>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p>
        </w:tc>
        <w:tc>
          <w:tcPr>
            <w:tcW w:w="2748" w:type="dxa"/>
            <w:vAlign w:val="center"/>
          </w:tcPr>
          <w:p>
            <w:pPr>
              <w:pStyle w:val="20"/>
              <w:jc w:val="center"/>
              <w:rPr>
                <w:rFonts w:cs="宋体"/>
                <w:color w:val="auto"/>
                <w:sz w:val="24"/>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20"/>
              <w:jc w:val="center"/>
              <w:rPr>
                <w:rFonts w:cs="宋体"/>
                <w:color w:val="auto"/>
                <w:sz w:val="24"/>
                <w:szCs w:val="24"/>
                <w:highlight w:val="none"/>
              </w:rPr>
            </w:pPr>
          </w:p>
        </w:tc>
        <w:tc>
          <w:tcPr>
            <w:tcW w:w="2748" w:type="dxa"/>
            <w:vAlign w:val="center"/>
          </w:tcPr>
          <w:p>
            <w:pPr>
              <w:pStyle w:val="20"/>
              <w:jc w:val="center"/>
              <w:rPr>
                <w:rFonts w:cs="宋体"/>
                <w:color w:val="auto"/>
                <w:sz w:val="24"/>
                <w:szCs w:val="24"/>
                <w:highlight w:val="none"/>
              </w:rPr>
            </w:pPr>
          </w:p>
        </w:tc>
        <w:tc>
          <w:tcPr>
            <w:tcW w:w="2835" w:type="dxa"/>
            <w:vAlign w:val="center"/>
          </w:tcPr>
          <w:p>
            <w:pPr>
              <w:pStyle w:val="20"/>
              <w:jc w:val="center"/>
              <w:rPr>
                <w:rFonts w:cs="宋体"/>
                <w:color w:val="auto"/>
                <w:sz w:val="24"/>
                <w:szCs w:val="24"/>
                <w:highlight w:val="none"/>
              </w:rPr>
            </w:pPr>
          </w:p>
        </w:tc>
        <w:tc>
          <w:tcPr>
            <w:tcW w:w="866" w:type="dxa"/>
            <w:vAlign w:val="center"/>
          </w:tcPr>
          <w:p>
            <w:pPr>
              <w:pStyle w:val="20"/>
              <w:jc w:val="center"/>
              <w:rPr>
                <w:rFonts w:cs="宋体"/>
                <w:color w:val="auto"/>
                <w:sz w:val="24"/>
                <w:szCs w:val="24"/>
                <w:highlight w:val="none"/>
              </w:rPr>
            </w:pPr>
          </w:p>
        </w:tc>
        <w:tc>
          <w:tcPr>
            <w:tcW w:w="835" w:type="dxa"/>
            <w:vAlign w:val="center"/>
          </w:tcPr>
          <w:p>
            <w:pPr>
              <w:pStyle w:val="20"/>
              <w:jc w:val="center"/>
              <w:rPr>
                <w:rFonts w:cs="宋体"/>
                <w:color w:val="auto"/>
                <w:sz w:val="24"/>
                <w:szCs w:val="24"/>
                <w:highlight w:val="none"/>
              </w:rPr>
            </w:pPr>
          </w:p>
        </w:tc>
      </w:tr>
    </w:tbl>
    <w:p>
      <w:pPr>
        <w:pStyle w:val="20"/>
        <w:ind w:firstLine="480" w:firstLineChars="200"/>
        <w:rPr>
          <w:rFonts w:cs="宋体"/>
          <w:color w:val="auto"/>
          <w:sz w:val="24"/>
          <w:szCs w:val="24"/>
          <w:highlight w:val="none"/>
        </w:rPr>
      </w:pPr>
      <w:r>
        <w:rPr>
          <w:rFonts w:hint="eastAsia" w:cs="宋体"/>
          <w:color w:val="auto"/>
          <w:sz w:val="24"/>
          <w:szCs w:val="24"/>
          <w:highlight w:val="none"/>
        </w:rPr>
        <w:t>说明：如有偏离，则必须注明“偏离”；未注明偏离的，视为完全响应。</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五、投标人具备投标资格的证明文件</w:t>
      </w: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1</w:t>
      </w: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投标人基本情况表</w:t>
      </w:r>
    </w:p>
    <w:p>
      <w:pPr>
        <w:pStyle w:val="20"/>
        <w:ind w:firstLine="480" w:firstLineChars="200"/>
        <w:rPr>
          <w:rFonts w:cs="宋体"/>
          <w:color w:val="auto"/>
          <w:sz w:val="24"/>
          <w:szCs w:val="24"/>
          <w:highlight w:val="none"/>
        </w:rPr>
      </w:pPr>
      <w:r>
        <w:rPr>
          <w:rFonts w:hint="eastAsia" w:cs="宋体"/>
          <w:color w:val="auto"/>
          <w:sz w:val="24"/>
          <w:szCs w:val="24"/>
          <w:highlight w:val="none"/>
        </w:rPr>
        <w:t>　投标人：</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991"/>
        <w:gridCol w:w="2154"/>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投标人名称</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法定代表人</w:t>
            </w: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统一社会信用代码</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邮政编码</w:t>
            </w: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授权代表</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联系电话</w:t>
            </w: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电子邮箱</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传真</w:t>
            </w: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上年营业收入</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员工总人数</w:t>
            </w: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基本账户开户行及账号</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税务登记机关</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资质名称</w:t>
            </w:r>
          </w:p>
        </w:tc>
        <w:tc>
          <w:tcPr>
            <w:tcW w:w="1991" w:type="dxa"/>
            <w:vAlign w:val="center"/>
          </w:tcPr>
          <w:p>
            <w:pPr>
              <w:pStyle w:val="20"/>
              <w:jc w:val="center"/>
              <w:rPr>
                <w:rFonts w:cs="宋体"/>
                <w:color w:val="auto"/>
                <w:sz w:val="24"/>
                <w:szCs w:val="24"/>
                <w:highlight w:val="none"/>
              </w:rPr>
            </w:pPr>
            <w:r>
              <w:rPr>
                <w:rFonts w:hint="eastAsia" w:cs="宋体"/>
                <w:color w:val="auto"/>
                <w:sz w:val="24"/>
                <w:szCs w:val="24"/>
                <w:highlight w:val="none"/>
              </w:rPr>
              <w:t>等级</w:t>
            </w:r>
          </w:p>
        </w:tc>
        <w:tc>
          <w:tcPr>
            <w:tcW w:w="2154" w:type="dxa"/>
            <w:vAlign w:val="center"/>
          </w:tcPr>
          <w:p>
            <w:pPr>
              <w:pStyle w:val="20"/>
              <w:jc w:val="center"/>
              <w:rPr>
                <w:rFonts w:cs="宋体"/>
                <w:color w:val="auto"/>
                <w:sz w:val="24"/>
                <w:szCs w:val="24"/>
                <w:highlight w:val="none"/>
              </w:rPr>
            </w:pPr>
            <w:r>
              <w:rPr>
                <w:rFonts w:hint="eastAsia" w:cs="宋体"/>
                <w:color w:val="auto"/>
                <w:sz w:val="24"/>
                <w:szCs w:val="24"/>
                <w:highlight w:val="none"/>
              </w:rPr>
              <w:t>发证机关</w:t>
            </w:r>
          </w:p>
        </w:tc>
        <w:tc>
          <w:tcPr>
            <w:tcW w:w="1528" w:type="dxa"/>
            <w:vAlign w:val="center"/>
          </w:tcPr>
          <w:p>
            <w:pPr>
              <w:pStyle w:val="20"/>
              <w:jc w:val="center"/>
              <w:rPr>
                <w:rFonts w:cs="宋体"/>
                <w:color w:val="auto"/>
                <w:sz w:val="24"/>
                <w:szCs w:val="24"/>
                <w:highlight w:val="none"/>
              </w:rPr>
            </w:pPr>
            <w:r>
              <w:rPr>
                <w:rFonts w:hint="eastAsia" w:cs="宋体"/>
                <w:color w:val="auto"/>
                <w:sz w:val="24"/>
                <w:szCs w:val="24"/>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p>
        </w:tc>
        <w:tc>
          <w:tcPr>
            <w:tcW w:w="1528"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vAlign w:val="center"/>
          </w:tcPr>
          <w:p>
            <w:pPr>
              <w:pStyle w:val="20"/>
              <w:jc w:val="center"/>
              <w:rPr>
                <w:rFonts w:cs="宋体"/>
                <w:color w:val="auto"/>
                <w:sz w:val="24"/>
                <w:szCs w:val="24"/>
                <w:highlight w:val="none"/>
              </w:rPr>
            </w:pPr>
            <w:r>
              <w:rPr>
                <w:rFonts w:hint="eastAsia" w:cs="宋体"/>
                <w:color w:val="auto"/>
                <w:sz w:val="24"/>
                <w:szCs w:val="24"/>
                <w:highlight w:val="none"/>
              </w:rPr>
              <w:t>备注</w:t>
            </w:r>
          </w:p>
        </w:tc>
        <w:tc>
          <w:tcPr>
            <w:tcW w:w="1991" w:type="dxa"/>
            <w:vAlign w:val="center"/>
          </w:tcPr>
          <w:p>
            <w:pPr>
              <w:pStyle w:val="20"/>
              <w:jc w:val="center"/>
              <w:rPr>
                <w:rFonts w:cs="宋体"/>
                <w:color w:val="auto"/>
                <w:sz w:val="24"/>
                <w:szCs w:val="24"/>
                <w:highlight w:val="none"/>
              </w:rPr>
            </w:pPr>
          </w:p>
        </w:tc>
        <w:tc>
          <w:tcPr>
            <w:tcW w:w="2154" w:type="dxa"/>
            <w:vAlign w:val="center"/>
          </w:tcPr>
          <w:p>
            <w:pPr>
              <w:pStyle w:val="20"/>
              <w:jc w:val="center"/>
              <w:rPr>
                <w:rFonts w:cs="宋体"/>
                <w:color w:val="auto"/>
                <w:sz w:val="24"/>
                <w:szCs w:val="24"/>
                <w:highlight w:val="none"/>
              </w:rPr>
            </w:pPr>
          </w:p>
        </w:tc>
        <w:tc>
          <w:tcPr>
            <w:tcW w:w="1528" w:type="dxa"/>
            <w:vAlign w:val="center"/>
          </w:tcPr>
          <w:p>
            <w:pPr>
              <w:pStyle w:val="20"/>
              <w:jc w:val="center"/>
              <w:rPr>
                <w:rFonts w:cs="宋体"/>
                <w:color w:val="auto"/>
                <w:sz w:val="24"/>
                <w:szCs w:val="24"/>
                <w:highlight w:val="none"/>
              </w:rPr>
            </w:pPr>
          </w:p>
        </w:tc>
      </w:tr>
    </w:tbl>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1</w:t>
      </w:r>
      <w:r>
        <w:rPr>
          <w:rFonts w:hint="eastAsia" w:cs="宋体"/>
          <w:color w:val="auto"/>
          <w:sz w:val="24"/>
          <w:szCs w:val="24"/>
          <w:highlight w:val="none"/>
        </w:rPr>
        <w:t>　营业执照副本复印件</w:t>
      </w:r>
      <w:r>
        <w:rPr>
          <w:rFonts w:cs="宋体"/>
          <w:color w:val="auto"/>
          <w:sz w:val="24"/>
          <w:szCs w:val="24"/>
          <w:highlight w:val="none"/>
        </w:rPr>
        <w:t xml:space="preserve"> (</w:t>
      </w:r>
      <w:r>
        <w:rPr>
          <w:rFonts w:hint="eastAsia" w:cs="宋体"/>
          <w:color w:val="auto"/>
          <w:sz w:val="24"/>
          <w:szCs w:val="24"/>
          <w:highlight w:val="none"/>
        </w:rPr>
        <w:t>示例略</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　投标人的财务状况报告</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　依法缴纳税收和社会保障资金的相关证明</w:t>
      </w:r>
    </w:p>
    <w:p>
      <w:pPr>
        <w:pStyle w:val="20"/>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示例略</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备注：</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1.投标人的财务状况报告:提供经会计师事务所审计的2022年度（或2023年度）的财务报告[包括资产负债表、利润表、现金流量表、所有者权益变动表（若有）及其附注（若有）、会计师事务所营业执照和注册会计师资格证书]或银行出具的资信证明文件等。</w:t>
      </w:r>
    </w:p>
    <w:p>
      <w:pPr>
        <w:pStyle w:val="20"/>
        <w:ind w:firstLine="480" w:firstLineChars="200"/>
        <w:rPr>
          <w:rFonts w:cs="宋体"/>
          <w:color w:val="auto"/>
          <w:sz w:val="24"/>
          <w:szCs w:val="24"/>
          <w:highlight w:val="none"/>
        </w:rPr>
      </w:pPr>
      <w:r>
        <w:rPr>
          <w:rFonts w:hint="eastAsia" w:cs="宋体"/>
          <w:color w:val="auto"/>
          <w:sz w:val="24"/>
          <w:szCs w:val="24"/>
          <w:highlight w:val="none"/>
        </w:rPr>
        <w:t>2. 投标人依法缴纳税收和社会</w:t>
      </w:r>
      <w:r>
        <w:rPr>
          <w:rFonts w:hint="eastAsia" w:ascii="Calibri"/>
          <w:color w:val="auto"/>
          <w:sz w:val="24"/>
          <w:szCs w:val="24"/>
          <w:highlight w:val="none"/>
        </w:rPr>
        <w:t>保障资金：提供投标截止前六个月内任意一个月依法缴纳税收和社会保障资金的相关材料</w:t>
      </w:r>
      <w:r>
        <w:rPr>
          <w:rFonts w:hint="eastAsia"/>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4</w:t>
      </w:r>
      <w:r>
        <w:rPr>
          <w:rFonts w:hint="eastAsia" w:cs="宋体"/>
          <w:color w:val="auto"/>
          <w:sz w:val="24"/>
          <w:szCs w:val="24"/>
          <w:highlight w:val="none"/>
        </w:rPr>
        <w:t>　</w:t>
      </w:r>
    </w:p>
    <w:p>
      <w:pPr>
        <w:pStyle w:val="30"/>
        <w:shd w:val="clear" w:color="auto" w:fill="FFFFFF"/>
        <w:spacing w:line="400" w:lineRule="exact"/>
        <w:ind w:firstLine="420"/>
        <w:jc w:val="center"/>
        <w:rPr>
          <w:color w:val="auto"/>
          <w:kern w:val="2"/>
          <w:highlight w:val="none"/>
        </w:rPr>
      </w:pPr>
      <w:r>
        <w:rPr>
          <w:rFonts w:hint="eastAsia"/>
          <w:b/>
          <w:bCs/>
          <w:color w:val="auto"/>
          <w:kern w:val="2"/>
          <w:highlight w:val="none"/>
        </w:rPr>
        <w:t>具备履行合同所必需设备和专业技术能力的声明函</w:t>
      </w:r>
    </w:p>
    <w:p>
      <w:pPr>
        <w:pStyle w:val="30"/>
        <w:shd w:val="clear" w:color="auto" w:fill="FFFFFF"/>
        <w:spacing w:line="400" w:lineRule="exact"/>
        <w:rPr>
          <w:color w:val="auto"/>
          <w:highlight w:val="none"/>
        </w:rPr>
      </w:pPr>
      <w:r>
        <w:rPr>
          <w:rFonts w:hint="eastAsia"/>
          <w:color w:val="auto"/>
          <w:highlight w:val="none"/>
        </w:rPr>
        <w:t>致：</w:t>
      </w:r>
      <w:r>
        <w:rPr>
          <w:rFonts w:hint="eastAsia" w:cs="宋体"/>
          <w:color w:val="auto"/>
          <w:szCs w:val="24"/>
          <w:highlight w:val="none"/>
          <w:u w:val="single"/>
        </w:rPr>
        <w:t>国家税务总局福建省税务局、福建省智信招标有限公司</w:t>
      </w:r>
    </w:p>
    <w:p>
      <w:pPr>
        <w:pStyle w:val="30"/>
        <w:shd w:val="clear" w:color="auto" w:fill="FFFFFF"/>
        <w:spacing w:line="400" w:lineRule="exact"/>
        <w:ind w:firstLine="420"/>
        <w:rPr>
          <w:color w:val="auto"/>
          <w:kern w:val="2"/>
          <w:highlight w:val="none"/>
        </w:rPr>
      </w:pPr>
      <w:r>
        <w:rPr>
          <w:rFonts w:hint="eastAsia"/>
          <w:color w:val="auto"/>
          <w:kern w:val="2"/>
          <w:highlight w:val="none"/>
        </w:rPr>
        <w:t>我方具备履行合同所必需的设备和专业技术能力，否则产生不利后果由我方承担责任。</w:t>
      </w:r>
    </w:p>
    <w:p>
      <w:pPr>
        <w:pStyle w:val="30"/>
        <w:shd w:val="clear" w:color="auto" w:fill="FFFFFF"/>
        <w:spacing w:line="400" w:lineRule="exact"/>
        <w:ind w:firstLine="420"/>
        <w:rPr>
          <w:color w:val="auto"/>
          <w:kern w:val="2"/>
          <w:highlight w:val="none"/>
        </w:rPr>
      </w:pPr>
      <w:r>
        <w:rPr>
          <w:rFonts w:hint="eastAsia"/>
          <w:color w:val="auto"/>
          <w:kern w:val="2"/>
          <w:highlight w:val="none"/>
        </w:rPr>
        <w:t>特此声明。</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供应商名称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spacing w:line="360" w:lineRule="exact"/>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5</w:t>
      </w:r>
    </w:p>
    <w:p>
      <w:pPr>
        <w:pStyle w:val="20"/>
        <w:ind w:firstLine="482" w:firstLineChars="200"/>
        <w:jc w:val="center"/>
        <w:rPr>
          <w:rFonts w:cs="宋体"/>
          <w:b/>
          <w:color w:val="auto"/>
          <w:sz w:val="24"/>
          <w:szCs w:val="24"/>
          <w:highlight w:val="none"/>
        </w:rPr>
      </w:pPr>
      <w:r>
        <w:rPr>
          <w:rFonts w:hint="eastAsia" w:cs="宋体"/>
          <w:b/>
          <w:color w:val="auto"/>
          <w:sz w:val="24"/>
          <w:szCs w:val="24"/>
          <w:highlight w:val="none"/>
        </w:rPr>
        <w:t>参加政府采购活动前三年内在经营活动中</w:t>
      </w:r>
    </w:p>
    <w:p>
      <w:pPr>
        <w:pStyle w:val="20"/>
        <w:ind w:firstLine="482" w:firstLineChars="200"/>
        <w:jc w:val="center"/>
        <w:rPr>
          <w:rFonts w:cs="宋体"/>
          <w:b/>
          <w:color w:val="auto"/>
          <w:sz w:val="24"/>
          <w:szCs w:val="24"/>
          <w:highlight w:val="none"/>
        </w:rPr>
      </w:pPr>
      <w:r>
        <w:rPr>
          <w:rFonts w:hint="eastAsia" w:cs="宋体"/>
          <w:b/>
          <w:color w:val="auto"/>
          <w:sz w:val="24"/>
          <w:szCs w:val="24"/>
          <w:highlight w:val="none"/>
        </w:rPr>
        <w:t>没有重大违法记录的书面声明</w:t>
      </w:r>
    </w:p>
    <w:p>
      <w:pPr>
        <w:pStyle w:val="20"/>
        <w:ind w:firstLine="480" w:firstLineChars="200"/>
        <w:rPr>
          <w:rFonts w:cs="宋体"/>
          <w:color w:val="auto"/>
          <w:sz w:val="24"/>
          <w:szCs w:val="24"/>
          <w:highlight w:val="none"/>
        </w:rPr>
      </w:pPr>
      <w:r>
        <w:rPr>
          <w:rFonts w:hint="eastAsia" w:cs="宋体"/>
          <w:color w:val="auto"/>
          <w:sz w:val="24"/>
          <w:szCs w:val="24"/>
          <w:highlight w:val="none"/>
        </w:rPr>
        <w:t>本单位郑重声明：</w:t>
      </w:r>
    </w:p>
    <w:p>
      <w:pPr>
        <w:pStyle w:val="20"/>
        <w:ind w:firstLine="480" w:firstLineChars="200"/>
        <w:rPr>
          <w:rFonts w:cs="宋体"/>
          <w:color w:val="auto"/>
          <w:sz w:val="24"/>
          <w:szCs w:val="24"/>
          <w:highlight w:val="none"/>
        </w:rPr>
      </w:pPr>
      <w:r>
        <w:rPr>
          <w:rFonts w:hint="eastAsia" w:cs="宋体"/>
          <w:color w:val="auto"/>
          <w:sz w:val="24"/>
          <w:szCs w:val="24"/>
          <w:highlight w:val="none"/>
        </w:rPr>
        <w:t>我单位在</w:t>
      </w:r>
      <w:r>
        <w:rPr>
          <w:rFonts w:hint="eastAsia"/>
          <w:color w:val="auto"/>
          <w:sz w:val="24"/>
          <w:szCs w:val="24"/>
          <w:highlight w:val="none"/>
        </w:rPr>
        <w:t>参加政府采购活动前</w:t>
      </w:r>
      <w:r>
        <w:rPr>
          <w:color w:val="auto"/>
          <w:sz w:val="24"/>
          <w:szCs w:val="24"/>
          <w:highlight w:val="none"/>
        </w:rPr>
        <w:t>3</w:t>
      </w:r>
      <w:r>
        <w:rPr>
          <w:rFonts w:hint="eastAsia"/>
          <w:color w:val="auto"/>
          <w:sz w:val="24"/>
          <w:szCs w:val="24"/>
          <w:highlight w:val="none"/>
        </w:rPr>
        <w:t>年内在经营活动中没有</w:t>
      </w:r>
      <w:r>
        <w:rPr>
          <w:rFonts w:hint="eastAsia" w:cs="宋体"/>
          <w:color w:val="auto"/>
          <w:sz w:val="24"/>
          <w:szCs w:val="24"/>
          <w:highlight w:val="none"/>
        </w:rPr>
        <w:t>《政府采购法》第二十二条第一款第</w:t>
      </w:r>
      <w:r>
        <w:rPr>
          <w:rFonts w:cs="宋体"/>
          <w:color w:val="auto"/>
          <w:sz w:val="24"/>
          <w:szCs w:val="24"/>
          <w:highlight w:val="none"/>
        </w:rPr>
        <w:t>(</w:t>
      </w:r>
      <w:r>
        <w:rPr>
          <w:rFonts w:hint="eastAsia" w:cs="宋体"/>
          <w:color w:val="auto"/>
          <w:sz w:val="24"/>
          <w:szCs w:val="24"/>
          <w:highlight w:val="none"/>
        </w:rPr>
        <w:t>五</w:t>
      </w:r>
      <w:r>
        <w:rPr>
          <w:rFonts w:cs="宋体"/>
          <w:color w:val="auto"/>
          <w:sz w:val="24"/>
          <w:szCs w:val="24"/>
          <w:highlight w:val="none"/>
        </w:rPr>
        <w:t>)</w:t>
      </w:r>
      <w:r>
        <w:rPr>
          <w:rFonts w:hint="eastAsia" w:cs="宋体"/>
          <w:color w:val="auto"/>
          <w:sz w:val="24"/>
          <w:szCs w:val="24"/>
          <w:highlight w:val="none"/>
        </w:rPr>
        <w:t>项所称</w:t>
      </w:r>
      <w:r>
        <w:rPr>
          <w:rFonts w:hint="eastAsia"/>
          <w:color w:val="auto"/>
          <w:sz w:val="24"/>
          <w:szCs w:val="24"/>
          <w:highlight w:val="none"/>
        </w:rPr>
        <w:t>重大违法记录（或者在参加政府采购活动前</w:t>
      </w:r>
      <w:r>
        <w:rPr>
          <w:color w:val="auto"/>
          <w:sz w:val="24"/>
          <w:szCs w:val="24"/>
          <w:highlight w:val="none"/>
        </w:rPr>
        <w:t>3</w:t>
      </w:r>
      <w:r>
        <w:rPr>
          <w:rFonts w:hint="eastAsia"/>
          <w:color w:val="auto"/>
          <w:sz w:val="24"/>
          <w:szCs w:val="24"/>
          <w:highlight w:val="none"/>
        </w:rPr>
        <w:t>年内因违法经营被禁止在一定期限内参加政府采购活动，期限已届满）</w:t>
      </w:r>
      <w:r>
        <w:rPr>
          <w:rFonts w:hint="eastAsia" w:cs="宋体"/>
          <w:color w:val="auto"/>
          <w:sz w:val="24"/>
          <w:szCs w:val="24"/>
          <w:highlight w:val="none"/>
        </w:rPr>
        <w:t>，包括：</w:t>
      </w:r>
    </w:p>
    <w:p>
      <w:pPr>
        <w:pStyle w:val="20"/>
        <w:ind w:firstLine="480" w:firstLineChars="200"/>
        <w:rPr>
          <w:rFonts w:cs="宋体"/>
          <w:color w:val="auto"/>
          <w:sz w:val="24"/>
          <w:szCs w:val="24"/>
          <w:highlight w:val="none"/>
        </w:rPr>
      </w:pPr>
      <w:r>
        <w:rPr>
          <w:rFonts w:hint="eastAsia" w:cs="宋体"/>
          <w:color w:val="auto"/>
          <w:sz w:val="24"/>
          <w:szCs w:val="24"/>
          <w:highlight w:val="none"/>
        </w:rPr>
        <w:t>我单位或者其法定代表人、董事、监事、高级管理人员未因经营活动中的违法行为受到刑事处罚或者责令停产停业、吊销许可证或者执照、较大数额罚款等行政处罚。</w:t>
      </w:r>
    </w:p>
    <w:p>
      <w:pPr>
        <w:pStyle w:val="20"/>
        <w:ind w:firstLine="480" w:firstLineChars="200"/>
        <w:rPr>
          <w:rFonts w:cs="宋体"/>
          <w:color w:val="auto"/>
          <w:sz w:val="24"/>
          <w:szCs w:val="24"/>
          <w:highlight w:val="none"/>
        </w:rPr>
      </w:pPr>
      <w:r>
        <w:rPr>
          <w:rFonts w:hint="eastAsia" w:cs="宋体"/>
          <w:color w:val="auto"/>
          <w:sz w:val="24"/>
          <w:szCs w:val="24"/>
          <w:highlight w:val="none"/>
        </w:rPr>
        <w:t>特此声明！</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2</w:t>
      </w:r>
      <w:r>
        <w:rPr>
          <w:rFonts w:hint="eastAsia" w:cs="宋体"/>
          <w:color w:val="auto"/>
          <w:sz w:val="24"/>
          <w:szCs w:val="24"/>
          <w:highlight w:val="none"/>
        </w:rPr>
        <w:t>－</w:t>
      </w:r>
      <w:r>
        <w:rPr>
          <w:rFonts w:cs="宋体"/>
          <w:color w:val="auto"/>
          <w:sz w:val="24"/>
          <w:szCs w:val="24"/>
          <w:highlight w:val="none"/>
        </w:rPr>
        <w:t>6</w:t>
      </w:r>
    </w:p>
    <w:p>
      <w:pPr>
        <w:pStyle w:val="8"/>
        <w:jc w:val="center"/>
        <w:rPr>
          <w:rFonts w:ascii="宋体" w:cs="宋体"/>
          <w:color w:val="auto"/>
          <w:highlight w:val="none"/>
        </w:rPr>
      </w:pPr>
      <w:r>
        <w:rPr>
          <w:rFonts w:hint="eastAsia" w:ascii="宋体" w:cs="宋体"/>
          <w:color w:val="auto"/>
          <w:highlight w:val="none"/>
        </w:rPr>
        <w:t>无不良信用记录承诺函</w:t>
      </w:r>
    </w:p>
    <w:p>
      <w:pPr>
        <w:pStyle w:val="20"/>
        <w:rPr>
          <w:rFonts w:cs="宋体"/>
          <w:color w:val="auto"/>
          <w:sz w:val="24"/>
          <w:szCs w:val="24"/>
          <w:highlight w:val="none"/>
        </w:rPr>
      </w:pPr>
      <w:r>
        <w:rPr>
          <w:rFonts w:hint="eastAsia" w:cs="宋体"/>
          <w:color w:val="auto"/>
          <w:sz w:val="24"/>
          <w:szCs w:val="24"/>
          <w:highlight w:val="none"/>
        </w:rPr>
        <w:t>致：</w:t>
      </w:r>
      <w:r>
        <w:rPr>
          <w:rFonts w:hint="eastAsia" w:cs="宋体"/>
          <w:color w:val="auto"/>
          <w:sz w:val="24"/>
          <w:szCs w:val="24"/>
          <w:highlight w:val="none"/>
          <w:u w:val="single"/>
        </w:rPr>
        <w:t>国家税务总局福建省税务局、福建省智信招标有限公司</w:t>
      </w:r>
    </w:p>
    <w:p>
      <w:pPr>
        <w:pStyle w:val="20"/>
        <w:ind w:firstLine="480" w:firstLineChars="200"/>
        <w:rPr>
          <w:rFonts w:cs="宋体"/>
          <w:color w:val="auto"/>
          <w:sz w:val="24"/>
          <w:szCs w:val="24"/>
          <w:highlight w:val="none"/>
        </w:rPr>
      </w:pPr>
      <w:r>
        <w:rPr>
          <w:rFonts w:hint="eastAsia" w:cs="宋体"/>
          <w:color w:val="auto"/>
          <w:sz w:val="24"/>
          <w:szCs w:val="24"/>
          <w:highlight w:val="none"/>
        </w:rPr>
        <w:t>本单位郑重承诺，我单位无以下不良信用记录情形：</w:t>
      </w:r>
    </w:p>
    <w:p>
      <w:pPr>
        <w:pStyle w:val="20"/>
        <w:ind w:firstLine="480" w:firstLineChars="200"/>
        <w:rPr>
          <w:rFonts w:cs="宋体"/>
          <w:color w:val="auto"/>
          <w:sz w:val="24"/>
          <w:szCs w:val="24"/>
          <w:highlight w:val="none"/>
        </w:rPr>
      </w:pPr>
      <w:r>
        <w:rPr>
          <w:rFonts w:cs="宋体"/>
          <w:color w:val="auto"/>
          <w:sz w:val="24"/>
          <w:szCs w:val="24"/>
          <w:highlight w:val="none"/>
        </w:rPr>
        <w:t>1.</w:t>
      </w:r>
      <w:r>
        <w:rPr>
          <w:rFonts w:hint="eastAsia" w:cs="宋体"/>
          <w:color w:val="auto"/>
          <w:sz w:val="24"/>
          <w:szCs w:val="24"/>
          <w:highlight w:val="none"/>
        </w:rPr>
        <w:t>被人民法院列入失信被执行人；</w:t>
      </w:r>
    </w:p>
    <w:p>
      <w:pPr>
        <w:pStyle w:val="20"/>
        <w:ind w:firstLine="480" w:firstLineChars="200"/>
        <w:rPr>
          <w:rFonts w:cs="宋体"/>
          <w:color w:val="auto"/>
          <w:sz w:val="24"/>
          <w:szCs w:val="24"/>
          <w:highlight w:val="none"/>
        </w:rPr>
      </w:pPr>
      <w:r>
        <w:rPr>
          <w:rFonts w:cs="宋体"/>
          <w:color w:val="auto"/>
          <w:sz w:val="24"/>
          <w:szCs w:val="24"/>
          <w:highlight w:val="none"/>
        </w:rPr>
        <w:t>2.</w:t>
      </w:r>
      <w:r>
        <w:rPr>
          <w:rFonts w:hint="eastAsia" w:cs="宋体"/>
          <w:color w:val="auto"/>
          <w:sz w:val="24"/>
          <w:szCs w:val="24"/>
          <w:highlight w:val="none"/>
        </w:rPr>
        <w:t>被税务部门列入重大税收违法案件当事人名单；</w:t>
      </w:r>
    </w:p>
    <w:p>
      <w:pPr>
        <w:pStyle w:val="20"/>
        <w:ind w:firstLine="480" w:firstLineChars="200"/>
        <w:rPr>
          <w:rFonts w:cs="宋体"/>
          <w:color w:val="auto"/>
          <w:sz w:val="24"/>
          <w:szCs w:val="24"/>
          <w:highlight w:val="none"/>
        </w:rPr>
      </w:pPr>
      <w:r>
        <w:rPr>
          <w:rFonts w:cs="宋体"/>
          <w:color w:val="auto"/>
          <w:sz w:val="24"/>
          <w:szCs w:val="24"/>
          <w:highlight w:val="none"/>
        </w:rPr>
        <w:t>3.</w:t>
      </w:r>
      <w:r>
        <w:rPr>
          <w:rFonts w:hint="eastAsia" w:cs="宋体"/>
          <w:color w:val="auto"/>
          <w:sz w:val="24"/>
          <w:szCs w:val="24"/>
          <w:highlight w:val="none"/>
        </w:rPr>
        <w:t>被政府采购监管部门列入政府采购严重违法失信行为记录名单；</w:t>
      </w:r>
    </w:p>
    <w:p>
      <w:pPr>
        <w:pStyle w:val="20"/>
        <w:ind w:firstLine="480" w:firstLineChars="200"/>
        <w:rPr>
          <w:rFonts w:cs="宋体"/>
          <w:color w:val="auto"/>
          <w:sz w:val="24"/>
          <w:szCs w:val="24"/>
          <w:highlight w:val="none"/>
        </w:rPr>
      </w:pPr>
      <w:r>
        <w:rPr>
          <w:rFonts w:cs="宋体"/>
          <w:color w:val="auto"/>
          <w:sz w:val="24"/>
          <w:szCs w:val="24"/>
          <w:highlight w:val="none"/>
        </w:rPr>
        <w:t>4.</w:t>
      </w:r>
      <w:r>
        <w:rPr>
          <w:rFonts w:hint="eastAsia" w:cs="宋体"/>
          <w:color w:val="auto"/>
          <w:sz w:val="24"/>
          <w:szCs w:val="24"/>
          <w:highlight w:val="none"/>
        </w:rPr>
        <w:t>不符合《政府采购法》第二十二条规定的条件。</w:t>
      </w:r>
    </w:p>
    <w:p>
      <w:pPr>
        <w:pStyle w:val="20"/>
        <w:ind w:firstLine="480" w:firstLineChars="200"/>
        <w:rPr>
          <w:rFonts w:cs="宋体"/>
          <w:color w:val="auto"/>
          <w:sz w:val="24"/>
          <w:szCs w:val="24"/>
          <w:highlight w:val="none"/>
        </w:rPr>
      </w:pPr>
      <w:r>
        <w:rPr>
          <w:rFonts w:hint="eastAsia" w:cs="宋体"/>
          <w:color w:val="auto"/>
          <w:sz w:val="24"/>
          <w:szCs w:val="24"/>
          <w:highlight w:val="none"/>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盖公章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5</w:t>
      </w:r>
      <w:r>
        <w:rPr>
          <w:rFonts w:hint="eastAsia" w:cs="宋体"/>
          <w:color w:val="auto"/>
          <w:sz w:val="24"/>
          <w:szCs w:val="24"/>
          <w:highlight w:val="none"/>
        </w:rPr>
        <w:t>－</w:t>
      </w:r>
      <w:r>
        <w:rPr>
          <w:rFonts w:cs="宋体"/>
          <w:color w:val="auto"/>
          <w:sz w:val="24"/>
          <w:szCs w:val="24"/>
          <w:highlight w:val="none"/>
        </w:rPr>
        <w:t>3</w:t>
      </w:r>
      <w:r>
        <w:rPr>
          <w:rFonts w:hint="eastAsia" w:cs="宋体"/>
          <w:color w:val="auto"/>
          <w:sz w:val="24"/>
          <w:szCs w:val="24"/>
          <w:highlight w:val="none"/>
        </w:rPr>
        <w:t>　符合招标文件要求的投标人特定资格条件的证明材料（若有）</w:t>
      </w:r>
    </w:p>
    <w:p>
      <w:pPr>
        <w:pStyle w:val="20"/>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示例略</w:t>
      </w:r>
      <w:r>
        <w:rPr>
          <w:rFonts w:cs="宋体"/>
          <w:color w:val="auto"/>
          <w:sz w:val="24"/>
          <w:szCs w:val="24"/>
          <w:highlight w:val="none"/>
        </w:rPr>
        <w:t>)</w:t>
      </w:r>
    </w:p>
    <w:p>
      <w:pPr>
        <w:pStyle w:val="30"/>
        <w:widowControl/>
        <w:spacing w:beforeAutospacing="0" w:after="150" w:afterAutospacing="0"/>
        <w:rPr>
          <w:rFonts w:cs="宋体"/>
          <w:color w:val="auto"/>
          <w:szCs w:val="24"/>
          <w:highlight w:val="none"/>
        </w:rPr>
      </w:pPr>
      <w:r>
        <w:rPr>
          <w:color w:val="auto"/>
          <w:szCs w:val="24"/>
          <w:highlight w:val="none"/>
        </w:rPr>
        <w:br w:type="page"/>
      </w:r>
      <w:r>
        <w:rPr>
          <w:rFonts w:hint="eastAsia" w:cs="宋体"/>
          <w:color w:val="auto"/>
          <w:szCs w:val="24"/>
          <w:highlight w:val="none"/>
        </w:rPr>
        <w:t>六、提供符合政府采购政策的证明材料</w:t>
      </w: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1</w:t>
      </w:r>
    </w:p>
    <w:p>
      <w:pPr>
        <w:pStyle w:val="8"/>
        <w:jc w:val="center"/>
        <w:rPr>
          <w:color w:val="auto"/>
          <w:highlight w:val="none"/>
        </w:rPr>
      </w:pPr>
      <w:r>
        <w:rPr>
          <w:rFonts w:hint="eastAsia" w:ascii="Times New Roman" w:hAnsi="Times New Roman"/>
          <w:color w:val="auto"/>
          <w:highlight w:val="none"/>
        </w:rPr>
        <w:t>中小企业声明函</w:t>
      </w:r>
      <w:r>
        <w:rPr>
          <w:rFonts w:hint="eastAsia" w:ascii="Times New Roman" w:hAnsi="Times New Roman"/>
          <w:bCs w:val="0"/>
          <w:color w:val="auto"/>
          <w:highlight w:val="none"/>
        </w:rPr>
        <w:t>（工程、服务）</w:t>
      </w:r>
      <w:r>
        <w:rPr>
          <w:rFonts w:hint="eastAsia" w:ascii="Times New Roman" w:hAnsi="Times New Roman"/>
          <w:color w:val="auto"/>
          <w:highlight w:val="none"/>
        </w:rPr>
        <w:t>（若有）</w:t>
      </w:r>
    </w:p>
    <w:p>
      <w:pPr>
        <w:pStyle w:val="71"/>
        <w:ind w:firstLine="420"/>
        <w:jc w:val="center"/>
        <w:outlineLvl w:val="9"/>
        <w:rPr>
          <w:color w:val="auto"/>
          <w:sz w:val="21"/>
          <w:szCs w:val="21"/>
          <w:highlight w:val="none"/>
        </w:rPr>
      </w:pPr>
    </w:p>
    <w:p>
      <w:pPr>
        <w:pStyle w:val="71"/>
        <w:ind w:firstLine="420"/>
        <w:jc w:val="left"/>
        <w:outlineLvl w:val="9"/>
        <w:rPr>
          <w:color w:val="auto"/>
          <w:sz w:val="24"/>
          <w:szCs w:val="21"/>
          <w:highlight w:val="none"/>
        </w:rPr>
      </w:pPr>
      <w:r>
        <w:rPr>
          <w:rFonts w:hint="eastAsia"/>
          <w:color w:val="auto"/>
          <w:sz w:val="24"/>
          <w:szCs w:val="21"/>
          <w:highlight w:val="none"/>
        </w:rPr>
        <w:t>本公司（联合体）郑重声明，根据《政府采购促进中小企业发展管理办法》（财库﹝</w:t>
      </w:r>
      <w:r>
        <w:rPr>
          <w:color w:val="auto"/>
          <w:sz w:val="24"/>
          <w:szCs w:val="21"/>
          <w:highlight w:val="none"/>
        </w:rPr>
        <w:t>2020</w:t>
      </w:r>
      <w:r>
        <w:rPr>
          <w:rFonts w:hint="eastAsia"/>
          <w:color w:val="auto"/>
          <w:sz w:val="24"/>
          <w:szCs w:val="21"/>
          <w:highlight w:val="none"/>
        </w:rPr>
        <w:t>﹞</w:t>
      </w:r>
      <w:r>
        <w:rPr>
          <w:color w:val="auto"/>
          <w:sz w:val="24"/>
          <w:szCs w:val="21"/>
          <w:highlight w:val="none"/>
        </w:rPr>
        <w:t>46</w:t>
      </w:r>
      <w:r>
        <w:rPr>
          <w:rFonts w:hint="eastAsia"/>
          <w:color w:val="auto"/>
          <w:sz w:val="24"/>
          <w:szCs w:val="21"/>
          <w:highlight w:val="none"/>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71"/>
        <w:ind w:firstLine="420"/>
        <w:outlineLvl w:val="9"/>
        <w:rPr>
          <w:color w:val="auto"/>
          <w:sz w:val="24"/>
          <w:szCs w:val="21"/>
          <w:highlight w:val="none"/>
        </w:rPr>
      </w:pPr>
      <w:r>
        <w:rPr>
          <w:color w:val="auto"/>
          <w:sz w:val="24"/>
          <w:szCs w:val="21"/>
          <w:highlight w:val="none"/>
        </w:rPr>
        <w:t>1.</w:t>
      </w:r>
      <w:r>
        <w:rPr>
          <w:rFonts w:hint="eastAsia"/>
          <w:color w:val="auto"/>
          <w:sz w:val="24"/>
          <w:szCs w:val="21"/>
          <w:highlight w:val="none"/>
        </w:rPr>
        <w:t>（标的名称），属于（采购文件中明确的所属行业：</w:t>
      </w:r>
      <w:r>
        <w:rPr>
          <w:rFonts w:hint="eastAsia" w:cs="宋体"/>
          <w:b/>
          <w:color w:val="auto"/>
          <w:sz w:val="24"/>
          <w:highlight w:val="none"/>
        </w:rPr>
        <w:t>软件和信息技术服务业</w:t>
      </w:r>
      <w:r>
        <w:rPr>
          <w:rFonts w:hint="eastAsia"/>
          <w:color w:val="auto"/>
          <w:sz w:val="24"/>
          <w:szCs w:val="21"/>
          <w:highlight w:val="none"/>
        </w:rPr>
        <w:t>）；承建（承接）企业为（企业名称），从业人员人，营业收入为万元，资产总额为万元</w:t>
      </w:r>
      <w:r>
        <w:rPr>
          <w:color w:val="auto"/>
          <w:sz w:val="24"/>
          <w:szCs w:val="21"/>
          <w:highlight w:val="none"/>
          <w:vertAlign w:val="superscript"/>
        </w:rPr>
        <w:t>1</w:t>
      </w:r>
      <w:r>
        <w:rPr>
          <w:rFonts w:hint="eastAsia"/>
          <w:color w:val="auto"/>
          <w:sz w:val="24"/>
          <w:szCs w:val="21"/>
          <w:highlight w:val="none"/>
        </w:rPr>
        <w:t>，属于（中型企业、小型企业、微型企业）；</w:t>
      </w:r>
    </w:p>
    <w:p>
      <w:pPr>
        <w:pStyle w:val="71"/>
        <w:ind w:firstLine="420"/>
        <w:outlineLvl w:val="9"/>
        <w:rPr>
          <w:color w:val="auto"/>
          <w:sz w:val="24"/>
          <w:szCs w:val="21"/>
          <w:highlight w:val="none"/>
        </w:rPr>
      </w:pPr>
      <w:r>
        <w:rPr>
          <w:color w:val="auto"/>
          <w:sz w:val="24"/>
          <w:szCs w:val="21"/>
          <w:highlight w:val="none"/>
        </w:rPr>
        <w:t>2.</w:t>
      </w:r>
      <w:r>
        <w:rPr>
          <w:rFonts w:hint="eastAsia"/>
          <w:color w:val="auto"/>
          <w:sz w:val="24"/>
          <w:szCs w:val="21"/>
          <w:highlight w:val="none"/>
        </w:rPr>
        <w:t>（标的名称），属于（采购文件中明确的所属行业：</w:t>
      </w:r>
      <w:r>
        <w:rPr>
          <w:rFonts w:cs="宋体"/>
          <w:b/>
          <w:color w:val="auto"/>
          <w:sz w:val="24"/>
          <w:highlight w:val="none"/>
        </w:rPr>
        <w:t xml:space="preserve"> </w:t>
      </w:r>
      <w:r>
        <w:rPr>
          <w:rFonts w:hint="eastAsia"/>
          <w:color w:val="auto"/>
          <w:sz w:val="24"/>
          <w:szCs w:val="21"/>
          <w:highlight w:val="none"/>
        </w:rPr>
        <w:t>）；承建（承接）企业为（企业名称），从业人员人，营业收入为万元，资产总额为万元，属于（中型企业、小型企业、微型企业）；</w:t>
      </w:r>
    </w:p>
    <w:p>
      <w:pPr>
        <w:pStyle w:val="71"/>
        <w:ind w:firstLine="420"/>
        <w:outlineLvl w:val="9"/>
        <w:rPr>
          <w:color w:val="auto"/>
          <w:sz w:val="24"/>
          <w:szCs w:val="21"/>
          <w:highlight w:val="none"/>
        </w:rPr>
      </w:pPr>
      <w:r>
        <w:rPr>
          <w:color w:val="auto"/>
          <w:sz w:val="24"/>
          <w:szCs w:val="21"/>
          <w:highlight w:val="none"/>
        </w:rPr>
        <w:t>......</w:t>
      </w:r>
    </w:p>
    <w:p>
      <w:pPr>
        <w:pStyle w:val="71"/>
        <w:ind w:firstLine="420"/>
        <w:outlineLvl w:val="9"/>
        <w:rPr>
          <w:color w:val="auto"/>
          <w:sz w:val="24"/>
          <w:szCs w:val="21"/>
          <w:highlight w:val="none"/>
        </w:rPr>
      </w:pPr>
      <w:r>
        <w:rPr>
          <w:rFonts w:hint="eastAsia"/>
          <w:color w:val="auto"/>
          <w:sz w:val="24"/>
          <w:szCs w:val="21"/>
          <w:highlight w:val="none"/>
        </w:rPr>
        <w:t>以上企业，不属于大企业的分支机构，不存在控股股东为大企业的情形，也不存在与大企业的负责人为同一人的情形。</w:t>
      </w:r>
    </w:p>
    <w:p>
      <w:pPr>
        <w:pStyle w:val="71"/>
        <w:ind w:firstLine="420"/>
        <w:outlineLvl w:val="9"/>
        <w:rPr>
          <w:color w:val="auto"/>
          <w:sz w:val="24"/>
          <w:szCs w:val="21"/>
          <w:highlight w:val="none"/>
        </w:rPr>
      </w:pPr>
      <w:r>
        <w:rPr>
          <w:rFonts w:hint="eastAsia"/>
          <w:color w:val="auto"/>
          <w:sz w:val="24"/>
          <w:szCs w:val="21"/>
          <w:highlight w:val="none"/>
        </w:rPr>
        <w:t>本企业对上述声明内容的真实性负责。如有虚假，将依法承担相应责任。</w:t>
      </w:r>
    </w:p>
    <w:p>
      <w:pPr>
        <w:pStyle w:val="71"/>
        <w:ind w:firstLine="420"/>
        <w:outlineLvl w:val="9"/>
        <w:rPr>
          <w:color w:val="auto"/>
          <w:sz w:val="24"/>
          <w:szCs w:val="21"/>
          <w:highlight w:val="none"/>
        </w:rPr>
      </w:pPr>
    </w:p>
    <w:p>
      <w:pPr>
        <w:spacing w:line="380" w:lineRule="exact"/>
        <w:ind w:firstLine="480" w:firstLineChars="200"/>
        <w:rPr>
          <w:rFonts w:ascii="宋体"/>
          <w:color w:val="auto"/>
          <w:sz w:val="24"/>
          <w:szCs w:val="21"/>
          <w:highlight w:val="none"/>
        </w:rPr>
      </w:pPr>
    </w:p>
    <w:p>
      <w:pPr>
        <w:spacing w:line="380" w:lineRule="exact"/>
        <w:ind w:firstLine="480" w:firstLineChars="200"/>
        <w:rPr>
          <w:rFonts w:ascii="宋体"/>
          <w:color w:val="auto"/>
          <w:sz w:val="24"/>
          <w:szCs w:val="21"/>
          <w:highlight w:val="none"/>
        </w:rPr>
      </w:pPr>
      <w:r>
        <w:rPr>
          <w:rFonts w:hint="eastAsia" w:ascii="宋体"/>
          <w:color w:val="auto"/>
          <w:sz w:val="24"/>
          <w:szCs w:val="21"/>
          <w:highlight w:val="none"/>
        </w:rPr>
        <w:t>企业名称（盖章）：</w:t>
      </w:r>
    </w:p>
    <w:p>
      <w:pPr>
        <w:spacing w:line="380" w:lineRule="exact"/>
        <w:ind w:firstLine="480" w:firstLineChars="200"/>
        <w:rPr>
          <w:rFonts w:ascii="宋体"/>
          <w:color w:val="auto"/>
          <w:sz w:val="24"/>
          <w:szCs w:val="21"/>
          <w:highlight w:val="none"/>
          <w:u w:val="single"/>
        </w:rPr>
      </w:pPr>
      <w:r>
        <w:rPr>
          <w:rFonts w:hint="eastAsia" w:ascii="宋体"/>
          <w:color w:val="auto"/>
          <w:sz w:val="24"/>
          <w:szCs w:val="21"/>
          <w:highlight w:val="none"/>
        </w:rPr>
        <w:t>日期：</w:t>
      </w:r>
    </w:p>
    <w:p>
      <w:pPr>
        <w:spacing w:line="380" w:lineRule="exact"/>
        <w:ind w:firstLine="480" w:firstLineChars="200"/>
        <w:rPr>
          <w:rFonts w:ascii="宋体"/>
          <w:color w:val="auto"/>
          <w:sz w:val="24"/>
          <w:szCs w:val="21"/>
          <w:highlight w:val="none"/>
        </w:rPr>
      </w:pPr>
    </w:p>
    <w:p>
      <w:pPr>
        <w:ind w:firstLine="480" w:firstLineChars="200"/>
        <w:rPr>
          <w:rFonts w:ascii="宋体" w:cs="宋体"/>
          <w:color w:val="auto"/>
          <w:kern w:val="0"/>
          <w:sz w:val="24"/>
          <w:szCs w:val="21"/>
          <w:highlight w:val="none"/>
        </w:rPr>
      </w:pPr>
      <w:r>
        <w:rPr>
          <w:rFonts w:hint="eastAsia" w:ascii="宋体" w:cs="Courier New"/>
          <w:color w:val="auto"/>
          <w:kern w:val="0"/>
          <w:sz w:val="24"/>
          <w:szCs w:val="21"/>
          <w:highlight w:val="none"/>
        </w:rPr>
        <w:t>从业人员、营业收入、资产总额填报上一年度数据，无上一年度数据的新成立企业可不填报。</w:t>
      </w:r>
    </w:p>
    <w:p>
      <w:pPr>
        <w:rPr>
          <w:rFonts w:ascii="宋体"/>
          <w:color w:val="auto"/>
          <w:sz w:val="24"/>
          <w:szCs w:val="21"/>
          <w:highlight w:val="none"/>
        </w:rPr>
      </w:pP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2</w:t>
      </w:r>
    </w:p>
    <w:p>
      <w:pPr>
        <w:pStyle w:val="8"/>
        <w:jc w:val="center"/>
        <w:rPr>
          <w:rFonts w:ascii="宋体" w:cs="宋体"/>
          <w:color w:val="auto"/>
          <w:highlight w:val="none"/>
        </w:rPr>
      </w:pPr>
      <w:r>
        <w:rPr>
          <w:rFonts w:hint="eastAsia" w:ascii="宋体" w:cs="宋体"/>
          <w:color w:val="auto"/>
          <w:highlight w:val="none"/>
        </w:rPr>
        <w:t>残疾人福利性单位声明函（若有）</w:t>
      </w:r>
      <w:r>
        <w:rPr>
          <w:rFonts w:ascii="宋体" w:cs="宋体"/>
          <w:color w:val="auto"/>
          <w:highlight w:val="none"/>
        </w:rPr>
        <w:t> </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我方郑重声明，根据《财政部</w:t>
      </w:r>
      <w:r>
        <w:rPr>
          <w:rFonts w:ascii="宋体" w:cs="宋体"/>
          <w:color w:val="auto"/>
          <w:kern w:val="0"/>
          <w:sz w:val="24"/>
          <w:szCs w:val="21"/>
          <w:highlight w:val="none"/>
        </w:rPr>
        <w:t> </w:t>
      </w:r>
      <w:r>
        <w:rPr>
          <w:rFonts w:hint="eastAsia" w:ascii="宋体" w:cs="宋体"/>
          <w:color w:val="auto"/>
          <w:kern w:val="0"/>
          <w:sz w:val="24"/>
          <w:szCs w:val="21"/>
          <w:highlight w:val="none"/>
        </w:rPr>
        <w:t>民政部</w:t>
      </w:r>
      <w:r>
        <w:rPr>
          <w:rFonts w:ascii="宋体" w:cs="宋体"/>
          <w:color w:val="auto"/>
          <w:kern w:val="0"/>
          <w:sz w:val="24"/>
          <w:szCs w:val="21"/>
          <w:highlight w:val="none"/>
        </w:rPr>
        <w:t> </w:t>
      </w:r>
      <w:r>
        <w:rPr>
          <w:rFonts w:hint="eastAsia" w:ascii="宋体" w:cs="宋体"/>
          <w:color w:val="auto"/>
          <w:kern w:val="0"/>
          <w:sz w:val="24"/>
          <w:szCs w:val="21"/>
          <w:highlight w:val="none"/>
        </w:rPr>
        <w:t>中国残疾人联合会关于促进残疾人就业政府采购政策的通知》（财库</w:t>
      </w:r>
      <w:r>
        <w:rPr>
          <w:rFonts w:ascii="宋体" w:cs="宋体"/>
          <w:color w:val="auto"/>
          <w:kern w:val="0"/>
          <w:sz w:val="24"/>
          <w:szCs w:val="21"/>
          <w:highlight w:val="none"/>
        </w:rPr>
        <w:t>[2017]141</w:t>
      </w:r>
      <w:r>
        <w:rPr>
          <w:rFonts w:hint="eastAsia" w:ascii="宋体" w:cs="宋体"/>
          <w:color w:val="auto"/>
          <w:kern w:val="0"/>
          <w:sz w:val="24"/>
          <w:szCs w:val="21"/>
          <w:highlight w:val="none"/>
        </w:rPr>
        <w:t>号）的规定，我方为符合条件的残疾人福利性单位，且我方参加贵单位的</w:t>
      </w:r>
      <w:r>
        <w:rPr>
          <w:rFonts w:hint="eastAsia" w:ascii="宋体" w:cs="宋体"/>
          <w:color w:val="auto"/>
          <w:kern w:val="0"/>
          <w:sz w:val="24"/>
          <w:szCs w:val="21"/>
          <w:highlight w:val="none"/>
          <w:u w:val="single"/>
        </w:rPr>
        <w:t>（填写</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项目名称</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w:t>
      </w:r>
      <w:r>
        <w:rPr>
          <w:rFonts w:hint="eastAsia" w:ascii="宋体" w:cs="宋体"/>
          <w:color w:val="auto"/>
          <w:kern w:val="0"/>
          <w:sz w:val="24"/>
          <w:szCs w:val="21"/>
          <w:highlight w:val="none"/>
        </w:rPr>
        <w:t>项目采购活动：</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w:t>
      </w:r>
      <w:r>
        <w:rPr>
          <w:rFonts w:ascii="宋体" w:cs="宋体"/>
          <w:color w:val="auto"/>
          <w:kern w:val="0"/>
          <w:sz w:val="24"/>
          <w:szCs w:val="21"/>
          <w:highlight w:val="none"/>
        </w:rPr>
        <w:t> </w:t>
      </w:r>
      <w:r>
        <w:rPr>
          <w:rFonts w:hint="eastAsia" w:ascii="宋体" w:cs="宋体"/>
          <w:color w:val="auto"/>
          <w:kern w:val="0"/>
          <w:sz w:val="24"/>
          <w:szCs w:val="21"/>
          <w:highlight w:val="none"/>
        </w:rPr>
        <w:t>）提供我方制造的</w:t>
      </w:r>
      <w:r>
        <w:rPr>
          <w:rFonts w:hint="eastAsia" w:ascii="宋体" w:cs="宋体"/>
          <w:color w:val="auto"/>
          <w:kern w:val="0"/>
          <w:sz w:val="24"/>
          <w:szCs w:val="21"/>
          <w:highlight w:val="none"/>
          <w:u w:val="single"/>
        </w:rPr>
        <w:t>（填写</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所投合同包、品目号</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w:t>
      </w:r>
      <w:r>
        <w:rPr>
          <w:rFonts w:hint="eastAsia" w:ascii="宋体" w:cs="宋体"/>
          <w:color w:val="auto"/>
          <w:kern w:val="0"/>
          <w:sz w:val="24"/>
          <w:szCs w:val="21"/>
          <w:highlight w:val="none"/>
        </w:rPr>
        <w:t>货物，</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w:t>
      </w:r>
      <w:r>
        <w:rPr>
          <w:rFonts w:ascii="宋体" w:cs="宋体"/>
          <w:color w:val="auto"/>
          <w:kern w:val="0"/>
          <w:sz w:val="24"/>
          <w:szCs w:val="21"/>
          <w:highlight w:val="none"/>
        </w:rPr>
        <w:t> </w:t>
      </w:r>
      <w:r>
        <w:rPr>
          <w:rFonts w:hint="eastAsia" w:ascii="宋体" w:cs="宋体"/>
          <w:color w:val="auto"/>
          <w:kern w:val="0"/>
          <w:sz w:val="24"/>
          <w:szCs w:val="21"/>
          <w:highlight w:val="none"/>
        </w:rPr>
        <w:t>）由我方承担的</w:t>
      </w:r>
      <w:r>
        <w:rPr>
          <w:rFonts w:hint="eastAsia" w:ascii="宋体" w:cs="宋体"/>
          <w:color w:val="auto"/>
          <w:kern w:val="0"/>
          <w:sz w:val="24"/>
          <w:szCs w:val="21"/>
          <w:highlight w:val="none"/>
          <w:u w:val="single"/>
        </w:rPr>
        <w:t>（填写</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所投合同包、品目号</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w:t>
      </w:r>
      <w:r>
        <w:rPr>
          <w:rFonts w:hint="eastAsia" w:ascii="宋体" w:cs="宋体"/>
          <w:color w:val="auto"/>
          <w:kern w:val="0"/>
          <w:sz w:val="24"/>
          <w:szCs w:val="21"/>
          <w:highlight w:val="none"/>
        </w:rPr>
        <w:t>工程，</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w:t>
      </w:r>
      <w:r>
        <w:rPr>
          <w:rFonts w:ascii="宋体" w:cs="宋体"/>
          <w:color w:val="auto"/>
          <w:kern w:val="0"/>
          <w:sz w:val="24"/>
          <w:szCs w:val="21"/>
          <w:highlight w:val="none"/>
        </w:rPr>
        <w:t> </w:t>
      </w:r>
      <w:r>
        <w:rPr>
          <w:rFonts w:hint="eastAsia" w:ascii="宋体" w:cs="宋体"/>
          <w:color w:val="auto"/>
          <w:kern w:val="0"/>
          <w:sz w:val="24"/>
          <w:szCs w:val="21"/>
          <w:highlight w:val="none"/>
        </w:rPr>
        <w:t>）由我方提供的</w:t>
      </w:r>
      <w:r>
        <w:rPr>
          <w:rFonts w:hint="eastAsia" w:ascii="宋体" w:cs="宋体"/>
          <w:color w:val="auto"/>
          <w:kern w:val="0"/>
          <w:sz w:val="24"/>
          <w:szCs w:val="21"/>
          <w:highlight w:val="none"/>
          <w:u w:val="single"/>
        </w:rPr>
        <w:t>（填写</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所投合同包、品目号</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w:t>
      </w:r>
      <w:r>
        <w:rPr>
          <w:rFonts w:hint="eastAsia" w:ascii="宋体" w:cs="宋体"/>
          <w:color w:val="auto"/>
          <w:kern w:val="0"/>
          <w:sz w:val="24"/>
          <w:szCs w:val="21"/>
          <w:highlight w:val="none"/>
        </w:rPr>
        <w:t>服务；或</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w:t>
      </w:r>
      <w:r>
        <w:rPr>
          <w:rFonts w:ascii="宋体" w:cs="宋体"/>
          <w:color w:val="auto"/>
          <w:kern w:val="0"/>
          <w:sz w:val="24"/>
          <w:szCs w:val="21"/>
          <w:highlight w:val="none"/>
        </w:rPr>
        <w:t> </w:t>
      </w:r>
      <w:r>
        <w:rPr>
          <w:rFonts w:hint="eastAsia" w:ascii="宋体" w:cs="宋体"/>
          <w:color w:val="auto"/>
          <w:kern w:val="0"/>
          <w:sz w:val="24"/>
          <w:szCs w:val="21"/>
          <w:highlight w:val="none"/>
        </w:rPr>
        <w:t>）提供其他残疾人福利性单位制造的</w:t>
      </w:r>
      <w:r>
        <w:rPr>
          <w:rFonts w:hint="eastAsia" w:ascii="宋体" w:cs="宋体"/>
          <w:color w:val="auto"/>
          <w:kern w:val="0"/>
          <w:sz w:val="24"/>
          <w:szCs w:val="21"/>
          <w:highlight w:val="none"/>
          <w:u w:val="single"/>
        </w:rPr>
        <w:t>（填写</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所投合同包、品目号</w:t>
      </w:r>
      <w:r>
        <w:rPr>
          <w:rFonts w:ascii="宋体" w:cs="宋体"/>
          <w:color w:val="auto"/>
          <w:kern w:val="0"/>
          <w:sz w:val="24"/>
          <w:szCs w:val="21"/>
          <w:highlight w:val="none"/>
          <w:u w:val="single"/>
        </w:rPr>
        <w:t>”</w:t>
      </w:r>
      <w:r>
        <w:rPr>
          <w:rFonts w:hint="eastAsia" w:ascii="宋体" w:cs="宋体"/>
          <w:color w:val="auto"/>
          <w:kern w:val="0"/>
          <w:sz w:val="24"/>
          <w:szCs w:val="21"/>
          <w:highlight w:val="none"/>
          <w:u w:val="single"/>
        </w:rPr>
        <w:t>）</w:t>
      </w:r>
      <w:r>
        <w:rPr>
          <w:rFonts w:hint="eastAsia" w:ascii="宋体" w:cs="宋体"/>
          <w:color w:val="auto"/>
          <w:kern w:val="0"/>
          <w:sz w:val="24"/>
          <w:szCs w:val="21"/>
          <w:highlight w:val="none"/>
        </w:rPr>
        <w:t>货物（不包括使用非残疾人福利性单位注册商标的货物）。</w:t>
      </w:r>
    </w:p>
    <w:p>
      <w:pPr>
        <w:widowControl/>
        <w:spacing w:before="71" w:after="71" w:line="360" w:lineRule="auto"/>
        <w:ind w:firstLine="399"/>
        <w:jc w:val="left"/>
        <w:rPr>
          <w:rFonts w:ascii="宋体" w:cs="宋体"/>
          <w:color w:val="auto"/>
          <w:kern w:val="0"/>
          <w:sz w:val="24"/>
          <w:szCs w:val="21"/>
          <w:highlight w:val="none"/>
        </w:rPr>
      </w:pPr>
      <w:r>
        <w:rPr>
          <w:rFonts w:hint="eastAsia" w:ascii="宋体" w:cs="宋体"/>
          <w:color w:val="auto"/>
          <w:kern w:val="0"/>
          <w:sz w:val="24"/>
          <w:szCs w:val="21"/>
          <w:highlight w:val="none"/>
        </w:rPr>
        <w:t>我方对上述声明的真实性负责。如有虚假，将依法承担相应责任。</w:t>
      </w:r>
    </w:p>
    <w:p>
      <w:pPr>
        <w:widowControl/>
        <w:spacing w:before="71" w:after="71" w:line="360" w:lineRule="auto"/>
        <w:ind w:firstLine="399"/>
        <w:jc w:val="left"/>
        <w:rPr>
          <w:rFonts w:ascii="宋体" w:cs="宋体"/>
          <w:color w:val="auto"/>
          <w:kern w:val="0"/>
          <w:sz w:val="24"/>
          <w:szCs w:val="21"/>
          <w:highlight w:val="none"/>
        </w:rPr>
      </w:pPr>
      <w:r>
        <w:rPr>
          <w:rFonts w:ascii="宋体" w:cs="宋体"/>
          <w:color w:val="auto"/>
          <w:kern w:val="0"/>
          <w:sz w:val="24"/>
          <w:szCs w:val="21"/>
          <w:highlight w:val="none"/>
        </w:rPr>
        <w:t> </w:t>
      </w:r>
    </w:p>
    <w:p>
      <w:pPr>
        <w:widowControl/>
        <w:spacing w:before="71" w:after="71" w:line="360" w:lineRule="auto"/>
        <w:jc w:val="left"/>
        <w:rPr>
          <w:rFonts w:ascii="宋体" w:cs="宋体"/>
          <w:color w:val="auto"/>
          <w:kern w:val="0"/>
          <w:sz w:val="24"/>
          <w:szCs w:val="21"/>
          <w:highlight w:val="none"/>
        </w:rPr>
      </w:pPr>
      <w:r>
        <w:rPr>
          <w:rFonts w:hint="eastAsia" w:ascii="宋体" w:cs="宋体"/>
          <w:color w:val="auto"/>
          <w:kern w:val="0"/>
          <w:sz w:val="24"/>
          <w:szCs w:val="21"/>
          <w:highlight w:val="none"/>
        </w:rPr>
        <w:t>★注意：</w:t>
      </w:r>
    </w:p>
    <w:p>
      <w:pPr>
        <w:widowControl/>
        <w:spacing w:before="71" w:after="71" w:line="360" w:lineRule="auto"/>
        <w:jc w:val="left"/>
        <w:rPr>
          <w:rFonts w:ascii="宋体" w:cs="宋体"/>
          <w:color w:val="auto"/>
          <w:kern w:val="0"/>
          <w:sz w:val="24"/>
          <w:szCs w:val="21"/>
          <w:highlight w:val="none"/>
        </w:rPr>
      </w:pPr>
      <w:r>
        <w:rPr>
          <w:rFonts w:ascii="宋体" w:cs="宋体"/>
          <w:color w:val="auto"/>
          <w:kern w:val="0"/>
          <w:sz w:val="24"/>
          <w:szCs w:val="21"/>
          <w:highlight w:val="none"/>
        </w:rPr>
        <w:t>1</w:t>
      </w:r>
      <w:r>
        <w:rPr>
          <w:rFonts w:hint="eastAsia" w:ascii="宋体" w:cs="宋体"/>
          <w:color w:val="auto"/>
          <w:kern w:val="0"/>
          <w:sz w:val="24"/>
          <w:szCs w:val="21"/>
          <w:highlight w:val="none"/>
        </w:rPr>
        <w:t>、请供应商按照实际情况编制填写本声明函，并在相应的（）中打</w:t>
      </w:r>
      <w:r>
        <w:rPr>
          <w:rFonts w:ascii="宋体" w:cs="宋体"/>
          <w:color w:val="auto"/>
          <w:kern w:val="0"/>
          <w:sz w:val="24"/>
          <w:szCs w:val="21"/>
          <w:highlight w:val="none"/>
        </w:rPr>
        <w:t>“√”</w:t>
      </w:r>
      <w:r>
        <w:rPr>
          <w:rFonts w:hint="eastAsia" w:ascii="宋体" w:cs="宋体"/>
          <w:color w:val="auto"/>
          <w:kern w:val="0"/>
          <w:sz w:val="24"/>
          <w:szCs w:val="21"/>
          <w:highlight w:val="none"/>
        </w:rPr>
        <w:t>。</w:t>
      </w:r>
    </w:p>
    <w:p>
      <w:pPr>
        <w:widowControl/>
        <w:spacing w:before="71" w:after="71" w:line="360" w:lineRule="auto"/>
        <w:jc w:val="left"/>
        <w:rPr>
          <w:rFonts w:ascii="宋体" w:cs="宋体"/>
          <w:color w:val="auto"/>
          <w:kern w:val="0"/>
          <w:sz w:val="24"/>
          <w:szCs w:val="21"/>
          <w:highlight w:val="none"/>
        </w:rPr>
      </w:pPr>
      <w:r>
        <w:rPr>
          <w:rFonts w:ascii="宋体" w:cs="宋体"/>
          <w:color w:val="auto"/>
          <w:kern w:val="0"/>
          <w:sz w:val="24"/>
          <w:szCs w:val="21"/>
          <w:highlight w:val="none"/>
        </w:rPr>
        <w:t>2</w:t>
      </w:r>
      <w:r>
        <w:rPr>
          <w:rFonts w:hint="eastAsia" w:ascii="宋体" w:cs="宋体"/>
          <w:color w:val="auto"/>
          <w:kern w:val="0"/>
          <w:sz w:val="24"/>
          <w:szCs w:val="21"/>
          <w:highlight w:val="none"/>
        </w:rPr>
        <w:t>、纸质响应文件正本中的本声明函（若有）应为原件。</w:t>
      </w:r>
    </w:p>
    <w:p>
      <w:pPr>
        <w:widowControl/>
        <w:spacing w:before="71" w:after="71" w:line="360" w:lineRule="auto"/>
        <w:jc w:val="left"/>
        <w:rPr>
          <w:rFonts w:ascii="宋体" w:cs="宋体"/>
          <w:color w:val="auto"/>
          <w:kern w:val="0"/>
          <w:sz w:val="24"/>
          <w:szCs w:val="21"/>
          <w:highlight w:val="none"/>
        </w:rPr>
      </w:pPr>
      <w:r>
        <w:rPr>
          <w:rFonts w:ascii="宋体" w:cs="宋体"/>
          <w:color w:val="auto"/>
          <w:kern w:val="0"/>
          <w:sz w:val="24"/>
          <w:szCs w:val="21"/>
          <w:highlight w:val="none"/>
        </w:rPr>
        <w:t>3</w:t>
      </w:r>
      <w:r>
        <w:rPr>
          <w:rFonts w:hint="eastAsia" w:ascii="宋体" w:cs="宋体"/>
          <w:color w:val="auto"/>
          <w:kern w:val="0"/>
          <w:sz w:val="24"/>
          <w:szCs w:val="21"/>
          <w:highlight w:val="none"/>
        </w:rPr>
        <w:t>、若《残疾人福利性单位声明函》内容不真实，</w:t>
      </w:r>
      <w:r>
        <w:rPr>
          <w:rFonts w:hint="eastAsia" w:ascii="宋体" w:cs="宋体"/>
          <w:b/>
          <w:bCs/>
          <w:color w:val="auto"/>
          <w:kern w:val="0"/>
          <w:sz w:val="24"/>
          <w:szCs w:val="21"/>
          <w:highlight w:val="none"/>
        </w:rPr>
        <w:t>视为提供虚假材料</w:t>
      </w:r>
      <w:r>
        <w:rPr>
          <w:rFonts w:hint="eastAsia" w:ascii="宋体" w:cs="宋体"/>
          <w:color w:val="auto"/>
          <w:kern w:val="0"/>
          <w:sz w:val="24"/>
          <w:szCs w:val="21"/>
          <w:highlight w:val="none"/>
        </w:rPr>
        <w:t>。</w:t>
      </w:r>
    </w:p>
    <w:p>
      <w:pPr>
        <w:widowControl/>
        <w:spacing w:before="71" w:after="71" w:line="360" w:lineRule="auto"/>
        <w:jc w:val="left"/>
        <w:rPr>
          <w:rFonts w:ascii="宋体" w:cs="宋体"/>
          <w:color w:val="auto"/>
          <w:kern w:val="0"/>
          <w:sz w:val="24"/>
          <w:szCs w:val="21"/>
          <w:highlight w:val="none"/>
        </w:rPr>
      </w:pPr>
      <w:r>
        <w:rPr>
          <w:rFonts w:ascii="宋体" w:cs="宋体"/>
          <w:color w:val="auto"/>
          <w:kern w:val="0"/>
          <w:sz w:val="24"/>
          <w:szCs w:val="21"/>
          <w:highlight w:val="none"/>
        </w:rPr>
        <w:t>4</w:t>
      </w:r>
      <w:r>
        <w:rPr>
          <w:rFonts w:hint="eastAsia" w:ascii="宋体" w:cs="宋体"/>
          <w:color w:val="auto"/>
          <w:kern w:val="0"/>
          <w:sz w:val="24"/>
          <w:szCs w:val="21"/>
          <w:highlight w:val="none"/>
        </w:rPr>
        <w:t>、符合财政部、民政部、中国残联文件（财库</w:t>
      </w:r>
      <w:r>
        <w:rPr>
          <w:rFonts w:ascii="宋体" w:cs="宋体"/>
          <w:color w:val="auto"/>
          <w:kern w:val="0"/>
          <w:sz w:val="24"/>
          <w:szCs w:val="21"/>
          <w:highlight w:val="none"/>
        </w:rPr>
        <w:t>[2017]141</w:t>
      </w:r>
      <w:r>
        <w:rPr>
          <w:rFonts w:hint="eastAsia" w:ascii="宋体" w:cs="宋体"/>
          <w:color w:val="auto"/>
          <w:kern w:val="0"/>
          <w:sz w:val="24"/>
          <w:szCs w:val="21"/>
          <w:highlight w:val="none"/>
        </w:rPr>
        <w:t>号）规定的残疾人福利性单位提供本单位制造的货物、承担的工程或服务，或提供其他残疾人福利性单位制造的货物（不包括使用非残疾人福利性单位注册商标的货物）</w:t>
      </w:r>
      <w:r>
        <w:rPr>
          <w:rFonts w:hint="eastAsia" w:ascii="宋体" w:cs="宋体"/>
          <w:b/>
          <w:bCs/>
          <w:color w:val="auto"/>
          <w:kern w:val="0"/>
          <w:sz w:val="24"/>
          <w:szCs w:val="21"/>
          <w:highlight w:val="none"/>
        </w:rPr>
        <w:t>可享受价格扣除。</w:t>
      </w:r>
    </w:p>
    <w:p>
      <w:pPr>
        <w:widowControl/>
        <w:spacing w:after="119"/>
        <w:jc w:val="left"/>
        <w:rPr>
          <w:rFonts w:ascii="宋体" w:cs="宋体"/>
          <w:color w:val="auto"/>
          <w:kern w:val="0"/>
          <w:sz w:val="24"/>
          <w:highlight w:val="none"/>
        </w:rPr>
      </w:pPr>
      <w:r>
        <w:rPr>
          <w:rFonts w:ascii="宋体" w:cs="宋体"/>
          <w:color w:val="auto"/>
          <w:kern w:val="0"/>
          <w:sz w:val="24"/>
          <w:highlight w:val="none"/>
        </w:rPr>
        <w:t> </w:t>
      </w:r>
    </w:p>
    <w:p>
      <w:pPr>
        <w:pStyle w:val="20"/>
        <w:ind w:firstLine="480" w:firstLineChars="200"/>
        <w:jc w:val="left"/>
        <w:rPr>
          <w:color w:val="auto"/>
          <w:sz w:val="24"/>
          <w:szCs w:val="24"/>
          <w:highlight w:val="none"/>
        </w:rPr>
      </w:pPr>
      <w:r>
        <w:rPr>
          <w:rFonts w:hint="eastAsia"/>
          <w:color w:val="auto"/>
          <w:sz w:val="24"/>
          <w:szCs w:val="24"/>
          <w:highlight w:val="none"/>
        </w:rPr>
        <w:t>企业名称</w:t>
      </w:r>
      <w:r>
        <w:rPr>
          <w:color w:val="auto"/>
          <w:sz w:val="24"/>
          <w:szCs w:val="24"/>
          <w:highlight w:val="none"/>
        </w:rPr>
        <w:t>(</w:t>
      </w:r>
      <w:r>
        <w:rPr>
          <w:rFonts w:hint="eastAsia"/>
          <w:color w:val="auto"/>
          <w:sz w:val="24"/>
          <w:szCs w:val="24"/>
          <w:highlight w:val="none"/>
        </w:rPr>
        <w:t>公章</w:t>
      </w:r>
      <w:r>
        <w:rPr>
          <w:color w:val="auto"/>
          <w:sz w:val="24"/>
          <w:szCs w:val="24"/>
          <w:highlight w:val="none"/>
        </w:rPr>
        <w:t>)</w:t>
      </w:r>
      <w:r>
        <w:rPr>
          <w:rFonts w:hint="eastAsia"/>
          <w:color w:val="auto"/>
          <w:sz w:val="24"/>
          <w:szCs w:val="24"/>
          <w:highlight w:val="none"/>
        </w:rPr>
        <w:t>：</w:t>
      </w:r>
      <w:r>
        <w:rPr>
          <w:color w:val="auto"/>
          <w:sz w:val="24"/>
          <w:szCs w:val="24"/>
          <w:highlight w:val="none"/>
        </w:rPr>
        <w:t>____________</w:t>
      </w:r>
    </w:p>
    <w:p>
      <w:pPr>
        <w:pStyle w:val="20"/>
        <w:ind w:firstLine="480" w:firstLineChars="200"/>
        <w:jc w:val="left"/>
        <w:rPr>
          <w:color w:val="auto"/>
          <w:sz w:val="24"/>
          <w:szCs w:val="24"/>
          <w:highlight w:val="none"/>
        </w:rPr>
      </w:pPr>
      <w:r>
        <w:rPr>
          <w:rFonts w:hint="eastAsia"/>
          <w:color w:val="auto"/>
          <w:sz w:val="24"/>
          <w:szCs w:val="24"/>
          <w:highlight w:val="none"/>
        </w:rPr>
        <w:t>日期：</w:t>
      </w:r>
      <w:r>
        <w:rPr>
          <w:color w:val="auto"/>
          <w:sz w:val="24"/>
          <w:szCs w:val="24"/>
          <w:highlight w:val="none"/>
        </w:rPr>
        <w:t>____________________</w:t>
      </w:r>
    </w:p>
    <w:p>
      <w:pPr>
        <w:pStyle w:val="20"/>
        <w:ind w:firstLine="480" w:firstLineChars="200"/>
        <w:jc w:val="left"/>
        <w:rPr>
          <w:color w:val="auto"/>
          <w:sz w:val="24"/>
          <w:szCs w:val="24"/>
          <w:highlight w:val="none"/>
        </w:rPr>
      </w:pPr>
    </w:p>
    <w:p>
      <w:pPr>
        <w:pStyle w:val="20"/>
        <w:ind w:firstLine="480" w:firstLineChars="200"/>
        <w:jc w:val="left"/>
        <w:rPr>
          <w:color w:val="auto"/>
          <w:sz w:val="24"/>
          <w:szCs w:val="24"/>
          <w:highlight w:val="none"/>
        </w:rPr>
      </w:pPr>
    </w:p>
    <w:p>
      <w:pPr>
        <w:pStyle w:val="20"/>
        <w:ind w:firstLine="480" w:firstLineChars="200"/>
        <w:rPr>
          <w:rFonts w:cs="宋体"/>
          <w:color w:val="auto"/>
          <w:sz w:val="24"/>
          <w:szCs w:val="24"/>
          <w:highlight w:val="none"/>
        </w:rPr>
      </w:pPr>
      <w:r>
        <w:rPr>
          <w:color w:val="auto"/>
          <w:sz w:val="24"/>
          <w:highlight w:val="none"/>
        </w:rPr>
        <w:br w:type="page"/>
      </w:r>
      <w:r>
        <w:rPr>
          <w:rFonts w:hint="eastAsia" w:cs="宋体"/>
          <w:color w:val="auto"/>
          <w:sz w:val="24"/>
          <w:szCs w:val="24"/>
          <w:highlight w:val="none"/>
        </w:rPr>
        <w:t>附件</w:t>
      </w:r>
      <w:r>
        <w:rPr>
          <w:rFonts w:cs="宋体"/>
          <w:color w:val="auto"/>
          <w:sz w:val="24"/>
          <w:szCs w:val="24"/>
          <w:highlight w:val="none"/>
        </w:rPr>
        <w:t>6</w:t>
      </w:r>
      <w:r>
        <w:rPr>
          <w:rFonts w:hint="eastAsia" w:cs="宋体"/>
          <w:color w:val="auto"/>
          <w:sz w:val="24"/>
          <w:szCs w:val="24"/>
          <w:highlight w:val="none"/>
        </w:rPr>
        <w:t>－</w:t>
      </w:r>
      <w:r>
        <w:rPr>
          <w:rFonts w:cs="宋体"/>
          <w:color w:val="auto"/>
          <w:sz w:val="24"/>
          <w:szCs w:val="24"/>
          <w:highlight w:val="none"/>
        </w:rPr>
        <w:t>3</w:t>
      </w:r>
    </w:p>
    <w:p>
      <w:pPr>
        <w:widowControl/>
        <w:jc w:val="center"/>
        <w:outlineLvl w:val="3"/>
        <w:rPr>
          <w:rFonts w:ascii="宋体" w:hAnsi="Calibri Light" w:cs="宋体"/>
          <w:b/>
          <w:bCs/>
          <w:color w:val="auto"/>
          <w:sz w:val="24"/>
          <w:highlight w:val="none"/>
        </w:rPr>
      </w:pPr>
      <w:r>
        <w:rPr>
          <w:rFonts w:hint="eastAsia" w:ascii="宋体" w:hAnsi="Calibri Light" w:cs="宋体"/>
          <w:b/>
          <w:bCs/>
          <w:color w:val="auto"/>
          <w:sz w:val="24"/>
          <w:highlight w:val="none"/>
        </w:rPr>
        <w:t>分包意向协议</w:t>
      </w:r>
    </w:p>
    <w:p>
      <w:pPr>
        <w:widowControl/>
        <w:spacing w:after="136" w:line="360" w:lineRule="exact"/>
        <w:jc w:val="left"/>
        <w:rPr>
          <w:rFonts w:ascii="宋体" w:cs="宋体"/>
          <w:color w:val="auto"/>
          <w:kern w:val="0"/>
          <w:sz w:val="24"/>
          <w:highlight w:val="none"/>
        </w:rPr>
      </w:pPr>
      <w:r>
        <w:rPr>
          <w:rFonts w:hint="eastAsia" w:ascii="宋体" w:hAnsi="宋体" w:cs="宋体"/>
          <w:color w:val="auto"/>
          <w:kern w:val="0"/>
          <w:sz w:val="24"/>
          <w:highlight w:val="none"/>
        </w:rPr>
        <w:t>甲方（总包方）：</w:t>
      </w:r>
      <w:r>
        <w:rPr>
          <w:rFonts w:ascii="宋体" w:cs="宋体"/>
          <w:color w:val="auto"/>
          <w:kern w:val="0"/>
          <w:sz w:val="24"/>
          <w:highlight w:val="none"/>
          <w:u w:val="single"/>
        </w:rPr>
        <w:t>                    </w:t>
      </w:r>
      <w:r>
        <w:rPr>
          <w:rFonts w:hint="eastAsia" w:ascii="宋体" w:hAnsi="宋体" w:cs="宋体"/>
          <w:color w:val="auto"/>
          <w:kern w:val="0"/>
          <w:sz w:val="24"/>
          <w:highlight w:val="none"/>
        </w:rPr>
        <w:t>（即本项目的投标人）</w:t>
      </w:r>
    </w:p>
    <w:p>
      <w:pPr>
        <w:widowControl/>
        <w:spacing w:before="68" w:after="68" w:line="360" w:lineRule="exact"/>
        <w:jc w:val="left"/>
        <w:rPr>
          <w:rFonts w:ascii="宋体" w:cs="宋体"/>
          <w:color w:val="auto"/>
          <w:kern w:val="0"/>
          <w:sz w:val="24"/>
          <w:highlight w:val="none"/>
        </w:rPr>
      </w:pPr>
      <w:r>
        <w:rPr>
          <w:rFonts w:hint="eastAsia" w:ascii="宋体" w:hAnsi="宋体" w:cs="宋体"/>
          <w:color w:val="auto"/>
          <w:kern w:val="0"/>
          <w:sz w:val="24"/>
          <w:highlight w:val="none"/>
        </w:rPr>
        <w:t>乙方（分包方）：</w:t>
      </w:r>
      <w:r>
        <w:rPr>
          <w:rFonts w:ascii="宋体" w:cs="宋体"/>
          <w:color w:val="auto"/>
          <w:kern w:val="0"/>
          <w:sz w:val="24"/>
          <w:highlight w:val="none"/>
          <w:u w:val="single"/>
        </w:rPr>
        <w:t>                     </w:t>
      </w:r>
    </w:p>
    <w:p>
      <w:pPr>
        <w:widowControl/>
        <w:spacing w:before="68" w:after="68" w:line="360" w:lineRule="exact"/>
        <w:ind w:firstLine="394"/>
        <w:jc w:val="left"/>
        <w:rPr>
          <w:rFonts w:ascii="宋体" w:cs="宋体"/>
          <w:color w:val="auto"/>
          <w:kern w:val="0"/>
          <w:sz w:val="24"/>
          <w:highlight w:val="none"/>
        </w:rPr>
      </w:pPr>
      <w:r>
        <w:rPr>
          <w:rFonts w:hint="eastAsia" w:ascii="宋体" w:hAnsi="宋体" w:cs="宋体"/>
          <w:color w:val="auto"/>
          <w:kern w:val="0"/>
          <w:sz w:val="24"/>
          <w:highlight w:val="none"/>
        </w:rPr>
        <w:t>兹有甲方参加</w:t>
      </w:r>
      <w:r>
        <w:rPr>
          <w:rFonts w:hint="eastAsia" w:ascii="宋体" w:hAnsi="宋体" w:cs="宋体"/>
          <w:color w:val="auto"/>
          <w:kern w:val="0"/>
          <w:sz w:val="24"/>
          <w:highlight w:val="none"/>
          <w:u w:val="single"/>
        </w:rPr>
        <w:t>（填写</w:t>
      </w:r>
      <w:r>
        <w:rPr>
          <w:rFonts w:hint="eastAsia" w:ascii="宋体" w:cs="宋体"/>
          <w:color w:val="auto"/>
          <w:kern w:val="0"/>
          <w:sz w:val="24"/>
          <w:highlight w:val="none"/>
          <w:u w:val="single"/>
        </w:rPr>
        <w:t>“</w:t>
      </w:r>
      <w:r>
        <w:rPr>
          <w:rFonts w:hint="eastAsia" w:ascii="宋体" w:hAnsi="宋体" w:cs="宋体"/>
          <w:color w:val="auto"/>
          <w:kern w:val="0"/>
          <w:sz w:val="24"/>
          <w:highlight w:val="none"/>
          <w:u w:val="single"/>
        </w:rPr>
        <w:t>项目名称</w:t>
      </w:r>
      <w:r>
        <w:rPr>
          <w:rFonts w:hint="eastAsia" w:ascii="宋体" w:cs="宋体"/>
          <w:color w:val="auto"/>
          <w:kern w:val="0"/>
          <w:sz w:val="24"/>
          <w:highlight w:val="none"/>
          <w:u w:val="single"/>
        </w:rPr>
        <w:t>”</w:t>
      </w:r>
      <w:r>
        <w:rPr>
          <w:rFonts w:hint="eastAsia" w:ascii="宋体" w:hAnsi="宋体" w:cs="宋体"/>
          <w:color w:val="auto"/>
          <w:kern w:val="0"/>
          <w:sz w:val="24"/>
          <w:highlight w:val="none"/>
          <w:u w:val="single"/>
        </w:rPr>
        <w:t>）</w:t>
      </w:r>
      <w:r>
        <w:rPr>
          <w:rFonts w:ascii="宋体" w:cs="宋体"/>
          <w:color w:val="auto"/>
          <w:kern w:val="0"/>
          <w:sz w:val="24"/>
          <w:highlight w:val="none"/>
          <w:u w:val="single"/>
        </w:rPr>
        <w:t> </w:t>
      </w:r>
      <w:r>
        <w:rPr>
          <w:rFonts w:hint="eastAsia" w:ascii="宋体" w:hAnsi="宋体" w:cs="宋体"/>
          <w:color w:val="auto"/>
          <w:kern w:val="0"/>
          <w:sz w:val="24"/>
          <w:highlight w:val="none"/>
        </w:rPr>
        <w:t>项目（项目编号：</w:t>
      </w:r>
      <w:r>
        <w:rPr>
          <w:rFonts w:cs="宋体"/>
          <w:color w:val="auto"/>
          <w:kern w:val="0"/>
          <w:sz w:val="24"/>
          <w:highlight w:val="none"/>
          <w:u w:val="single"/>
        </w:rPr>
        <w:t>                     </w:t>
      </w:r>
      <w:r>
        <w:rPr>
          <w:rFonts w:hint="eastAsia" w:ascii="宋体" w:hAnsi="宋体" w:cs="宋体"/>
          <w:color w:val="auto"/>
          <w:kern w:val="0"/>
          <w:sz w:val="24"/>
          <w:highlight w:val="none"/>
        </w:rPr>
        <w:t>）的政府采购活动。甲方期望将采购项目的部分采购标的分包给乙方完成，而乙方保证能够向甲方提供本协议项下的采购标的，甲、乙双方就合同分包的有关事宜达成下列协议：</w:t>
      </w:r>
    </w:p>
    <w:p>
      <w:pPr>
        <w:widowControl/>
        <w:spacing w:line="360" w:lineRule="exact"/>
        <w:ind w:firstLine="435"/>
        <w:jc w:val="left"/>
        <w:rPr>
          <w:rFonts w:ascii="宋体" w:cs="宋体"/>
          <w:color w:val="auto"/>
          <w:kern w:val="0"/>
          <w:sz w:val="24"/>
          <w:highlight w:val="none"/>
        </w:rPr>
      </w:pPr>
      <w:r>
        <w:rPr>
          <w:rFonts w:hint="eastAsia" w:ascii="宋体" w:hAnsi="宋体" w:cs="宋体"/>
          <w:b/>
          <w:bCs/>
          <w:color w:val="auto"/>
          <w:kern w:val="0"/>
          <w:sz w:val="24"/>
          <w:highlight w:val="none"/>
        </w:rPr>
        <w:t>一、分包标的</w:t>
      </w:r>
    </w:p>
    <w:p>
      <w:pPr>
        <w:widowControl/>
        <w:spacing w:line="360" w:lineRule="exact"/>
        <w:ind w:firstLine="435"/>
        <w:jc w:val="left"/>
        <w:rPr>
          <w:rFonts w:ascii="宋体" w:cs="宋体"/>
          <w:color w:val="auto"/>
          <w:kern w:val="0"/>
          <w:sz w:val="24"/>
          <w:highlight w:val="none"/>
        </w:rPr>
      </w:pPr>
      <w:r>
        <w:rPr>
          <w:rFonts w:hint="eastAsia" w:ascii="宋体" w:hAnsi="宋体" w:cs="宋体"/>
          <w:color w:val="auto"/>
          <w:kern w:val="0"/>
          <w:sz w:val="24"/>
          <w:highlight w:val="none"/>
          <w:u w:val="single"/>
        </w:rPr>
        <w:t>（根据双方的意向填写，可以是表格或文字描述）</w:t>
      </w:r>
      <w:r>
        <w:rPr>
          <w:rFonts w:hint="eastAsia" w:ascii="宋体" w:hAnsi="宋体" w:cs="宋体"/>
          <w:color w:val="auto"/>
          <w:kern w:val="0"/>
          <w:sz w:val="24"/>
          <w:highlight w:val="none"/>
        </w:rPr>
        <w:t>。</w:t>
      </w:r>
    </w:p>
    <w:p>
      <w:pPr>
        <w:widowControl/>
        <w:spacing w:line="360" w:lineRule="exact"/>
        <w:ind w:firstLine="435"/>
        <w:jc w:val="left"/>
        <w:rPr>
          <w:rFonts w:ascii="宋体" w:cs="宋体"/>
          <w:color w:val="auto"/>
          <w:kern w:val="0"/>
          <w:sz w:val="24"/>
          <w:highlight w:val="none"/>
        </w:rPr>
      </w:pPr>
      <w:r>
        <w:rPr>
          <w:rFonts w:hint="eastAsia" w:ascii="宋体" w:hAnsi="宋体" w:cs="宋体"/>
          <w:b/>
          <w:bCs/>
          <w:color w:val="auto"/>
          <w:kern w:val="0"/>
          <w:sz w:val="24"/>
          <w:highlight w:val="none"/>
        </w:rPr>
        <w:t>二、分包合同金额占比</w:t>
      </w:r>
    </w:p>
    <w:p>
      <w:pPr>
        <w:widowControl/>
        <w:spacing w:line="360" w:lineRule="exact"/>
        <w:ind w:firstLine="435"/>
        <w:jc w:val="left"/>
        <w:rPr>
          <w:rFonts w:ascii="宋体" w:cs="宋体"/>
          <w:color w:val="auto"/>
          <w:kern w:val="0"/>
          <w:sz w:val="24"/>
          <w:highlight w:val="none"/>
        </w:rPr>
      </w:pPr>
      <w:r>
        <w:rPr>
          <w:rFonts w:hint="eastAsia" w:ascii="宋体" w:hAnsi="宋体" w:cs="宋体"/>
          <w:color w:val="auto"/>
          <w:kern w:val="0"/>
          <w:sz w:val="24"/>
          <w:highlight w:val="none"/>
        </w:rPr>
        <w:t>分包合同价占投标总价的比例：</w:t>
      </w:r>
      <w:r>
        <w:rPr>
          <w:rFonts w:hint="eastAsia" w:ascii="宋体" w:hAnsi="宋体" w:cs="宋体"/>
          <w:color w:val="auto"/>
          <w:kern w:val="0"/>
          <w:sz w:val="24"/>
          <w:highlight w:val="none"/>
          <w:u w:val="single"/>
        </w:rPr>
        <w:t>　　</w:t>
      </w:r>
      <w:r>
        <w:rPr>
          <w:rFonts w:ascii="宋体" w:hAnsi="宋体" w:cs="宋体"/>
          <w:color w:val="auto"/>
          <w:kern w:val="0"/>
          <w:sz w:val="24"/>
          <w:highlight w:val="none"/>
          <w:u w:val="single"/>
        </w:rPr>
        <w:t>%</w:t>
      </w:r>
    </w:p>
    <w:p>
      <w:pPr>
        <w:widowControl/>
        <w:spacing w:line="360" w:lineRule="exact"/>
        <w:ind w:firstLine="435"/>
        <w:jc w:val="left"/>
        <w:rPr>
          <w:rFonts w:ascii="宋体" w:cs="宋体"/>
          <w:color w:val="auto"/>
          <w:kern w:val="0"/>
          <w:sz w:val="24"/>
          <w:highlight w:val="none"/>
        </w:rPr>
      </w:pPr>
      <w:r>
        <w:rPr>
          <w:rFonts w:hint="eastAsia" w:ascii="宋体" w:hAnsi="宋体" w:cs="宋体"/>
          <w:b/>
          <w:bCs/>
          <w:color w:val="auto"/>
          <w:kern w:val="0"/>
          <w:sz w:val="24"/>
          <w:highlight w:val="none"/>
        </w:rPr>
        <w:t>三、其他条款</w:t>
      </w:r>
    </w:p>
    <w:p>
      <w:pPr>
        <w:widowControl/>
        <w:spacing w:line="360" w:lineRule="exact"/>
        <w:ind w:firstLine="435"/>
        <w:jc w:val="left"/>
        <w:rPr>
          <w:rFonts w:ascii="宋体" w:cs="宋体"/>
          <w:color w:val="auto"/>
          <w:kern w:val="0"/>
          <w:sz w:val="24"/>
          <w:highlight w:val="none"/>
        </w:rPr>
      </w:pPr>
      <w:r>
        <w:rPr>
          <w:rFonts w:hint="eastAsia" w:ascii="宋体" w:hAnsi="宋体" w:cs="宋体"/>
          <w:color w:val="auto"/>
          <w:kern w:val="0"/>
          <w:sz w:val="24"/>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widowControl/>
        <w:spacing w:line="360" w:lineRule="exact"/>
        <w:ind w:firstLine="435"/>
        <w:jc w:val="left"/>
        <w:rPr>
          <w:rFonts w:ascii="宋体" w:cs="宋体"/>
          <w:color w:val="auto"/>
          <w:kern w:val="0"/>
          <w:sz w:val="24"/>
          <w:highlight w:val="none"/>
        </w:rPr>
      </w:pPr>
      <w:r>
        <w:rPr>
          <w:rFonts w:ascii="宋体" w:cs="宋体"/>
          <w:color w:val="auto"/>
          <w:kern w:val="0"/>
          <w:sz w:val="24"/>
          <w:highlight w:val="none"/>
        </w:rPr>
        <w:t> </w:t>
      </w:r>
    </w:p>
    <w:tbl>
      <w:tblPr>
        <w:tblStyle w:val="35"/>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245"/>
        <w:gridCol w:w="40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outset" w:color="auto" w:sz="6" w:space="0"/>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甲方：</w:t>
            </w:r>
          </w:p>
        </w:tc>
        <w:tc>
          <w:tcPr>
            <w:tcW w:w="4065" w:type="dxa"/>
            <w:tcBorders>
              <w:top w:val="outset" w:color="auto" w:sz="6" w:space="0"/>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乙方：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住所：</w:t>
            </w:r>
          </w:p>
        </w:tc>
        <w:tc>
          <w:tcPr>
            <w:tcW w:w="4065" w:type="dxa"/>
            <w:tcBorders>
              <w:top w:val="nil"/>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住所：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单</w:t>
            </w:r>
            <w:r>
              <w:rPr>
                <w:rFonts w:hint="eastAsia" w:ascii="宋体" w:hAnsi="宋体" w:cs="宋体"/>
                <w:color w:val="auto"/>
                <w:spacing w:val="-14"/>
                <w:kern w:val="0"/>
                <w:sz w:val="24"/>
                <w:highlight w:val="none"/>
              </w:rPr>
              <w:t>位负责人或委托代理人：</w:t>
            </w:r>
          </w:p>
        </w:tc>
        <w:tc>
          <w:tcPr>
            <w:tcW w:w="4065" w:type="dxa"/>
            <w:tcBorders>
              <w:top w:val="nil"/>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单</w:t>
            </w:r>
            <w:r>
              <w:rPr>
                <w:rFonts w:hint="eastAsia" w:ascii="宋体" w:hAnsi="宋体" w:cs="宋体"/>
                <w:color w:val="auto"/>
                <w:spacing w:val="-14"/>
                <w:kern w:val="0"/>
                <w:sz w:val="24"/>
                <w:highlight w:val="none"/>
              </w:rPr>
              <w:t>位负责人或委托代理人：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联系方法：</w:t>
            </w:r>
          </w:p>
        </w:tc>
        <w:tc>
          <w:tcPr>
            <w:tcW w:w="4065" w:type="dxa"/>
            <w:tcBorders>
              <w:top w:val="nil"/>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联系方法：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开户银行：</w:t>
            </w:r>
          </w:p>
        </w:tc>
        <w:tc>
          <w:tcPr>
            <w:tcW w:w="4065" w:type="dxa"/>
            <w:tcBorders>
              <w:top w:val="nil"/>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开户银行：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4245" w:type="dxa"/>
            <w:tcBorders>
              <w:top w:val="nil"/>
              <w:bottom w:val="outset" w:color="auto" w:sz="6" w:space="0"/>
              <w:right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账号：</w:t>
            </w:r>
          </w:p>
        </w:tc>
        <w:tc>
          <w:tcPr>
            <w:tcW w:w="4065" w:type="dxa"/>
            <w:tcBorders>
              <w:top w:val="nil"/>
              <w:left w:val="outset" w:color="auto" w:sz="6" w:space="0"/>
              <w:bottom w:val="outset" w:color="auto" w:sz="6" w:space="0"/>
            </w:tcBorders>
            <w:tcMar>
              <w:top w:w="0" w:type="dxa"/>
              <w:left w:w="95" w:type="dxa"/>
              <w:bottom w:w="0" w:type="dxa"/>
              <w:right w:w="95" w:type="dxa"/>
            </w:tcMar>
            <w:vAlign w:val="center"/>
          </w:tcPr>
          <w:p>
            <w:pPr>
              <w:widowControl/>
              <w:spacing w:before="68" w:after="68" w:line="360" w:lineRule="exact"/>
              <w:rPr>
                <w:rFonts w:ascii="宋体" w:cs="宋体"/>
                <w:color w:val="auto"/>
                <w:kern w:val="0"/>
                <w:sz w:val="24"/>
                <w:highlight w:val="none"/>
              </w:rPr>
            </w:pPr>
            <w:r>
              <w:rPr>
                <w:rFonts w:hint="eastAsia" w:ascii="宋体" w:hAnsi="宋体" w:cs="宋体"/>
                <w:color w:val="auto"/>
                <w:kern w:val="0"/>
                <w:sz w:val="24"/>
                <w:highlight w:val="none"/>
              </w:rPr>
              <w:t>账号：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8310" w:type="dxa"/>
            <w:gridSpan w:val="2"/>
            <w:tcBorders>
              <w:top w:val="nil"/>
              <w:bottom w:val="outset" w:color="auto" w:sz="6" w:space="0"/>
            </w:tcBorders>
            <w:tcMar>
              <w:top w:w="0" w:type="dxa"/>
              <w:left w:w="95" w:type="dxa"/>
              <w:bottom w:w="0" w:type="dxa"/>
              <w:right w:w="95" w:type="dxa"/>
            </w:tcMar>
          </w:tcPr>
          <w:p>
            <w:pPr>
              <w:widowControl/>
              <w:spacing w:before="136" w:line="360" w:lineRule="exact"/>
              <w:ind w:left="2758"/>
              <w:jc w:val="left"/>
              <w:rPr>
                <w:rFonts w:ascii="宋体" w:cs="宋体"/>
                <w:color w:val="auto"/>
                <w:kern w:val="0"/>
                <w:sz w:val="24"/>
                <w:highlight w:val="none"/>
              </w:rPr>
            </w:pPr>
            <w:r>
              <w:rPr>
                <w:rFonts w:hint="eastAsia" w:ascii="宋体" w:hAnsi="宋体" w:cs="宋体"/>
                <w:color w:val="auto"/>
                <w:kern w:val="0"/>
                <w:sz w:val="24"/>
                <w:highlight w:val="none"/>
              </w:rPr>
              <w:t>签订地点：</w:t>
            </w:r>
            <w:r>
              <w:rPr>
                <w:rFonts w:cs="宋体"/>
                <w:color w:val="auto"/>
                <w:kern w:val="0"/>
                <w:sz w:val="24"/>
                <w:highlight w:val="none"/>
                <w:u w:val="single"/>
              </w:rPr>
              <w:t>                </w:t>
            </w:r>
          </w:p>
          <w:p>
            <w:pPr>
              <w:widowControl/>
              <w:spacing w:line="360" w:lineRule="exact"/>
              <w:ind w:left="2758"/>
              <w:jc w:val="left"/>
              <w:rPr>
                <w:rFonts w:ascii="宋体" w:cs="宋体"/>
                <w:color w:val="auto"/>
                <w:kern w:val="0"/>
                <w:sz w:val="24"/>
                <w:highlight w:val="none"/>
              </w:rPr>
            </w:pPr>
            <w:r>
              <w:rPr>
                <w:rFonts w:hint="eastAsia" w:ascii="宋体" w:hAnsi="宋体" w:cs="宋体"/>
                <w:color w:val="auto"/>
                <w:kern w:val="0"/>
                <w:sz w:val="24"/>
                <w:highlight w:val="none"/>
              </w:rPr>
              <w:t>签订日期：</w:t>
            </w:r>
            <w:r>
              <w:rPr>
                <w:rFonts w:cs="宋体"/>
                <w:color w:val="auto"/>
                <w:kern w:val="0"/>
                <w:sz w:val="24"/>
                <w:highlight w:val="none"/>
              </w:rPr>
              <w:t>    </w:t>
            </w:r>
            <w:r>
              <w:rPr>
                <w:rFonts w:hint="eastAsia" w:ascii="宋体" w:hAnsi="宋体" w:cs="宋体"/>
                <w:color w:val="auto"/>
                <w:kern w:val="0"/>
                <w:sz w:val="24"/>
                <w:highlight w:val="none"/>
              </w:rPr>
              <w:t>年</w:t>
            </w:r>
            <w:r>
              <w:rPr>
                <w:rFonts w:cs="宋体"/>
                <w:color w:val="auto"/>
                <w:kern w:val="0"/>
                <w:sz w:val="24"/>
                <w:highlight w:val="none"/>
              </w:rPr>
              <w:t>   </w:t>
            </w:r>
            <w:r>
              <w:rPr>
                <w:rFonts w:hint="eastAsia" w:ascii="宋体" w:hAnsi="宋体" w:cs="宋体"/>
                <w:color w:val="auto"/>
                <w:kern w:val="0"/>
                <w:sz w:val="24"/>
                <w:highlight w:val="none"/>
              </w:rPr>
              <w:t>月</w:t>
            </w:r>
            <w:r>
              <w:rPr>
                <w:rFonts w:cs="宋体"/>
                <w:color w:val="auto"/>
                <w:kern w:val="0"/>
                <w:sz w:val="24"/>
                <w:highlight w:val="none"/>
              </w:rPr>
              <w:t>   </w:t>
            </w:r>
            <w:r>
              <w:rPr>
                <w:rFonts w:hint="eastAsia" w:ascii="宋体" w:hAnsi="宋体" w:cs="宋体"/>
                <w:color w:val="auto"/>
                <w:kern w:val="0"/>
                <w:sz w:val="24"/>
                <w:highlight w:val="none"/>
              </w:rPr>
              <w:t>日</w:t>
            </w:r>
          </w:p>
        </w:tc>
      </w:tr>
    </w:tbl>
    <w:p>
      <w:pPr>
        <w:widowControl/>
        <w:spacing w:before="68" w:after="68" w:line="360" w:lineRule="exact"/>
        <w:jc w:val="left"/>
        <w:rPr>
          <w:rFonts w:ascii="宋体" w:cs="宋体"/>
          <w:color w:val="auto"/>
          <w:kern w:val="0"/>
          <w:sz w:val="24"/>
          <w:highlight w:val="none"/>
        </w:rPr>
      </w:pPr>
      <w:r>
        <w:rPr>
          <w:rFonts w:hint="eastAsia" w:ascii="宋体" w:hAnsi="宋体" w:cs="宋体"/>
          <w:b/>
          <w:bCs/>
          <w:color w:val="auto"/>
          <w:kern w:val="0"/>
          <w:sz w:val="24"/>
          <w:highlight w:val="none"/>
        </w:rPr>
        <w:t>※注意：</w:t>
      </w:r>
    </w:p>
    <w:p>
      <w:pPr>
        <w:widowControl/>
        <w:spacing w:after="136" w:line="360" w:lineRule="exact"/>
        <w:ind w:firstLine="394"/>
        <w:jc w:val="left"/>
        <w:rPr>
          <w:rFonts w:ascii="宋体" w:cs="宋体"/>
          <w:color w:val="auto"/>
          <w:kern w:val="0"/>
          <w:sz w:val="24"/>
          <w:highlight w:val="none"/>
        </w:rPr>
      </w:pPr>
      <w:r>
        <w:rPr>
          <w:rFonts w:ascii="宋体" w:hAnsi="宋体" w:cs="宋体"/>
          <w:b/>
          <w:bCs/>
          <w:color w:val="auto"/>
          <w:kern w:val="0"/>
          <w:sz w:val="24"/>
          <w:highlight w:val="none"/>
        </w:rPr>
        <w:t>1.</w:t>
      </w:r>
      <w:r>
        <w:rPr>
          <w:rFonts w:hint="eastAsia" w:ascii="宋体" w:hAnsi="宋体" w:cs="宋体"/>
          <w:b/>
          <w:bCs/>
          <w:color w:val="auto"/>
          <w:kern w:val="0"/>
          <w:sz w:val="24"/>
          <w:highlight w:val="none"/>
        </w:rPr>
        <w:t>招标文件接受合同分包且投标人拟将合同分包的，应提供本协议；否则无须提供。</w:t>
      </w:r>
    </w:p>
    <w:p>
      <w:pPr>
        <w:widowControl/>
        <w:spacing w:after="136" w:line="360" w:lineRule="exact"/>
        <w:ind w:firstLine="394"/>
        <w:jc w:val="left"/>
        <w:rPr>
          <w:rFonts w:ascii="宋体" w:cs="宋体"/>
          <w:color w:val="auto"/>
          <w:kern w:val="0"/>
          <w:sz w:val="24"/>
          <w:highlight w:val="none"/>
        </w:rPr>
      </w:pPr>
      <w:r>
        <w:rPr>
          <w:rFonts w:ascii="宋体" w:hAnsi="宋体" w:cs="宋体"/>
          <w:b/>
          <w:bCs/>
          <w:color w:val="auto"/>
          <w:kern w:val="0"/>
          <w:sz w:val="24"/>
          <w:highlight w:val="none"/>
        </w:rPr>
        <w:t>2.</w:t>
      </w:r>
      <w:r>
        <w:rPr>
          <w:rFonts w:hint="eastAsia" w:ascii="宋体" w:hAnsi="宋体" w:cs="宋体"/>
          <w:b/>
          <w:bCs/>
          <w:color w:val="auto"/>
          <w:kern w:val="0"/>
          <w:sz w:val="24"/>
          <w:highlight w:val="none"/>
        </w:rPr>
        <w:t>本协议由委托代理人签字或盖章的，应按照本章载明的格式提供</w:t>
      </w:r>
      <w:r>
        <w:rPr>
          <w:rFonts w:hint="eastAsia" w:ascii="宋体" w:cs="宋体"/>
          <w:b/>
          <w:bCs/>
          <w:color w:val="auto"/>
          <w:kern w:val="0"/>
          <w:sz w:val="24"/>
          <w:highlight w:val="none"/>
        </w:rPr>
        <w:t>“</w:t>
      </w:r>
      <w:r>
        <w:rPr>
          <w:rFonts w:hint="eastAsia" w:ascii="宋体" w:hAnsi="宋体" w:cs="宋体"/>
          <w:b/>
          <w:bCs/>
          <w:color w:val="auto"/>
          <w:kern w:val="0"/>
          <w:sz w:val="24"/>
          <w:highlight w:val="none"/>
        </w:rPr>
        <w:t>单位授权书</w:t>
      </w:r>
      <w:r>
        <w:rPr>
          <w:rFonts w:hint="eastAsia" w:ascii="宋体" w:cs="宋体"/>
          <w:b/>
          <w:bCs/>
          <w:color w:val="auto"/>
          <w:kern w:val="0"/>
          <w:sz w:val="24"/>
          <w:highlight w:val="none"/>
        </w:rPr>
        <w:t>”</w:t>
      </w:r>
      <w:r>
        <w:rPr>
          <w:rFonts w:hint="eastAsia" w:ascii="宋体" w:hAnsi="宋体" w:cs="宋体"/>
          <w:b/>
          <w:bCs/>
          <w:color w:val="auto"/>
          <w:kern w:val="0"/>
          <w:sz w:val="24"/>
          <w:highlight w:val="none"/>
        </w:rPr>
        <w:t>。</w:t>
      </w:r>
    </w:p>
    <w:p>
      <w:pPr>
        <w:widowControl/>
        <w:spacing w:after="136" w:line="360" w:lineRule="exact"/>
        <w:ind w:firstLine="394"/>
        <w:jc w:val="left"/>
        <w:rPr>
          <w:rFonts w:ascii="宋体" w:cs="宋体"/>
          <w:color w:val="auto"/>
          <w:kern w:val="0"/>
          <w:sz w:val="24"/>
          <w:highlight w:val="none"/>
        </w:rPr>
      </w:pPr>
      <w:r>
        <w:rPr>
          <w:rFonts w:ascii="宋体" w:hAnsi="宋体" w:cs="宋体"/>
          <w:b/>
          <w:bCs/>
          <w:color w:val="auto"/>
          <w:kern w:val="0"/>
          <w:sz w:val="24"/>
          <w:highlight w:val="none"/>
        </w:rPr>
        <w:t>3.</w:t>
      </w:r>
      <w:r>
        <w:rPr>
          <w:rFonts w:hint="eastAsia" w:ascii="宋体" w:hAnsi="宋体" w:cs="宋体"/>
          <w:b/>
          <w:bCs/>
          <w:color w:val="auto"/>
          <w:kern w:val="0"/>
          <w:sz w:val="24"/>
          <w:highlight w:val="none"/>
        </w:rPr>
        <w:t>在以合同分包形式落实中小企业预留份额项目中，投标人除了要提供《中小企业声明函》，还需提供本协议。</w:t>
      </w:r>
      <w:r>
        <w:rPr>
          <w:rFonts w:ascii="宋体" w:cs="宋体"/>
          <w:b/>
          <w:bCs/>
          <w:color w:val="auto"/>
          <w:kern w:val="0"/>
          <w:sz w:val="24"/>
          <w:highlight w:val="none"/>
        </w:rPr>
        <w:t> </w:t>
      </w:r>
    </w:p>
    <w:p>
      <w:pPr>
        <w:spacing w:line="400" w:lineRule="exact"/>
        <w:rPr>
          <w:rFonts w:hint="eastAsia" w:ascii="宋体" w:eastAsia="宋体" w:cs="宋体"/>
          <w:color w:val="auto"/>
          <w:kern w:val="0"/>
          <w:sz w:val="24"/>
          <w:highlight w:val="none"/>
          <w:lang w:eastAsia="zh-CN"/>
        </w:rPr>
      </w:pPr>
    </w:p>
    <w:p>
      <w:pPr>
        <w:pStyle w:val="2"/>
        <w:rPr>
          <w:rFonts w:hint="eastAsia"/>
          <w:lang w:eastAsia="zh-CN"/>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7</w:t>
      </w:r>
    </w:p>
    <w:p>
      <w:pPr>
        <w:pStyle w:val="20"/>
        <w:ind w:firstLine="480" w:firstLineChars="200"/>
        <w:rPr>
          <w:rFonts w:cs="宋体"/>
          <w:color w:val="auto"/>
          <w:sz w:val="24"/>
          <w:szCs w:val="24"/>
          <w:highlight w:val="none"/>
        </w:rPr>
      </w:pPr>
      <w:r>
        <w:rPr>
          <w:rFonts w:hint="eastAsia" w:cs="宋体"/>
          <w:color w:val="auto"/>
          <w:sz w:val="24"/>
          <w:szCs w:val="24"/>
          <w:highlight w:val="none"/>
        </w:rPr>
        <w:t>七、投标人须知前附表要求的其他投标材料</w:t>
      </w:r>
    </w:p>
    <w:p>
      <w:pPr>
        <w:pStyle w:val="20"/>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示例略</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2" w:firstLineChars="200"/>
        <w:rPr>
          <w:rFonts w:cs="宋体"/>
          <w:b/>
          <w:bCs/>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附件</w:t>
      </w:r>
      <w:r>
        <w:rPr>
          <w:rFonts w:cs="宋体"/>
          <w:color w:val="auto"/>
          <w:sz w:val="24"/>
          <w:szCs w:val="24"/>
          <w:highlight w:val="none"/>
        </w:rPr>
        <w:t>8</w:t>
      </w:r>
    </w:p>
    <w:p>
      <w:pPr>
        <w:pStyle w:val="20"/>
        <w:ind w:firstLine="480" w:firstLineChars="200"/>
        <w:rPr>
          <w:rFonts w:cs="宋体"/>
          <w:color w:val="auto"/>
          <w:sz w:val="24"/>
          <w:szCs w:val="24"/>
          <w:highlight w:val="none"/>
        </w:rPr>
      </w:pPr>
      <w:r>
        <w:rPr>
          <w:rFonts w:hint="eastAsia" w:cs="宋体"/>
          <w:color w:val="auto"/>
          <w:sz w:val="24"/>
          <w:szCs w:val="24"/>
          <w:highlight w:val="none"/>
        </w:rPr>
        <w:t>八、投标人认为需提供的其他资料</w:t>
      </w:r>
    </w:p>
    <w:p>
      <w:pPr>
        <w:pStyle w:val="20"/>
        <w:ind w:firstLine="480" w:firstLineChars="200"/>
        <w:rPr>
          <w:rFonts w:ascii="宋体" w:hAnsi="宋体" w:cs="宋体"/>
          <w:bCs/>
          <w:color w:val="auto"/>
          <w:sz w:val="24"/>
          <w:szCs w:val="24"/>
          <w:highlight w:val="none"/>
          <w:lang w:eastAsia="zh-CN"/>
        </w:rPr>
      </w:pPr>
      <w:r>
        <w:rPr>
          <w:rFonts w:hint="eastAsia" w:cs="宋体"/>
          <w:color w:val="auto"/>
          <w:sz w:val="24"/>
          <w:szCs w:val="24"/>
          <w:highlight w:val="none"/>
          <w:lang w:val="en-US" w:eastAsia="zh-CN"/>
        </w:rPr>
        <w:t>8-1 相关</w:t>
      </w:r>
      <w:r>
        <w:rPr>
          <w:rFonts w:ascii="宋体" w:hAnsi="宋体" w:cs="宋体"/>
          <w:bCs/>
          <w:color w:val="auto"/>
          <w:sz w:val="24"/>
          <w:szCs w:val="24"/>
          <w:highlight w:val="none"/>
          <w:lang w:eastAsia="zh-CN"/>
        </w:rPr>
        <w:t>认证证书</w:t>
      </w:r>
    </w:p>
    <w:p>
      <w:pPr>
        <w:pStyle w:val="20"/>
        <w:ind w:firstLine="480" w:firstLineChars="200"/>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 xml:space="preserve">8-2 </w:t>
      </w:r>
      <w:r>
        <w:rPr>
          <w:rFonts w:ascii="宋体" w:hAnsi="宋体" w:cs="宋体"/>
          <w:bCs/>
          <w:color w:val="auto"/>
          <w:sz w:val="24"/>
          <w:szCs w:val="24"/>
          <w:highlight w:val="none"/>
          <w:lang w:eastAsia="zh-CN"/>
        </w:rPr>
        <w:t>综合类机房搬迁项目业绩</w:t>
      </w:r>
      <w:r>
        <w:rPr>
          <w:rFonts w:hint="eastAsia" w:hAnsi="宋体" w:cs="宋体"/>
          <w:bCs/>
          <w:color w:val="auto"/>
          <w:sz w:val="24"/>
          <w:szCs w:val="24"/>
          <w:highlight w:val="none"/>
          <w:lang w:val="en-US" w:eastAsia="zh-CN"/>
        </w:rPr>
        <w:t>证明材料</w:t>
      </w:r>
    </w:p>
    <w:p>
      <w:pPr>
        <w:pStyle w:val="20"/>
        <w:ind w:firstLine="480" w:firstLineChars="200"/>
        <w:rPr>
          <w:rFonts w:hint="eastAsia" w:hAnsi="宋体" w:cs="宋体"/>
          <w:bCs/>
          <w:color w:val="auto"/>
          <w:sz w:val="24"/>
          <w:szCs w:val="24"/>
          <w:highlight w:val="none"/>
          <w:lang w:val="en-US" w:eastAsia="zh-CN"/>
        </w:rPr>
      </w:pPr>
      <w:r>
        <w:rPr>
          <w:rFonts w:hint="eastAsia" w:hAnsi="宋体" w:cs="宋体"/>
          <w:bCs/>
          <w:color w:val="auto"/>
          <w:sz w:val="24"/>
          <w:szCs w:val="24"/>
          <w:highlight w:val="none"/>
          <w:lang w:val="en-US" w:eastAsia="zh-CN"/>
        </w:rPr>
        <w:t xml:space="preserve">8-3 </w:t>
      </w:r>
      <w:r>
        <w:rPr>
          <w:rFonts w:ascii="宋体" w:hAnsi="宋体" w:cs="宋体"/>
          <w:bCs/>
          <w:color w:val="auto"/>
          <w:sz w:val="24"/>
          <w:szCs w:val="24"/>
          <w:highlight w:val="none"/>
          <w:lang w:eastAsia="zh-CN"/>
        </w:rPr>
        <w:t>IT服务类项目业绩</w:t>
      </w:r>
      <w:r>
        <w:rPr>
          <w:rFonts w:hint="eastAsia" w:hAnsi="宋体" w:cs="宋体"/>
          <w:bCs/>
          <w:color w:val="auto"/>
          <w:sz w:val="24"/>
          <w:szCs w:val="24"/>
          <w:highlight w:val="none"/>
          <w:lang w:val="en-US" w:eastAsia="zh-CN"/>
        </w:rPr>
        <w:t>证明材料</w:t>
      </w:r>
    </w:p>
    <w:p>
      <w:pPr>
        <w:pStyle w:val="20"/>
        <w:ind w:firstLine="480" w:firstLineChars="200"/>
        <w:rPr>
          <w:rFonts w:cs="宋体"/>
          <w:color w:val="auto"/>
          <w:sz w:val="24"/>
          <w:szCs w:val="24"/>
          <w:highlight w:val="none"/>
        </w:rPr>
      </w:pPr>
      <w:r>
        <w:rPr>
          <w:rFonts w:hint="eastAsia" w:hAnsi="宋体" w:cs="宋体"/>
          <w:bCs/>
          <w:color w:val="auto"/>
          <w:sz w:val="24"/>
          <w:szCs w:val="24"/>
          <w:highlight w:val="none"/>
          <w:lang w:val="en-US" w:eastAsia="zh-CN"/>
        </w:rPr>
        <w:t>8-4 其他资料</w:t>
      </w:r>
      <w:r>
        <w:rPr>
          <w:color w:val="auto"/>
          <w:highlight w:val="none"/>
        </w:rPr>
        <w:br w:type="page"/>
      </w:r>
      <w:r>
        <w:rPr>
          <w:rFonts w:hint="eastAsia" w:cs="宋体"/>
          <w:color w:val="auto"/>
          <w:sz w:val="24"/>
          <w:szCs w:val="24"/>
          <w:highlight w:val="none"/>
        </w:rPr>
        <w:t>附件</w:t>
      </w:r>
      <w:r>
        <w:rPr>
          <w:rFonts w:cs="宋体"/>
          <w:color w:val="auto"/>
          <w:sz w:val="24"/>
          <w:szCs w:val="24"/>
          <w:highlight w:val="none"/>
        </w:rPr>
        <w:t>9</w:t>
      </w:r>
    </w:p>
    <w:p>
      <w:pPr>
        <w:pStyle w:val="20"/>
        <w:rPr>
          <w:b/>
          <w:color w:val="auto"/>
          <w:sz w:val="24"/>
          <w:szCs w:val="24"/>
          <w:highlight w:val="none"/>
        </w:rPr>
      </w:pPr>
      <w:r>
        <w:rPr>
          <w:rFonts w:hint="eastAsia" w:ascii="Times New Roman" w:hAnsi="Times New Roman"/>
          <w:b/>
          <w:bCs/>
          <w:color w:val="auto"/>
          <w:sz w:val="24"/>
          <w:szCs w:val="24"/>
          <w:highlight w:val="none"/>
        </w:rPr>
        <w:t>九、招标代理服务费承诺函</w:t>
      </w:r>
    </w:p>
    <w:p>
      <w:pPr>
        <w:spacing w:line="500" w:lineRule="exact"/>
        <w:jc w:val="center"/>
        <w:rPr>
          <w:b/>
          <w:bCs/>
          <w:color w:val="auto"/>
          <w:sz w:val="24"/>
          <w:highlight w:val="none"/>
        </w:rPr>
      </w:pPr>
    </w:p>
    <w:p>
      <w:pPr>
        <w:spacing w:line="500" w:lineRule="exact"/>
        <w:jc w:val="center"/>
        <w:rPr>
          <w:b/>
          <w:bCs/>
          <w:color w:val="auto"/>
          <w:sz w:val="24"/>
          <w:highlight w:val="none"/>
        </w:rPr>
      </w:pPr>
      <w:r>
        <w:rPr>
          <w:rFonts w:hint="eastAsia"/>
          <w:b/>
          <w:bCs/>
          <w:color w:val="auto"/>
          <w:sz w:val="24"/>
          <w:highlight w:val="none"/>
        </w:rPr>
        <w:t>招标代理服务费承诺函</w:t>
      </w:r>
    </w:p>
    <w:p>
      <w:pPr>
        <w:spacing w:line="500" w:lineRule="exact"/>
        <w:rPr>
          <w:rFonts w:ascii="宋体"/>
          <w:color w:val="auto"/>
          <w:sz w:val="24"/>
          <w:szCs w:val="21"/>
          <w:highlight w:val="none"/>
        </w:rPr>
      </w:pPr>
      <w:r>
        <w:rPr>
          <w:rFonts w:hint="eastAsia" w:ascii="宋体"/>
          <w:color w:val="auto"/>
          <w:sz w:val="24"/>
          <w:szCs w:val="21"/>
          <w:highlight w:val="none"/>
        </w:rPr>
        <w:t>致：</w:t>
      </w:r>
      <w:r>
        <w:rPr>
          <w:rFonts w:hint="eastAsia" w:ascii="宋体"/>
          <w:color w:val="auto"/>
          <w:sz w:val="24"/>
          <w:szCs w:val="21"/>
          <w:highlight w:val="none"/>
          <w:u w:val="single"/>
        </w:rPr>
        <w:t>福建省智信招标有限公司</w:t>
      </w:r>
    </w:p>
    <w:p>
      <w:pPr>
        <w:spacing w:line="500" w:lineRule="exact"/>
        <w:ind w:firstLine="480" w:firstLineChars="200"/>
        <w:rPr>
          <w:rFonts w:ascii="宋体"/>
          <w:color w:val="auto"/>
          <w:sz w:val="24"/>
          <w:szCs w:val="21"/>
          <w:highlight w:val="none"/>
        </w:rPr>
      </w:pPr>
      <w:r>
        <w:rPr>
          <w:rFonts w:hint="eastAsia" w:ascii="宋体"/>
          <w:color w:val="auto"/>
          <w:sz w:val="24"/>
          <w:szCs w:val="21"/>
          <w:highlight w:val="none"/>
        </w:rPr>
        <w:t>我们在贵公司组织的</w:t>
      </w:r>
      <w:r>
        <w:rPr>
          <w:rFonts w:hint="eastAsia" w:ascii="宋体"/>
          <w:color w:val="auto"/>
          <w:sz w:val="24"/>
          <w:szCs w:val="21"/>
          <w:highlight w:val="none"/>
          <w:u w:val="single"/>
        </w:rPr>
        <w:t>福建税务2023年机房搬迁项目</w:t>
      </w:r>
      <w:r>
        <w:rPr>
          <w:rFonts w:hint="eastAsia" w:ascii="宋体"/>
          <w:color w:val="auto"/>
          <w:sz w:val="24"/>
          <w:szCs w:val="21"/>
          <w:highlight w:val="none"/>
        </w:rPr>
        <w:t>招标中投标</w:t>
      </w:r>
      <w:r>
        <w:rPr>
          <w:rFonts w:ascii="宋体"/>
          <w:color w:val="auto"/>
          <w:sz w:val="24"/>
          <w:szCs w:val="21"/>
          <w:highlight w:val="none"/>
        </w:rPr>
        <w:t>(</w:t>
      </w:r>
      <w:r>
        <w:rPr>
          <w:rFonts w:hint="eastAsia" w:ascii="宋体"/>
          <w:color w:val="auto"/>
          <w:sz w:val="24"/>
          <w:szCs w:val="21"/>
          <w:highlight w:val="none"/>
        </w:rPr>
        <w:t>项目编号：</w:t>
      </w:r>
      <w:r>
        <w:rPr>
          <w:rFonts w:hint="eastAsia" w:ascii="宋体"/>
          <w:color w:val="auto"/>
          <w:sz w:val="24"/>
          <w:szCs w:val="21"/>
          <w:highlight w:val="none"/>
          <w:u w:val="single"/>
        </w:rPr>
        <w:t>ZXWT-2024-68</w:t>
      </w:r>
      <w:r>
        <w:rPr>
          <w:rFonts w:ascii="宋体"/>
          <w:color w:val="auto"/>
          <w:sz w:val="24"/>
          <w:szCs w:val="21"/>
          <w:highlight w:val="none"/>
        </w:rPr>
        <w:t>)</w:t>
      </w:r>
      <w:r>
        <w:rPr>
          <w:rFonts w:hint="eastAsia" w:ascii="宋体"/>
          <w:color w:val="auto"/>
          <w:sz w:val="24"/>
          <w:szCs w:val="21"/>
          <w:highlight w:val="none"/>
        </w:rPr>
        <w:t>，如果中标，我们保证按招标文件的规定，以支票、汇票、电汇、现金或经贵公司认可的其他付款方式，向贵公司缴交招标代理服务费。</w:t>
      </w:r>
    </w:p>
    <w:p>
      <w:pPr>
        <w:spacing w:line="500" w:lineRule="exact"/>
        <w:ind w:firstLine="480" w:firstLineChars="200"/>
        <w:rPr>
          <w:rFonts w:ascii="宋体"/>
          <w:color w:val="auto"/>
          <w:sz w:val="24"/>
          <w:szCs w:val="21"/>
          <w:highlight w:val="none"/>
        </w:rPr>
      </w:pPr>
      <w:r>
        <w:rPr>
          <w:rFonts w:hint="eastAsia" w:ascii="宋体"/>
          <w:color w:val="auto"/>
          <w:sz w:val="24"/>
          <w:szCs w:val="21"/>
          <w:highlight w:val="none"/>
        </w:rPr>
        <w:t>我方如违反上述承诺，愿意无条件接受处罚，我方对此无异议。</w:t>
      </w:r>
    </w:p>
    <w:p>
      <w:pPr>
        <w:spacing w:line="500" w:lineRule="exact"/>
        <w:rPr>
          <w:rFonts w:ascii="宋体"/>
          <w:color w:val="auto"/>
          <w:sz w:val="24"/>
          <w:szCs w:val="21"/>
          <w:highlight w:val="none"/>
        </w:rPr>
      </w:pPr>
    </w:p>
    <w:p>
      <w:pPr>
        <w:spacing w:line="500" w:lineRule="exact"/>
        <w:ind w:firstLine="480" w:firstLineChars="200"/>
        <w:rPr>
          <w:rFonts w:ascii="宋体"/>
          <w:color w:val="auto"/>
          <w:sz w:val="24"/>
          <w:szCs w:val="21"/>
          <w:highlight w:val="none"/>
        </w:rPr>
      </w:pPr>
      <w:r>
        <w:rPr>
          <w:rFonts w:hint="eastAsia" w:ascii="宋体"/>
          <w:color w:val="auto"/>
          <w:sz w:val="24"/>
          <w:szCs w:val="21"/>
          <w:highlight w:val="none"/>
        </w:rPr>
        <w:t>特此承诺！</w:t>
      </w:r>
    </w:p>
    <w:p>
      <w:pPr>
        <w:spacing w:line="500" w:lineRule="exact"/>
        <w:ind w:firstLine="420" w:firstLineChars="200"/>
        <w:rPr>
          <w:rFonts w:ascii="宋体"/>
          <w:color w:val="auto"/>
          <w:szCs w:val="21"/>
          <w:highlight w:val="none"/>
        </w:rPr>
      </w:pPr>
    </w:p>
    <w:p>
      <w:pPr>
        <w:spacing w:line="500" w:lineRule="exact"/>
        <w:ind w:firstLine="420" w:firstLineChars="200"/>
        <w:rPr>
          <w:rFonts w:ascii="宋体"/>
          <w:color w:val="auto"/>
          <w:szCs w:val="21"/>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rPr>
          <w:rFonts w:cs="宋体"/>
          <w:color w:val="auto"/>
          <w:sz w:val="24"/>
          <w:szCs w:val="24"/>
          <w:highlight w:val="none"/>
        </w:rPr>
      </w:pPr>
      <w:r>
        <w:rPr>
          <w:color w:val="auto"/>
          <w:highlight w:val="none"/>
        </w:rPr>
        <w:br w:type="page"/>
      </w:r>
    </w:p>
    <w:p>
      <w:pPr>
        <w:pStyle w:val="8"/>
        <w:jc w:val="center"/>
        <w:rPr>
          <w:rFonts w:ascii="宋体" w:cs="宋体"/>
          <w:color w:val="auto"/>
          <w:highlight w:val="none"/>
        </w:rPr>
      </w:pPr>
      <w:r>
        <w:rPr>
          <w:rFonts w:hint="eastAsia" w:ascii="宋体" w:cs="宋体"/>
          <w:color w:val="auto"/>
          <w:highlight w:val="none"/>
        </w:rPr>
        <w:t>政府采购投标文件</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技术部分</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项目名称：</w:t>
      </w:r>
      <w:r>
        <w:rPr>
          <w:rFonts w:cs="宋体"/>
          <w:color w:val="auto"/>
          <w:sz w:val="24"/>
          <w:szCs w:val="24"/>
          <w:highlight w:val="none"/>
        </w:rPr>
        <w:t>______________________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项目编号：</w:t>
      </w:r>
      <w:r>
        <w:rPr>
          <w:rFonts w:cs="宋体"/>
          <w:color w:val="auto"/>
          <w:sz w:val="24"/>
          <w:szCs w:val="24"/>
          <w:highlight w:val="none"/>
        </w:rPr>
        <w:t>______________________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合同包号：</w:t>
      </w:r>
      <w:r>
        <w:rPr>
          <w:rFonts w:cs="宋体"/>
          <w:color w:val="auto"/>
          <w:sz w:val="24"/>
          <w:szCs w:val="24"/>
          <w:highlight w:val="none"/>
        </w:rPr>
        <w:t>______________________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投标代表人：</w:t>
      </w:r>
      <w:r>
        <w:rPr>
          <w:rFonts w:cs="宋体"/>
          <w:color w:val="auto"/>
          <w:sz w:val="24"/>
          <w:szCs w:val="24"/>
          <w:highlight w:val="none"/>
        </w:rPr>
        <w:t>____________________</w:t>
      </w: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t>联系电话</w:t>
      </w:r>
      <w:r>
        <w:rPr>
          <w:rFonts w:cs="宋体"/>
          <w:color w:val="auto"/>
          <w:sz w:val="24"/>
          <w:szCs w:val="24"/>
          <w:highlight w:val="none"/>
        </w:rPr>
        <w:t>____________________</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149"/>
        <w:keepNext w:val="0"/>
        <w:keepLines w:val="0"/>
        <w:spacing w:before="0" w:after="0" w:line="360" w:lineRule="auto"/>
        <w:ind w:left="0" w:firstLine="480"/>
        <w:outlineLvl w:val="9"/>
        <w:rPr>
          <w:rFonts w:ascii="宋体" w:eastAsia="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　</w:t>
      </w:r>
      <w:r>
        <w:rPr>
          <w:rFonts w:hint="eastAsia" w:ascii="宋体" w:eastAsia="宋体"/>
          <w:b/>
          <w:color w:val="auto"/>
          <w:kern w:val="0"/>
          <w:sz w:val="24"/>
          <w:szCs w:val="24"/>
          <w:highlight w:val="none"/>
        </w:rPr>
        <w:t>技术部分评标内容对应表</w:t>
      </w:r>
    </w:p>
    <w:p>
      <w:pPr>
        <w:spacing w:line="440" w:lineRule="exact"/>
        <w:ind w:firstLine="204" w:firstLineChars="85"/>
        <w:rPr>
          <w:rFonts w:ascii="宋体"/>
          <w:color w:val="auto"/>
          <w:sz w:val="24"/>
          <w:highlight w:val="none"/>
        </w:rPr>
      </w:pPr>
      <w:r>
        <w:rPr>
          <w:rFonts w:hint="eastAsia" w:ascii="宋体"/>
          <w:color w:val="auto"/>
          <w:sz w:val="24"/>
          <w:highlight w:val="none"/>
        </w:rPr>
        <w:t>投标人名称：</w:t>
      </w:r>
      <w:r>
        <w:rPr>
          <w:rFonts w:ascii="宋体"/>
          <w:color w:val="auto"/>
          <w:sz w:val="24"/>
          <w:highlight w:val="none"/>
        </w:rPr>
        <w:t xml:space="preserve">                          </w:t>
      </w:r>
      <w:r>
        <w:rPr>
          <w:rFonts w:hint="eastAsia" w:ascii="宋体"/>
          <w:color w:val="auto"/>
          <w:sz w:val="24"/>
          <w:highlight w:val="none"/>
        </w:rPr>
        <w:t>招标编号∶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030"/>
        <w:gridCol w:w="3168"/>
        <w:gridCol w:w="30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661" w:type="dxa"/>
            <w:gridSpan w:val="2"/>
            <w:vAlign w:val="center"/>
          </w:tcPr>
          <w:p>
            <w:pPr>
              <w:spacing w:line="440" w:lineRule="exact"/>
              <w:jc w:val="center"/>
              <w:rPr>
                <w:rFonts w:ascii="宋体"/>
                <w:color w:val="auto"/>
                <w:sz w:val="24"/>
                <w:highlight w:val="none"/>
              </w:rPr>
            </w:pPr>
            <w:r>
              <w:rPr>
                <w:rFonts w:hint="eastAsia" w:ascii="宋体" w:cs="Arial"/>
                <w:color w:val="auto"/>
                <w:sz w:val="24"/>
                <w:highlight w:val="none"/>
              </w:rPr>
              <w:t>项</w:t>
            </w:r>
            <w:r>
              <w:rPr>
                <w:rFonts w:ascii="宋体" w:cs="Arial"/>
                <w:color w:val="auto"/>
                <w:sz w:val="24"/>
                <w:highlight w:val="none"/>
              </w:rPr>
              <w:t xml:space="preserve">  </w:t>
            </w:r>
            <w:r>
              <w:rPr>
                <w:rFonts w:hint="eastAsia" w:ascii="宋体" w:cs="Arial"/>
                <w:color w:val="auto"/>
                <w:sz w:val="24"/>
                <w:highlight w:val="none"/>
              </w:rPr>
              <w:t>目</w:t>
            </w:r>
          </w:p>
        </w:tc>
        <w:tc>
          <w:tcPr>
            <w:tcW w:w="3168"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评</w:t>
            </w:r>
            <w:r>
              <w:rPr>
                <w:rFonts w:ascii="宋体" w:cs="Arial"/>
                <w:color w:val="auto"/>
                <w:sz w:val="24"/>
                <w:highlight w:val="none"/>
              </w:rPr>
              <w:t xml:space="preserve"> </w:t>
            </w:r>
            <w:r>
              <w:rPr>
                <w:rFonts w:hint="eastAsia" w:ascii="宋体" w:cs="Arial"/>
                <w:color w:val="auto"/>
                <w:sz w:val="24"/>
                <w:highlight w:val="none"/>
              </w:rPr>
              <w:t>标</w:t>
            </w:r>
            <w:r>
              <w:rPr>
                <w:rFonts w:ascii="宋体" w:cs="Arial"/>
                <w:color w:val="auto"/>
                <w:sz w:val="24"/>
                <w:highlight w:val="none"/>
              </w:rPr>
              <w:t xml:space="preserve"> </w:t>
            </w:r>
            <w:r>
              <w:rPr>
                <w:rFonts w:hint="eastAsia" w:ascii="宋体" w:cs="Arial"/>
                <w:color w:val="auto"/>
                <w:sz w:val="24"/>
                <w:highlight w:val="none"/>
              </w:rPr>
              <w:t>内</w:t>
            </w:r>
            <w:r>
              <w:rPr>
                <w:rFonts w:ascii="宋体" w:cs="Arial"/>
                <w:color w:val="auto"/>
                <w:sz w:val="24"/>
                <w:highlight w:val="none"/>
              </w:rPr>
              <w:t xml:space="preserve"> </w:t>
            </w:r>
            <w:r>
              <w:rPr>
                <w:rFonts w:hint="eastAsia" w:ascii="宋体" w:cs="Arial"/>
                <w:color w:val="auto"/>
                <w:sz w:val="24"/>
                <w:highlight w:val="none"/>
              </w:rPr>
              <w:t>容</w:t>
            </w:r>
          </w:p>
        </w:tc>
        <w:tc>
          <w:tcPr>
            <w:tcW w:w="3060"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投标文件响应情况</w:t>
            </w:r>
          </w:p>
        </w:tc>
        <w:tc>
          <w:tcPr>
            <w:tcW w:w="1160" w:type="dxa"/>
            <w:vAlign w:val="center"/>
          </w:tcPr>
          <w:p>
            <w:pPr>
              <w:spacing w:line="440" w:lineRule="exact"/>
              <w:jc w:val="center"/>
              <w:rPr>
                <w:rFonts w:ascii="宋体"/>
                <w:color w:val="auto"/>
                <w:sz w:val="24"/>
                <w:highlight w:val="none"/>
              </w:rPr>
            </w:pPr>
            <w:r>
              <w:rPr>
                <w:rFonts w:hint="eastAsia" w:ascii="宋体" w:cs="Arial"/>
                <w:color w:val="auto"/>
                <w:sz w:val="24"/>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31" w:type="dxa"/>
            <w:vMerge w:val="restart"/>
            <w:vAlign w:val="center"/>
          </w:tcPr>
          <w:p>
            <w:pPr>
              <w:spacing w:line="440" w:lineRule="exact"/>
              <w:jc w:val="center"/>
              <w:rPr>
                <w:rFonts w:ascii="宋体"/>
                <w:color w:val="auto"/>
                <w:sz w:val="24"/>
                <w:highlight w:val="none"/>
              </w:rPr>
            </w:pPr>
            <w:r>
              <w:rPr>
                <w:rFonts w:hint="eastAsia" w:ascii="宋体"/>
                <w:color w:val="auto"/>
                <w:sz w:val="24"/>
                <w:highlight w:val="none"/>
              </w:rPr>
              <w:t>技术</w:t>
            </w:r>
          </w:p>
          <w:p>
            <w:pPr>
              <w:spacing w:line="440" w:lineRule="exact"/>
              <w:jc w:val="center"/>
              <w:rPr>
                <w:rFonts w:ascii="宋体"/>
                <w:color w:val="auto"/>
                <w:sz w:val="24"/>
                <w:highlight w:val="none"/>
              </w:rPr>
            </w:pPr>
            <w:r>
              <w:rPr>
                <w:rFonts w:hint="eastAsia" w:ascii="宋体"/>
                <w:color w:val="auto"/>
                <w:sz w:val="24"/>
                <w:highlight w:val="none"/>
              </w:rPr>
              <w:t>部</w:t>
            </w:r>
          </w:p>
          <w:p>
            <w:pPr>
              <w:spacing w:line="440" w:lineRule="exact"/>
              <w:jc w:val="center"/>
              <w:rPr>
                <w:rFonts w:ascii="宋体"/>
                <w:color w:val="auto"/>
                <w:sz w:val="24"/>
                <w:highlight w:val="none"/>
              </w:rPr>
            </w:pPr>
            <w:r>
              <w:rPr>
                <w:rFonts w:hint="eastAsia" w:ascii="宋体"/>
                <w:color w:val="auto"/>
                <w:sz w:val="24"/>
                <w:highlight w:val="none"/>
              </w:rPr>
              <w:t>分</w:t>
            </w: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1</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2</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3</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4</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5</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6</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hint="eastAsia" w:ascii="宋体"/>
                <w:color w:val="auto"/>
                <w:sz w:val="24"/>
                <w:highlight w:val="none"/>
                <w:lang w:val="en-US" w:eastAsia="zh-CN"/>
              </w:rPr>
              <w:t>C</w:t>
            </w:r>
            <w:r>
              <w:rPr>
                <w:rFonts w:ascii="宋体"/>
                <w:color w:val="auto"/>
                <w:sz w:val="24"/>
                <w:highlight w:val="none"/>
              </w:rPr>
              <w:t>7</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ascii="宋体"/>
                <w:color w:val="auto"/>
                <w:sz w:val="24"/>
                <w:highlight w:val="none"/>
              </w:rPr>
              <w:t>---</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1" w:type="dxa"/>
            <w:vMerge w:val="continue"/>
          </w:tcPr>
          <w:p>
            <w:pPr>
              <w:rPr>
                <w:color w:val="auto"/>
                <w:highlight w:val="none"/>
              </w:rPr>
            </w:pPr>
          </w:p>
        </w:tc>
        <w:tc>
          <w:tcPr>
            <w:tcW w:w="1030" w:type="dxa"/>
            <w:vAlign w:val="center"/>
          </w:tcPr>
          <w:p>
            <w:pPr>
              <w:spacing w:line="440" w:lineRule="exact"/>
              <w:jc w:val="center"/>
              <w:rPr>
                <w:rFonts w:ascii="宋体"/>
                <w:color w:val="auto"/>
                <w:sz w:val="24"/>
                <w:highlight w:val="none"/>
              </w:rPr>
            </w:pPr>
            <w:r>
              <w:rPr>
                <w:rFonts w:ascii="宋体"/>
                <w:color w:val="auto"/>
                <w:sz w:val="24"/>
                <w:highlight w:val="none"/>
              </w:rPr>
              <w:t>---</w:t>
            </w:r>
          </w:p>
        </w:tc>
        <w:tc>
          <w:tcPr>
            <w:tcW w:w="3168" w:type="dxa"/>
          </w:tcPr>
          <w:p>
            <w:pPr>
              <w:spacing w:line="440" w:lineRule="exact"/>
              <w:rPr>
                <w:rFonts w:ascii="仿宋_GB2312" w:eastAsia="仿宋_GB2312"/>
                <w:b/>
                <w:color w:val="auto"/>
                <w:sz w:val="24"/>
                <w:highlight w:val="none"/>
              </w:rPr>
            </w:pPr>
          </w:p>
        </w:tc>
        <w:tc>
          <w:tcPr>
            <w:tcW w:w="3060" w:type="dxa"/>
          </w:tcPr>
          <w:p>
            <w:pPr>
              <w:spacing w:line="440" w:lineRule="exact"/>
              <w:rPr>
                <w:rFonts w:ascii="仿宋_GB2312" w:eastAsia="仿宋_GB2312"/>
                <w:b/>
                <w:color w:val="auto"/>
                <w:sz w:val="24"/>
                <w:highlight w:val="none"/>
              </w:rPr>
            </w:pPr>
          </w:p>
        </w:tc>
        <w:tc>
          <w:tcPr>
            <w:tcW w:w="1160" w:type="dxa"/>
          </w:tcPr>
          <w:p>
            <w:pPr>
              <w:spacing w:line="440" w:lineRule="exact"/>
              <w:rPr>
                <w:rFonts w:ascii="仿宋_GB2312" w:eastAsia="仿宋_GB2312"/>
                <w:b/>
                <w:color w:val="auto"/>
                <w:sz w:val="24"/>
                <w:highlight w:val="none"/>
              </w:rPr>
            </w:pPr>
          </w:p>
        </w:tc>
      </w:tr>
    </w:tbl>
    <w:p>
      <w:pPr>
        <w:spacing w:line="440" w:lineRule="exact"/>
        <w:rPr>
          <w:rFonts w:ascii="宋体"/>
          <w:color w:val="auto"/>
          <w:sz w:val="24"/>
          <w:highlight w:val="none"/>
        </w:rPr>
      </w:pPr>
    </w:p>
    <w:p>
      <w:pPr>
        <w:spacing w:line="440" w:lineRule="exact"/>
        <w:rPr>
          <w:rFonts w:ascii="宋体"/>
          <w:snapToGrid w:val="0"/>
          <w:color w:val="auto"/>
          <w:sz w:val="24"/>
          <w:highlight w:val="none"/>
        </w:rPr>
      </w:pPr>
      <w:r>
        <w:rPr>
          <w:rFonts w:hint="eastAsia" w:ascii="宋体"/>
          <w:color w:val="auto"/>
          <w:sz w:val="24"/>
          <w:highlight w:val="none"/>
        </w:rPr>
        <w:t>注：投标人必须将投标文件中的相关内容按上述要求及以上格式，逐条对应填写</w:t>
      </w:r>
      <w:r>
        <w:rPr>
          <w:rFonts w:hint="eastAsia" w:ascii="宋体"/>
          <w:snapToGrid w:val="0"/>
          <w:color w:val="auto"/>
          <w:sz w:val="24"/>
          <w:highlight w:val="none"/>
        </w:rPr>
        <w:t>，以便评委进行评标，未按以上格式逐条填写导致条理不清，解释不明的，</w:t>
      </w:r>
      <w:r>
        <w:rPr>
          <w:rFonts w:hint="eastAsia" w:ascii="宋体"/>
          <w:color w:val="auto"/>
          <w:sz w:val="24"/>
          <w:highlight w:val="none"/>
        </w:rPr>
        <w:t>评标委员会</w:t>
      </w:r>
      <w:r>
        <w:rPr>
          <w:rFonts w:hint="eastAsia" w:ascii="宋体"/>
          <w:snapToGrid w:val="0"/>
          <w:color w:val="auto"/>
          <w:sz w:val="24"/>
          <w:highlight w:val="none"/>
        </w:rPr>
        <w:t>将做出不利于投标人的</w:t>
      </w:r>
      <w:r>
        <w:rPr>
          <w:rFonts w:hint="eastAsia" w:ascii="宋体"/>
          <w:color w:val="auto"/>
          <w:sz w:val="24"/>
          <w:highlight w:val="none"/>
        </w:rPr>
        <w:t>判断</w:t>
      </w:r>
      <w:r>
        <w:rPr>
          <w:rFonts w:hint="eastAsia" w:ascii="宋体"/>
          <w:snapToGrid w:val="0"/>
          <w:color w:val="auto"/>
          <w:sz w:val="24"/>
          <w:highlight w:val="none"/>
        </w:rPr>
        <w:t>。</w:t>
      </w:r>
    </w:p>
    <w:p>
      <w:pPr>
        <w:spacing w:line="440" w:lineRule="exact"/>
        <w:rPr>
          <w:rFonts w:ascii="仿宋_GB2312" w:eastAsia="仿宋_GB2312"/>
          <w:b/>
          <w:color w:val="auto"/>
          <w:sz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rPr>
          <w:rFonts w:cs="宋体"/>
          <w:color w:val="auto"/>
          <w:sz w:val="24"/>
          <w:szCs w:val="24"/>
          <w:highlight w:val="none"/>
          <w:u w:val="single"/>
        </w:rPr>
      </w:pPr>
    </w:p>
    <w:p>
      <w:pPr>
        <w:pStyle w:val="20"/>
        <w:ind w:firstLine="480" w:firstLineChars="200"/>
        <w:jc w:val="center"/>
        <w:rPr>
          <w:color w:val="auto"/>
          <w:sz w:val="24"/>
          <w:szCs w:val="24"/>
          <w:highlight w:val="none"/>
        </w:rPr>
      </w:pPr>
    </w:p>
    <w:p>
      <w:pPr>
        <w:pStyle w:val="20"/>
        <w:ind w:firstLine="480" w:firstLineChars="200"/>
        <w:jc w:val="center"/>
        <w:rPr>
          <w:color w:val="auto"/>
          <w:sz w:val="24"/>
          <w:szCs w:val="24"/>
          <w:highlight w:val="none"/>
        </w:rPr>
      </w:pPr>
    </w:p>
    <w:p>
      <w:pPr>
        <w:pStyle w:val="20"/>
        <w:ind w:firstLine="480" w:firstLineChars="200"/>
        <w:rPr>
          <w:rFonts w:cs="宋体"/>
          <w:color w:val="auto"/>
          <w:sz w:val="24"/>
          <w:szCs w:val="24"/>
          <w:highlight w:val="none"/>
        </w:rPr>
      </w:pPr>
      <w:r>
        <w:rPr>
          <w:color w:val="auto"/>
          <w:sz w:val="24"/>
          <w:szCs w:val="24"/>
          <w:highlight w:val="none"/>
        </w:rPr>
        <w:br w:type="page"/>
      </w:r>
      <w:r>
        <w:rPr>
          <w:rFonts w:hint="eastAsia" w:cs="宋体"/>
          <w:color w:val="auto"/>
          <w:sz w:val="24"/>
          <w:szCs w:val="24"/>
          <w:highlight w:val="none"/>
        </w:rPr>
        <w:t>一、服务方案、实施方案、验收方案等</w:t>
      </w:r>
    </w:p>
    <w:p>
      <w:pPr>
        <w:pStyle w:val="20"/>
        <w:ind w:firstLine="480" w:firstLineChars="200"/>
        <w:rPr>
          <w:rFonts w:cs="宋体"/>
          <w:color w:val="auto"/>
          <w:sz w:val="24"/>
          <w:szCs w:val="24"/>
          <w:highlight w:val="none"/>
        </w:rPr>
      </w:pPr>
    </w:p>
    <w:p>
      <w:pPr>
        <w:pStyle w:val="20"/>
        <w:spacing w:line="400" w:lineRule="exact"/>
        <w:ind w:firstLine="480" w:firstLineChars="200"/>
        <w:rPr>
          <w:rFonts w:cs="宋体"/>
          <w:color w:val="auto"/>
          <w:sz w:val="24"/>
          <w:szCs w:val="24"/>
          <w:highlight w:val="none"/>
        </w:rPr>
      </w:pPr>
      <w:r>
        <w:rPr>
          <w:rFonts w:hint="eastAsia" w:cs="宋体"/>
          <w:color w:val="auto"/>
          <w:sz w:val="24"/>
          <w:szCs w:val="24"/>
          <w:highlight w:val="none"/>
        </w:rPr>
        <w:t>格式自拟</w:t>
      </w:r>
    </w:p>
    <w:p>
      <w:pPr>
        <w:pStyle w:val="20"/>
        <w:spacing w:line="400" w:lineRule="exact"/>
        <w:ind w:firstLine="420" w:firstLineChars="200"/>
        <w:rPr>
          <w:color w:val="auto"/>
          <w:highlight w:val="none"/>
        </w:rPr>
      </w:pPr>
    </w:p>
    <w:p>
      <w:pPr>
        <w:pStyle w:val="20"/>
        <w:spacing w:line="400" w:lineRule="exact"/>
        <w:ind w:firstLine="420" w:firstLineChars="200"/>
        <w:rPr>
          <w:color w:val="auto"/>
          <w:highlight w:val="none"/>
        </w:rPr>
      </w:pPr>
    </w:p>
    <w:p>
      <w:pPr>
        <w:pStyle w:val="20"/>
        <w:spacing w:line="400" w:lineRule="exact"/>
        <w:ind w:firstLine="420" w:firstLineChars="200"/>
        <w:rPr>
          <w:color w:val="auto"/>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rPr>
          <w:rFonts w:cs="宋体"/>
          <w:color w:val="auto"/>
          <w:sz w:val="24"/>
          <w:szCs w:val="24"/>
          <w:highlight w:val="none"/>
        </w:rPr>
      </w:pPr>
    </w:p>
    <w:p>
      <w:pPr>
        <w:pStyle w:val="20"/>
        <w:ind w:firstLine="480" w:firstLineChars="200"/>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二、技术响应与偏离表</w:t>
      </w:r>
    </w:p>
    <w:p>
      <w:pPr>
        <w:pStyle w:val="20"/>
        <w:spacing w:line="320" w:lineRule="exact"/>
        <w:ind w:firstLine="480" w:firstLineChars="200"/>
        <w:rPr>
          <w:rFonts w:cs="宋体"/>
          <w:color w:val="auto"/>
          <w:sz w:val="24"/>
          <w:szCs w:val="24"/>
          <w:highlight w:val="none"/>
        </w:rPr>
      </w:pPr>
    </w:p>
    <w:p>
      <w:pPr>
        <w:pStyle w:val="20"/>
        <w:spacing w:line="320" w:lineRule="exact"/>
        <w:ind w:firstLine="480" w:firstLineChars="200"/>
        <w:jc w:val="center"/>
        <w:rPr>
          <w:rFonts w:cs="宋体"/>
          <w:color w:val="auto"/>
          <w:sz w:val="24"/>
          <w:szCs w:val="24"/>
          <w:highlight w:val="none"/>
        </w:rPr>
      </w:pPr>
      <w:r>
        <w:rPr>
          <w:rFonts w:hint="eastAsia" w:cs="宋体"/>
          <w:color w:val="auto"/>
          <w:sz w:val="24"/>
          <w:szCs w:val="24"/>
          <w:highlight w:val="none"/>
        </w:rPr>
        <w:t>技术响应与偏离表</w:t>
      </w:r>
    </w:p>
    <w:p>
      <w:pPr>
        <w:pStyle w:val="20"/>
        <w:spacing w:line="320" w:lineRule="exact"/>
        <w:rPr>
          <w:rFonts w:cs="宋体"/>
          <w:color w:val="auto"/>
          <w:sz w:val="24"/>
          <w:szCs w:val="24"/>
          <w:highlight w:val="none"/>
        </w:rPr>
      </w:pPr>
      <w:r>
        <w:rPr>
          <w:rFonts w:hint="eastAsia" w:cs="宋体"/>
          <w:color w:val="auto"/>
          <w:sz w:val="24"/>
          <w:szCs w:val="24"/>
          <w:highlight w:val="none"/>
        </w:rPr>
        <w:t>项目名称：福建税务2023年机房搬迁项目</w:t>
      </w:r>
    </w:p>
    <w:p>
      <w:pPr>
        <w:pStyle w:val="20"/>
        <w:spacing w:line="320" w:lineRule="exact"/>
        <w:rPr>
          <w:rFonts w:cs="宋体"/>
          <w:color w:val="auto"/>
          <w:sz w:val="24"/>
          <w:szCs w:val="24"/>
          <w:highlight w:val="none"/>
        </w:rPr>
      </w:pPr>
      <w:r>
        <w:rPr>
          <w:rFonts w:hint="eastAsia" w:cs="宋体"/>
          <w:color w:val="auto"/>
          <w:sz w:val="24"/>
          <w:szCs w:val="24"/>
          <w:highlight w:val="none"/>
        </w:rPr>
        <w:t>项目编号：ZXWT-2024-68</w:t>
      </w:r>
      <w:r>
        <w:rPr>
          <w:rFonts w:cs="宋体"/>
          <w:color w:val="auto"/>
          <w:sz w:val="24"/>
          <w:szCs w:val="24"/>
          <w:highlight w:val="none"/>
        </w:rPr>
        <w:t xml:space="preserve">                         </w:t>
      </w:r>
      <w:r>
        <w:rPr>
          <w:rFonts w:hint="eastAsia" w:cs="宋体"/>
          <w:color w:val="auto"/>
          <w:sz w:val="24"/>
          <w:szCs w:val="24"/>
          <w:highlight w:val="none"/>
        </w:rPr>
        <w:t>包号：</w:t>
      </w:r>
      <w:r>
        <w:rPr>
          <w:rFonts w:cs="宋体"/>
          <w:color w:val="auto"/>
          <w:sz w:val="24"/>
          <w:szCs w:val="24"/>
          <w:highlight w:val="none"/>
        </w:rPr>
        <w:t xml:space="preserve"> </w:t>
      </w:r>
    </w:p>
    <w:tbl>
      <w:tblPr>
        <w:tblStyle w:val="35"/>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329"/>
        <w:gridCol w:w="2694"/>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r>
              <w:rPr>
                <w:rFonts w:hint="eastAsia" w:cs="宋体"/>
                <w:color w:val="auto"/>
                <w:sz w:val="24"/>
                <w:szCs w:val="24"/>
                <w:highlight w:val="none"/>
              </w:rPr>
              <w:t>序号</w:t>
            </w:r>
          </w:p>
        </w:tc>
        <w:tc>
          <w:tcPr>
            <w:tcW w:w="3329" w:type="dxa"/>
            <w:vAlign w:val="center"/>
          </w:tcPr>
          <w:p>
            <w:pPr>
              <w:pStyle w:val="20"/>
              <w:spacing w:line="320" w:lineRule="exact"/>
              <w:jc w:val="center"/>
              <w:rPr>
                <w:rFonts w:cs="宋体"/>
                <w:color w:val="auto"/>
                <w:sz w:val="24"/>
                <w:szCs w:val="24"/>
                <w:highlight w:val="none"/>
              </w:rPr>
            </w:pPr>
            <w:r>
              <w:rPr>
                <w:rFonts w:hint="eastAsia" w:cs="宋体"/>
                <w:color w:val="auto"/>
                <w:sz w:val="24"/>
                <w:szCs w:val="24"/>
                <w:highlight w:val="none"/>
              </w:rPr>
              <w:t>技术服务要求</w:t>
            </w:r>
          </w:p>
        </w:tc>
        <w:tc>
          <w:tcPr>
            <w:tcW w:w="2694" w:type="dxa"/>
            <w:vAlign w:val="center"/>
          </w:tcPr>
          <w:p>
            <w:pPr>
              <w:pStyle w:val="20"/>
              <w:spacing w:line="320" w:lineRule="exact"/>
              <w:jc w:val="center"/>
              <w:rPr>
                <w:rFonts w:cs="宋体"/>
                <w:color w:val="auto"/>
                <w:sz w:val="24"/>
                <w:szCs w:val="24"/>
                <w:highlight w:val="none"/>
              </w:rPr>
            </w:pPr>
            <w:r>
              <w:rPr>
                <w:rFonts w:hint="eastAsia" w:cs="宋体"/>
                <w:color w:val="auto"/>
                <w:sz w:val="24"/>
                <w:szCs w:val="24"/>
                <w:highlight w:val="none"/>
              </w:rPr>
              <w:t>投标响应情况</w:t>
            </w:r>
          </w:p>
        </w:tc>
        <w:tc>
          <w:tcPr>
            <w:tcW w:w="992" w:type="dxa"/>
            <w:vAlign w:val="center"/>
          </w:tcPr>
          <w:p>
            <w:pPr>
              <w:pStyle w:val="20"/>
              <w:spacing w:line="320" w:lineRule="exact"/>
              <w:jc w:val="center"/>
              <w:rPr>
                <w:rFonts w:cs="宋体"/>
                <w:color w:val="auto"/>
                <w:sz w:val="24"/>
                <w:szCs w:val="24"/>
                <w:highlight w:val="none"/>
              </w:rPr>
            </w:pPr>
            <w:r>
              <w:rPr>
                <w:rFonts w:hint="eastAsia" w:cs="宋体"/>
                <w:color w:val="auto"/>
                <w:sz w:val="24"/>
                <w:szCs w:val="24"/>
                <w:highlight w:val="none"/>
              </w:rPr>
              <w:t>偏离</w:t>
            </w:r>
          </w:p>
        </w:tc>
        <w:tc>
          <w:tcPr>
            <w:tcW w:w="709" w:type="dxa"/>
            <w:vAlign w:val="center"/>
          </w:tcPr>
          <w:p>
            <w:pPr>
              <w:pStyle w:val="20"/>
              <w:spacing w:line="320" w:lineRule="exact"/>
              <w:jc w:val="center"/>
              <w:rPr>
                <w:rFonts w:cs="宋体"/>
                <w:color w:val="auto"/>
                <w:sz w:val="24"/>
                <w:szCs w:val="24"/>
                <w:highlight w:val="none"/>
              </w:rPr>
            </w:pPr>
            <w:r>
              <w:rPr>
                <w:rFonts w:hint="eastAsia"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pStyle w:val="20"/>
              <w:spacing w:line="320" w:lineRule="exact"/>
              <w:jc w:val="left"/>
              <w:rPr>
                <w:rFonts w:cs="宋体"/>
                <w:color w:val="auto"/>
                <w:sz w:val="24"/>
                <w:szCs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pStyle w:val="20"/>
              <w:spacing w:line="320" w:lineRule="exact"/>
              <w:jc w:val="left"/>
              <w:rPr>
                <w:rFonts w:cs="宋体"/>
                <w:color w:val="auto"/>
                <w:sz w:val="24"/>
                <w:szCs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pStyle w:val="20"/>
              <w:spacing w:line="320" w:lineRule="exact"/>
              <w:jc w:val="left"/>
              <w:rPr>
                <w:rFonts w:cs="宋体"/>
                <w:color w:val="auto"/>
                <w:sz w:val="24"/>
                <w:szCs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pStyle w:val="20"/>
              <w:spacing w:line="320" w:lineRule="exact"/>
              <w:jc w:val="left"/>
              <w:rPr>
                <w:rFonts w:cs="宋体"/>
                <w:color w:val="auto"/>
                <w:sz w:val="24"/>
                <w:szCs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vAlign w:val="center"/>
          </w:tcPr>
          <w:p>
            <w:pPr>
              <w:pStyle w:val="20"/>
              <w:spacing w:line="320" w:lineRule="exact"/>
              <w:jc w:val="center"/>
              <w:rPr>
                <w:rFonts w:cs="宋体"/>
                <w:color w:val="auto"/>
                <w:sz w:val="24"/>
                <w:szCs w:val="24"/>
                <w:highlight w:val="none"/>
              </w:rPr>
            </w:pPr>
          </w:p>
        </w:tc>
        <w:tc>
          <w:tcPr>
            <w:tcW w:w="3329" w:type="dxa"/>
            <w:vAlign w:val="center"/>
          </w:tcPr>
          <w:p>
            <w:pPr>
              <w:spacing w:line="320" w:lineRule="exact"/>
              <w:rPr>
                <w:rFonts w:ascii="宋体" w:cs="宋体"/>
                <w:color w:val="auto"/>
                <w:sz w:val="24"/>
                <w:highlight w:val="none"/>
              </w:rPr>
            </w:pPr>
          </w:p>
        </w:tc>
        <w:tc>
          <w:tcPr>
            <w:tcW w:w="2694" w:type="dxa"/>
            <w:vAlign w:val="center"/>
          </w:tcPr>
          <w:p>
            <w:pPr>
              <w:pStyle w:val="20"/>
              <w:spacing w:line="320" w:lineRule="exact"/>
              <w:jc w:val="center"/>
              <w:rPr>
                <w:rFonts w:cs="宋体"/>
                <w:color w:val="auto"/>
                <w:sz w:val="24"/>
                <w:szCs w:val="24"/>
                <w:highlight w:val="none"/>
              </w:rPr>
            </w:pPr>
          </w:p>
        </w:tc>
        <w:tc>
          <w:tcPr>
            <w:tcW w:w="992" w:type="dxa"/>
            <w:vAlign w:val="center"/>
          </w:tcPr>
          <w:p>
            <w:pPr>
              <w:pStyle w:val="20"/>
              <w:spacing w:line="320" w:lineRule="exact"/>
              <w:jc w:val="center"/>
              <w:rPr>
                <w:rFonts w:cs="宋体"/>
                <w:color w:val="auto"/>
                <w:sz w:val="24"/>
                <w:szCs w:val="24"/>
                <w:highlight w:val="none"/>
              </w:rPr>
            </w:pPr>
          </w:p>
        </w:tc>
        <w:tc>
          <w:tcPr>
            <w:tcW w:w="709" w:type="dxa"/>
            <w:vAlign w:val="center"/>
          </w:tcPr>
          <w:p>
            <w:pPr>
              <w:pStyle w:val="20"/>
              <w:spacing w:line="320" w:lineRule="exact"/>
              <w:jc w:val="center"/>
              <w:rPr>
                <w:rFonts w:cs="宋体"/>
                <w:color w:val="auto"/>
                <w:sz w:val="24"/>
                <w:szCs w:val="24"/>
                <w:highlight w:val="none"/>
              </w:rPr>
            </w:pPr>
          </w:p>
        </w:tc>
      </w:tr>
    </w:tbl>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说明：如有偏离，则必须注明“偏离”；未注明偏离的，视为完全响应。</w:t>
      </w:r>
    </w:p>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法定代表人或其授权代表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spacing w:line="320" w:lineRule="exact"/>
        <w:ind w:firstLine="480" w:firstLineChars="200"/>
        <w:rPr>
          <w:rFonts w:cs="宋体"/>
          <w:color w:val="auto"/>
          <w:sz w:val="24"/>
          <w:szCs w:val="24"/>
          <w:highlight w:val="none"/>
        </w:rPr>
      </w:pPr>
    </w:p>
    <w:p>
      <w:pPr>
        <w:pStyle w:val="20"/>
        <w:spacing w:line="320" w:lineRule="exact"/>
        <w:ind w:firstLine="480" w:firstLineChars="200"/>
        <w:rPr>
          <w:rFonts w:cs="宋体"/>
          <w:color w:val="auto"/>
          <w:sz w:val="24"/>
          <w:szCs w:val="24"/>
          <w:highlight w:val="none"/>
        </w:rPr>
      </w:pPr>
    </w:p>
    <w:p>
      <w:pPr>
        <w:pStyle w:val="20"/>
        <w:spacing w:line="320" w:lineRule="exact"/>
        <w:ind w:firstLine="480" w:firstLineChars="200"/>
        <w:rPr>
          <w:rFonts w:cs="宋体"/>
          <w:color w:val="auto"/>
          <w:sz w:val="24"/>
          <w:szCs w:val="24"/>
          <w:highlight w:val="none"/>
        </w:rPr>
      </w:pPr>
      <w:r>
        <w:rPr>
          <w:rFonts w:hint="eastAsia" w:cs="宋体"/>
          <w:color w:val="auto"/>
          <w:sz w:val="24"/>
          <w:szCs w:val="24"/>
          <w:highlight w:val="none"/>
        </w:rPr>
        <w:t>三、投标人售后服务承诺</w:t>
      </w:r>
    </w:p>
    <w:p>
      <w:pPr>
        <w:pStyle w:val="20"/>
        <w:spacing w:line="320" w:lineRule="exact"/>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示例略</w:t>
      </w:r>
      <w:r>
        <w:rPr>
          <w:rFonts w:cs="宋体"/>
          <w:color w:val="auto"/>
          <w:sz w:val="24"/>
          <w:szCs w:val="24"/>
          <w:highlight w:val="none"/>
        </w:rPr>
        <w:t>)</w:t>
      </w:r>
    </w:p>
    <w:p>
      <w:pPr>
        <w:pStyle w:val="20"/>
        <w:numPr>
          <w:ilvl w:val="0"/>
          <w:numId w:val="3"/>
        </w:numPr>
        <w:rPr>
          <w:rFonts w:cs="宋体"/>
          <w:color w:val="auto"/>
          <w:sz w:val="24"/>
          <w:szCs w:val="24"/>
          <w:highlight w:val="none"/>
        </w:rPr>
      </w:pPr>
      <w:r>
        <w:rPr>
          <w:rFonts w:cs="宋体"/>
          <w:color w:val="auto"/>
          <w:sz w:val="24"/>
          <w:szCs w:val="24"/>
          <w:highlight w:val="none"/>
        </w:rPr>
        <w:br w:type="page"/>
      </w:r>
      <w:r>
        <w:rPr>
          <w:rFonts w:hint="eastAsia" w:cs="宋体"/>
          <w:color w:val="auto"/>
          <w:sz w:val="24"/>
          <w:szCs w:val="24"/>
          <w:highlight w:val="none"/>
        </w:rPr>
        <w:t>用于本项目人员清单列表、简历表、相关证明材料等</w:t>
      </w:r>
    </w:p>
    <w:p>
      <w:pPr>
        <w:pStyle w:val="20"/>
        <w:ind w:left="960"/>
        <w:jc w:val="center"/>
        <w:rPr>
          <w:rFonts w:cs="宋体"/>
          <w:color w:val="auto"/>
          <w:sz w:val="24"/>
          <w:szCs w:val="24"/>
          <w:highlight w:val="none"/>
        </w:rPr>
      </w:pPr>
      <w:r>
        <w:rPr>
          <w:rFonts w:hint="eastAsia" w:cs="宋体"/>
          <w:color w:val="auto"/>
          <w:sz w:val="24"/>
          <w:szCs w:val="24"/>
          <w:highlight w:val="none"/>
        </w:rPr>
        <w:t>4-1用于本项目人员清单列表</w:t>
      </w:r>
    </w:p>
    <w:tbl>
      <w:tblPr>
        <w:tblStyle w:val="35"/>
        <w:tblW w:w="8943"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620"/>
        <w:gridCol w:w="610"/>
        <w:gridCol w:w="714"/>
        <w:gridCol w:w="558"/>
        <w:gridCol w:w="602"/>
        <w:gridCol w:w="786"/>
        <w:gridCol w:w="660"/>
        <w:gridCol w:w="1130"/>
        <w:gridCol w:w="764"/>
        <w:gridCol w:w="1446"/>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620"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姓名</w:t>
            </w:r>
          </w:p>
        </w:tc>
        <w:tc>
          <w:tcPr>
            <w:tcW w:w="610"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性别</w:t>
            </w:r>
          </w:p>
        </w:tc>
        <w:tc>
          <w:tcPr>
            <w:tcW w:w="714"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身份证号码</w:t>
            </w:r>
          </w:p>
        </w:tc>
        <w:tc>
          <w:tcPr>
            <w:tcW w:w="558"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学历</w:t>
            </w:r>
          </w:p>
        </w:tc>
        <w:tc>
          <w:tcPr>
            <w:tcW w:w="602"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学位</w:t>
            </w:r>
          </w:p>
        </w:tc>
        <w:tc>
          <w:tcPr>
            <w:tcW w:w="786"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相关资质证书</w:t>
            </w:r>
          </w:p>
        </w:tc>
        <w:tc>
          <w:tcPr>
            <w:tcW w:w="660"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项目或工作经验年限</w:t>
            </w:r>
          </w:p>
        </w:tc>
        <w:tc>
          <w:tcPr>
            <w:tcW w:w="1130"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项目中承担的角色和负责内容</w:t>
            </w:r>
          </w:p>
        </w:tc>
        <w:tc>
          <w:tcPr>
            <w:tcW w:w="764"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是否为驻场人员</w:t>
            </w:r>
          </w:p>
        </w:tc>
        <w:tc>
          <w:tcPr>
            <w:tcW w:w="1446"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近半年来任意一个月社保缴交记录证明材料是否有提供及在投标文件中对应的页码</w:t>
            </w:r>
          </w:p>
        </w:tc>
        <w:tc>
          <w:tcPr>
            <w:tcW w:w="490" w:type="dxa"/>
            <w:vAlign w:val="center"/>
          </w:tcPr>
          <w:p>
            <w:pPr>
              <w:widowControl/>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63" w:type="dxa"/>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1</w:t>
            </w:r>
          </w:p>
        </w:tc>
        <w:tc>
          <w:tcPr>
            <w:tcW w:w="620" w:type="dxa"/>
            <w:vAlign w:val="center"/>
          </w:tcPr>
          <w:p>
            <w:pPr>
              <w:spacing w:line="440" w:lineRule="exact"/>
              <w:ind w:firstLine="440"/>
              <w:jc w:val="center"/>
              <w:rPr>
                <w:rFonts w:ascii="宋体" w:hAnsi="宋体"/>
                <w:color w:val="auto"/>
                <w:sz w:val="22"/>
                <w:szCs w:val="22"/>
                <w:highlight w:val="none"/>
              </w:rPr>
            </w:pPr>
          </w:p>
        </w:tc>
        <w:tc>
          <w:tcPr>
            <w:tcW w:w="610" w:type="dxa"/>
            <w:vAlign w:val="center"/>
          </w:tcPr>
          <w:p>
            <w:pPr>
              <w:spacing w:line="440" w:lineRule="exact"/>
              <w:ind w:firstLine="440"/>
              <w:jc w:val="center"/>
              <w:rPr>
                <w:rFonts w:ascii="宋体" w:hAnsi="宋体"/>
                <w:color w:val="auto"/>
                <w:sz w:val="22"/>
                <w:szCs w:val="22"/>
                <w:highlight w:val="none"/>
              </w:rPr>
            </w:pPr>
          </w:p>
        </w:tc>
        <w:tc>
          <w:tcPr>
            <w:tcW w:w="714" w:type="dxa"/>
            <w:vAlign w:val="center"/>
          </w:tcPr>
          <w:p>
            <w:pPr>
              <w:spacing w:line="440" w:lineRule="exact"/>
              <w:ind w:firstLine="440"/>
              <w:jc w:val="center"/>
              <w:rPr>
                <w:rFonts w:ascii="宋体" w:hAnsi="宋体"/>
                <w:color w:val="auto"/>
                <w:sz w:val="22"/>
                <w:szCs w:val="22"/>
                <w:highlight w:val="none"/>
              </w:rPr>
            </w:pPr>
          </w:p>
        </w:tc>
        <w:tc>
          <w:tcPr>
            <w:tcW w:w="558" w:type="dxa"/>
            <w:vAlign w:val="center"/>
          </w:tcPr>
          <w:p>
            <w:pPr>
              <w:spacing w:line="440" w:lineRule="exact"/>
              <w:ind w:firstLine="440"/>
              <w:jc w:val="center"/>
              <w:rPr>
                <w:rFonts w:ascii="宋体" w:hAnsi="宋体"/>
                <w:color w:val="auto"/>
                <w:sz w:val="22"/>
                <w:szCs w:val="22"/>
                <w:highlight w:val="none"/>
              </w:rPr>
            </w:pPr>
          </w:p>
        </w:tc>
        <w:tc>
          <w:tcPr>
            <w:tcW w:w="602" w:type="dxa"/>
            <w:vAlign w:val="center"/>
          </w:tcPr>
          <w:p>
            <w:pPr>
              <w:spacing w:line="440" w:lineRule="exact"/>
              <w:ind w:firstLine="440"/>
              <w:jc w:val="center"/>
              <w:rPr>
                <w:rFonts w:ascii="宋体" w:hAnsi="宋体"/>
                <w:color w:val="auto"/>
                <w:sz w:val="22"/>
                <w:szCs w:val="22"/>
                <w:highlight w:val="none"/>
              </w:rPr>
            </w:pPr>
          </w:p>
        </w:tc>
        <w:tc>
          <w:tcPr>
            <w:tcW w:w="786" w:type="dxa"/>
            <w:vAlign w:val="center"/>
          </w:tcPr>
          <w:p>
            <w:pPr>
              <w:spacing w:line="440" w:lineRule="exact"/>
              <w:ind w:firstLine="440"/>
              <w:jc w:val="center"/>
              <w:rPr>
                <w:rFonts w:ascii="宋体" w:hAnsi="宋体"/>
                <w:color w:val="auto"/>
                <w:sz w:val="22"/>
                <w:szCs w:val="22"/>
                <w:highlight w:val="none"/>
              </w:rPr>
            </w:pPr>
          </w:p>
        </w:tc>
        <w:tc>
          <w:tcPr>
            <w:tcW w:w="660" w:type="dxa"/>
            <w:vAlign w:val="center"/>
          </w:tcPr>
          <w:p>
            <w:pPr>
              <w:spacing w:line="440" w:lineRule="exact"/>
              <w:ind w:firstLine="440"/>
              <w:jc w:val="center"/>
              <w:rPr>
                <w:rFonts w:ascii="宋体" w:hAnsi="宋体"/>
                <w:color w:val="auto"/>
                <w:sz w:val="22"/>
                <w:szCs w:val="22"/>
                <w:highlight w:val="none"/>
              </w:rPr>
            </w:pPr>
          </w:p>
        </w:tc>
        <w:tc>
          <w:tcPr>
            <w:tcW w:w="1130" w:type="dxa"/>
            <w:vAlign w:val="center"/>
          </w:tcPr>
          <w:p>
            <w:pPr>
              <w:spacing w:line="440" w:lineRule="exact"/>
              <w:jc w:val="center"/>
              <w:rPr>
                <w:rFonts w:ascii="宋体" w:hAnsi="宋体"/>
                <w:color w:val="auto"/>
                <w:sz w:val="22"/>
                <w:szCs w:val="22"/>
                <w:highlight w:val="none"/>
              </w:rPr>
            </w:pPr>
          </w:p>
        </w:tc>
        <w:tc>
          <w:tcPr>
            <w:tcW w:w="764" w:type="dxa"/>
            <w:vAlign w:val="center"/>
          </w:tcPr>
          <w:p>
            <w:pPr>
              <w:spacing w:line="440" w:lineRule="exact"/>
              <w:ind w:firstLine="440"/>
              <w:jc w:val="center"/>
              <w:rPr>
                <w:rFonts w:ascii="宋体" w:hAnsi="宋体"/>
                <w:color w:val="auto"/>
                <w:sz w:val="22"/>
                <w:szCs w:val="22"/>
                <w:highlight w:val="none"/>
              </w:rPr>
            </w:pPr>
          </w:p>
        </w:tc>
        <w:tc>
          <w:tcPr>
            <w:tcW w:w="1446" w:type="dxa"/>
            <w:vAlign w:val="center"/>
          </w:tcPr>
          <w:p>
            <w:pPr>
              <w:spacing w:line="440" w:lineRule="exact"/>
              <w:ind w:firstLine="440"/>
              <w:jc w:val="center"/>
              <w:rPr>
                <w:rFonts w:ascii="宋体" w:hAnsi="宋体"/>
                <w:color w:val="auto"/>
                <w:sz w:val="22"/>
                <w:szCs w:val="22"/>
                <w:highlight w:val="none"/>
              </w:rPr>
            </w:pPr>
          </w:p>
        </w:tc>
        <w:tc>
          <w:tcPr>
            <w:tcW w:w="490" w:type="dxa"/>
            <w:vMerge w:val="restart"/>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个人简历附后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63" w:type="dxa"/>
            <w:vAlign w:val="center"/>
          </w:tcPr>
          <w:p>
            <w:pPr>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2</w:t>
            </w:r>
          </w:p>
        </w:tc>
        <w:tc>
          <w:tcPr>
            <w:tcW w:w="620" w:type="dxa"/>
            <w:vAlign w:val="center"/>
          </w:tcPr>
          <w:p>
            <w:pPr>
              <w:spacing w:line="440" w:lineRule="exact"/>
              <w:ind w:firstLine="440"/>
              <w:jc w:val="center"/>
              <w:rPr>
                <w:rFonts w:ascii="宋体" w:hAnsi="宋体"/>
                <w:color w:val="auto"/>
                <w:sz w:val="22"/>
                <w:szCs w:val="22"/>
                <w:highlight w:val="none"/>
              </w:rPr>
            </w:pPr>
          </w:p>
        </w:tc>
        <w:tc>
          <w:tcPr>
            <w:tcW w:w="610" w:type="dxa"/>
            <w:vAlign w:val="center"/>
          </w:tcPr>
          <w:p>
            <w:pPr>
              <w:spacing w:line="440" w:lineRule="exact"/>
              <w:ind w:firstLine="440"/>
              <w:jc w:val="center"/>
              <w:rPr>
                <w:rFonts w:ascii="宋体" w:hAnsi="宋体"/>
                <w:color w:val="auto"/>
                <w:sz w:val="22"/>
                <w:szCs w:val="22"/>
                <w:highlight w:val="none"/>
              </w:rPr>
            </w:pPr>
          </w:p>
        </w:tc>
        <w:tc>
          <w:tcPr>
            <w:tcW w:w="714" w:type="dxa"/>
            <w:vAlign w:val="center"/>
          </w:tcPr>
          <w:p>
            <w:pPr>
              <w:spacing w:line="440" w:lineRule="exact"/>
              <w:ind w:firstLine="440"/>
              <w:jc w:val="center"/>
              <w:rPr>
                <w:rFonts w:ascii="宋体" w:hAnsi="宋体"/>
                <w:color w:val="auto"/>
                <w:sz w:val="22"/>
                <w:szCs w:val="22"/>
                <w:highlight w:val="none"/>
              </w:rPr>
            </w:pPr>
          </w:p>
        </w:tc>
        <w:tc>
          <w:tcPr>
            <w:tcW w:w="558" w:type="dxa"/>
            <w:vAlign w:val="center"/>
          </w:tcPr>
          <w:p>
            <w:pPr>
              <w:spacing w:line="440" w:lineRule="exact"/>
              <w:ind w:firstLine="440"/>
              <w:jc w:val="center"/>
              <w:rPr>
                <w:rFonts w:ascii="宋体" w:hAnsi="宋体"/>
                <w:color w:val="auto"/>
                <w:sz w:val="22"/>
                <w:szCs w:val="22"/>
                <w:highlight w:val="none"/>
              </w:rPr>
            </w:pPr>
          </w:p>
        </w:tc>
        <w:tc>
          <w:tcPr>
            <w:tcW w:w="602" w:type="dxa"/>
            <w:vAlign w:val="center"/>
          </w:tcPr>
          <w:p>
            <w:pPr>
              <w:spacing w:line="440" w:lineRule="exact"/>
              <w:ind w:firstLine="440"/>
              <w:jc w:val="center"/>
              <w:rPr>
                <w:rFonts w:ascii="宋体" w:hAnsi="宋体"/>
                <w:color w:val="auto"/>
                <w:sz w:val="22"/>
                <w:szCs w:val="22"/>
                <w:highlight w:val="none"/>
              </w:rPr>
            </w:pPr>
          </w:p>
        </w:tc>
        <w:tc>
          <w:tcPr>
            <w:tcW w:w="786" w:type="dxa"/>
            <w:vAlign w:val="center"/>
          </w:tcPr>
          <w:p>
            <w:pPr>
              <w:spacing w:line="440" w:lineRule="exact"/>
              <w:ind w:firstLine="440"/>
              <w:jc w:val="center"/>
              <w:rPr>
                <w:rFonts w:ascii="宋体" w:hAnsi="宋体"/>
                <w:color w:val="auto"/>
                <w:sz w:val="22"/>
                <w:szCs w:val="22"/>
                <w:highlight w:val="none"/>
              </w:rPr>
            </w:pPr>
          </w:p>
        </w:tc>
        <w:tc>
          <w:tcPr>
            <w:tcW w:w="660" w:type="dxa"/>
            <w:vAlign w:val="center"/>
          </w:tcPr>
          <w:p>
            <w:pPr>
              <w:spacing w:line="440" w:lineRule="exact"/>
              <w:ind w:firstLine="440"/>
              <w:jc w:val="center"/>
              <w:rPr>
                <w:rFonts w:ascii="宋体" w:hAnsi="宋体"/>
                <w:color w:val="auto"/>
                <w:sz w:val="22"/>
                <w:szCs w:val="22"/>
                <w:highlight w:val="none"/>
              </w:rPr>
            </w:pPr>
          </w:p>
        </w:tc>
        <w:tc>
          <w:tcPr>
            <w:tcW w:w="1130" w:type="dxa"/>
            <w:vAlign w:val="center"/>
          </w:tcPr>
          <w:p>
            <w:pPr>
              <w:spacing w:line="440" w:lineRule="exact"/>
              <w:ind w:firstLine="440"/>
              <w:jc w:val="center"/>
              <w:rPr>
                <w:rFonts w:ascii="宋体" w:hAnsi="宋体"/>
                <w:color w:val="auto"/>
                <w:sz w:val="22"/>
                <w:szCs w:val="22"/>
                <w:highlight w:val="none"/>
              </w:rPr>
            </w:pPr>
          </w:p>
        </w:tc>
        <w:tc>
          <w:tcPr>
            <w:tcW w:w="764" w:type="dxa"/>
            <w:vAlign w:val="center"/>
          </w:tcPr>
          <w:p>
            <w:pPr>
              <w:spacing w:line="440" w:lineRule="exact"/>
              <w:ind w:firstLine="440"/>
              <w:jc w:val="center"/>
              <w:rPr>
                <w:rFonts w:ascii="宋体" w:hAnsi="宋体"/>
                <w:color w:val="auto"/>
                <w:sz w:val="22"/>
                <w:szCs w:val="22"/>
                <w:highlight w:val="none"/>
              </w:rPr>
            </w:pPr>
          </w:p>
        </w:tc>
        <w:tc>
          <w:tcPr>
            <w:tcW w:w="1446" w:type="dxa"/>
            <w:vAlign w:val="center"/>
          </w:tcPr>
          <w:p>
            <w:pPr>
              <w:spacing w:line="440" w:lineRule="exact"/>
              <w:ind w:firstLine="440"/>
              <w:jc w:val="center"/>
              <w:rPr>
                <w:rFonts w:ascii="宋体" w:hAnsi="宋体"/>
                <w:color w:val="auto"/>
                <w:sz w:val="22"/>
                <w:szCs w:val="22"/>
                <w:highlight w:val="none"/>
              </w:rPr>
            </w:pPr>
          </w:p>
        </w:tc>
        <w:tc>
          <w:tcPr>
            <w:tcW w:w="490" w:type="dxa"/>
            <w:vMerge w:val="continue"/>
            <w:vAlign w:val="center"/>
          </w:tcPr>
          <w:p>
            <w:pPr>
              <w:spacing w:line="440" w:lineRule="exact"/>
              <w:ind w:firstLine="440"/>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3</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4</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5</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6</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7</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8</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9</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10</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Merge w:val="continue"/>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63" w:type="dxa"/>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w:t>
            </w:r>
          </w:p>
        </w:tc>
        <w:tc>
          <w:tcPr>
            <w:tcW w:w="620" w:type="dxa"/>
            <w:vAlign w:val="center"/>
          </w:tcPr>
          <w:p>
            <w:pPr>
              <w:jc w:val="center"/>
              <w:rPr>
                <w:rFonts w:ascii="宋体" w:hAnsi="宋体"/>
                <w:color w:val="auto"/>
                <w:sz w:val="22"/>
                <w:szCs w:val="22"/>
                <w:highlight w:val="none"/>
              </w:rPr>
            </w:pPr>
          </w:p>
        </w:tc>
        <w:tc>
          <w:tcPr>
            <w:tcW w:w="610" w:type="dxa"/>
            <w:vAlign w:val="center"/>
          </w:tcPr>
          <w:p>
            <w:pPr>
              <w:jc w:val="center"/>
              <w:rPr>
                <w:rFonts w:ascii="宋体" w:hAnsi="宋体"/>
                <w:color w:val="auto"/>
                <w:sz w:val="22"/>
                <w:szCs w:val="22"/>
                <w:highlight w:val="none"/>
              </w:rPr>
            </w:pPr>
          </w:p>
        </w:tc>
        <w:tc>
          <w:tcPr>
            <w:tcW w:w="714" w:type="dxa"/>
            <w:vAlign w:val="center"/>
          </w:tcPr>
          <w:p>
            <w:pPr>
              <w:jc w:val="center"/>
              <w:rPr>
                <w:rFonts w:ascii="宋体" w:hAnsi="宋体"/>
                <w:color w:val="auto"/>
                <w:sz w:val="22"/>
                <w:szCs w:val="22"/>
                <w:highlight w:val="none"/>
              </w:rPr>
            </w:pPr>
          </w:p>
        </w:tc>
        <w:tc>
          <w:tcPr>
            <w:tcW w:w="558" w:type="dxa"/>
            <w:vAlign w:val="center"/>
          </w:tcPr>
          <w:p>
            <w:pPr>
              <w:jc w:val="center"/>
              <w:rPr>
                <w:rFonts w:ascii="宋体" w:hAnsi="宋体"/>
                <w:color w:val="auto"/>
                <w:sz w:val="22"/>
                <w:szCs w:val="22"/>
                <w:highlight w:val="none"/>
              </w:rPr>
            </w:pPr>
          </w:p>
        </w:tc>
        <w:tc>
          <w:tcPr>
            <w:tcW w:w="602" w:type="dxa"/>
            <w:vAlign w:val="center"/>
          </w:tcPr>
          <w:p>
            <w:pPr>
              <w:jc w:val="center"/>
              <w:rPr>
                <w:rFonts w:ascii="宋体" w:hAnsi="宋体"/>
                <w:color w:val="auto"/>
                <w:sz w:val="22"/>
                <w:szCs w:val="22"/>
                <w:highlight w:val="none"/>
              </w:rPr>
            </w:pPr>
          </w:p>
        </w:tc>
        <w:tc>
          <w:tcPr>
            <w:tcW w:w="786" w:type="dxa"/>
            <w:vAlign w:val="center"/>
          </w:tcPr>
          <w:p>
            <w:pPr>
              <w:jc w:val="center"/>
              <w:rPr>
                <w:rFonts w:ascii="宋体" w:hAnsi="宋体"/>
                <w:color w:val="auto"/>
                <w:sz w:val="22"/>
                <w:szCs w:val="22"/>
                <w:highlight w:val="none"/>
              </w:rPr>
            </w:pPr>
          </w:p>
        </w:tc>
        <w:tc>
          <w:tcPr>
            <w:tcW w:w="660" w:type="dxa"/>
            <w:vAlign w:val="center"/>
          </w:tcPr>
          <w:p>
            <w:pPr>
              <w:jc w:val="center"/>
              <w:rPr>
                <w:rFonts w:ascii="宋体" w:hAnsi="宋体"/>
                <w:color w:val="auto"/>
                <w:sz w:val="22"/>
                <w:szCs w:val="22"/>
                <w:highlight w:val="none"/>
              </w:rPr>
            </w:pPr>
          </w:p>
        </w:tc>
        <w:tc>
          <w:tcPr>
            <w:tcW w:w="1130" w:type="dxa"/>
            <w:vAlign w:val="center"/>
          </w:tcPr>
          <w:p>
            <w:pPr>
              <w:jc w:val="center"/>
              <w:rPr>
                <w:rFonts w:ascii="宋体" w:hAnsi="宋体"/>
                <w:color w:val="auto"/>
                <w:sz w:val="22"/>
                <w:szCs w:val="22"/>
                <w:highlight w:val="none"/>
              </w:rPr>
            </w:pPr>
          </w:p>
        </w:tc>
        <w:tc>
          <w:tcPr>
            <w:tcW w:w="764" w:type="dxa"/>
            <w:vAlign w:val="center"/>
          </w:tcPr>
          <w:p>
            <w:pPr>
              <w:jc w:val="center"/>
              <w:rPr>
                <w:rFonts w:ascii="宋体" w:hAnsi="宋体"/>
                <w:color w:val="auto"/>
                <w:sz w:val="22"/>
                <w:szCs w:val="22"/>
                <w:highlight w:val="none"/>
              </w:rPr>
            </w:pPr>
          </w:p>
        </w:tc>
        <w:tc>
          <w:tcPr>
            <w:tcW w:w="1446" w:type="dxa"/>
            <w:vAlign w:val="center"/>
          </w:tcPr>
          <w:p>
            <w:pPr>
              <w:jc w:val="center"/>
              <w:rPr>
                <w:rFonts w:ascii="宋体" w:hAnsi="宋体"/>
                <w:color w:val="auto"/>
                <w:sz w:val="22"/>
                <w:szCs w:val="22"/>
                <w:highlight w:val="none"/>
              </w:rPr>
            </w:pPr>
          </w:p>
        </w:tc>
        <w:tc>
          <w:tcPr>
            <w:tcW w:w="490" w:type="dxa"/>
            <w:vAlign w:val="center"/>
          </w:tcPr>
          <w:p>
            <w:pPr>
              <w:jc w:val="center"/>
              <w:rPr>
                <w:rFonts w:ascii="宋体" w:hAnsi="宋体"/>
                <w:color w:val="auto"/>
                <w:sz w:val="22"/>
                <w:szCs w:val="22"/>
                <w:highlight w:val="none"/>
              </w:rPr>
            </w:pPr>
          </w:p>
        </w:tc>
      </w:tr>
    </w:tbl>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br w:type="page"/>
      </w:r>
      <w:r>
        <w:rPr>
          <w:rFonts w:hint="eastAsia" w:cs="宋体"/>
          <w:color w:val="auto"/>
          <w:sz w:val="24"/>
          <w:szCs w:val="24"/>
          <w:highlight w:val="none"/>
        </w:rPr>
        <w:t>4-2用于本项目人员简历表</w:t>
      </w:r>
    </w:p>
    <w:p>
      <w:pPr>
        <w:pStyle w:val="20"/>
        <w:ind w:firstLine="480" w:firstLineChars="200"/>
        <w:rPr>
          <w:rFonts w:cs="宋体"/>
          <w:color w:val="auto"/>
          <w:sz w:val="24"/>
          <w:szCs w:val="24"/>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姓名</w:t>
            </w: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r>
              <w:rPr>
                <w:rFonts w:hint="eastAsia" w:cs="宋体"/>
                <w:color w:val="auto"/>
                <w:sz w:val="24"/>
                <w:szCs w:val="24"/>
                <w:highlight w:val="none"/>
              </w:rPr>
              <w:t>性别</w:t>
            </w: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职务</w:t>
            </w: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r>
              <w:rPr>
                <w:rFonts w:hint="eastAsia" w:cs="宋体"/>
                <w:color w:val="auto"/>
                <w:sz w:val="24"/>
                <w:szCs w:val="24"/>
                <w:highlight w:val="none"/>
              </w:rPr>
              <w:t>职称</w:t>
            </w: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毕业学校、专业</w:t>
            </w:r>
          </w:p>
        </w:tc>
        <w:tc>
          <w:tcPr>
            <w:tcW w:w="5808" w:type="dxa"/>
            <w:gridSpan w:val="3"/>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身份证号</w:t>
            </w: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r>
              <w:rPr>
                <w:rFonts w:hint="eastAsia" w:cs="宋体"/>
                <w:color w:val="auto"/>
                <w:sz w:val="24"/>
                <w:szCs w:val="24"/>
                <w:highlight w:val="none"/>
              </w:rPr>
              <w:t>拟在本项目任职</w:t>
            </w: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执业资格证</w:t>
            </w: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r>
              <w:rPr>
                <w:rFonts w:hint="eastAsia" w:cs="宋体"/>
                <w:color w:val="auto"/>
                <w:sz w:val="24"/>
                <w:szCs w:val="24"/>
                <w:highlight w:val="none"/>
              </w:rPr>
              <w:t>执业资格证书号</w:t>
            </w: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20"/>
              <w:jc w:val="left"/>
              <w:rPr>
                <w:rFonts w:cs="宋体"/>
                <w:color w:val="auto"/>
                <w:sz w:val="24"/>
                <w:szCs w:val="24"/>
                <w:highlight w:val="none"/>
              </w:rPr>
            </w:pPr>
            <w:r>
              <w:rPr>
                <w:rFonts w:hint="eastAsia" w:cs="宋体"/>
                <w:color w:val="auto"/>
                <w:sz w:val="24"/>
                <w:szCs w:val="24"/>
                <w:highlight w:val="none"/>
              </w:rPr>
              <w:t>近</w:t>
            </w:r>
            <w:r>
              <w:rPr>
                <w:rFonts w:cs="宋体"/>
                <w:color w:val="auto"/>
                <w:sz w:val="24"/>
                <w:szCs w:val="24"/>
                <w:highlight w:val="none"/>
              </w:rPr>
              <w:t>____</w:t>
            </w:r>
            <w:r>
              <w:rPr>
                <w:rFonts w:hint="eastAsia" w:cs="宋体"/>
                <w:color w:val="auto"/>
                <w:sz w:val="24"/>
                <w:szCs w:val="24"/>
                <w:highlight w:val="none"/>
              </w:rPr>
              <w:t>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r>
              <w:rPr>
                <w:rFonts w:hint="eastAsia" w:cs="宋体"/>
                <w:color w:val="auto"/>
                <w:sz w:val="24"/>
                <w:szCs w:val="24"/>
                <w:highlight w:val="none"/>
              </w:rPr>
              <w:t>时间</w:t>
            </w:r>
          </w:p>
        </w:tc>
        <w:tc>
          <w:tcPr>
            <w:tcW w:w="1656" w:type="dxa"/>
            <w:vAlign w:val="center"/>
          </w:tcPr>
          <w:p>
            <w:pPr>
              <w:pStyle w:val="20"/>
              <w:jc w:val="center"/>
              <w:rPr>
                <w:rFonts w:cs="宋体"/>
                <w:color w:val="auto"/>
                <w:sz w:val="24"/>
                <w:szCs w:val="24"/>
                <w:highlight w:val="none"/>
              </w:rPr>
            </w:pPr>
            <w:r>
              <w:rPr>
                <w:rFonts w:hint="eastAsia" w:cs="宋体"/>
                <w:color w:val="auto"/>
                <w:sz w:val="24"/>
                <w:szCs w:val="24"/>
                <w:highlight w:val="none"/>
              </w:rPr>
              <w:t>类似项目名称</w:t>
            </w:r>
          </w:p>
        </w:tc>
        <w:tc>
          <w:tcPr>
            <w:tcW w:w="1866" w:type="dxa"/>
            <w:vAlign w:val="center"/>
          </w:tcPr>
          <w:p>
            <w:pPr>
              <w:pStyle w:val="20"/>
              <w:jc w:val="center"/>
              <w:rPr>
                <w:rFonts w:cs="宋体"/>
                <w:color w:val="auto"/>
                <w:sz w:val="24"/>
                <w:szCs w:val="24"/>
                <w:highlight w:val="none"/>
              </w:rPr>
            </w:pPr>
            <w:r>
              <w:rPr>
                <w:rFonts w:hint="eastAsia" w:cs="宋体"/>
                <w:color w:val="auto"/>
                <w:sz w:val="24"/>
                <w:szCs w:val="24"/>
                <w:highlight w:val="none"/>
              </w:rPr>
              <w:t>担任职务</w:t>
            </w:r>
          </w:p>
        </w:tc>
        <w:tc>
          <w:tcPr>
            <w:tcW w:w="2286" w:type="dxa"/>
            <w:vAlign w:val="center"/>
          </w:tcPr>
          <w:p>
            <w:pPr>
              <w:pStyle w:val="20"/>
              <w:jc w:val="center"/>
              <w:rPr>
                <w:rFonts w:cs="宋体"/>
                <w:color w:val="auto"/>
                <w:sz w:val="24"/>
                <w:szCs w:val="24"/>
                <w:highlight w:val="none"/>
              </w:rPr>
            </w:pPr>
            <w:r>
              <w:rPr>
                <w:rFonts w:hint="eastAsia" w:cs="宋体"/>
                <w:color w:val="auto"/>
                <w:sz w:val="24"/>
                <w:szCs w:val="24"/>
                <w:highlight w:val="none"/>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20"/>
              <w:jc w:val="center"/>
              <w:rPr>
                <w:rFonts w:cs="宋体"/>
                <w:color w:val="auto"/>
                <w:sz w:val="24"/>
                <w:szCs w:val="24"/>
                <w:highlight w:val="none"/>
              </w:rPr>
            </w:pPr>
          </w:p>
        </w:tc>
        <w:tc>
          <w:tcPr>
            <w:tcW w:w="1656" w:type="dxa"/>
            <w:vAlign w:val="center"/>
          </w:tcPr>
          <w:p>
            <w:pPr>
              <w:pStyle w:val="20"/>
              <w:jc w:val="center"/>
              <w:rPr>
                <w:rFonts w:cs="宋体"/>
                <w:color w:val="auto"/>
                <w:sz w:val="24"/>
                <w:szCs w:val="24"/>
                <w:highlight w:val="none"/>
              </w:rPr>
            </w:pPr>
          </w:p>
        </w:tc>
        <w:tc>
          <w:tcPr>
            <w:tcW w:w="1866" w:type="dxa"/>
            <w:vAlign w:val="center"/>
          </w:tcPr>
          <w:p>
            <w:pPr>
              <w:pStyle w:val="20"/>
              <w:jc w:val="center"/>
              <w:rPr>
                <w:rFonts w:cs="宋体"/>
                <w:color w:val="auto"/>
                <w:sz w:val="24"/>
                <w:szCs w:val="24"/>
                <w:highlight w:val="none"/>
              </w:rPr>
            </w:pPr>
          </w:p>
        </w:tc>
        <w:tc>
          <w:tcPr>
            <w:tcW w:w="2286" w:type="dxa"/>
            <w:vAlign w:val="center"/>
          </w:tcPr>
          <w:p>
            <w:pPr>
              <w:pStyle w:val="20"/>
              <w:jc w:val="center"/>
              <w:rPr>
                <w:rFonts w:cs="宋体"/>
                <w:color w:val="auto"/>
                <w:sz w:val="24"/>
                <w:szCs w:val="24"/>
                <w:highlight w:val="none"/>
              </w:rPr>
            </w:pPr>
          </w:p>
        </w:tc>
      </w:tr>
    </w:tbl>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jc w:val="center"/>
        <w:rPr>
          <w:rFonts w:cs="宋体"/>
          <w:color w:val="auto"/>
          <w:sz w:val="24"/>
          <w:szCs w:val="24"/>
          <w:highlight w:val="none"/>
        </w:rPr>
      </w:pPr>
      <w:r>
        <w:rPr>
          <w:rFonts w:hint="eastAsia" w:cs="宋体"/>
          <w:color w:val="auto"/>
          <w:sz w:val="24"/>
          <w:szCs w:val="24"/>
          <w:highlight w:val="none"/>
        </w:rPr>
        <w:br w:type="page"/>
      </w:r>
      <w:r>
        <w:rPr>
          <w:rFonts w:hint="eastAsia" w:cs="宋体"/>
          <w:color w:val="auto"/>
          <w:sz w:val="24"/>
          <w:szCs w:val="24"/>
          <w:highlight w:val="none"/>
        </w:rPr>
        <w:t>4-3相关证明材料等</w:t>
      </w:r>
    </w:p>
    <w:p>
      <w:pPr>
        <w:pStyle w:val="20"/>
        <w:ind w:firstLine="480" w:firstLineChars="200"/>
        <w:jc w:val="center"/>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注：人员相关证书、</w:t>
      </w:r>
      <w:r>
        <w:rPr>
          <w:rFonts w:hint="eastAsia" w:hAnsi="宋体"/>
          <w:color w:val="auto"/>
          <w:sz w:val="22"/>
          <w:szCs w:val="22"/>
          <w:highlight w:val="none"/>
        </w:rPr>
        <w:t>项目或工作经验年限、社保缴交记录等证明材料请按4-1</w:t>
      </w:r>
      <w:r>
        <w:rPr>
          <w:rFonts w:hint="eastAsia" w:cs="宋体"/>
          <w:color w:val="auto"/>
          <w:sz w:val="24"/>
          <w:szCs w:val="24"/>
          <w:highlight w:val="none"/>
        </w:rPr>
        <w:t>人员清单列表中的序号排序一一列明。</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20"/>
        <w:ind w:firstLine="480" w:firstLineChars="200"/>
        <w:rPr>
          <w:rFonts w:cs="宋体"/>
          <w:color w:val="auto"/>
          <w:sz w:val="24"/>
          <w:szCs w:val="24"/>
          <w:highlight w:val="none"/>
        </w:rPr>
      </w:pPr>
      <w:r>
        <w:rPr>
          <w:rFonts w:hint="eastAsia" w:cs="宋体"/>
          <w:color w:val="auto"/>
          <w:sz w:val="24"/>
          <w:szCs w:val="24"/>
          <w:highlight w:val="none"/>
        </w:rPr>
        <w:br w:type="page"/>
      </w:r>
      <w:r>
        <w:rPr>
          <w:rFonts w:hint="eastAsia" w:cs="宋体"/>
          <w:color w:val="auto"/>
          <w:sz w:val="24"/>
          <w:szCs w:val="24"/>
          <w:highlight w:val="none"/>
        </w:rPr>
        <w:t>五、投标标的物符合招标文件规定的证明文件</w:t>
      </w:r>
    </w:p>
    <w:p>
      <w:pPr>
        <w:pStyle w:val="20"/>
        <w:ind w:firstLine="480" w:firstLineChars="200"/>
        <w:rPr>
          <w:rFonts w:cs="宋体"/>
          <w:color w:val="auto"/>
          <w:sz w:val="24"/>
          <w:szCs w:val="24"/>
          <w:highlight w:val="none"/>
        </w:rPr>
      </w:pPr>
      <w:r>
        <w:rPr>
          <w:rFonts w:cs="宋体"/>
          <w:color w:val="auto"/>
          <w:sz w:val="24"/>
          <w:szCs w:val="24"/>
          <w:highlight w:val="none"/>
        </w:rPr>
        <w:t>(</w:t>
      </w:r>
      <w:r>
        <w:rPr>
          <w:rFonts w:hint="eastAsia" w:cs="宋体"/>
          <w:color w:val="auto"/>
          <w:sz w:val="24"/>
          <w:szCs w:val="24"/>
          <w:highlight w:val="none"/>
        </w:rPr>
        <w:t>示例略</w:t>
      </w:r>
      <w:r>
        <w:rPr>
          <w:rFonts w:cs="宋体"/>
          <w:color w:val="auto"/>
          <w:sz w:val="24"/>
          <w:szCs w:val="24"/>
          <w:highlight w:val="none"/>
        </w:rPr>
        <w:t>)</w:t>
      </w:r>
    </w:p>
    <w:p>
      <w:pPr>
        <w:pStyle w:val="20"/>
        <w:ind w:firstLine="480" w:firstLineChars="200"/>
        <w:rPr>
          <w:rFonts w:cs="宋体"/>
          <w:color w:val="auto"/>
          <w:sz w:val="24"/>
          <w:szCs w:val="24"/>
          <w:highlight w:val="none"/>
        </w:rPr>
      </w:pPr>
    </w:p>
    <w:p>
      <w:pPr>
        <w:pStyle w:val="20"/>
        <w:ind w:firstLine="480" w:firstLineChars="200"/>
        <w:rPr>
          <w:rFonts w:cs="宋体"/>
          <w:color w:val="auto"/>
          <w:sz w:val="24"/>
          <w:szCs w:val="24"/>
          <w:highlight w:val="none"/>
        </w:rPr>
      </w:pPr>
      <w:r>
        <w:rPr>
          <w:rFonts w:hint="eastAsia" w:cs="宋体"/>
          <w:color w:val="auto"/>
          <w:sz w:val="24"/>
          <w:szCs w:val="24"/>
          <w:highlight w:val="none"/>
        </w:rPr>
        <w:t>备注：提供第二章“投标人须知前附表”、</w:t>
      </w:r>
      <w:r>
        <w:rPr>
          <w:rFonts w:cs="宋体"/>
          <w:color w:val="auto"/>
          <w:sz w:val="24"/>
          <w:szCs w:val="24"/>
          <w:highlight w:val="none"/>
        </w:rPr>
        <w:t xml:space="preserve"> </w:t>
      </w:r>
      <w:r>
        <w:rPr>
          <w:rFonts w:hint="eastAsia" w:cs="宋体"/>
          <w:color w:val="auto"/>
          <w:sz w:val="24"/>
          <w:szCs w:val="24"/>
          <w:highlight w:val="none"/>
        </w:rPr>
        <w:t>第三章评标办法及标准以及第六章“项目采购需求”规定的证明材料复印件。</w:t>
      </w:r>
    </w:p>
    <w:p>
      <w:pPr>
        <w:pStyle w:val="20"/>
        <w:ind w:firstLine="480" w:firstLineChars="200"/>
        <w:rPr>
          <w:rFonts w:cs="宋体"/>
          <w:color w:val="auto"/>
          <w:sz w:val="24"/>
          <w:szCs w:val="24"/>
          <w:highlight w:val="none"/>
        </w:rPr>
      </w:pPr>
    </w:p>
    <w:p>
      <w:pPr>
        <w:pStyle w:val="20"/>
        <w:numPr>
          <w:ilvl w:val="-1"/>
          <w:numId w:val="0"/>
        </w:numPr>
        <w:ind w:left="960" w:leftChars="0" w:firstLine="0" w:firstLineChars="0"/>
        <w:rPr>
          <w:rFonts w:hint="eastAsia" w:cs="宋体"/>
          <w:color w:val="auto"/>
          <w:sz w:val="24"/>
          <w:szCs w:val="24"/>
          <w:highlight w:val="none"/>
          <w:lang w:val="en-US" w:eastAsia="zh-CN"/>
        </w:rPr>
      </w:pPr>
      <w:r>
        <w:rPr>
          <w:rFonts w:cs="宋体"/>
          <w:color w:val="auto"/>
          <w:sz w:val="24"/>
          <w:szCs w:val="24"/>
          <w:highlight w:val="none"/>
        </w:rPr>
        <w:br w:type="page"/>
      </w:r>
      <w:r>
        <w:rPr>
          <w:rFonts w:hint="eastAsia" w:cs="宋体"/>
          <w:color w:val="auto"/>
          <w:sz w:val="24"/>
          <w:szCs w:val="24"/>
          <w:highlight w:val="none"/>
          <w:lang w:val="en-US" w:eastAsia="zh-CN"/>
        </w:rPr>
        <w:t>六、相关承诺函</w:t>
      </w:r>
    </w:p>
    <w:p>
      <w:pPr>
        <w:pStyle w:val="20"/>
        <w:widowControl w:val="0"/>
        <w:numPr>
          <w:ilvl w:val="0"/>
          <w:numId w:val="0"/>
        </w:numPr>
        <w:jc w:val="both"/>
        <w:rPr>
          <w:rFonts w:hint="default" w:cs="宋体"/>
          <w:color w:val="auto"/>
          <w:sz w:val="24"/>
          <w:szCs w:val="24"/>
          <w:highlight w:val="none"/>
          <w:lang w:val="en-US" w:eastAsia="zh-CN"/>
        </w:rPr>
      </w:pPr>
    </w:p>
    <w:p>
      <w:pPr>
        <w:pStyle w:val="20"/>
        <w:widowControl w:val="0"/>
        <w:numPr>
          <w:ilvl w:val="0"/>
          <w:numId w:val="0"/>
        </w:numPr>
        <w:jc w:val="center"/>
        <w:rPr>
          <w:rFonts w:hint="eastAsia" w:cs="宋体"/>
          <w:b/>
          <w:bCs/>
          <w:color w:val="auto"/>
          <w:sz w:val="24"/>
          <w:szCs w:val="24"/>
          <w:highlight w:val="none"/>
          <w:lang w:val="en-US" w:eastAsia="zh-CN"/>
        </w:rPr>
      </w:pPr>
      <w:r>
        <w:rPr>
          <w:rFonts w:hint="eastAsia" w:cs="宋体"/>
          <w:b/>
          <w:bCs/>
          <w:color w:val="auto"/>
          <w:sz w:val="24"/>
          <w:szCs w:val="24"/>
          <w:highlight w:val="none"/>
          <w:lang w:val="en-US" w:eastAsia="zh-CN"/>
        </w:rPr>
        <w:t>承诺函</w:t>
      </w:r>
    </w:p>
    <w:p>
      <w:pPr>
        <w:spacing w:line="390" w:lineRule="exact"/>
        <w:rPr>
          <w:rFonts w:hint="eastAsia" w:ascii="宋体" w:cs="宋体"/>
          <w:color w:val="auto"/>
          <w:sz w:val="24"/>
          <w:szCs w:val="24"/>
          <w:highlight w:val="none"/>
          <w:u w:val="single"/>
          <w:lang w:eastAsia="zh-CN"/>
        </w:rPr>
      </w:pPr>
      <w:r>
        <w:rPr>
          <w:rFonts w:hint="eastAsia" w:ascii="宋体" w:cs="宋体"/>
          <w:color w:val="auto"/>
          <w:sz w:val="24"/>
          <w:szCs w:val="24"/>
          <w:highlight w:val="none"/>
          <w:u w:val="single"/>
        </w:rPr>
        <w:t>国家税务总局福建省税务局</w:t>
      </w:r>
      <w:r>
        <w:rPr>
          <w:rFonts w:hint="eastAsia" w:ascii="宋体" w:cs="宋体"/>
          <w:color w:val="auto"/>
          <w:sz w:val="24"/>
          <w:szCs w:val="24"/>
          <w:highlight w:val="none"/>
          <w:u w:val="single"/>
          <w:lang w:eastAsia="zh-CN"/>
        </w:rPr>
        <w:t>、</w:t>
      </w:r>
      <w:r>
        <w:rPr>
          <w:rFonts w:hint="eastAsia" w:ascii="宋体" w:cs="宋体"/>
          <w:color w:val="auto"/>
          <w:sz w:val="24"/>
          <w:szCs w:val="24"/>
          <w:highlight w:val="none"/>
          <w:u w:val="single"/>
        </w:rPr>
        <w:t>福建省智信招标有限公司</w:t>
      </w:r>
      <w:r>
        <w:rPr>
          <w:rFonts w:hint="eastAsia" w:ascii="宋体" w:cs="宋体"/>
          <w:color w:val="auto"/>
          <w:sz w:val="24"/>
          <w:szCs w:val="24"/>
          <w:highlight w:val="none"/>
          <w:u w:val="single"/>
          <w:lang w:eastAsia="zh-CN"/>
        </w:rPr>
        <w:t>：</w:t>
      </w:r>
    </w:p>
    <w:p>
      <w:pPr>
        <w:spacing w:line="440" w:lineRule="exact"/>
        <w:ind w:firstLine="440"/>
        <w:rPr>
          <w:rFonts w:hint="eastAsia" w:ascii="宋体" w:hAnsi="宋体"/>
          <w:color w:val="auto"/>
          <w:sz w:val="24"/>
          <w:szCs w:val="24"/>
          <w:highlight w:val="none"/>
        </w:rPr>
      </w:pPr>
      <w:r>
        <w:rPr>
          <w:rFonts w:hint="eastAsia" w:ascii="宋体" w:hAnsi="宋体"/>
          <w:color w:val="auto"/>
          <w:sz w:val="24"/>
          <w:szCs w:val="24"/>
          <w:highlight w:val="none"/>
          <w:u w:val="single"/>
        </w:rPr>
        <w:t>（投标人名称）</w:t>
      </w:r>
      <w:r>
        <w:rPr>
          <w:rFonts w:hint="eastAsia" w:ascii="宋体" w:hAnsi="宋体"/>
          <w:color w:val="auto"/>
          <w:sz w:val="24"/>
          <w:szCs w:val="24"/>
          <w:highlight w:val="none"/>
        </w:rPr>
        <w:t>（以下称“我方”）</w:t>
      </w:r>
      <w:r>
        <w:rPr>
          <w:rFonts w:ascii="宋体" w:hAnsi="宋体"/>
          <w:color w:val="auto"/>
          <w:sz w:val="24"/>
          <w:szCs w:val="24"/>
          <w:highlight w:val="none"/>
        </w:rPr>
        <w:t>已仔细研究了</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u w:val="single"/>
        </w:rPr>
        <w:t>（</w:t>
      </w:r>
      <w:r>
        <w:rPr>
          <w:rFonts w:hint="eastAsia" w:ascii="宋体" w:hAnsi="宋体"/>
          <w:color w:val="auto"/>
          <w:sz w:val="24"/>
          <w:szCs w:val="24"/>
          <w:highlight w:val="none"/>
        </w:rPr>
        <w:t>项目名称）（招标编号：</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olor w:val="auto"/>
          <w:sz w:val="24"/>
          <w:szCs w:val="24"/>
          <w:highlight w:val="none"/>
        </w:rPr>
        <w:t>招标文件的全部内容</w:t>
      </w:r>
      <w:r>
        <w:rPr>
          <w:rFonts w:hint="eastAsia" w:ascii="宋体" w:hAnsi="宋体"/>
          <w:color w:val="auto"/>
          <w:sz w:val="24"/>
          <w:szCs w:val="24"/>
          <w:highlight w:val="none"/>
        </w:rPr>
        <w:t>，</w:t>
      </w:r>
      <w:r>
        <w:rPr>
          <w:rFonts w:ascii="宋体" w:hAnsi="宋体"/>
          <w:bCs/>
          <w:color w:val="auto"/>
          <w:sz w:val="24"/>
          <w:szCs w:val="24"/>
          <w:highlight w:val="none"/>
        </w:rPr>
        <w:t>包括</w:t>
      </w:r>
      <w:r>
        <w:rPr>
          <w:rFonts w:hint="default" w:ascii="宋体" w:hAnsi="宋体" w:eastAsia="宋体" w:cs="Times New Roman"/>
          <w:bCs w:val="0"/>
          <w:color w:val="auto"/>
          <w:sz w:val="24"/>
          <w:szCs w:val="24"/>
          <w:highlight w:val="none"/>
        </w:rPr>
        <w:t>澄清或者</w:t>
      </w:r>
      <w:r>
        <w:rPr>
          <w:rFonts w:ascii="宋体" w:hAnsi="宋体" w:eastAsia="宋体" w:cs="Times New Roman"/>
          <w:bCs w:val="0"/>
          <w:color w:val="auto"/>
          <w:sz w:val="24"/>
          <w:szCs w:val="24"/>
          <w:highlight w:val="none"/>
        </w:rPr>
        <w:t>修改文件</w:t>
      </w:r>
      <w:r>
        <w:rPr>
          <w:rFonts w:hint="default" w:ascii="宋体" w:hAnsi="宋体" w:eastAsia="宋体" w:cs="Times New Roman"/>
          <w:bCs w:val="0"/>
          <w:color w:val="auto"/>
          <w:sz w:val="24"/>
          <w:szCs w:val="24"/>
          <w:highlight w:val="none"/>
        </w:rPr>
        <w:t>以及</w:t>
      </w:r>
      <w:r>
        <w:rPr>
          <w:rFonts w:ascii="宋体" w:hAnsi="宋体" w:eastAsia="宋体" w:cs="Times New Roman"/>
          <w:bCs w:val="0"/>
          <w:color w:val="auto"/>
          <w:sz w:val="24"/>
          <w:szCs w:val="24"/>
          <w:highlight w:val="none"/>
        </w:rPr>
        <w:t>有关附件</w:t>
      </w:r>
      <w:r>
        <w:rPr>
          <w:rFonts w:ascii="宋体" w:hAnsi="宋体" w:eastAsia="宋体" w:cs="Times New Roman"/>
          <w:color w:val="auto"/>
          <w:sz w:val="24"/>
          <w:szCs w:val="24"/>
          <w:highlight w:val="none"/>
        </w:rPr>
        <w:t>，</w:t>
      </w:r>
      <w:r>
        <w:rPr>
          <w:rFonts w:hint="default" w:ascii="宋体" w:hAnsi="宋体" w:eastAsia="宋体" w:cs="Times New Roman"/>
          <w:color w:val="auto"/>
          <w:sz w:val="24"/>
          <w:highlight w:val="none"/>
        </w:rPr>
        <w:t>我方完全熟悉和理解其中的要求、条款和条件。</w:t>
      </w:r>
      <w:r>
        <w:rPr>
          <w:rFonts w:hint="default" w:ascii="宋体" w:hAnsi="宋体" w:eastAsia="宋体" w:cs="Times New Roman"/>
          <w:color w:val="auto"/>
          <w:sz w:val="24"/>
          <w:szCs w:val="24"/>
          <w:highlight w:val="none"/>
        </w:rPr>
        <w:t>我方将严格按照招标文件要求递交符合要求的全部投标文件。</w:t>
      </w:r>
      <w:r>
        <w:rPr>
          <w:rFonts w:hint="default" w:ascii="宋体" w:hAnsi="宋体" w:eastAsia="宋体" w:cs="Times New Roman"/>
          <w:color w:val="auto"/>
          <w:sz w:val="24"/>
          <w:highlight w:val="none"/>
        </w:rPr>
        <w:t>我方在此郑重承诺：</w:t>
      </w:r>
    </w:p>
    <w:p>
      <w:pPr>
        <w:pStyle w:val="168"/>
        <w:spacing w:line="440" w:lineRule="exact"/>
        <w:ind w:firstLine="480" w:firstLineChars="200"/>
        <w:rPr>
          <w:rFonts w:hint="default" w:ascii="宋体" w:hAnsi="宋体" w:eastAsia="宋体" w:cs="宋体"/>
          <w:bCs/>
          <w:color w:val="auto"/>
          <w:kern w:val="0"/>
          <w:sz w:val="24"/>
          <w:szCs w:val="24"/>
          <w:highlight w:val="none"/>
          <w:lang w:eastAsia="zh-CN"/>
        </w:rPr>
      </w:pPr>
      <w:r>
        <w:rPr>
          <w:rFonts w:hint="default"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eastAsia="zh-CN"/>
        </w:rPr>
        <w:t>我方能够完全响应和满足</w:t>
      </w:r>
      <w:r>
        <w:rPr>
          <w:rFonts w:hint="default" w:ascii="宋体" w:hAnsi="宋体" w:eastAsia="宋体" w:cs="宋体"/>
          <w:bCs/>
          <w:color w:val="auto"/>
          <w:sz w:val="24"/>
          <w:szCs w:val="24"/>
          <w:highlight w:val="none"/>
          <w:lang w:val="en-US" w:eastAsia="zh-CN"/>
        </w:rPr>
        <w:t>本招标</w:t>
      </w:r>
      <w:r>
        <w:rPr>
          <w:rFonts w:hint="default" w:ascii="宋体" w:hAnsi="宋体" w:eastAsia="宋体" w:cs="宋体"/>
          <w:bCs/>
          <w:color w:val="auto"/>
          <w:sz w:val="24"/>
          <w:szCs w:val="24"/>
          <w:highlight w:val="none"/>
          <w:lang w:eastAsia="zh-CN"/>
        </w:rPr>
        <w:t>文件“</w:t>
      </w:r>
      <w:r>
        <w:rPr>
          <w:rFonts w:hint="default" w:ascii="宋体" w:hAnsi="宋体" w:eastAsia="宋体" w:cs="宋体"/>
          <w:b w:val="0"/>
          <w:bCs/>
          <w:color w:val="auto"/>
          <w:sz w:val="24"/>
          <w:szCs w:val="24"/>
          <w:highlight w:val="none"/>
          <w:lang w:val="en-US" w:eastAsia="zh-CN"/>
        </w:rPr>
        <w:t xml:space="preserve">第六章 </w:t>
      </w:r>
      <w:r>
        <w:rPr>
          <w:rFonts w:hint="default" w:ascii="宋体" w:hAnsi="宋体" w:eastAsia="宋体" w:cs="宋体"/>
          <w:b w:val="0"/>
          <w:bCs/>
          <w:color w:val="auto"/>
          <w:sz w:val="24"/>
          <w:szCs w:val="24"/>
          <w:highlight w:val="none"/>
          <w:lang w:eastAsia="zh-CN"/>
        </w:rPr>
        <w:t>项目采购需求”</w:t>
      </w:r>
      <w:r>
        <w:rPr>
          <w:rFonts w:hint="default" w:ascii="宋体" w:hAnsi="宋体" w:eastAsia="宋体" w:cs="宋体"/>
          <w:bCs/>
          <w:color w:val="auto"/>
          <w:kern w:val="0"/>
          <w:sz w:val="24"/>
          <w:szCs w:val="24"/>
          <w:highlight w:val="none"/>
          <w:lang w:val="en-US" w:eastAsia="zh-CN"/>
        </w:rPr>
        <w:t>以及</w:t>
      </w:r>
      <w:r>
        <w:rPr>
          <w:rFonts w:hint="default" w:ascii="宋体" w:hAnsi="宋体" w:eastAsia="宋体" w:cs="宋体"/>
          <w:bCs/>
          <w:color w:val="auto"/>
          <w:sz w:val="24"/>
          <w:szCs w:val="24"/>
          <w:highlight w:val="none"/>
          <w:lang w:eastAsia="zh-CN"/>
        </w:rPr>
        <w:t>其他章节中规定的各项条款要求，且我方无任何附加条件或保留意见。我方如果获得</w:t>
      </w:r>
      <w:r>
        <w:rPr>
          <w:rFonts w:hint="default" w:ascii="宋体" w:hAnsi="宋体" w:eastAsia="宋体" w:cs="宋体"/>
          <w:bCs/>
          <w:color w:val="auto"/>
          <w:sz w:val="24"/>
          <w:szCs w:val="24"/>
          <w:highlight w:val="none"/>
          <w:lang w:val="en-US" w:eastAsia="zh-CN"/>
        </w:rPr>
        <w:t>中标</w:t>
      </w:r>
      <w:r>
        <w:rPr>
          <w:rFonts w:hint="default" w:ascii="宋体" w:hAnsi="宋体" w:eastAsia="宋体" w:cs="宋体"/>
          <w:bCs/>
          <w:color w:val="auto"/>
          <w:sz w:val="24"/>
          <w:szCs w:val="24"/>
          <w:highlight w:val="none"/>
          <w:lang w:eastAsia="zh-CN"/>
        </w:rPr>
        <w:t>资格，将切实履行我方的各项承诺</w:t>
      </w:r>
      <w:r>
        <w:rPr>
          <w:rFonts w:hint="default" w:ascii="宋体" w:hAnsi="宋体" w:eastAsia="宋体" w:cs="宋体"/>
          <w:bCs/>
          <w:color w:val="auto"/>
          <w:kern w:val="0"/>
          <w:sz w:val="24"/>
          <w:szCs w:val="24"/>
          <w:highlight w:val="none"/>
          <w:lang w:eastAsia="zh-CN"/>
        </w:rPr>
        <w:t>，否则视为我方违约，我方愿意承担所有违约责任和后果（包括但不限于</w:t>
      </w:r>
      <w:r>
        <w:rPr>
          <w:rFonts w:hint="default" w:ascii="宋体" w:hAnsi="宋体" w:eastAsia="宋体" w:cs="宋体"/>
          <w:bCs/>
          <w:color w:val="auto"/>
          <w:sz w:val="24"/>
          <w:szCs w:val="24"/>
          <w:highlight w:val="none"/>
          <w:lang w:eastAsia="zh-CN"/>
        </w:rPr>
        <w:t>失去</w:t>
      </w:r>
      <w:r>
        <w:rPr>
          <w:rFonts w:hint="default" w:ascii="宋体" w:hAnsi="宋体" w:eastAsia="宋体" w:cs="宋体"/>
          <w:bCs/>
          <w:color w:val="auto"/>
          <w:sz w:val="24"/>
          <w:szCs w:val="24"/>
          <w:highlight w:val="none"/>
          <w:lang w:val="en-US" w:eastAsia="zh-CN"/>
        </w:rPr>
        <w:t>中标</w:t>
      </w:r>
      <w:r>
        <w:rPr>
          <w:rFonts w:hint="default" w:ascii="宋体" w:hAnsi="宋体" w:eastAsia="宋体" w:cs="宋体"/>
          <w:bCs/>
          <w:color w:val="auto"/>
          <w:sz w:val="24"/>
          <w:szCs w:val="24"/>
          <w:highlight w:val="none"/>
          <w:lang w:eastAsia="zh-CN"/>
        </w:rPr>
        <w:t>资格、合同终止、纳入不良信用记录以及附带给我方自身带来的经济名誉损失等</w:t>
      </w:r>
      <w:r>
        <w:rPr>
          <w:rFonts w:hint="default" w:ascii="宋体" w:hAnsi="宋体" w:eastAsia="宋体" w:cs="宋体"/>
          <w:bCs/>
          <w:color w:val="auto"/>
          <w:kern w:val="0"/>
          <w:sz w:val="24"/>
          <w:szCs w:val="24"/>
          <w:highlight w:val="none"/>
          <w:lang w:eastAsia="zh-CN"/>
        </w:rPr>
        <w:t>）。</w:t>
      </w:r>
    </w:p>
    <w:p>
      <w:pPr>
        <w:spacing w:line="440" w:lineRule="exact"/>
        <w:ind w:firstLine="440"/>
        <w:rPr>
          <w:rFonts w:hint="default" w:ascii="宋体" w:hAnsi="宋体" w:cs="宋体"/>
          <w:bCs/>
          <w:color w:val="auto"/>
          <w:sz w:val="24"/>
          <w:szCs w:val="24"/>
          <w:highlight w:val="none"/>
          <w:lang w:eastAsia="zh-CN"/>
        </w:rPr>
      </w:pPr>
      <w:r>
        <w:rPr>
          <w:rFonts w:hint="eastAsia" w:ascii="宋体" w:hAnsi="宋体" w:cs="宋体"/>
          <w:color w:val="auto"/>
          <w:kern w:val="0"/>
          <w:highlight w:val="none"/>
          <w:lang w:val="en-US" w:eastAsia="zh-CN"/>
        </w:rPr>
        <w:t>2</w:t>
      </w:r>
      <w:r>
        <w:rPr>
          <w:rFonts w:hint="eastAsia" w:ascii="宋体" w:hAnsi="宋体"/>
          <w:color w:val="auto"/>
          <w:sz w:val="24"/>
          <w:szCs w:val="24"/>
          <w:highlight w:val="none"/>
          <w:lang w:val="en-US" w:eastAsia="zh-CN"/>
        </w:rPr>
        <w:t>、</w:t>
      </w:r>
      <w:r>
        <w:rPr>
          <w:rFonts w:ascii="宋体" w:hAnsi="宋体" w:cs="宋体"/>
          <w:bCs/>
          <w:color w:val="auto"/>
          <w:sz w:val="24"/>
          <w:szCs w:val="24"/>
          <w:highlight w:val="none"/>
        </w:rPr>
        <w:t>服务响应能力</w:t>
      </w:r>
      <w:r>
        <w:rPr>
          <w:rFonts w:hint="eastAsia" w:ascii="宋体" w:hAnsi="宋体" w:cs="宋体"/>
          <w:bCs/>
          <w:color w:val="auto"/>
          <w:sz w:val="24"/>
          <w:szCs w:val="24"/>
          <w:highlight w:val="none"/>
          <w:lang w:val="en-US" w:eastAsia="zh-CN"/>
        </w:rPr>
        <w:t>承诺：我方</w:t>
      </w:r>
      <w:r>
        <w:rPr>
          <w:rFonts w:ascii="宋体" w:hAnsi="宋体" w:cs="宋体"/>
          <w:bCs/>
          <w:color w:val="auto"/>
          <w:sz w:val="24"/>
          <w:szCs w:val="24"/>
          <w:highlight w:val="none"/>
          <w:lang w:eastAsia="zh-CN"/>
        </w:rPr>
        <w:t>承诺在项目服务期内，若搬迁涉及的设备、系统和线路等发生重大故障或重要割接节点，除现场技术服务工程师，二线技术服务专业工程师在</w:t>
      </w:r>
      <w:r>
        <w:rPr>
          <w:rFonts w:hint="eastAsia" w:ascii="宋体" w:hAnsi="宋体" w:cs="宋体"/>
          <w:bCs/>
          <w:color w:val="auto"/>
          <w:sz w:val="24"/>
          <w:szCs w:val="24"/>
          <w:highlight w:val="none"/>
          <w:u w:val="single"/>
          <w:lang w:val="en-US" w:eastAsia="zh-CN"/>
        </w:rPr>
        <w:t xml:space="preserve">    </w:t>
      </w:r>
      <w:r>
        <w:rPr>
          <w:rFonts w:ascii="宋体" w:hAnsi="宋体" w:cs="宋体"/>
          <w:bCs/>
          <w:color w:val="auto"/>
          <w:sz w:val="24"/>
          <w:szCs w:val="24"/>
          <w:highlight w:val="none"/>
          <w:u w:val="single"/>
          <w:lang w:eastAsia="zh-CN"/>
        </w:rPr>
        <w:t>小时</w:t>
      </w:r>
      <w:r>
        <w:rPr>
          <w:rFonts w:ascii="宋体" w:hAnsi="宋体" w:cs="宋体"/>
          <w:bCs/>
          <w:color w:val="auto"/>
          <w:sz w:val="24"/>
          <w:szCs w:val="24"/>
          <w:highlight w:val="none"/>
          <w:lang w:eastAsia="zh-CN"/>
        </w:rPr>
        <w:t>内到达现场进行处置。</w:t>
      </w:r>
    </w:p>
    <w:p>
      <w:pPr>
        <w:pStyle w:val="168"/>
        <w:spacing w:line="440" w:lineRule="exact"/>
        <w:ind w:firstLine="480" w:firstLineChars="200"/>
        <w:jc w:val="both"/>
        <w:rPr>
          <w:rFonts w:ascii="宋体" w:hAnsi="宋体" w:cs="宋体"/>
          <w:bCs/>
          <w:color w:val="auto"/>
          <w:sz w:val="24"/>
          <w:szCs w:val="24"/>
          <w:highlight w:val="none"/>
        </w:rPr>
      </w:pPr>
      <w:r>
        <w:rPr>
          <w:rFonts w:hint="eastAsia" w:ascii="宋体" w:hAnsi="宋体" w:cs="宋体"/>
          <w:bCs/>
          <w:color w:val="auto"/>
          <w:sz w:val="24"/>
          <w:szCs w:val="24"/>
          <w:highlight w:val="none"/>
          <w:lang w:val="en-US" w:eastAsia="zh-CN"/>
        </w:rPr>
        <w:t>3、</w:t>
      </w:r>
      <w:r>
        <w:rPr>
          <w:rFonts w:ascii="宋体" w:hAnsi="宋体" w:cs="宋体"/>
          <w:bCs/>
          <w:color w:val="auto"/>
          <w:sz w:val="24"/>
          <w:szCs w:val="24"/>
          <w:highlight w:val="none"/>
        </w:rPr>
        <w:t>应急支撑能力</w:t>
      </w:r>
      <w:r>
        <w:rPr>
          <w:rFonts w:hint="eastAsia" w:ascii="宋体" w:hAnsi="宋体" w:cs="宋体"/>
          <w:bCs/>
          <w:color w:val="auto"/>
          <w:sz w:val="24"/>
          <w:szCs w:val="24"/>
          <w:highlight w:val="none"/>
          <w:lang w:val="en-US" w:eastAsia="zh-CN"/>
        </w:rPr>
        <w:t>承诺：</w:t>
      </w:r>
      <w:r>
        <w:rPr>
          <w:rFonts w:hint="eastAsia" w:hAnsi="宋体" w:cs="宋体"/>
          <w:bCs/>
          <w:color w:val="auto"/>
          <w:sz w:val="24"/>
          <w:szCs w:val="24"/>
          <w:highlight w:val="none"/>
          <w:lang w:val="en-US" w:eastAsia="zh-CN"/>
        </w:rPr>
        <w:t>我方</w:t>
      </w:r>
      <w:r>
        <w:rPr>
          <w:rFonts w:ascii="宋体" w:hAnsi="宋体" w:cs="宋体"/>
          <w:bCs/>
          <w:color w:val="auto"/>
          <w:sz w:val="24"/>
          <w:szCs w:val="24"/>
          <w:highlight w:val="none"/>
        </w:rPr>
        <w:t>承诺在项目服务期内，若搬迁涉及的设备出现硬件故障需要更换整机或配件，</w:t>
      </w:r>
      <w:r>
        <w:rPr>
          <w:rFonts w:hint="eastAsia" w:ascii="宋体" w:hAnsi="宋体" w:cs="宋体"/>
          <w:bCs/>
          <w:color w:val="auto"/>
          <w:sz w:val="24"/>
          <w:szCs w:val="24"/>
          <w:highlight w:val="none"/>
          <w:lang w:val="en-US" w:eastAsia="zh-CN"/>
        </w:rPr>
        <w:t>我方保证</w:t>
      </w:r>
      <w:r>
        <w:rPr>
          <w:rFonts w:ascii="宋体" w:hAnsi="宋体" w:cs="宋体"/>
          <w:bCs/>
          <w:color w:val="auto"/>
          <w:sz w:val="24"/>
          <w:szCs w:val="24"/>
          <w:highlight w:val="none"/>
        </w:rPr>
        <w:t>在</w:t>
      </w:r>
      <w:r>
        <w:rPr>
          <w:rFonts w:hint="eastAsia" w:ascii="宋体" w:hAnsi="宋体" w:cs="宋体"/>
          <w:bCs/>
          <w:color w:val="auto"/>
          <w:sz w:val="24"/>
          <w:szCs w:val="24"/>
          <w:highlight w:val="none"/>
          <w:lang w:val="en-US" w:eastAsia="zh-CN"/>
        </w:rPr>
        <w:t xml:space="preserve"> </w:t>
      </w:r>
      <w:r>
        <w:rPr>
          <w:rFonts w:hint="eastAsia" w:ascii="宋体" w:hAnsi="宋体" w:cs="宋体"/>
          <w:bCs/>
          <w:color w:val="auto"/>
          <w:sz w:val="24"/>
          <w:szCs w:val="24"/>
          <w:highlight w:val="none"/>
          <w:u w:val="single"/>
          <w:lang w:val="en-US" w:eastAsia="zh-CN"/>
        </w:rPr>
        <w:t xml:space="preserve">   </w:t>
      </w:r>
      <w:r>
        <w:rPr>
          <w:rFonts w:ascii="宋体" w:hAnsi="宋体" w:cs="宋体"/>
          <w:bCs/>
          <w:color w:val="auto"/>
          <w:sz w:val="24"/>
          <w:szCs w:val="24"/>
          <w:highlight w:val="none"/>
          <w:u w:val="single"/>
        </w:rPr>
        <w:t>小时</w:t>
      </w:r>
      <w:r>
        <w:rPr>
          <w:rFonts w:ascii="宋体" w:hAnsi="宋体" w:cs="宋体"/>
          <w:bCs/>
          <w:color w:val="auto"/>
          <w:sz w:val="24"/>
          <w:szCs w:val="24"/>
          <w:highlight w:val="none"/>
        </w:rPr>
        <w:t>内完成整机或配件的更换且设备正常使用。</w:t>
      </w: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4、</w:t>
      </w:r>
      <w:r>
        <w:rPr>
          <w:rFonts w:ascii="宋体" w:hAnsi="宋体" w:cs="宋体"/>
          <w:bCs/>
          <w:color w:val="auto"/>
          <w:sz w:val="24"/>
          <w:szCs w:val="24"/>
          <w:highlight w:val="none"/>
          <w:lang w:eastAsia="zh-CN"/>
        </w:rPr>
        <w:t>原厂技术支持服务</w:t>
      </w:r>
      <w:r>
        <w:rPr>
          <w:rFonts w:hint="eastAsia" w:ascii="宋体" w:hAnsi="宋体" w:cs="宋体"/>
          <w:bCs/>
          <w:color w:val="auto"/>
          <w:sz w:val="24"/>
          <w:szCs w:val="24"/>
          <w:highlight w:val="none"/>
          <w:lang w:val="en-US" w:eastAsia="zh-CN"/>
        </w:rPr>
        <w:t>承诺</w:t>
      </w:r>
    </w:p>
    <w:p>
      <w:pPr>
        <w:pStyle w:val="168"/>
        <w:spacing w:line="440" w:lineRule="exact"/>
        <w:ind w:firstLine="480" w:firstLineChars="200"/>
        <w:jc w:val="both"/>
        <w:rPr>
          <w:rFonts w:hint="default"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4.1</w:t>
      </w:r>
      <w:r>
        <w:rPr>
          <w:rFonts w:ascii="宋体" w:hAnsi="宋体" w:cs="宋体"/>
          <w:bCs/>
          <w:color w:val="auto"/>
          <w:sz w:val="24"/>
          <w:szCs w:val="24"/>
          <w:highlight w:val="none"/>
        </w:rPr>
        <w:t>信安世纪负载均衡原厂优化服务</w:t>
      </w:r>
      <w:r>
        <w:rPr>
          <w:rFonts w:hint="eastAsia" w:ascii="宋体" w:hAnsi="宋体" w:cs="宋体"/>
          <w:bCs/>
          <w:color w:val="auto"/>
          <w:sz w:val="24"/>
          <w:szCs w:val="24"/>
          <w:highlight w:val="none"/>
          <w:lang w:val="en-US" w:eastAsia="zh-CN"/>
        </w:rPr>
        <w:t>承诺：我方</w:t>
      </w:r>
      <w:r>
        <w:rPr>
          <w:rFonts w:ascii="宋体" w:hAnsi="宋体" w:cs="宋体"/>
          <w:bCs/>
          <w:color w:val="auto"/>
          <w:sz w:val="24"/>
          <w:szCs w:val="24"/>
          <w:highlight w:val="none"/>
          <w:lang w:eastAsia="zh-CN"/>
        </w:rPr>
        <w:t>承诺在项目服务期内采购信安世纪原厂服务，由原厂工程师根据目前负载均衡的使用情况和采购人的业务场景，充分考虑协议优化、可编程流量控制、全局负载均衡等因素，对负载均衡进行相关参数调整、优化，提高负载均衡使用率。</w:t>
      </w:r>
    </w:p>
    <w:p>
      <w:pPr>
        <w:pStyle w:val="168"/>
        <w:spacing w:line="440" w:lineRule="exact"/>
        <w:ind w:firstLine="480" w:firstLineChars="200"/>
        <w:jc w:val="both"/>
        <w:rPr>
          <w:rFonts w:hint="default"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4.2</w:t>
      </w:r>
      <w:r>
        <w:rPr>
          <w:rFonts w:ascii="宋体" w:hAnsi="宋体" w:cs="宋体"/>
          <w:bCs/>
          <w:color w:val="auto"/>
          <w:sz w:val="24"/>
          <w:szCs w:val="24"/>
          <w:highlight w:val="none"/>
        </w:rPr>
        <w:t>华为存储厂商原厂优化服务</w:t>
      </w:r>
      <w:r>
        <w:rPr>
          <w:rFonts w:hint="eastAsia" w:ascii="宋体" w:hAnsi="宋体" w:cs="宋体"/>
          <w:bCs/>
          <w:color w:val="auto"/>
          <w:sz w:val="24"/>
          <w:szCs w:val="24"/>
          <w:highlight w:val="none"/>
          <w:lang w:val="en-US" w:eastAsia="zh-CN"/>
        </w:rPr>
        <w:t>承诺：我方</w:t>
      </w:r>
      <w:r>
        <w:rPr>
          <w:rFonts w:ascii="宋体" w:hAnsi="宋体" w:cs="宋体"/>
          <w:bCs/>
          <w:color w:val="auto"/>
          <w:sz w:val="24"/>
          <w:szCs w:val="24"/>
          <w:highlight w:val="none"/>
          <w:lang w:eastAsia="zh-CN"/>
        </w:rPr>
        <w:t>承诺在项目服务期内采购华为原厂服务，由原厂工程师根据目前存储的使用情况和采购人的业务场景，充分考虑压缩、重删、数据分层等先进技术，对存储进行重新规划并进行相关参数调整、优化，提高存储使用率。</w:t>
      </w:r>
    </w:p>
    <w:p>
      <w:pPr>
        <w:pStyle w:val="168"/>
        <w:spacing w:line="440" w:lineRule="exact"/>
        <w:ind w:firstLine="480" w:firstLineChars="200"/>
        <w:jc w:val="both"/>
        <w:rPr>
          <w:rFonts w:hint="default"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4.3</w:t>
      </w:r>
      <w:r>
        <w:rPr>
          <w:rFonts w:ascii="宋体" w:hAnsi="宋体" w:cs="宋体"/>
          <w:bCs/>
          <w:color w:val="auto"/>
          <w:sz w:val="24"/>
          <w:szCs w:val="24"/>
          <w:highlight w:val="none"/>
        </w:rPr>
        <w:t>神州云科存储厂商原厂优化服务</w:t>
      </w:r>
      <w:r>
        <w:rPr>
          <w:rFonts w:hint="eastAsia" w:ascii="宋体" w:hAnsi="宋体" w:cs="宋体"/>
          <w:bCs/>
          <w:color w:val="auto"/>
          <w:sz w:val="24"/>
          <w:szCs w:val="24"/>
          <w:highlight w:val="none"/>
          <w:lang w:val="en-US" w:eastAsia="zh-CN"/>
        </w:rPr>
        <w:t>承诺：我方</w:t>
      </w:r>
      <w:r>
        <w:rPr>
          <w:rFonts w:ascii="宋体" w:hAnsi="宋体" w:cs="宋体"/>
          <w:bCs/>
          <w:color w:val="auto"/>
          <w:sz w:val="24"/>
          <w:szCs w:val="24"/>
          <w:highlight w:val="none"/>
          <w:lang w:eastAsia="zh-CN"/>
        </w:rPr>
        <w:t>承诺在项目服务期内采购神州云科原厂服务，由原厂工程师根据目前存储的使用情况和采购人的业务场景，充分考虑压缩、重删、数据分层等先进技术，对存储进行重新规划并进行相关参数调整、优化，提高存储使用率。</w:t>
      </w:r>
    </w:p>
    <w:p>
      <w:pPr>
        <w:pStyle w:val="168"/>
        <w:spacing w:line="440" w:lineRule="exact"/>
        <w:ind w:firstLine="480" w:firstLineChars="200"/>
        <w:jc w:val="both"/>
        <w:rPr>
          <w:rFonts w:ascii="宋体" w:hAnsi="宋体" w:cs="宋体"/>
          <w:bCs/>
          <w:color w:val="auto"/>
          <w:sz w:val="24"/>
          <w:szCs w:val="24"/>
          <w:highlight w:val="none"/>
          <w:lang w:eastAsia="zh-CN"/>
        </w:rPr>
      </w:pPr>
      <w:r>
        <w:rPr>
          <w:rFonts w:hint="eastAsia" w:ascii="宋体" w:hAnsi="宋体" w:cs="宋体"/>
          <w:bCs/>
          <w:color w:val="auto"/>
          <w:sz w:val="24"/>
          <w:szCs w:val="24"/>
          <w:highlight w:val="none"/>
          <w:lang w:val="en-US" w:eastAsia="zh-CN"/>
        </w:rPr>
        <w:t xml:space="preserve">4.4 </w:t>
      </w:r>
      <w:r>
        <w:rPr>
          <w:rFonts w:ascii="宋体" w:hAnsi="宋体" w:cs="宋体"/>
          <w:bCs/>
          <w:color w:val="auto"/>
          <w:sz w:val="24"/>
          <w:szCs w:val="24"/>
          <w:highlight w:val="none"/>
        </w:rPr>
        <w:t>Veritas备份系统原厂优化服务</w:t>
      </w:r>
      <w:r>
        <w:rPr>
          <w:rFonts w:hint="eastAsia" w:ascii="宋体" w:hAnsi="宋体" w:cs="宋体"/>
          <w:bCs/>
          <w:color w:val="auto"/>
          <w:sz w:val="24"/>
          <w:szCs w:val="24"/>
          <w:highlight w:val="none"/>
          <w:lang w:val="en-US" w:eastAsia="zh-CN"/>
        </w:rPr>
        <w:t>承诺：我方</w:t>
      </w:r>
      <w:r>
        <w:rPr>
          <w:rFonts w:ascii="宋体" w:hAnsi="宋体" w:cs="宋体"/>
          <w:bCs/>
          <w:color w:val="auto"/>
          <w:sz w:val="24"/>
          <w:szCs w:val="24"/>
          <w:highlight w:val="none"/>
          <w:lang w:eastAsia="zh-CN"/>
        </w:rPr>
        <w:t>承诺在项目服务期内采购Veritas原厂服务，由原厂工程师根据目前备份系统、相关备份设备的实际情况和采购人的业务场景，充分考虑数据安全、网络传输、备份空间、恢复时间等因素，对采购人Veritas备份系统进行重新规划并进行相应的配置，提高相关系统的灾备能力。</w:t>
      </w: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5、其他相关承诺</w:t>
      </w: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6、-----</w:t>
      </w: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p>
    <w:p>
      <w:pPr>
        <w:pStyle w:val="168"/>
        <w:spacing w:line="440" w:lineRule="exact"/>
        <w:ind w:firstLine="480" w:firstLineChars="200"/>
        <w:jc w:val="both"/>
        <w:rPr>
          <w:rFonts w:hint="eastAsia" w:ascii="宋体" w:hAnsi="宋体" w:cs="宋体"/>
          <w:bCs/>
          <w:color w:val="auto"/>
          <w:sz w:val="24"/>
          <w:szCs w:val="24"/>
          <w:highlight w:val="none"/>
          <w:lang w:val="en-US" w:eastAsia="zh-CN"/>
        </w:rPr>
      </w:pPr>
    </w:p>
    <w:p>
      <w:pPr>
        <w:pStyle w:val="20"/>
        <w:ind w:firstLine="480" w:firstLineChars="200"/>
        <w:rPr>
          <w:rFonts w:cs="宋体"/>
          <w:color w:val="auto"/>
          <w:sz w:val="24"/>
          <w:szCs w:val="24"/>
          <w:highlight w:val="none"/>
        </w:rPr>
      </w:pPr>
      <w:r>
        <w:rPr>
          <w:rFonts w:hint="eastAsia" w:cs="宋体"/>
          <w:color w:val="auto"/>
          <w:sz w:val="24"/>
          <w:szCs w:val="24"/>
          <w:highlight w:val="none"/>
        </w:rPr>
        <w:t>投标人名称</w:t>
      </w:r>
      <w:r>
        <w:rPr>
          <w:rFonts w:cs="宋体"/>
          <w:color w:val="auto"/>
          <w:sz w:val="24"/>
          <w:szCs w:val="24"/>
          <w:highlight w:val="none"/>
        </w:rPr>
        <w:t>(</w:t>
      </w:r>
      <w:r>
        <w:rPr>
          <w:rFonts w:hint="eastAsia" w:cs="宋体"/>
          <w:color w:val="auto"/>
          <w:sz w:val="24"/>
          <w:szCs w:val="24"/>
          <w:highlight w:val="none"/>
        </w:rPr>
        <w:t>公章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法定代表人或授权代表</w:t>
      </w:r>
      <w:r>
        <w:rPr>
          <w:rFonts w:cs="宋体"/>
          <w:color w:val="auto"/>
          <w:sz w:val="24"/>
          <w:szCs w:val="24"/>
          <w:highlight w:val="none"/>
        </w:rPr>
        <w:t>(</w:t>
      </w:r>
      <w:r>
        <w:rPr>
          <w:rFonts w:hint="eastAsia" w:cs="宋体"/>
          <w:color w:val="auto"/>
          <w:sz w:val="24"/>
          <w:szCs w:val="24"/>
          <w:highlight w:val="none"/>
        </w:rPr>
        <w:t>签字或签章</w:t>
      </w:r>
      <w:r>
        <w:rPr>
          <w:rFonts w:cs="宋体"/>
          <w:color w:val="auto"/>
          <w:sz w:val="24"/>
          <w:szCs w:val="24"/>
          <w:highlight w:val="none"/>
        </w:rPr>
        <w:t>)</w:t>
      </w:r>
      <w:r>
        <w:rPr>
          <w:rFonts w:hint="eastAsia" w:cs="宋体"/>
          <w:color w:val="auto"/>
          <w:sz w:val="24"/>
          <w:szCs w:val="24"/>
          <w:highlight w:val="none"/>
        </w:rPr>
        <w:t>：</w:t>
      </w:r>
      <w:r>
        <w:rPr>
          <w:rFonts w:cs="宋体"/>
          <w:color w:val="auto"/>
          <w:sz w:val="24"/>
          <w:szCs w:val="24"/>
          <w:highlight w:val="none"/>
        </w:rPr>
        <w:t>____________</w:t>
      </w:r>
    </w:p>
    <w:p>
      <w:pPr>
        <w:pStyle w:val="20"/>
        <w:ind w:firstLine="480" w:firstLineChars="200"/>
        <w:rPr>
          <w:rFonts w:cs="宋体"/>
          <w:color w:val="auto"/>
          <w:sz w:val="24"/>
          <w:szCs w:val="24"/>
          <w:highlight w:val="none"/>
        </w:rPr>
      </w:pPr>
      <w:r>
        <w:rPr>
          <w:rFonts w:hint="eastAsia" w:cs="宋体"/>
          <w:color w:val="auto"/>
          <w:sz w:val="24"/>
          <w:szCs w:val="24"/>
          <w:highlight w:val="none"/>
        </w:rPr>
        <w:t>日期：</w:t>
      </w:r>
      <w:r>
        <w:rPr>
          <w:rFonts w:cs="宋体"/>
          <w:color w:val="auto"/>
          <w:sz w:val="24"/>
          <w:szCs w:val="24"/>
          <w:highlight w:val="none"/>
        </w:rPr>
        <w:t>______</w:t>
      </w:r>
      <w:r>
        <w:rPr>
          <w:rFonts w:hint="eastAsia" w:cs="宋体"/>
          <w:color w:val="auto"/>
          <w:sz w:val="24"/>
          <w:szCs w:val="24"/>
          <w:highlight w:val="none"/>
        </w:rPr>
        <w:t>年</w:t>
      </w:r>
      <w:r>
        <w:rPr>
          <w:rFonts w:cs="宋体"/>
          <w:color w:val="auto"/>
          <w:sz w:val="24"/>
          <w:szCs w:val="24"/>
          <w:highlight w:val="none"/>
        </w:rPr>
        <w:t>____</w:t>
      </w:r>
      <w:r>
        <w:rPr>
          <w:rFonts w:hint="eastAsia" w:cs="宋体"/>
          <w:color w:val="auto"/>
          <w:sz w:val="24"/>
          <w:szCs w:val="24"/>
          <w:highlight w:val="none"/>
        </w:rPr>
        <w:t>月</w:t>
      </w:r>
      <w:r>
        <w:rPr>
          <w:rFonts w:cs="宋体"/>
          <w:color w:val="auto"/>
          <w:sz w:val="24"/>
          <w:szCs w:val="24"/>
          <w:highlight w:val="none"/>
        </w:rPr>
        <w:t>____</w:t>
      </w:r>
      <w:r>
        <w:rPr>
          <w:rFonts w:hint="eastAsia" w:cs="宋体"/>
          <w:color w:val="auto"/>
          <w:sz w:val="24"/>
          <w:szCs w:val="24"/>
          <w:highlight w:val="none"/>
        </w:rPr>
        <w:t>日</w:t>
      </w:r>
    </w:p>
    <w:p>
      <w:pPr>
        <w:pStyle w:val="20"/>
        <w:ind w:firstLine="480" w:firstLineChars="200"/>
        <w:rPr>
          <w:rFonts w:cs="宋体"/>
          <w:color w:val="auto"/>
          <w:sz w:val="24"/>
          <w:szCs w:val="24"/>
          <w:highlight w:val="none"/>
        </w:rPr>
      </w:pPr>
      <w:r>
        <w:rPr>
          <w:rFonts w:hint="eastAsia" w:cs="宋体"/>
          <w:color w:val="auto"/>
          <w:sz w:val="24"/>
          <w:szCs w:val="24"/>
          <w:highlight w:val="none"/>
        </w:rPr>
        <w:t>说明：授权用投标专用章的，与公章具有相同法律效力。</w:t>
      </w:r>
    </w:p>
    <w:p>
      <w:pPr>
        <w:pStyle w:val="168"/>
        <w:spacing w:line="440" w:lineRule="exact"/>
        <w:ind w:firstLine="480" w:firstLineChars="200"/>
        <w:jc w:val="both"/>
        <w:rPr>
          <w:rFonts w:cs="宋体"/>
          <w:color w:val="auto"/>
          <w:sz w:val="24"/>
          <w:szCs w:val="24"/>
          <w:highlight w:val="none"/>
        </w:rPr>
      </w:pPr>
      <w:r>
        <w:rPr>
          <w:rFonts w:hint="eastAsia" w:cs="宋体"/>
          <w:color w:val="auto"/>
          <w:sz w:val="24"/>
          <w:szCs w:val="24"/>
          <w:highlight w:val="none"/>
        </w:rPr>
        <w:br w:type="page"/>
      </w:r>
      <w:r>
        <w:rPr>
          <w:rFonts w:hint="eastAsia" w:cs="宋体"/>
          <w:color w:val="auto"/>
          <w:sz w:val="24"/>
          <w:szCs w:val="24"/>
          <w:highlight w:val="none"/>
          <w:lang w:val="en-US" w:eastAsia="zh-CN"/>
        </w:rPr>
        <w:t>七</w:t>
      </w:r>
      <w:r>
        <w:rPr>
          <w:rFonts w:hint="eastAsia" w:cs="宋体"/>
          <w:color w:val="auto"/>
          <w:sz w:val="24"/>
          <w:szCs w:val="24"/>
          <w:highlight w:val="none"/>
        </w:rPr>
        <w:t>、其他资料</w:t>
      </w:r>
    </w:p>
    <w:p>
      <w:pPr>
        <w:pStyle w:val="20"/>
        <w:ind w:firstLine="480" w:firstLineChars="200"/>
        <w:rPr>
          <w:rFonts w:cs="宋体"/>
          <w:color w:val="auto"/>
          <w:sz w:val="24"/>
          <w:szCs w:val="24"/>
          <w:highlight w:val="none"/>
        </w:rPr>
      </w:pPr>
      <w:r>
        <w:rPr>
          <w:rFonts w:hint="eastAsia" w:cs="宋体"/>
          <w:color w:val="auto"/>
          <w:sz w:val="24"/>
          <w:szCs w:val="24"/>
          <w:highlight w:val="none"/>
        </w:rPr>
        <w:t>公章授权书</w:t>
      </w:r>
      <w:r>
        <w:rPr>
          <w:rFonts w:cs="宋体"/>
          <w:color w:val="auto"/>
          <w:sz w:val="24"/>
          <w:szCs w:val="24"/>
          <w:highlight w:val="none"/>
        </w:rPr>
        <w:t>(</w:t>
      </w:r>
      <w:r>
        <w:rPr>
          <w:rFonts w:hint="eastAsia" w:cs="宋体"/>
          <w:color w:val="auto"/>
          <w:sz w:val="24"/>
          <w:szCs w:val="24"/>
          <w:highlight w:val="none"/>
        </w:rPr>
        <w:t>如有</w:t>
      </w:r>
      <w:r>
        <w:rPr>
          <w:rFonts w:cs="宋体"/>
          <w:color w:val="auto"/>
          <w:sz w:val="24"/>
          <w:szCs w:val="24"/>
          <w:highlight w:val="none"/>
        </w:rPr>
        <w:t>)</w:t>
      </w:r>
    </w:p>
    <w:p>
      <w:pPr>
        <w:pStyle w:val="8"/>
        <w:jc w:val="center"/>
        <w:rPr>
          <w:rFonts w:ascii="宋体" w:cs="宋体"/>
          <w:color w:val="auto"/>
          <w:highlight w:val="none"/>
        </w:rPr>
      </w:pPr>
      <w:r>
        <w:rPr>
          <w:rFonts w:hint="eastAsia" w:ascii="宋体" w:cs="宋体"/>
          <w:color w:val="auto"/>
          <w:highlight w:val="none"/>
        </w:rPr>
        <w:t>公章授权书</w:t>
      </w:r>
    </w:p>
    <w:p>
      <w:pPr>
        <w:pStyle w:val="20"/>
        <w:rPr>
          <w:rFonts w:cs="宋体"/>
          <w:color w:val="auto"/>
          <w:sz w:val="24"/>
          <w:szCs w:val="24"/>
          <w:highlight w:val="none"/>
        </w:rPr>
      </w:pPr>
      <w:r>
        <w:rPr>
          <w:rFonts w:hint="eastAsia" w:cs="宋体"/>
          <w:color w:val="auto"/>
          <w:sz w:val="24"/>
          <w:szCs w:val="24"/>
          <w:highlight w:val="none"/>
        </w:rPr>
        <w:t>致：</w:t>
      </w:r>
      <w:r>
        <w:rPr>
          <w:rFonts w:cs="宋体"/>
          <w:color w:val="auto"/>
          <w:sz w:val="24"/>
          <w:szCs w:val="24"/>
          <w:highlight w:val="none"/>
        </w:rPr>
        <w:t>____________(</w:t>
      </w:r>
      <w:r>
        <w:rPr>
          <w:rFonts w:hint="eastAsia" w:cs="宋体"/>
          <w:color w:val="auto"/>
          <w:sz w:val="24"/>
          <w:szCs w:val="24"/>
          <w:highlight w:val="none"/>
        </w:rPr>
        <w:t>采购人或采购代理机构</w:t>
      </w:r>
      <w:r>
        <w:rPr>
          <w:rFonts w:cs="宋体"/>
          <w:color w:val="auto"/>
          <w:sz w:val="24"/>
          <w:szCs w:val="24"/>
          <w:highlight w:val="none"/>
        </w:rPr>
        <w:t>)</w:t>
      </w:r>
      <w:r>
        <w:rPr>
          <w:rFonts w:hint="eastAsia" w:cs="宋体"/>
          <w:color w:val="auto"/>
          <w:sz w:val="24"/>
          <w:szCs w:val="24"/>
          <w:highlight w:val="none"/>
        </w:rPr>
        <w:t>：</w:t>
      </w:r>
    </w:p>
    <w:p>
      <w:pPr>
        <w:pStyle w:val="20"/>
        <w:ind w:firstLine="480" w:firstLineChars="200"/>
        <w:rPr>
          <w:rFonts w:cs="宋体"/>
          <w:color w:val="auto"/>
          <w:sz w:val="24"/>
          <w:szCs w:val="24"/>
          <w:highlight w:val="none"/>
        </w:rPr>
      </w:pPr>
      <w:r>
        <w:rPr>
          <w:rFonts w:cs="宋体"/>
          <w:color w:val="auto"/>
          <w:sz w:val="24"/>
          <w:szCs w:val="24"/>
          <w:highlight w:val="none"/>
        </w:rPr>
        <w:t>______</w:t>
      </w:r>
      <w:r>
        <w:rPr>
          <w:rFonts w:cs="宋体"/>
          <w:color w:val="auto"/>
          <w:sz w:val="24"/>
          <w:szCs w:val="24"/>
          <w:highlight w:val="none"/>
          <w:u w:val="single"/>
        </w:rPr>
        <w:t>(</w:t>
      </w:r>
      <w:r>
        <w:rPr>
          <w:rFonts w:hint="eastAsia" w:cs="宋体"/>
          <w:color w:val="auto"/>
          <w:sz w:val="24"/>
          <w:szCs w:val="24"/>
          <w:highlight w:val="none"/>
          <w:u w:val="single"/>
        </w:rPr>
        <w:t>投标人名称</w:t>
      </w:r>
      <w:r>
        <w:rPr>
          <w:rFonts w:cs="宋体"/>
          <w:color w:val="auto"/>
          <w:sz w:val="24"/>
          <w:szCs w:val="24"/>
          <w:highlight w:val="none"/>
          <w:u w:val="single"/>
        </w:rPr>
        <w:t>)</w:t>
      </w:r>
      <w:r>
        <w:rPr>
          <w:rFonts w:cs="宋体"/>
          <w:color w:val="auto"/>
          <w:sz w:val="24"/>
          <w:szCs w:val="24"/>
          <w:highlight w:val="none"/>
        </w:rPr>
        <w:t>______</w:t>
      </w:r>
      <w:r>
        <w:rPr>
          <w:rFonts w:hint="eastAsia" w:cs="宋体"/>
          <w:color w:val="auto"/>
          <w:sz w:val="24"/>
          <w:szCs w:val="24"/>
          <w:highlight w:val="none"/>
        </w:rPr>
        <w:t>，中华人民共和国合法企业，法定地址：</w:t>
      </w:r>
      <w:r>
        <w:rPr>
          <w:rFonts w:cs="宋体"/>
          <w:color w:val="auto"/>
          <w:sz w:val="24"/>
          <w:szCs w:val="24"/>
          <w:highlight w:val="none"/>
        </w:rPr>
        <w:t>____________________</w:t>
      </w:r>
      <w:r>
        <w:rPr>
          <w:rFonts w:hint="eastAsia" w:cs="宋体"/>
          <w:color w:val="auto"/>
          <w:sz w:val="24"/>
          <w:szCs w:val="24"/>
          <w:highlight w:val="none"/>
        </w:rPr>
        <w:t>。在参与</w:t>
      </w:r>
      <w:r>
        <w:rPr>
          <w:rFonts w:cs="宋体"/>
          <w:color w:val="auto"/>
          <w:sz w:val="24"/>
          <w:szCs w:val="24"/>
          <w:highlight w:val="none"/>
        </w:rPr>
        <w:t>______</w:t>
      </w:r>
      <w:r>
        <w:rPr>
          <w:rFonts w:cs="宋体"/>
          <w:color w:val="auto"/>
          <w:sz w:val="24"/>
          <w:szCs w:val="24"/>
          <w:highlight w:val="none"/>
          <w:u w:val="single"/>
        </w:rPr>
        <w:t>(</w:t>
      </w:r>
      <w:r>
        <w:rPr>
          <w:rFonts w:hint="eastAsia" w:cs="宋体"/>
          <w:color w:val="auto"/>
          <w:sz w:val="24"/>
          <w:szCs w:val="24"/>
          <w:highlight w:val="none"/>
          <w:u w:val="single"/>
        </w:rPr>
        <w:t>项目名称</w:t>
      </w:r>
      <w:r>
        <w:rPr>
          <w:rFonts w:cs="宋体"/>
          <w:color w:val="auto"/>
          <w:sz w:val="24"/>
          <w:szCs w:val="24"/>
          <w:highlight w:val="none"/>
          <w:u w:val="single"/>
        </w:rPr>
        <w:t>)(</w:t>
      </w:r>
      <w:r>
        <w:rPr>
          <w:rFonts w:hint="eastAsia" w:cs="宋体"/>
          <w:color w:val="auto"/>
          <w:sz w:val="24"/>
          <w:szCs w:val="24"/>
          <w:highlight w:val="none"/>
          <w:u w:val="single"/>
        </w:rPr>
        <w:t>项目编号</w:t>
      </w:r>
      <w:r>
        <w:rPr>
          <w:rFonts w:cs="宋体"/>
          <w:color w:val="auto"/>
          <w:sz w:val="24"/>
          <w:szCs w:val="24"/>
          <w:highlight w:val="none"/>
          <w:u w:val="single"/>
        </w:rPr>
        <w:t>)</w:t>
      </w:r>
      <w:r>
        <w:rPr>
          <w:rFonts w:cs="宋体"/>
          <w:color w:val="auto"/>
          <w:sz w:val="24"/>
          <w:szCs w:val="24"/>
          <w:highlight w:val="none"/>
        </w:rPr>
        <w:t>______</w:t>
      </w:r>
      <w:r>
        <w:rPr>
          <w:rFonts w:hint="eastAsia" w:cs="宋体"/>
          <w:color w:val="auto"/>
          <w:sz w:val="24"/>
          <w:szCs w:val="24"/>
          <w:highlight w:val="none"/>
        </w:rPr>
        <w:t>投标活动中，我公司授权投标专用章在此次活动中代为公章使用。</w:t>
      </w:r>
    </w:p>
    <w:p>
      <w:pPr>
        <w:pStyle w:val="20"/>
        <w:ind w:firstLine="480" w:firstLineChars="200"/>
        <w:rPr>
          <w:rFonts w:cs="宋体"/>
          <w:color w:val="auto"/>
          <w:sz w:val="24"/>
          <w:szCs w:val="24"/>
          <w:highlight w:val="none"/>
        </w:rPr>
      </w:pPr>
      <w:r>
        <w:rPr>
          <w:rFonts w:hint="eastAsia" w:cs="宋体"/>
          <w:color w:val="auto"/>
          <w:sz w:val="24"/>
          <w:szCs w:val="24"/>
          <w:highlight w:val="none"/>
        </w:rPr>
        <w:t>投标专用章所签署的投标文件、澄清等，我公司承认并同意具备与我公司公章签署等同的法律的效力。</w:t>
      </w:r>
    </w:p>
    <w:p>
      <w:pPr>
        <w:pStyle w:val="20"/>
        <w:ind w:firstLine="480" w:firstLineChars="200"/>
        <w:rPr>
          <w:rFonts w:cs="宋体"/>
          <w:color w:val="auto"/>
          <w:sz w:val="24"/>
          <w:szCs w:val="24"/>
          <w:highlight w:val="none"/>
        </w:rPr>
      </w:pPr>
      <w:r>
        <w:rPr>
          <w:rFonts w:hint="eastAsia" w:cs="宋体"/>
          <w:color w:val="auto"/>
          <w:sz w:val="24"/>
          <w:szCs w:val="24"/>
          <w:highlight w:val="none"/>
        </w:rPr>
        <w:t>投标专用章签署的所有文件、协议不因授权的撤销而失效。</w:t>
      </w:r>
    </w:p>
    <w:p>
      <w:pPr>
        <w:pStyle w:val="20"/>
        <w:ind w:firstLine="480" w:firstLineChars="200"/>
        <w:rPr>
          <w:rFonts w:cs="宋体"/>
          <w:color w:val="auto"/>
          <w:sz w:val="24"/>
          <w:szCs w:val="24"/>
          <w:highlight w:val="none"/>
        </w:rPr>
      </w:pPr>
    </w:p>
    <w:p>
      <w:pPr>
        <w:pStyle w:val="20"/>
        <w:ind w:firstLine="480" w:firstLineChars="200"/>
        <w:jc w:val="right"/>
        <w:rPr>
          <w:rFonts w:cs="宋体"/>
          <w:color w:val="auto"/>
          <w:sz w:val="24"/>
          <w:szCs w:val="24"/>
          <w:highlight w:val="none"/>
        </w:rPr>
      </w:pPr>
      <w:r>
        <w:rPr>
          <w:rFonts w:hint="eastAsia" w:cs="宋体"/>
          <w:color w:val="auto"/>
          <w:sz w:val="24"/>
          <w:szCs w:val="24"/>
          <w:highlight w:val="none"/>
        </w:rPr>
        <w:t>投标专用章：</w:t>
      </w:r>
      <w:r>
        <w:rPr>
          <w:rFonts w:cs="宋体"/>
          <w:color w:val="auto"/>
          <w:sz w:val="24"/>
          <w:szCs w:val="24"/>
          <w:highlight w:val="none"/>
        </w:rPr>
        <w:t>______________</w:t>
      </w:r>
      <w:r>
        <w:rPr>
          <w:rFonts w:cs="宋体"/>
          <w:color w:val="auto"/>
          <w:sz w:val="24"/>
          <w:szCs w:val="24"/>
          <w:highlight w:val="none"/>
          <w:u w:val="single"/>
        </w:rPr>
        <w:t>(</w:t>
      </w:r>
      <w:r>
        <w:rPr>
          <w:rFonts w:hint="eastAsia" w:cs="宋体"/>
          <w:color w:val="auto"/>
          <w:sz w:val="24"/>
          <w:szCs w:val="24"/>
          <w:highlight w:val="none"/>
          <w:u w:val="single"/>
        </w:rPr>
        <w:t>盖章</w:t>
      </w:r>
      <w:r>
        <w:rPr>
          <w:rFonts w:cs="宋体"/>
          <w:color w:val="auto"/>
          <w:sz w:val="24"/>
          <w:szCs w:val="24"/>
          <w:highlight w:val="none"/>
          <w:u w:val="single"/>
        </w:rPr>
        <w:t>)</w:t>
      </w:r>
    </w:p>
    <w:p>
      <w:pPr>
        <w:pStyle w:val="20"/>
        <w:ind w:firstLine="480" w:firstLineChars="200"/>
        <w:jc w:val="right"/>
        <w:rPr>
          <w:rFonts w:cs="宋体"/>
          <w:color w:val="auto"/>
          <w:sz w:val="24"/>
          <w:szCs w:val="24"/>
          <w:highlight w:val="none"/>
        </w:rPr>
      </w:pPr>
      <w:r>
        <w:rPr>
          <w:rFonts w:hint="eastAsia" w:cs="宋体"/>
          <w:color w:val="auto"/>
          <w:sz w:val="24"/>
          <w:szCs w:val="24"/>
          <w:highlight w:val="none"/>
        </w:rPr>
        <w:t>公司公章：</w:t>
      </w:r>
      <w:r>
        <w:rPr>
          <w:rFonts w:cs="宋体"/>
          <w:color w:val="auto"/>
          <w:sz w:val="24"/>
          <w:szCs w:val="24"/>
          <w:highlight w:val="none"/>
        </w:rPr>
        <w:t>________</w:t>
      </w:r>
      <w:r>
        <w:rPr>
          <w:rFonts w:cs="宋体"/>
          <w:color w:val="auto"/>
          <w:sz w:val="24"/>
          <w:szCs w:val="24"/>
          <w:highlight w:val="none"/>
          <w:u w:val="single"/>
        </w:rPr>
        <w:t>(</w:t>
      </w:r>
      <w:r>
        <w:rPr>
          <w:rFonts w:hint="eastAsia" w:cs="宋体"/>
          <w:color w:val="auto"/>
          <w:sz w:val="24"/>
          <w:szCs w:val="24"/>
          <w:highlight w:val="none"/>
          <w:u w:val="single"/>
        </w:rPr>
        <w:t>盖章</w:t>
      </w:r>
      <w:r>
        <w:rPr>
          <w:rFonts w:cs="宋体"/>
          <w:color w:val="auto"/>
          <w:sz w:val="24"/>
          <w:szCs w:val="24"/>
          <w:highlight w:val="none"/>
          <w:u w:val="single"/>
        </w:rPr>
        <w:t>)</w:t>
      </w:r>
    </w:p>
    <w:p>
      <w:pPr>
        <w:pStyle w:val="20"/>
        <w:ind w:firstLine="480" w:firstLineChars="200"/>
        <w:jc w:val="right"/>
        <w:rPr>
          <w:rFonts w:cs="宋体"/>
          <w:color w:val="auto"/>
          <w:sz w:val="24"/>
          <w:szCs w:val="24"/>
          <w:highlight w:val="none"/>
        </w:rPr>
      </w:pPr>
      <w:r>
        <w:rPr>
          <w:rFonts w:hint="eastAsia" w:cs="宋体"/>
          <w:color w:val="auto"/>
          <w:sz w:val="24"/>
          <w:szCs w:val="24"/>
          <w:highlight w:val="none"/>
        </w:rPr>
        <w:t>投标人法定代表人：</w:t>
      </w:r>
      <w:r>
        <w:rPr>
          <w:rFonts w:cs="宋体"/>
          <w:color w:val="auto"/>
          <w:sz w:val="24"/>
          <w:szCs w:val="24"/>
          <w:highlight w:val="none"/>
        </w:rPr>
        <w:t>______</w:t>
      </w:r>
      <w:r>
        <w:rPr>
          <w:rFonts w:cs="宋体"/>
          <w:color w:val="auto"/>
          <w:sz w:val="24"/>
          <w:szCs w:val="24"/>
          <w:highlight w:val="none"/>
          <w:u w:val="single"/>
        </w:rPr>
        <w:t>(</w:t>
      </w:r>
      <w:r>
        <w:rPr>
          <w:rFonts w:hint="eastAsia" w:cs="宋体"/>
          <w:color w:val="auto"/>
          <w:sz w:val="24"/>
          <w:szCs w:val="24"/>
          <w:highlight w:val="none"/>
          <w:u w:val="single"/>
        </w:rPr>
        <w:t>签字或签章</w:t>
      </w:r>
      <w:r>
        <w:rPr>
          <w:rFonts w:cs="宋体"/>
          <w:color w:val="auto"/>
          <w:sz w:val="24"/>
          <w:szCs w:val="24"/>
          <w:highlight w:val="none"/>
          <w:u w:val="single"/>
        </w:rPr>
        <w:t>)</w:t>
      </w:r>
    </w:p>
    <w:p>
      <w:pPr>
        <w:pStyle w:val="20"/>
        <w:ind w:firstLine="480" w:firstLineChars="200"/>
        <w:jc w:val="right"/>
        <w:rPr>
          <w:rFonts w:cs="宋体"/>
          <w:color w:val="auto"/>
          <w:sz w:val="24"/>
          <w:szCs w:val="24"/>
          <w:highlight w:val="none"/>
        </w:rPr>
      </w:pPr>
      <w:r>
        <w:rPr>
          <w:rFonts w:hint="eastAsia" w:cs="宋体"/>
          <w:color w:val="auto"/>
          <w:sz w:val="24"/>
          <w:szCs w:val="24"/>
          <w:highlight w:val="none"/>
        </w:rPr>
        <w:t>日期：　　　年　　月　　日</w:t>
      </w:r>
    </w:p>
    <w:p>
      <w:pPr>
        <w:pStyle w:val="20"/>
        <w:numPr>
          <w:ilvl w:val="0"/>
          <w:numId w:val="4"/>
        </w:numPr>
        <w:ind w:firstLine="480" w:firstLineChars="200"/>
        <w:jc w:val="center"/>
        <w:rPr>
          <w:rFonts w:hint="eastAsia" w:cs="宋体"/>
          <w:b/>
          <w:color w:val="auto"/>
          <w:sz w:val="30"/>
          <w:szCs w:val="30"/>
          <w:highlight w:val="none"/>
        </w:rPr>
      </w:pPr>
      <w:r>
        <w:rPr>
          <w:rFonts w:cs="宋体"/>
          <w:color w:val="auto"/>
          <w:sz w:val="24"/>
          <w:szCs w:val="24"/>
          <w:highlight w:val="none"/>
        </w:rPr>
        <w:br w:type="page"/>
      </w:r>
      <w:r>
        <w:rPr>
          <w:rFonts w:hint="eastAsia" w:cs="宋体"/>
          <w:b/>
          <w:color w:val="auto"/>
          <w:sz w:val="30"/>
          <w:szCs w:val="30"/>
          <w:highlight w:val="none"/>
        </w:rPr>
        <w:t>技术部分</w:t>
      </w:r>
    </w:p>
    <w:p>
      <w:pPr>
        <w:pStyle w:val="20"/>
        <w:numPr>
          <w:ilvl w:val="0"/>
          <w:numId w:val="0"/>
        </w:numPr>
        <w:ind w:firstLine="562" w:firstLineChars="200"/>
        <w:jc w:val="both"/>
        <w:rPr>
          <w:rFonts w:cs="宋体"/>
          <w:b/>
          <w:color w:val="auto"/>
          <w:sz w:val="30"/>
          <w:szCs w:val="30"/>
          <w:highlight w:val="none"/>
        </w:rPr>
      </w:pPr>
      <w:r>
        <w:rPr>
          <w:rFonts w:hint="eastAsia" w:hAnsi="宋体" w:cs="宋体"/>
          <w:b/>
          <w:color w:val="auto"/>
          <w:sz w:val="28"/>
          <w:szCs w:val="28"/>
          <w:highlight w:val="none"/>
        </w:rPr>
        <w:t>注：投标人必须对本章</w:t>
      </w:r>
      <w:r>
        <w:rPr>
          <w:rFonts w:hint="eastAsia" w:hAnsi="宋体" w:cs="宋体"/>
          <w:b/>
          <w:color w:val="auto"/>
          <w:sz w:val="28"/>
          <w:szCs w:val="28"/>
          <w:highlight w:val="none"/>
          <w:lang w:val="en-US" w:eastAsia="zh-CN"/>
        </w:rPr>
        <w:t>内容</w:t>
      </w:r>
      <w:r>
        <w:rPr>
          <w:rFonts w:hint="eastAsia" w:hAnsi="宋体" w:cs="宋体"/>
          <w:b/>
          <w:color w:val="auto"/>
          <w:sz w:val="28"/>
          <w:szCs w:val="28"/>
          <w:highlight w:val="none"/>
        </w:rPr>
        <w:t>进行投标响应，否则将被视为未实质性响应招标文件要求，其投标文件将被无效投标处理。</w:t>
      </w:r>
    </w:p>
    <w:p>
      <w:pPr>
        <w:numPr>
          <w:ilvl w:val="0"/>
          <w:numId w:val="5"/>
        </w:numPr>
        <w:jc w:val="center"/>
        <w:rPr>
          <w:rFonts w:ascii="宋体" w:cs="宋体"/>
          <w:b/>
          <w:color w:val="auto"/>
          <w:sz w:val="30"/>
          <w:szCs w:val="30"/>
          <w:highlight w:val="none"/>
        </w:rPr>
      </w:pPr>
      <w:r>
        <w:rPr>
          <w:rFonts w:hint="eastAsia" w:ascii="宋体" w:cs="宋体"/>
          <w:b/>
          <w:color w:val="auto"/>
          <w:sz w:val="30"/>
          <w:szCs w:val="30"/>
          <w:highlight w:val="none"/>
        </w:rPr>
        <w:t>　项目采购需求</w:t>
      </w:r>
      <w:bookmarkStart w:id="0" w:name="_Toc489257066"/>
    </w:p>
    <w:bookmarkEnd w:id="0"/>
    <w:p>
      <w:pPr>
        <w:pStyle w:val="156"/>
        <w:spacing w:line="520" w:lineRule="exact"/>
        <w:ind w:firstLine="0" w:firstLineChars="0"/>
        <w:rPr>
          <w:rFonts w:ascii="宋体" w:hAnsi="宋体" w:cs="宋体"/>
          <w:b/>
          <w:bCs/>
          <w:color w:val="auto"/>
          <w:szCs w:val="24"/>
          <w:highlight w:val="none"/>
        </w:rPr>
      </w:pPr>
      <w:r>
        <w:rPr>
          <w:rFonts w:hint="eastAsia" w:ascii="宋体" w:hAnsi="宋体" w:cs="宋体"/>
          <w:b/>
          <w:bCs/>
          <w:color w:val="auto"/>
          <w:szCs w:val="24"/>
          <w:highlight w:val="none"/>
        </w:rPr>
        <w:t>一、项目背景</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项目名称：福建税务2023年机房搬迁项目。</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服务地点：上街机房、省局机房、闽侯机房。</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服务内容：中标人提供小型机、存储、备份系统、虚拟化系统、PC服务器系统、网络系统、安全系统的基础搬迁服务、过渡环境搭建服务等。</w:t>
      </w:r>
    </w:p>
    <w:p>
      <w:pPr>
        <w:pStyle w:val="156"/>
        <w:spacing w:line="520" w:lineRule="exact"/>
        <w:ind w:firstLine="0" w:firstLineChars="0"/>
        <w:rPr>
          <w:rFonts w:ascii="宋体" w:hAnsi="宋体" w:cs="宋体"/>
          <w:b/>
          <w:bCs/>
          <w:color w:val="auto"/>
          <w:szCs w:val="24"/>
          <w:highlight w:val="none"/>
        </w:rPr>
      </w:pPr>
      <w:r>
        <w:rPr>
          <w:rFonts w:hint="eastAsia" w:ascii="宋体" w:hAnsi="宋体" w:cs="宋体"/>
          <w:b/>
          <w:bCs/>
          <w:color w:val="auto"/>
          <w:szCs w:val="24"/>
          <w:highlight w:val="none"/>
        </w:rPr>
        <w:t>二、采购内容</w:t>
      </w:r>
    </w:p>
    <w:tbl>
      <w:tblPr>
        <w:tblStyle w:val="3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016"/>
        <w:gridCol w:w="3395"/>
        <w:gridCol w:w="140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cs="宋体"/>
                <w:color w:val="auto"/>
                <w:sz w:val="24"/>
                <w:highlight w:val="none"/>
              </w:rPr>
            </w:pPr>
            <w:r>
              <w:rPr>
                <w:rFonts w:hint="eastAsia" w:ascii="宋体" w:hAnsi="宋体" w:cs="宋体"/>
                <w:color w:val="auto"/>
                <w:sz w:val="24"/>
                <w:highlight w:val="none"/>
              </w:rPr>
              <w:t>合同包</w:t>
            </w:r>
          </w:p>
        </w:tc>
        <w:tc>
          <w:tcPr>
            <w:tcW w:w="20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3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采购内容及要求</w:t>
            </w:r>
          </w:p>
        </w:tc>
        <w:tc>
          <w:tcPr>
            <w:tcW w:w="14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cs="宋体"/>
                <w:color w:val="auto"/>
                <w:sz w:val="24"/>
                <w:highlight w:val="none"/>
              </w:rPr>
            </w:pPr>
            <w:r>
              <w:rPr>
                <w:rFonts w:hint="eastAsia" w:ascii="宋体" w:hAnsi="宋体" w:cs="宋体"/>
                <w:color w:val="auto"/>
                <w:sz w:val="24"/>
                <w:highlight w:val="none"/>
              </w:rPr>
              <w:t>最高限价（万元）</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jc w:val="center"/>
              <w:rPr>
                <w:rFonts w:ascii="宋体" w:hAnsi="宋体" w:cs="宋体"/>
                <w:color w:val="auto"/>
                <w:sz w:val="24"/>
                <w:highlight w:val="none"/>
              </w:rPr>
            </w:pPr>
            <w:r>
              <w:rPr>
                <w:rFonts w:hint="eastAsia" w:ascii="宋体" w:hAnsi="宋体" w:cs="宋体"/>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2"/>
              <w:autoSpaceDE w:val="0"/>
              <w:autoSpaceDN w:val="0"/>
              <w:spacing w:line="520" w:lineRule="exact"/>
              <w:ind w:firstLine="206" w:firstLineChars="100"/>
              <w:rPr>
                <w:rFonts w:ascii="宋体" w:hAnsi="宋体" w:cs="宋体"/>
                <w:snapToGrid w:val="0"/>
                <w:color w:val="auto"/>
                <w:spacing w:val="-17"/>
                <w:kern w:val="0"/>
                <w:sz w:val="24"/>
                <w:szCs w:val="24"/>
                <w:highlight w:val="none"/>
              </w:rPr>
            </w:pPr>
            <w:r>
              <w:rPr>
                <w:rFonts w:hint="eastAsia" w:ascii="宋体" w:hAnsi="宋体" w:cs="宋体"/>
                <w:snapToGrid w:val="0"/>
                <w:color w:val="auto"/>
                <w:spacing w:val="-17"/>
                <w:kern w:val="0"/>
                <w:sz w:val="24"/>
                <w:szCs w:val="24"/>
                <w:highlight w:val="none"/>
              </w:rPr>
              <w:t>1</w:t>
            </w:r>
          </w:p>
        </w:tc>
        <w:tc>
          <w:tcPr>
            <w:tcW w:w="2016" w:type="dxa"/>
            <w:tcBorders>
              <w:top w:val="single" w:color="auto" w:sz="4" w:space="0"/>
              <w:left w:val="single" w:color="auto" w:sz="4" w:space="0"/>
              <w:bottom w:val="single" w:color="auto" w:sz="4" w:space="0"/>
              <w:right w:val="single" w:color="auto" w:sz="4" w:space="0"/>
            </w:tcBorders>
            <w:vAlign w:val="center"/>
          </w:tcPr>
          <w:p>
            <w:pPr>
              <w:pStyle w:val="12"/>
              <w:autoSpaceDE w:val="0"/>
              <w:autoSpaceDN w:val="0"/>
              <w:spacing w:line="520" w:lineRule="exact"/>
              <w:ind w:firstLine="0"/>
              <w:jc w:val="center"/>
              <w:rPr>
                <w:rFonts w:ascii="宋体" w:hAnsi="宋体" w:cs="宋体"/>
                <w:snapToGrid w:val="0"/>
                <w:color w:val="auto"/>
                <w:spacing w:val="-17"/>
                <w:kern w:val="0"/>
                <w:sz w:val="24"/>
                <w:szCs w:val="24"/>
                <w:highlight w:val="none"/>
              </w:rPr>
            </w:pPr>
            <w:r>
              <w:rPr>
                <w:rFonts w:hint="eastAsia" w:ascii="宋体" w:hAnsi="宋体" w:cs="宋体"/>
                <w:color w:val="auto"/>
                <w:sz w:val="24"/>
                <w:szCs w:val="24"/>
                <w:highlight w:val="none"/>
              </w:rPr>
              <w:t>福建税务2023年机房搬迁项目</w:t>
            </w:r>
          </w:p>
        </w:tc>
        <w:tc>
          <w:tcPr>
            <w:tcW w:w="3395" w:type="dxa"/>
            <w:tcBorders>
              <w:top w:val="single" w:color="auto" w:sz="4" w:space="0"/>
              <w:left w:val="single" w:color="auto" w:sz="4" w:space="0"/>
              <w:bottom w:val="single" w:color="auto" w:sz="4" w:space="0"/>
              <w:right w:val="single" w:color="auto" w:sz="4" w:space="0"/>
            </w:tcBorders>
            <w:vAlign w:val="center"/>
          </w:tcPr>
          <w:p>
            <w:pPr>
              <w:pStyle w:val="12"/>
              <w:autoSpaceDE w:val="0"/>
              <w:autoSpaceDN w:val="0"/>
              <w:spacing w:line="520" w:lineRule="exact"/>
              <w:ind w:firstLine="0"/>
              <w:jc w:val="center"/>
              <w:rPr>
                <w:rFonts w:ascii="宋体" w:hAnsi="宋体" w:cs="宋体"/>
                <w:snapToGrid w:val="0"/>
                <w:color w:val="auto"/>
                <w:spacing w:val="-17"/>
                <w:kern w:val="0"/>
                <w:sz w:val="24"/>
                <w:szCs w:val="24"/>
                <w:highlight w:val="none"/>
              </w:rPr>
            </w:pPr>
            <w:r>
              <w:rPr>
                <w:rFonts w:hint="eastAsia" w:ascii="宋体" w:hAnsi="宋体" w:cs="宋体"/>
                <w:color w:val="auto"/>
                <w:sz w:val="24"/>
                <w:szCs w:val="24"/>
                <w:highlight w:val="none"/>
              </w:rPr>
              <w:t>小型机、存储、备份系统、虚拟化系统、PC服务器系统、网络系统、安全系统的基础搬迁服务、过渡环境搭建服务。</w:t>
            </w:r>
          </w:p>
        </w:tc>
        <w:tc>
          <w:tcPr>
            <w:tcW w:w="1401" w:type="dxa"/>
            <w:tcBorders>
              <w:top w:val="single" w:color="auto" w:sz="4" w:space="0"/>
              <w:left w:val="single" w:color="auto" w:sz="4" w:space="0"/>
              <w:bottom w:val="single" w:color="auto" w:sz="4" w:space="0"/>
              <w:right w:val="single" w:color="auto" w:sz="4" w:space="0"/>
            </w:tcBorders>
            <w:vAlign w:val="center"/>
          </w:tcPr>
          <w:p>
            <w:pPr>
              <w:pStyle w:val="12"/>
              <w:autoSpaceDE w:val="0"/>
              <w:autoSpaceDN w:val="0"/>
              <w:spacing w:line="520" w:lineRule="exact"/>
              <w:rPr>
                <w:rFonts w:ascii="宋体" w:hAnsi="宋体" w:cs="宋体"/>
                <w:snapToGrid w:val="0"/>
                <w:color w:val="auto"/>
                <w:spacing w:val="-17"/>
                <w:kern w:val="0"/>
                <w:sz w:val="24"/>
                <w:szCs w:val="24"/>
                <w:highlight w:val="none"/>
              </w:rPr>
            </w:pPr>
            <w:r>
              <w:rPr>
                <w:rFonts w:hint="eastAsia" w:ascii="宋体" w:hAnsi="宋体" w:cs="宋体"/>
                <w:snapToGrid w:val="0"/>
                <w:color w:val="auto"/>
                <w:spacing w:val="-17"/>
                <w:kern w:val="0"/>
                <w:sz w:val="24"/>
                <w:szCs w:val="24"/>
                <w:highlight w:val="none"/>
              </w:rPr>
              <w:t>705</w:t>
            </w:r>
          </w:p>
        </w:tc>
        <w:tc>
          <w:tcPr>
            <w:tcW w:w="0" w:type="auto"/>
            <w:tcBorders>
              <w:top w:val="single" w:color="auto" w:sz="4" w:space="0"/>
              <w:left w:val="single" w:color="auto" w:sz="4" w:space="0"/>
              <w:bottom w:val="single" w:color="auto" w:sz="4" w:space="0"/>
              <w:right w:val="single" w:color="auto" w:sz="4" w:space="0"/>
            </w:tcBorders>
            <w:vAlign w:val="center"/>
          </w:tcPr>
          <w:p>
            <w:pPr>
              <w:pStyle w:val="12"/>
              <w:autoSpaceDE w:val="0"/>
              <w:autoSpaceDN w:val="0"/>
              <w:spacing w:line="520" w:lineRule="exact"/>
              <w:ind w:firstLine="0"/>
              <w:jc w:val="center"/>
              <w:rPr>
                <w:rFonts w:ascii="宋体" w:hAnsi="宋体" w:cs="宋体"/>
                <w:snapToGrid w:val="0"/>
                <w:color w:val="auto"/>
                <w:spacing w:val="-17"/>
                <w:kern w:val="0"/>
                <w:sz w:val="24"/>
                <w:szCs w:val="24"/>
                <w:highlight w:val="none"/>
              </w:rPr>
            </w:pPr>
            <w:r>
              <w:rPr>
                <w:rFonts w:hint="eastAsia" w:ascii="宋体" w:hAnsi="宋体" w:cs="宋体"/>
                <w:snapToGrid w:val="0"/>
                <w:color w:val="auto"/>
                <w:spacing w:val="-17"/>
                <w:kern w:val="0"/>
                <w:sz w:val="24"/>
                <w:szCs w:val="24"/>
                <w:highlight w:val="none"/>
              </w:rPr>
              <w:t>1（项）</w:t>
            </w:r>
          </w:p>
        </w:tc>
      </w:tr>
    </w:tbl>
    <w:p>
      <w:pPr>
        <w:pStyle w:val="144"/>
        <w:spacing w:after="156" w:line="520" w:lineRule="exact"/>
        <w:ind w:firstLine="0" w:firstLineChars="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三、项目需求</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要求中标人负责服务的总承包。中标通知书发出后，采购人有权下达开工令，中标人必须在开工令下达后的2个工作日内进场服务，完成包括组建团队、机房调研、应用调研、搬迁方案编写、过渡环境准备、临时线路开通、网络调试、迁移实施、硬件设备搬迁、过渡环境回迁、相关文档整理等工作，项目目标如下：</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1.新机房合理规划。满足现有设备搬迁运行需求并考虑较长时期内业务发展需求，结合搬迁按设备类型、热量排放、网络分区、供电容量等规划，在尽量节约使用机柜数量的前提下规划设备部署。</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网络平稳迁移。通过风险分析、应用关联分析、业务影响分析，制定安全有效的整体搬迁策略，减少业务影响，减少业务中断次数与时间，规避搬迁风险，保障网络的可用性；制定充分、细致的搬迁实施方案，提供与搭建应急环境，进行充分详细的准备工作，根据搬迁策略，将网络系统顺利搬迁至新机房。</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3.搬迁周期可控。在可控的范围内尽量缩短周期，充分分析网络运行情况、存储、安全设备等各种关联分批有计划的搬迁。</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4.中标人应协助采购人做好系统和数据的备份；配合采购人完成核心数据的备份恢复验证工作，确保备份的各类数据可恢复；提供部分备机及相应备品备件。</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5.设备搬迁至目标机房后，所有搬迁设备必须恢复正常运行，能够支持采购人业务正常运转，如搬迁过程中出现硬件设备故障，应协助采购人解决故障，无法排除故障的，应对原有网络进行调整后恢复业务系统。</w:t>
      </w:r>
      <w:bookmarkStart w:id="1" w:name="_Toc25681"/>
    </w:p>
    <w:bookmarkEnd w:id="1"/>
    <w:p>
      <w:pPr>
        <w:adjustRightInd w:val="0"/>
        <w:snapToGrid w:val="0"/>
        <w:spacing w:line="520" w:lineRule="exact"/>
        <w:ind w:firstLine="480" w:firstLineChars="200"/>
        <w:rPr>
          <w:rFonts w:ascii="宋体" w:hAnsi="宋体" w:cs="宋体"/>
          <w:color w:val="auto"/>
          <w:sz w:val="24"/>
          <w:highlight w:val="none"/>
        </w:rPr>
      </w:pPr>
      <w:bookmarkStart w:id="2" w:name="_Toc31587"/>
      <w:r>
        <w:rPr>
          <w:rFonts w:hint="eastAsia" w:ascii="宋体" w:hAnsi="宋体" w:cs="宋体"/>
          <w:color w:val="auto"/>
          <w:sz w:val="24"/>
          <w:highlight w:val="none"/>
        </w:rPr>
        <w:t>6.搬迁过程</w:t>
      </w:r>
      <w:bookmarkEnd w:id="2"/>
      <w:r>
        <w:rPr>
          <w:rFonts w:hint="eastAsia" w:ascii="宋体" w:hAnsi="宋体" w:cs="宋体"/>
          <w:color w:val="auto"/>
          <w:sz w:val="24"/>
          <w:highlight w:val="none"/>
        </w:rPr>
        <w:t>工作要求。对搬迁涉及的设备进行统计，确认设备型号、实际安装位置、电源、数据线缆、IP地址、系统安装、备份配置信息、保修等信息，形成统计表和设备机柜安装图。</w:t>
      </w:r>
      <w:bookmarkStart w:id="3" w:name="_Toc7016"/>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完成原机房部署的金税三期系统及子系统、电子税务局系统、个税管理系统、社保费系统、发票系统等多个应用系统迁移工作，包括应用系统迁移方案的设计，目的机房资源使用规划，资源调整分配，系统软件安装与调试，应用环境及数据环境的迁移实施，数据的一致性验证等应用系统迁移、网络核心设备的割接联调测试等相关工作。</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8.时间同步。要求搬迁时需确保各业务系统内部及系统之间的时间同步，确保原库及迁移目标库的时间一致，不发生因时间不一致影响业务系统正常运行的事件。</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9.搬迁完成后</w:t>
      </w:r>
      <w:bookmarkEnd w:id="3"/>
      <w:r>
        <w:rPr>
          <w:rFonts w:hint="eastAsia" w:ascii="宋体" w:hAnsi="宋体" w:cs="宋体"/>
          <w:color w:val="auto"/>
          <w:sz w:val="24"/>
          <w:highlight w:val="none"/>
        </w:rPr>
        <w:t>工作要求。对运行状态的系统进行状态检查，查看设备外观，是否有故障报警灯；查看系统运行情况，包括CPU、内存、磁盘使用情况、系统日志分析等。按照设备在新机房的安装位置，制作设备标签及对应表。标签一式三份，其中两份在设备下架时分别粘贴在设备及包装箱上，另一份留作备用。</w:t>
      </w:r>
    </w:p>
    <w:p>
      <w:pPr>
        <w:adjustRightInd w:val="0"/>
        <w:snapToGrid w:val="0"/>
        <w:spacing w:line="5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10.过渡环境资源必须满足福建省税务局应用系统正常运行的需要。</w:t>
      </w:r>
    </w:p>
    <w:p>
      <w:pPr>
        <w:adjustRightInd w:val="0"/>
        <w:snapToGrid w:val="0"/>
        <w:spacing w:line="520" w:lineRule="exact"/>
        <w:rPr>
          <w:rFonts w:ascii="宋体" w:hAnsi="宋体" w:cs="宋体"/>
          <w:b/>
          <w:bCs/>
          <w:color w:val="auto"/>
          <w:sz w:val="24"/>
          <w:highlight w:val="none"/>
        </w:rPr>
      </w:pPr>
      <w:r>
        <w:rPr>
          <w:rFonts w:hint="eastAsia" w:ascii="宋体" w:hAnsi="宋体" w:cs="宋体"/>
          <w:b/>
          <w:bCs/>
          <w:color w:val="auto"/>
          <w:sz w:val="24"/>
          <w:highlight w:val="none"/>
        </w:rPr>
        <w:t>四、服务内容</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
          <w:bCs/>
          <w:color w:val="auto"/>
          <w:sz w:val="24"/>
          <w:szCs w:val="24"/>
          <w:highlight w:val="none"/>
        </w:rPr>
        <w:t>中标人必须在签订合同后10个月内完成搬迁设备清单中所有设备的搬迁</w:t>
      </w:r>
      <w:r>
        <w:rPr>
          <w:rFonts w:ascii="宋体" w:hAnsi="宋体" w:cs="宋体"/>
          <w:bCs/>
          <w:color w:val="auto"/>
          <w:sz w:val="24"/>
          <w:szCs w:val="24"/>
          <w:highlight w:val="none"/>
        </w:rPr>
        <w:t>（</w:t>
      </w:r>
      <w:r>
        <w:rPr>
          <w:rFonts w:ascii="宋体" w:hAnsi="宋体" w:cs="宋体"/>
          <w:b/>
          <w:bCs/>
          <w:color w:val="auto"/>
          <w:sz w:val="24"/>
          <w:szCs w:val="24"/>
          <w:highlight w:val="none"/>
          <w:lang w:val="zh-CN"/>
        </w:rPr>
        <w:t>注：本项目涉及的搬迁设备清单等以中标人现场实际勘查为准。</w:t>
      </w:r>
      <w:r>
        <w:rPr>
          <w:rFonts w:ascii="宋体" w:hAnsi="宋体" w:cs="宋体"/>
          <w:bCs/>
          <w:color w:val="auto"/>
          <w:sz w:val="24"/>
          <w:szCs w:val="24"/>
          <w:highlight w:val="none"/>
        </w:rPr>
        <w:t>若因采购人或不可抗力等因素导致某个时间段无法正常搬迁，则时间顺延），具体流程如下：</w:t>
      </w:r>
    </w:p>
    <w:p>
      <w:pPr>
        <w:pStyle w:val="168"/>
        <w:numPr>
          <w:ilvl w:val="0"/>
          <w:numId w:val="6"/>
        </w:numPr>
        <w:spacing w:line="440" w:lineRule="exact"/>
        <w:rPr>
          <w:rFonts w:hint="default" w:ascii="宋体" w:hAnsi="宋体" w:cs="宋体"/>
          <w:b/>
          <w:bCs/>
          <w:color w:val="auto"/>
          <w:sz w:val="24"/>
          <w:szCs w:val="24"/>
          <w:highlight w:val="none"/>
        </w:rPr>
      </w:pPr>
      <w:r>
        <w:rPr>
          <w:rFonts w:ascii="宋体" w:hAnsi="宋体" w:cs="宋体"/>
          <w:b/>
          <w:bCs/>
          <w:color w:val="auto"/>
          <w:sz w:val="24"/>
          <w:szCs w:val="24"/>
          <w:highlight w:val="none"/>
        </w:rPr>
        <w:t>搬迁前调研及搬迁方案</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1.</w:t>
      </w:r>
      <w:r>
        <w:rPr>
          <w:rFonts w:ascii="宋体" w:hAnsi="宋体" w:cs="宋体"/>
          <w:bCs/>
          <w:color w:val="auto"/>
          <w:sz w:val="24"/>
          <w:szCs w:val="24"/>
          <w:highlight w:val="none"/>
          <w:lang w:val="zh-CN"/>
        </w:rPr>
        <w:t>完成原机房搬迁所需要的调研、评估、系统关联分析、风险分析，形成相关报告。</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2.</w:t>
      </w:r>
      <w:r>
        <w:rPr>
          <w:rFonts w:ascii="宋体" w:hAnsi="宋体" w:cs="宋体"/>
          <w:bCs/>
          <w:color w:val="auto"/>
          <w:sz w:val="24"/>
          <w:szCs w:val="24"/>
          <w:highlight w:val="none"/>
          <w:lang w:val="zh-CN"/>
        </w:rPr>
        <w:t>规划设计搬迁方案，包括详细的实施步骤和应急预案，搬迁方案应根据采购人的建议和意见，及时进行修改；具体搬迁方案由中标人提交并得到采购人确认后方可施行。</w:t>
      </w:r>
    </w:p>
    <w:p>
      <w:pPr>
        <w:pStyle w:val="168"/>
        <w:numPr>
          <w:ilvl w:val="0"/>
          <w:numId w:val="6"/>
        </w:numPr>
        <w:spacing w:line="440" w:lineRule="exact"/>
        <w:rPr>
          <w:rFonts w:hint="default" w:ascii="宋体" w:hAnsi="宋体" w:cs="宋体"/>
          <w:b/>
          <w:bCs/>
          <w:color w:val="auto"/>
          <w:sz w:val="24"/>
          <w:szCs w:val="24"/>
          <w:highlight w:val="none"/>
        </w:rPr>
      </w:pPr>
      <w:r>
        <w:rPr>
          <w:rFonts w:ascii="宋体" w:hAnsi="宋体" w:cs="宋体"/>
          <w:b/>
          <w:bCs/>
          <w:color w:val="auto"/>
          <w:sz w:val="24"/>
          <w:szCs w:val="24"/>
          <w:highlight w:val="none"/>
        </w:rPr>
        <w:t>临时线路及配套设备</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为实现相关业务系统数据迁移，并确保搬迁过程中相关业务系统安全、稳定、可靠的运行，本项目中标人须提供一条临时线路及配套传输设备，具体如下：</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1.传输设备。波分复用设备4台，单台密集波分复用波数≥8，线路速率≥10G，用于闽侯机房和上街机房主备裸光纤网络连通；</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2.临时线路。闽侯机房至上街机房电信、移动或联通运营商裸光纤1条（时延≤5ms）。中标人所提供用于本项目使用的传输线路应符合保密性要求，传输链路服务过程中若发生数据泄露情况，由中标人承担一切经济损失及相应责任，且负责消除因此而产生的所有不良社会影响。</w:t>
      </w:r>
    </w:p>
    <w:p>
      <w:pPr>
        <w:pStyle w:val="168"/>
        <w:numPr>
          <w:ilvl w:val="0"/>
          <w:numId w:val="6"/>
        </w:numPr>
        <w:spacing w:line="440" w:lineRule="exact"/>
        <w:rPr>
          <w:rFonts w:hint="default" w:ascii="宋体" w:hAnsi="宋体" w:cs="宋体"/>
          <w:b/>
          <w:bCs/>
          <w:color w:val="auto"/>
          <w:sz w:val="24"/>
          <w:szCs w:val="24"/>
          <w:highlight w:val="none"/>
        </w:rPr>
      </w:pPr>
      <w:r>
        <w:rPr>
          <w:rFonts w:ascii="宋体" w:hAnsi="宋体" w:cs="宋体"/>
          <w:b/>
          <w:bCs/>
          <w:color w:val="auto"/>
          <w:sz w:val="24"/>
          <w:szCs w:val="24"/>
          <w:highlight w:val="none"/>
        </w:rPr>
        <w:t>过渡环境搭建</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为确保业务系统的连续性，需要在闽侯机房搭建一个与目前生产环境架构一样的过渡环境，至少需要部署下列设备环境并完成系统集成（本项目</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应充分评估现有设备性能及负载，确保相关业务系统运行在中转环境中性能不出现明显下降；如在搬迁过程中发现过渡资源不足或性能不够的情况由</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负责解决，费用包含在项目总价中）：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1.小型机2台。采购人提供2台满配</w:t>
      </w:r>
      <w:r>
        <w:rPr>
          <w:rFonts w:ascii="宋体" w:hAnsi="宋体" w:cs="宋体"/>
          <w:bCs/>
          <w:color w:val="auto"/>
          <w:sz w:val="24"/>
          <w:szCs w:val="24"/>
          <w:highlight w:val="none"/>
          <w:lang w:eastAsia="zh-CN"/>
        </w:rPr>
        <w:t>小型机</w:t>
      </w:r>
      <w:r>
        <w:rPr>
          <w:rFonts w:ascii="宋体" w:hAnsi="宋体" w:cs="宋体"/>
          <w:bCs/>
          <w:color w:val="auto"/>
          <w:sz w:val="24"/>
          <w:szCs w:val="24"/>
          <w:highlight w:val="none"/>
        </w:rPr>
        <w:t>，相关包装、搬运</w:t>
      </w:r>
      <w:r>
        <w:rPr>
          <w:rFonts w:ascii="宋体" w:hAnsi="宋体" w:cs="宋体"/>
          <w:bCs/>
          <w:color w:val="auto"/>
          <w:sz w:val="24"/>
          <w:szCs w:val="24"/>
          <w:highlight w:val="none"/>
          <w:lang w:eastAsia="zh-CN"/>
        </w:rPr>
        <w:t>（北京至福州采购人指定地点）</w:t>
      </w:r>
      <w:r>
        <w:rPr>
          <w:rFonts w:ascii="宋体" w:hAnsi="宋体" w:cs="宋体"/>
          <w:bCs/>
          <w:color w:val="auto"/>
          <w:sz w:val="24"/>
          <w:szCs w:val="24"/>
          <w:highlight w:val="none"/>
        </w:rPr>
        <w:t>、保险、搬迁过程导致部件损坏的修复、综合布线及部署安装、辅材、O</w:t>
      </w:r>
      <w:r>
        <w:rPr>
          <w:rFonts w:ascii="宋体" w:hAnsi="宋体" w:cs="宋体"/>
          <w:bCs/>
          <w:color w:val="auto"/>
          <w:sz w:val="24"/>
          <w:szCs w:val="24"/>
          <w:highlight w:val="none"/>
          <w:lang w:eastAsia="zh-CN"/>
        </w:rPr>
        <w:t>racle</w:t>
      </w:r>
      <w:r>
        <w:rPr>
          <w:rFonts w:ascii="宋体" w:hAnsi="宋体" w:cs="宋体"/>
          <w:bCs/>
          <w:color w:val="auto"/>
          <w:sz w:val="24"/>
          <w:szCs w:val="24"/>
          <w:highlight w:val="none"/>
        </w:rPr>
        <w:t xml:space="preserve"> RAC等系统软件的安装等费用包含在项目总价中；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2.独立X86服务器10台。中标人协助采购人对10台X86服务器进行利旧腾挪；</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3.X86虚拟资源池。</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提供一个2000 VCORE、30T DDR4 内存的资源池，所有X86服务器的CPU必须同代，费用包含在项目总价中；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4.中标人提供一个实际可用容量≥500T （全部可用硬盘均为固态盘，必须确保足够的硬件冗余）的存储空间，费用包含在项目总价中；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5.中标人提供4台96口光纤交换机（单口速率不低于8Gb/s，支持堆叠），费用包含在项目总价中；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6.中标人提供18台接入交换机（单台万兆光口≥4，千兆光口（含光电转换模块）≥48），费用包含在项目总价中。</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
          <w:bCs/>
          <w:color w:val="auto"/>
          <w:sz w:val="24"/>
          <w:szCs w:val="24"/>
          <w:highlight w:val="none"/>
        </w:rPr>
        <w:t>上述由中标人提供的涉及数据存储的设备或部件，在项目使用完毕后，必须由双方认可的专业第三方机构删除使用痕迹并出具证明文书(需加盖公章)后，中标人方可取回。</w:t>
      </w:r>
    </w:p>
    <w:p>
      <w:pPr>
        <w:pStyle w:val="168"/>
        <w:numPr>
          <w:ilvl w:val="0"/>
          <w:numId w:val="6"/>
        </w:numPr>
        <w:spacing w:line="440" w:lineRule="exact"/>
        <w:rPr>
          <w:rFonts w:hint="default" w:ascii="宋体" w:hAnsi="宋体" w:cs="宋体"/>
          <w:b/>
          <w:bCs/>
          <w:color w:val="auto"/>
          <w:sz w:val="24"/>
          <w:szCs w:val="24"/>
          <w:highlight w:val="none"/>
        </w:rPr>
      </w:pPr>
      <w:r>
        <w:rPr>
          <w:rFonts w:ascii="宋体" w:hAnsi="宋体" w:cs="宋体"/>
          <w:b/>
          <w:bCs/>
          <w:color w:val="auto"/>
          <w:sz w:val="24"/>
          <w:szCs w:val="24"/>
          <w:highlight w:val="none"/>
        </w:rPr>
        <w:t>线路割接</w:t>
      </w:r>
    </w:p>
    <w:p>
      <w:pPr>
        <w:pStyle w:val="168"/>
        <w:spacing w:line="440" w:lineRule="exact"/>
        <w:ind w:firstLine="480"/>
        <w:rPr>
          <w:rFonts w:hint="default" w:ascii="宋体" w:hAnsi="宋体" w:cs="宋体"/>
          <w:bCs/>
          <w:color w:val="auto"/>
          <w:sz w:val="24"/>
          <w:szCs w:val="24"/>
          <w:highlight w:val="none"/>
        </w:rPr>
      </w:pPr>
      <w:r>
        <w:rPr>
          <w:rFonts w:ascii="宋体" w:hAnsi="宋体" w:cs="宋体"/>
          <w:bCs/>
          <w:color w:val="auto"/>
          <w:sz w:val="24"/>
          <w:szCs w:val="24"/>
          <w:highlight w:val="none"/>
        </w:rPr>
        <w:t>本次机房搬迁需要对包含但</w:t>
      </w:r>
      <w:r>
        <w:rPr>
          <w:rFonts w:ascii="宋体" w:hAnsi="宋体" w:cs="宋体"/>
          <w:bCs/>
          <w:color w:val="auto"/>
          <w:sz w:val="24"/>
          <w:szCs w:val="24"/>
          <w:highlight w:val="none"/>
          <w:lang w:eastAsia="zh-CN"/>
        </w:rPr>
        <w:t>不</w:t>
      </w:r>
      <w:r>
        <w:rPr>
          <w:rFonts w:ascii="宋体" w:hAnsi="宋体" w:cs="宋体"/>
          <w:bCs/>
          <w:color w:val="auto"/>
          <w:sz w:val="24"/>
          <w:szCs w:val="24"/>
          <w:highlight w:val="none"/>
        </w:rPr>
        <w:t>限于以下80条线路进行整合割接及调整：</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4187"/>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49" w:type="dxa"/>
            <w:vAlign w:val="center"/>
          </w:tcPr>
          <w:p>
            <w:pPr>
              <w:pStyle w:val="168"/>
              <w:spacing w:line="440" w:lineRule="exact"/>
              <w:jc w:val="center"/>
              <w:rPr>
                <w:rFonts w:hint="default" w:ascii="宋体" w:hAnsi="宋体" w:cs="宋体"/>
                <w:b/>
                <w:bCs/>
                <w:color w:val="auto"/>
                <w:sz w:val="24"/>
                <w:szCs w:val="24"/>
                <w:highlight w:val="none"/>
                <w:lang w:val="en"/>
              </w:rPr>
            </w:pPr>
            <w:r>
              <w:rPr>
                <w:rFonts w:ascii="宋体" w:hAnsi="宋体" w:cs="宋体"/>
                <w:b/>
                <w:bCs/>
                <w:color w:val="auto"/>
                <w:sz w:val="24"/>
                <w:szCs w:val="24"/>
                <w:highlight w:val="none"/>
                <w:lang w:val="en"/>
              </w:rPr>
              <w:t>序号</w:t>
            </w:r>
          </w:p>
        </w:tc>
        <w:tc>
          <w:tcPr>
            <w:tcW w:w="4187" w:type="dxa"/>
            <w:vAlign w:val="center"/>
          </w:tcPr>
          <w:p>
            <w:pPr>
              <w:pStyle w:val="168"/>
              <w:spacing w:line="440" w:lineRule="exact"/>
              <w:jc w:val="center"/>
              <w:rPr>
                <w:rFonts w:hint="default" w:ascii="宋体" w:hAnsi="宋体" w:cs="宋体"/>
                <w:b/>
                <w:bCs/>
                <w:color w:val="auto"/>
                <w:sz w:val="24"/>
                <w:szCs w:val="24"/>
                <w:highlight w:val="none"/>
                <w:lang w:val="en"/>
              </w:rPr>
            </w:pPr>
            <w:r>
              <w:rPr>
                <w:rFonts w:ascii="宋体" w:hAnsi="宋体" w:cs="宋体"/>
                <w:b/>
                <w:bCs/>
                <w:color w:val="auto"/>
                <w:sz w:val="24"/>
                <w:szCs w:val="24"/>
                <w:highlight w:val="none"/>
                <w:lang w:val="en"/>
              </w:rPr>
              <w:t>线路类型</w:t>
            </w:r>
          </w:p>
        </w:tc>
        <w:tc>
          <w:tcPr>
            <w:tcW w:w="1811" w:type="dxa"/>
            <w:vAlign w:val="center"/>
          </w:tcPr>
          <w:p>
            <w:pPr>
              <w:pStyle w:val="168"/>
              <w:spacing w:line="440" w:lineRule="exact"/>
              <w:jc w:val="center"/>
              <w:rPr>
                <w:rFonts w:hint="default" w:ascii="宋体" w:hAnsi="宋体" w:cs="宋体"/>
                <w:b/>
                <w:bCs/>
                <w:color w:val="auto"/>
                <w:sz w:val="24"/>
                <w:szCs w:val="24"/>
                <w:highlight w:val="none"/>
                <w:lang w:val="en"/>
              </w:rPr>
            </w:pPr>
            <w:r>
              <w:rPr>
                <w:rFonts w:ascii="宋体" w:hAnsi="宋体" w:cs="宋体"/>
                <w:b/>
                <w:bCs/>
                <w:color w:val="auto"/>
                <w:sz w:val="24"/>
                <w:szCs w:val="24"/>
                <w:highlight w:val="none"/>
                <w:lang w:val="e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749"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1</w:t>
            </w:r>
          </w:p>
        </w:tc>
        <w:tc>
          <w:tcPr>
            <w:tcW w:w="4187"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互联网</w:t>
            </w:r>
          </w:p>
        </w:tc>
        <w:tc>
          <w:tcPr>
            <w:tcW w:w="1811"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749"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2</w:t>
            </w:r>
          </w:p>
        </w:tc>
        <w:tc>
          <w:tcPr>
            <w:tcW w:w="4187"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外联网</w:t>
            </w:r>
          </w:p>
        </w:tc>
        <w:tc>
          <w:tcPr>
            <w:tcW w:w="1811"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49"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3</w:t>
            </w:r>
          </w:p>
        </w:tc>
        <w:tc>
          <w:tcPr>
            <w:tcW w:w="4187"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广域网</w:t>
            </w:r>
          </w:p>
        </w:tc>
        <w:tc>
          <w:tcPr>
            <w:tcW w:w="1811"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49"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4</w:t>
            </w:r>
          </w:p>
        </w:tc>
        <w:tc>
          <w:tcPr>
            <w:tcW w:w="4187"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中继</w:t>
            </w:r>
          </w:p>
        </w:tc>
        <w:tc>
          <w:tcPr>
            <w:tcW w:w="1811"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49"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5</w:t>
            </w:r>
          </w:p>
        </w:tc>
        <w:tc>
          <w:tcPr>
            <w:tcW w:w="4187"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eastAsia="zh-CN"/>
              </w:rPr>
              <w:t>机房</w:t>
            </w:r>
            <w:r>
              <w:rPr>
                <w:rFonts w:ascii="宋体" w:hAnsi="宋体" w:cs="宋体"/>
                <w:bCs/>
                <w:color w:val="auto"/>
                <w:sz w:val="24"/>
                <w:szCs w:val="24"/>
                <w:highlight w:val="none"/>
                <w:lang w:val="en"/>
              </w:rPr>
              <w:t>互联</w:t>
            </w:r>
          </w:p>
        </w:tc>
        <w:tc>
          <w:tcPr>
            <w:tcW w:w="1811" w:type="dxa"/>
          </w:tcPr>
          <w:p>
            <w:pPr>
              <w:pStyle w:val="168"/>
              <w:spacing w:line="440" w:lineRule="exact"/>
              <w:jc w:val="center"/>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49" w:type="dxa"/>
          </w:tcPr>
          <w:p>
            <w:pPr>
              <w:pStyle w:val="168"/>
              <w:spacing w:line="440" w:lineRule="exact"/>
              <w:ind w:firstLine="480"/>
              <w:jc w:val="center"/>
              <w:rPr>
                <w:rFonts w:hint="default" w:ascii="宋体" w:hAnsi="宋体" w:cs="宋体"/>
                <w:bCs/>
                <w:color w:val="auto"/>
                <w:sz w:val="24"/>
                <w:szCs w:val="24"/>
                <w:highlight w:val="none"/>
                <w:lang w:val="en"/>
              </w:rPr>
            </w:pPr>
          </w:p>
        </w:tc>
        <w:tc>
          <w:tcPr>
            <w:tcW w:w="4187" w:type="dxa"/>
          </w:tcPr>
          <w:p>
            <w:pPr>
              <w:pStyle w:val="168"/>
              <w:spacing w:line="440" w:lineRule="exact"/>
              <w:jc w:val="center"/>
              <w:rPr>
                <w:rFonts w:hint="default" w:ascii="宋体" w:hAnsi="宋体" w:cs="宋体"/>
                <w:bCs/>
                <w:color w:val="auto"/>
                <w:sz w:val="24"/>
                <w:szCs w:val="24"/>
                <w:highlight w:val="none"/>
                <w:lang w:val="en" w:eastAsia="zh-CN"/>
              </w:rPr>
            </w:pPr>
            <w:r>
              <w:rPr>
                <w:rFonts w:ascii="宋体" w:hAnsi="宋体" w:cs="宋体"/>
                <w:bCs/>
                <w:color w:val="auto"/>
                <w:sz w:val="24"/>
                <w:szCs w:val="24"/>
                <w:highlight w:val="none"/>
                <w:lang w:val="en" w:eastAsia="zh-CN"/>
              </w:rPr>
              <w:t>合计</w:t>
            </w:r>
          </w:p>
        </w:tc>
        <w:tc>
          <w:tcPr>
            <w:tcW w:w="1811" w:type="dxa"/>
          </w:tcPr>
          <w:p>
            <w:pPr>
              <w:pStyle w:val="168"/>
              <w:spacing w:line="440" w:lineRule="exact"/>
              <w:jc w:val="center"/>
              <w:rPr>
                <w:rFonts w:hint="default" w:ascii="宋体" w:hAnsi="宋体" w:cs="宋体"/>
                <w:bCs/>
                <w:color w:val="auto"/>
                <w:sz w:val="24"/>
                <w:szCs w:val="24"/>
                <w:highlight w:val="none"/>
                <w:lang w:val="en" w:eastAsia="zh-CN"/>
              </w:rPr>
            </w:pPr>
            <w:r>
              <w:rPr>
                <w:rFonts w:ascii="宋体" w:hAnsi="宋体" w:cs="宋体"/>
                <w:bCs/>
                <w:color w:val="auto"/>
                <w:sz w:val="24"/>
                <w:szCs w:val="24"/>
                <w:highlight w:val="none"/>
                <w:lang w:val="en" w:eastAsia="zh-CN"/>
              </w:rPr>
              <w:t>80</w:t>
            </w:r>
          </w:p>
        </w:tc>
      </w:tr>
    </w:tbl>
    <w:p>
      <w:pPr>
        <w:pStyle w:val="168"/>
        <w:spacing w:line="440" w:lineRule="exact"/>
        <w:ind w:firstLine="480"/>
        <w:rPr>
          <w:rFonts w:hint="default" w:ascii="宋体" w:hAnsi="宋体" w:cs="宋体"/>
          <w:b/>
          <w:bCs/>
          <w:color w:val="auto"/>
          <w:sz w:val="24"/>
          <w:szCs w:val="24"/>
          <w:highlight w:val="none"/>
        </w:rPr>
      </w:pPr>
      <w:r>
        <w:rPr>
          <w:rFonts w:ascii="宋体" w:hAnsi="宋体" w:cs="宋体"/>
          <w:b/>
          <w:bCs/>
          <w:color w:val="auto"/>
          <w:sz w:val="24"/>
          <w:szCs w:val="24"/>
          <w:highlight w:val="none"/>
        </w:rPr>
        <w:t>（五）应用系统迁移</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业务系统迁移是指在租赁机房搭建好基础的虚拟化、数据库、存储、网络（含机房之间的传输链路）以及安全防护环境（包括系统集成），并顺利完成上街机房全部IT设备、</w:t>
      </w:r>
      <w:r>
        <w:rPr>
          <w:rFonts w:ascii="宋体" w:hAnsi="宋体" w:cs="宋体"/>
          <w:bCs/>
          <w:color w:val="auto"/>
          <w:sz w:val="24"/>
          <w:szCs w:val="24"/>
          <w:highlight w:val="none"/>
          <w:lang w:eastAsia="zh-CN"/>
        </w:rPr>
        <w:t>省局</w:t>
      </w:r>
      <w:r>
        <w:rPr>
          <w:rFonts w:ascii="宋体" w:hAnsi="宋体" w:cs="宋体"/>
          <w:bCs/>
          <w:color w:val="auto"/>
          <w:sz w:val="24"/>
          <w:szCs w:val="24"/>
          <w:highlight w:val="none"/>
        </w:rPr>
        <w:t>机房部分设备及承载业务系统整体迁移至闽侯机房4层机房搭建的中转环境以及之后的业务系统回迁到原有设备中。</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本次机房搬迁项目涉及102个应用系统，其中81个生产业务系统、预生产系统21个。</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需要迁移的数据库包括如下：</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1.数据库</w:t>
      </w:r>
    </w:p>
    <w:p>
      <w:pPr>
        <w:pStyle w:val="168"/>
        <w:spacing w:line="440" w:lineRule="exact"/>
        <w:ind w:firstLine="480" w:firstLineChars="200"/>
        <w:jc w:val="both"/>
        <w:rPr>
          <w:rFonts w:hint="default" w:ascii="宋体" w:hAnsi="宋体" w:cs="宋体"/>
          <w:bCs/>
          <w:color w:val="auto"/>
          <w:sz w:val="24"/>
          <w:szCs w:val="24"/>
          <w:highlight w:val="none"/>
          <w:lang w:eastAsia="zh-CN"/>
        </w:rPr>
      </w:pPr>
      <w:r>
        <w:rPr>
          <w:rFonts w:ascii="宋体" w:hAnsi="宋体" w:cs="宋体"/>
          <w:bCs/>
          <w:color w:val="auto"/>
          <w:sz w:val="24"/>
          <w:szCs w:val="24"/>
          <w:highlight w:val="none"/>
        </w:rPr>
        <w:t>本次机房搬迁项目涉及迁移数据库120套，总数据量约730T</w:t>
      </w:r>
      <w:r>
        <w:rPr>
          <w:rFonts w:ascii="宋体" w:hAnsi="宋体" w:cs="宋体"/>
          <w:bCs/>
          <w:color w:val="auto"/>
          <w:sz w:val="24"/>
          <w:szCs w:val="24"/>
          <w:highlight w:val="none"/>
          <w:lang w:eastAsia="zh-CN"/>
        </w:rPr>
        <w:t>，</w:t>
      </w:r>
      <w:r>
        <w:rPr>
          <w:rFonts w:ascii="宋体" w:hAnsi="宋体" w:cs="宋体"/>
          <w:bCs/>
          <w:color w:val="auto"/>
          <w:sz w:val="24"/>
          <w:szCs w:val="24"/>
          <w:highlight w:val="none"/>
        </w:rPr>
        <w:t>本次机房搬迁涉及的业务数据库OGG等数据同步链路至少80条；</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2.虚拟化</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虚拟化迁移内容包括</w:t>
      </w:r>
      <w:r>
        <w:rPr>
          <w:rFonts w:ascii="宋体" w:hAnsi="宋体" w:cs="宋体"/>
          <w:bCs/>
          <w:color w:val="auto"/>
          <w:sz w:val="24"/>
          <w:szCs w:val="24"/>
          <w:highlight w:val="none"/>
          <w:lang w:eastAsia="zh-CN"/>
        </w:rPr>
        <w:t>22</w:t>
      </w:r>
      <w:r>
        <w:rPr>
          <w:rFonts w:ascii="宋体" w:hAnsi="宋体" w:cs="宋体"/>
          <w:bCs/>
          <w:color w:val="auto"/>
          <w:sz w:val="24"/>
          <w:szCs w:val="24"/>
          <w:highlight w:val="none"/>
        </w:rPr>
        <w:t>个资源池，可用资源约CPU 19000 VCORE、内存116000G、存储空间1460T，目前开通虚拟机1810台。虚拟化迁移利用过渡环境资源以及临时线路，实现虚拟化平台跨数据中心逐步迁移；虚拟化迁移尽量采用迁移工具进行在线迁移，无法在线迁移的采取镜像方式迁移，碰到特殊情况无法用工具迁移的新开虚拟机重新部署。</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在迁移业务系统时，中标人必须做到以下几点：</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1.完成每一个业务系统调研，必须明确业务系统的相关信息，包含但不限于数据库节点信息、应用节点信息、涉及硬件设备信息、与其他业务系统的数据交换相关信息、是否有应用捆绑IP或硬件等特殊情况信息；</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2.必须按照对业务影响最小的方式进行迁移。迁移与纳税人相关业务系统（生产系统）时，原则上必须选择业务中断时间最短的迁移方式。如特殊情况需要选择别的迁移方式，</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须书面向采购人提出申请，同时详细说明理由，得到采购人同意后方可迁移；</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3.必须与相关软件开发商或维护商充分沟通，组织由相关人员参加的测试，确保相关应用系统迁移后能正常使用。</w:t>
      </w:r>
    </w:p>
    <w:p>
      <w:pPr>
        <w:pStyle w:val="168"/>
        <w:numPr>
          <w:ilvl w:val="0"/>
          <w:numId w:val="7"/>
        </w:numPr>
        <w:spacing w:line="440" w:lineRule="exact"/>
        <w:jc w:val="both"/>
        <w:rPr>
          <w:rFonts w:hint="default" w:ascii="宋体" w:hAnsi="宋体" w:cs="宋体"/>
          <w:b/>
          <w:bCs/>
          <w:color w:val="auto"/>
          <w:sz w:val="24"/>
          <w:szCs w:val="24"/>
          <w:highlight w:val="none"/>
        </w:rPr>
      </w:pPr>
      <w:r>
        <w:rPr>
          <w:rFonts w:ascii="宋体" w:hAnsi="宋体" w:cs="宋体"/>
          <w:b/>
          <w:bCs/>
          <w:color w:val="auto"/>
          <w:sz w:val="24"/>
          <w:szCs w:val="24"/>
          <w:highlight w:val="none"/>
        </w:rPr>
        <w:t>物理设备搬迁</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本次机房搬迁项目需将现有四个机房中共计877台设备平稳、可靠、安全的搬迁至闽侯机房或</w:t>
      </w:r>
      <w:r>
        <w:rPr>
          <w:rFonts w:ascii="宋体" w:hAnsi="宋体" w:cs="宋体"/>
          <w:bCs/>
          <w:color w:val="auto"/>
          <w:sz w:val="24"/>
          <w:szCs w:val="24"/>
          <w:highlight w:val="none"/>
          <w:lang w:eastAsia="zh-CN"/>
        </w:rPr>
        <w:t>省局</w:t>
      </w:r>
      <w:r>
        <w:rPr>
          <w:rFonts w:ascii="宋体" w:hAnsi="宋体" w:cs="宋体"/>
          <w:bCs/>
          <w:color w:val="auto"/>
          <w:sz w:val="24"/>
          <w:szCs w:val="24"/>
          <w:highlight w:val="none"/>
        </w:rPr>
        <w:t>机房。现有各机房需搬迁设备分布情况统计如下：</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小型机6台，服务器455台，存储</w:t>
      </w:r>
      <w:r>
        <w:rPr>
          <w:rFonts w:ascii="宋体" w:hAnsi="宋体" w:cs="宋体"/>
          <w:bCs/>
          <w:color w:val="auto"/>
          <w:sz w:val="24"/>
          <w:szCs w:val="24"/>
          <w:highlight w:val="none"/>
          <w:lang w:eastAsia="zh-CN"/>
        </w:rPr>
        <w:t>22</w:t>
      </w:r>
      <w:r>
        <w:rPr>
          <w:rFonts w:ascii="宋体" w:hAnsi="宋体" w:cs="宋体"/>
          <w:bCs/>
          <w:color w:val="auto"/>
          <w:sz w:val="24"/>
          <w:szCs w:val="24"/>
          <w:highlight w:val="none"/>
        </w:rPr>
        <w:t>台，存储</w:t>
      </w:r>
      <w:r>
        <w:rPr>
          <w:rFonts w:ascii="宋体" w:hAnsi="宋体" w:cs="宋体"/>
          <w:bCs/>
          <w:color w:val="auto"/>
          <w:sz w:val="24"/>
          <w:szCs w:val="24"/>
          <w:highlight w:val="none"/>
          <w:lang w:eastAsia="zh-CN"/>
        </w:rPr>
        <w:t>用</w:t>
      </w:r>
      <w:r>
        <w:rPr>
          <w:rFonts w:ascii="宋体" w:hAnsi="宋体" w:cs="宋体"/>
          <w:bCs/>
          <w:color w:val="auto"/>
          <w:sz w:val="24"/>
          <w:szCs w:val="24"/>
          <w:highlight w:val="none"/>
        </w:rPr>
        <w:t>光纤交换机21台，网络设备、安全设备、负载均衡及其他设备373台。</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硬件设备搬迁是指中标人将采购人部署在原机房的硬件设备搬迁到目标机房，并完成相关设备在新机房的设计、综合布线、系统集成、联调测试等工作，具体如下：</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1.</w:t>
      </w:r>
      <w:r>
        <w:rPr>
          <w:rFonts w:ascii="宋体" w:hAnsi="宋体" w:cs="宋体"/>
          <w:bCs/>
          <w:color w:val="auto"/>
          <w:sz w:val="24"/>
          <w:szCs w:val="24"/>
          <w:highlight w:val="none"/>
          <w:lang w:val="zh-CN"/>
        </w:rPr>
        <w:t>负责实施目的机房综合布线，所有线材由中标人负责，整个布线工程要设计合理、施工规范、标识清晰，文档齐全，符合A级机房布线标准。其中，网络布线包括采购人要求的服务器、存储、交换机、路由器，防火墙等设备之间的互联的双绞线和光纤线；机柜、网络列头柜之间互联的双绞线和光纤，电源布线负责列头柜之后的所有线缆、工业连接器、航空插头等；所有设备电源线缆及设备互联线缆要求捆扎整齐，标识清晰，布线工程根据最终采购人使用的实际设备数量为准；</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2.</w:t>
      </w:r>
      <w:r>
        <w:rPr>
          <w:rFonts w:ascii="宋体" w:hAnsi="宋体" w:cs="宋体"/>
          <w:bCs/>
          <w:color w:val="auto"/>
          <w:sz w:val="24"/>
          <w:szCs w:val="24"/>
          <w:highlight w:val="none"/>
          <w:lang w:val="zh-CN"/>
        </w:rPr>
        <w:t>根据采购人提供的目的机房功能分布架构以及目标机房现有设备位置，规划设计拟搬迁设备在目的机房内的位置分布，并提供目的机房系统及网络架构图，负责完成目的机房的综合布线工作，包含所有线材，其中网络布线标准为六类非屏蔽双绞线、多模光纤等级OM3及以上，且光纤布线要求定制不允许现场制作，所有布线预留10%的冗余。服务期内目的机房现有设备或新增设备布线，采购人不再支付任何费用；</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3.</w:t>
      </w:r>
      <w:r>
        <w:rPr>
          <w:rFonts w:ascii="宋体" w:hAnsi="宋体" w:cs="宋体"/>
          <w:bCs/>
          <w:color w:val="auto"/>
          <w:sz w:val="24"/>
          <w:szCs w:val="24"/>
          <w:highlight w:val="none"/>
          <w:lang w:val="zh-CN"/>
        </w:rPr>
        <w:t>搬迁前，中标人必须做好系统和数据的备份，确保专业系统数据和设备在搬迁过程中不损坏、不崩溃，满足专业系统正常运行条件，全部搬迁后应在最短时间内恢复运行。专业系统搬迁要符合项目管理方法和流程，遵循合理的搬迁原则和计划安排，按照系统间的关系、重要程度和具备的条件合理安排搬迁进度。整个搬迁方案要考虑到各种可能的风险，并提供相应的预防措施、补救措施，保证数据和应用系统的绝对安全；</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4.</w:t>
      </w:r>
      <w:r>
        <w:rPr>
          <w:rFonts w:ascii="宋体" w:hAnsi="宋体" w:cs="宋体"/>
          <w:bCs/>
          <w:color w:val="auto"/>
          <w:sz w:val="24"/>
          <w:szCs w:val="24"/>
          <w:highlight w:val="none"/>
          <w:lang w:val="zh-CN"/>
        </w:rPr>
        <w:t>搬迁过程中，中标人必须对搬迁设备进行妥善的包装和安全的运输，所有搬迁的设备必须加装防热、防潮、防震、防静电等装置，整体搬迁设备（指使用非标机柜的设备）必须封装木箱，标准机柜设备根据实际情况封装，搬迁过程中任何损坏的设备，均由中标人负责更新或更换备件；</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5.中标人</w:t>
      </w:r>
      <w:r>
        <w:rPr>
          <w:rFonts w:ascii="宋体" w:hAnsi="宋体" w:cs="宋体"/>
          <w:bCs/>
          <w:color w:val="auto"/>
          <w:sz w:val="24"/>
          <w:szCs w:val="24"/>
          <w:highlight w:val="none"/>
          <w:lang w:val="zh-CN"/>
        </w:rPr>
        <w:t>必须购买机房搬迁期间的相关保险（包括但不限于以下险种：运输、人身等），保险有效期至少三个月，所购保险应当无附加条件的全额赔付，由于未可预料的原因导致设备损坏、财产损失或人员伤害，责任由保险公司承担，未购买保险的所有责任由中标人承担，与采购人无关；</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6.</w:t>
      </w:r>
      <w:r>
        <w:rPr>
          <w:rFonts w:ascii="宋体" w:hAnsi="宋体" w:cs="宋体"/>
          <w:bCs/>
          <w:color w:val="auto"/>
          <w:sz w:val="24"/>
          <w:szCs w:val="24"/>
          <w:highlight w:val="none"/>
          <w:lang w:val="zh-CN"/>
        </w:rPr>
        <w:t>搬迁后应完成设备系统的搭建安装，配合采购人完成系统一致性、完好性、可用性测试，保证设备维保服务的可延续性，提供有效的质量监控；</w:t>
      </w:r>
    </w:p>
    <w:p>
      <w:pPr>
        <w:pStyle w:val="168"/>
        <w:spacing w:line="440" w:lineRule="exact"/>
        <w:ind w:firstLine="480"/>
        <w:jc w:val="both"/>
        <w:rPr>
          <w:rFonts w:hint="default" w:ascii="宋体" w:hAnsi="宋体" w:cs="宋体"/>
          <w:b/>
          <w:bCs/>
          <w:color w:val="auto"/>
          <w:sz w:val="24"/>
          <w:szCs w:val="24"/>
          <w:highlight w:val="none"/>
        </w:rPr>
      </w:pPr>
      <w:r>
        <w:rPr>
          <w:rFonts w:ascii="宋体" w:hAnsi="宋体" w:cs="宋体"/>
          <w:bCs/>
          <w:color w:val="auto"/>
          <w:sz w:val="24"/>
          <w:szCs w:val="24"/>
          <w:highlight w:val="none"/>
        </w:rPr>
        <w:t xml:space="preserve"> </w:t>
      </w:r>
      <w:r>
        <w:rPr>
          <w:rFonts w:ascii="宋体" w:hAnsi="宋体" w:cs="宋体"/>
          <w:b/>
          <w:bCs/>
          <w:color w:val="auto"/>
          <w:sz w:val="24"/>
          <w:szCs w:val="24"/>
          <w:highlight w:val="none"/>
        </w:rPr>
        <w:t>7.每台设备在搬迁前和搬迁后，采购人、本项目中标人、现有设备服务商对硬件设备完好性、可用性进行确认，分清责任。除拟报废设备外，搬迁之前损坏的设备和部件由现有设备服务商（维保期内设备）进行维修或采购人相关工作人员进行确认（维保期外设备），搬迁过程中损坏的设备和部件由本项目中标人进行维修。</w:t>
      </w:r>
    </w:p>
    <w:p>
      <w:pPr>
        <w:pStyle w:val="168"/>
        <w:spacing w:line="440" w:lineRule="exact"/>
        <w:ind w:firstLine="480"/>
        <w:jc w:val="both"/>
        <w:rPr>
          <w:rFonts w:hint="default" w:ascii="宋体" w:hAnsi="宋体" w:cs="宋体"/>
          <w:b/>
          <w:bCs/>
          <w:color w:val="auto"/>
          <w:sz w:val="24"/>
          <w:szCs w:val="24"/>
          <w:highlight w:val="none"/>
          <w:lang w:val="zh-CN"/>
        </w:rPr>
      </w:pPr>
      <w:r>
        <w:rPr>
          <w:rFonts w:ascii="宋体" w:hAnsi="宋体" w:cs="宋体"/>
          <w:b/>
          <w:bCs/>
          <w:color w:val="auto"/>
          <w:sz w:val="24"/>
          <w:szCs w:val="24"/>
          <w:highlight w:val="none"/>
          <w:lang w:val="zh-CN"/>
        </w:rPr>
        <w:t>（七）硬件搬迁详细要求</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机房设备物理搬迁详细技术要求分为对中标人搬迁准备阶段的要求、搬迁阶段的要求和搬迁后的要求:</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1.</w:t>
      </w:r>
      <w:r>
        <w:rPr>
          <w:rFonts w:ascii="宋体" w:hAnsi="宋体" w:cs="宋体"/>
          <w:bCs/>
          <w:color w:val="auto"/>
          <w:sz w:val="24"/>
          <w:szCs w:val="24"/>
          <w:highlight w:val="none"/>
          <w:lang w:val="zh-CN"/>
        </w:rPr>
        <w:t>搬迁准备阶段的要求</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w:t>
      </w:r>
      <w:r>
        <w:rPr>
          <w:rFonts w:ascii="宋体" w:hAnsi="宋体" w:cs="宋体"/>
          <w:bCs/>
          <w:color w:val="auto"/>
          <w:sz w:val="24"/>
          <w:szCs w:val="24"/>
          <w:highlight w:val="none"/>
          <w:lang w:val="zh-CN"/>
        </w:rPr>
        <w:t>）负责采购人</w:t>
      </w:r>
      <w:r>
        <w:rPr>
          <w:rFonts w:ascii="宋体" w:hAnsi="宋体" w:cs="宋体"/>
          <w:bCs/>
          <w:color w:val="auto"/>
          <w:sz w:val="24"/>
          <w:szCs w:val="24"/>
          <w:highlight w:val="none"/>
        </w:rPr>
        <w:t>上街机房、</w:t>
      </w:r>
      <w:r>
        <w:rPr>
          <w:rFonts w:ascii="宋体" w:hAnsi="宋体" w:cs="宋体"/>
          <w:bCs/>
          <w:color w:val="auto"/>
          <w:sz w:val="24"/>
          <w:szCs w:val="24"/>
          <w:highlight w:val="none"/>
          <w:lang w:eastAsia="zh-CN"/>
        </w:rPr>
        <w:t>省局</w:t>
      </w:r>
      <w:r>
        <w:rPr>
          <w:rFonts w:ascii="宋体" w:hAnsi="宋体" w:cs="宋体"/>
          <w:bCs/>
          <w:color w:val="auto"/>
          <w:sz w:val="24"/>
          <w:szCs w:val="24"/>
          <w:highlight w:val="none"/>
        </w:rPr>
        <w:t>机房</w:t>
      </w:r>
      <w:r>
        <w:rPr>
          <w:rFonts w:ascii="宋体" w:hAnsi="宋体" w:cs="宋体"/>
          <w:bCs/>
          <w:color w:val="auto"/>
          <w:sz w:val="24"/>
          <w:szCs w:val="24"/>
          <w:highlight w:val="none"/>
          <w:lang w:val="zh-CN"/>
        </w:rPr>
        <w:t>内设备的数量核对，并绘制设备物理分布图。</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2</w:t>
      </w:r>
      <w:r>
        <w:rPr>
          <w:rFonts w:ascii="宋体" w:hAnsi="宋体" w:cs="宋体"/>
          <w:bCs/>
          <w:color w:val="auto"/>
          <w:sz w:val="24"/>
          <w:szCs w:val="24"/>
          <w:highlight w:val="none"/>
          <w:lang w:val="zh-CN"/>
        </w:rPr>
        <w:t>）负责采购人上街机房内所有</w:t>
      </w:r>
      <w:r>
        <w:rPr>
          <w:rFonts w:ascii="宋体" w:hAnsi="宋体" w:cs="宋体"/>
          <w:bCs/>
          <w:color w:val="auto"/>
          <w:sz w:val="24"/>
          <w:szCs w:val="24"/>
          <w:highlight w:val="none"/>
        </w:rPr>
        <w:t>IT</w:t>
      </w:r>
      <w:r>
        <w:rPr>
          <w:rFonts w:ascii="宋体" w:hAnsi="宋体" w:cs="宋体"/>
          <w:bCs/>
          <w:color w:val="auto"/>
          <w:sz w:val="24"/>
          <w:szCs w:val="24"/>
          <w:highlight w:val="none"/>
          <w:lang w:val="zh-CN"/>
        </w:rPr>
        <w:t>设备及其他机房内的拟搬迁设备的梳理、系统的调研、位置登记、系统关联分析、风险分析等工作,形成相关报告和图表（包括但不限于以下资料：物理分布图、非标机柜电源配置图、网络连接图、逻辑示意图、应用关系图等）。</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（3）负责整体标签方案的制定和实施工作。标签方案要涵盖电源、网络、线缆、设备、机柜等各个方面，既要考虑方便搬迁工作又要便于以后日常运维管理，方案必须经过采购人审核。</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（4）负责制定设备搬迁方案，方案必须报备采购人。如方案不能通过采购人认可，中标人必须重新设计直至通过，一切后果由中标人承担。</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5</w:t>
      </w:r>
      <w:r>
        <w:rPr>
          <w:rFonts w:ascii="宋体" w:hAnsi="宋体" w:cs="宋体"/>
          <w:bCs/>
          <w:color w:val="auto"/>
          <w:sz w:val="24"/>
          <w:szCs w:val="24"/>
          <w:highlight w:val="none"/>
          <w:lang w:val="zh-CN"/>
        </w:rPr>
        <w:t>）根据目的机房的实际情况，合理设计各设备在目的机房内的安装位置。</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6</w:t>
      </w:r>
      <w:r>
        <w:rPr>
          <w:rFonts w:ascii="宋体" w:hAnsi="宋体" w:cs="宋体"/>
          <w:bCs/>
          <w:color w:val="auto"/>
          <w:sz w:val="24"/>
          <w:szCs w:val="24"/>
          <w:highlight w:val="none"/>
          <w:lang w:val="zh-CN"/>
        </w:rPr>
        <w:t>）机房搬迁的各相关设备的拆除、包装、运输、安装、上架等详细搬迁步骤，并提供详细实施文档。</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7</w:t>
      </w:r>
      <w:r>
        <w:rPr>
          <w:rFonts w:ascii="宋体" w:hAnsi="宋体" w:cs="宋体"/>
          <w:bCs/>
          <w:color w:val="auto"/>
          <w:sz w:val="24"/>
          <w:szCs w:val="24"/>
          <w:highlight w:val="none"/>
          <w:lang w:val="zh-CN"/>
        </w:rPr>
        <w:t>）搬运前需要进行设备的健康检查，并由设备硬件运维服务厂商、本项目中标人和采购人共同签字确认。</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8</w:t>
      </w:r>
      <w:r>
        <w:rPr>
          <w:rFonts w:ascii="宋体" w:hAnsi="宋体" w:cs="宋体"/>
          <w:bCs/>
          <w:color w:val="auto"/>
          <w:sz w:val="24"/>
          <w:szCs w:val="24"/>
          <w:highlight w:val="none"/>
          <w:lang w:val="zh-CN"/>
        </w:rPr>
        <w:t>）做好搬迁前需拆卸硬件的标签工作以及搬迁设备清点工作，所有搬迁设备须经中标人与采购人共同确认。</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9</w:t>
      </w:r>
      <w:r>
        <w:rPr>
          <w:rFonts w:ascii="宋体" w:hAnsi="宋体" w:cs="宋体"/>
          <w:bCs/>
          <w:color w:val="auto"/>
          <w:sz w:val="24"/>
          <w:szCs w:val="24"/>
          <w:highlight w:val="none"/>
          <w:lang w:val="zh-CN"/>
        </w:rPr>
        <w:t>）系统和设备下电，由采购人指定的相关人员完成。</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10</w:t>
      </w:r>
      <w:r>
        <w:rPr>
          <w:rFonts w:ascii="宋体" w:hAnsi="宋体" w:cs="宋体"/>
          <w:bCs/>
          <w:color w:val="auto"/>
          <w:sz w:val="24"/>
          <w:szCs w:val="24"/>
          <w:highlight w:val="none"/>
          <w:lang w:val="zh-CN"/>
        </w:rPr>
        <w:t>）应由中标人完成的搬迁准备阶段的其他工作。</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2.</w:t>
      </w:r>
      <w:r>
        <w:rPr>
          <w:rFonts w:ascii="宋体" w:hAnsi="宋体" w:cs="宋体"/>
          <w:bCs/>
          <w:color w:val="auto"/>
          <w:sz w:val="24"/>
          <w:szCs w:val="24"/>
          <w:highlight w:val="none"/>
          <w:lang w:val="zh-CN"/>
        </w:rPr>
        <w:t>搬迁阶段的要求</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搬迁阶段指自设备开始下电，至设备搬迁至目的机房，全部安装完毕并通过采购人验收为止。</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w:t>
      </w:r>
      <w:r>
        <w:rPr>
          <w:rFonts w:ascii="宋体" w:hAnsi="宋体" w:cs="宋体"/>
          <w:bCs/>
          <w:color w:val="auto"/>
          <w:sz w:val="24"/>
          <w:szCs w:val="24"/>
          <w:highlight w:val="none"/>
          <w:lang w:val="zh-CN"/>
        </w:rPr>
        <w:t>）确保在采购人规定的各时间窗口内完成机房的搬迁工作，包括所有设备及其附件的拆除、包装、运输、安装等机房迁移全过程。</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2</w:t>
      </w:r>
      <w:r>
        <w:rPr>
          <w:rFonts w:ascii="宋体" w:hAnsi="宋体" w:cs="宋体"/>
          <w:bCs/>
          <w:color w:val="auto"/>
          <w:sz w:val="24"/>
          <w:szCs w:val="24"/>
          <w:highlight w:val="none"/>
          <w:lang w:val="zh-CN"/>
        </w:rPr>
        <w:t xml:space="preserve">）确保设备搬迁完成后各类硬件的完整性、可用性和一致性。  </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3</w:t>
      </w:r>
      <w:r>
        <w:rPr>
          <w:rFonts w:ascii="宋体" w:hAnsi="宋体" w:cs="宋体"/>
          <w:bCs/>
          <w:color w:val="auto"/>
          <w:sz w:val="24"/>
          <w:szCs w:val="24"/>
          <w:highlight w:val="none"/>
          <w:lang w:val="zh-CN"/>
        </w:rPr>
        <w:t>）搬迁期间，中标人要负责运输的组织与保障，要对运输全过程进行监督，确保设备安全运送到目的机房。</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4</w:t>
      </w:r>
      <w:r>
        <w:rPr>
          <w:rFonts w:ascii="宋体" w:hAnsi="宋体" w:cs="宋体"/>
          <w:bCs/>
          <w:color w:val="auto"/>
          <w:sz w:val="24"/>
          <w:szCs w:val="24"/>
          <w:highlight w:val="none"/>
          <w:lang w:val="zh-CN"/>
        </w:rPr>
        <w:t>）搬迁期间，硬件设备一旦出现故障，核对相关原因，因运输过程造成的损坏，由中标人负责恢复、修改和重新安装直至恢复正常运行。</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5</w:t>
      </w:r>
      <w:r>
        <w:rPr>
          <w:rFonts w:ascii="宋体" w:hAnsi="宋体" w:cs="宋体"/>
          <w:bCs/>
          <w:color w:val="auto"/>
          <w:sz w:val="24"/>
          <w:szCs w:val="24"/>
          <w:highlight w:val="none"/>
          <w:lang w:val="zh-CN"/>
        </w:rPr>
        <w:t>）搬迁设备的健康检查由设备硬件运维服务厂商、本项目中标人和采购人共同签字确认。</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6</w:t>
      </w:r>
      <w:r>
        <w:rPr>
          <w:rFonts w:ascii="宋体" w:hAnsi="宋体" w:cs="宋体"/>
          <w:bCs/>
          <w:color w:val="auto"/>
          <w:sz w:val="24"/>
          <w:szCs w:val="24"/>
          <w:highlight w:val="none"/>
          <w:lang w:val="zh-CN"/>
        </w:rPr>
        <w:t>）应由中标人完成的搬迁阶段的其他工作。</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3.</w:t>
      </w:r>
      <w:r>
        <w:rPr>
          <w:rFonts w:ascii="宋体" w:hAnsi="宋体" w:cs="宋体"/>
          <w:bCs/>
          <w:color w:val="auto"/>
          <w:sz w:val="24"/>
          <w:szCs w:val="24"/>
          <w:highlight w:val="none"/>
          <w:lang w:val="zh-CN"/>
        </w:rPr>
        <w:t>搬迁后的要求</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w:t>
      </w:r>
      <w:r>
        <w:rPr>
          <w:rFonts w:ascii="宋体" w:hAnsi="宋体" w:cs="宋体"/>
          <w:bCs/>
          <w:color w:val="auto"/>
          <w:sz w:val="24"/>
          <w:szCs w:val="24"/>
          <w:highlight w:val="none"/>
          <w:lang w:val="zh-CN"/>
        </w:rPr>
        <w:t>）配合采购人完成硬件系统验证工作。</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2</w:t>
      </w:r>
      <w:r>
        <w:rPr>
          <w:rFonts w:ascii="宋体" w:hAnsi="宋体" w:cs="宋体"/>
          <w:bCs/>
          <w:color w:val="auto"/>
          <w:sz w:val="24"/>
          <w:szCs w:val="24"/>
          <w:highlight w:val="none"/>
          <w:lang w:val="zh-CN"/>
        </w:rPr>
        <w:t>）确保机房搬迁后，采购人各设备的保修维护服务继续有效。</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3</w:t>
      </w:r>
      <w:r>
        <w:rPr>
          <w:rFonts w:ascii="宋体" w:hAnsi="宋体" w:cs="宋体"/>
          <w:bCs/>
          <w:color w:val="auto"/>
          <w:sz w:val="24"/>
          <w:szCs w:val="24"/>
          <w:highlight w:val="none"/>
          <w:lang w:val="zh-CN"/>
        </w:rPr>
        <w:t>）应由中标人完成的搬迁后的其他工作。</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4</w:t>
      </w:r>
      <w:r>
        <w:rPr>
          <w:rFonts w:ascii="宋体" w:hAnsi="宋体" w:cs="宋体"/>
          <w:bCs/>
          <w:color w:val="auto"/>
          <w:sz w:val="24"/>
          <w:szCs w:val="24"/>
          <w:highlight w:val="none"/>
          <w:lang w:val="zh-CN"/>
        </w:rPr>
        <w:t>）完成全部工作任务并提交交付件和完工报告。</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（5）3个月为试运行期，期间中标人须在每个月征期的每周及月末派工程师于闽侯机房进行现场巡检，巡检内容包括但不限于</w:t>
      </w:r>
      <w:r>
        <w:rPr>
          <w:rFonts w:ascii="宋体" w:hAnsi="宋体" w:cs="宋体"/>
          <w:bCs/>
          <w:color w:val="auto"/>
          <w:sz w:val="24"/>
          <w:szCs w:val="24"/>
          <w:highlight w:val="none"/>
        </w:rPr>
        <w:t>小型机、存储、数据库、虚拟化平台、网络设备、备份系统、安全设备、PC服务器、负载均衡、线路割接、波分设备等，并出具月度巡检报告。</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试运行期若本项目涉及的搬迁设备发生故障，</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必须派工程师到采购人现场，若由于</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原因无法及时排除故障，造成的一切损失由</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承担。</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4.</w:t>
      </w:r>
      <w:r>
        <w:rPr>
          <w:rFonts w:ascii="宋体" w:hAnsi="宋体" w:cs="宋体"/>
          <w:bCs/>
          <w:color w:val="auto"/>
          <w:sz w:val="24"/>
          <w:szCs w:val="24"/>
          <w:highlight w:val="none"/>
          <w:lang w:val="zh-CN"/>
        </w:rPr>
        <w:t>机房重要设备（主机、存储、存储用光纤交换机、网络设备、安全设备等）搬迁详细技术要求</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w:t>
      </w:r>
      <w:r>
        <w:rPr>
          <w:rFonts w:ascii="宋体" w:hAnsi="宋体" w:cs="宋体"/>
          <w:bCs/>
          <w:color w:val="auto"/>
          <w:sz w:val="24"/>
          <w:szCs w:val="24"/>
          <w:highlight w:val="none"/>
          <w:lang w:val="zh-CN"/>
        </w:rPr>
        <w:t>）将经采购人确认后的重要设备完整搬迁到新机房。该部分为采购人核心系统，本项目中标人必须考虑应急措施，保证硬件系统出现故障后可在规定的时间窗口内恢复正常生产。</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2</w:t>
      </w:r>
      <w:r>
        <w:rPr>
          <w:rFonts w:ascii="宋体" w:hAnsi="宋体" w:cs="宋体"/>
          <w:bCs/>
          <w:color w:val="auto"/>
          <w:sz w:val="24"/>
          <w:szCs w:val="24"/>
          <w:highlight w:val="none"/>
          <w:lang w:val="zh-CN"/>
        </w:rPr>
        <w:t>）必须由原厂商工程师或专业工程师负责停机、电源切断；如需整柜搬迁的设备，必须在搬迁前检查柜内物是否已经清理、箱柜是否已经锁好（固定）；可以拆分搬迁的设备，搬迁完成后必须由专业工程师完成设备的拼装；</w:t>
      </w:r>
      <w:r>
        <w:rPr>
          <w:rFonts w:ascii="宋体" w:hAnsi="宋体" w:cs="宋体"/>
          <w:b/>
          <w:bCs/>
          <w:color w:val="auto"/>
          <w:sz w:val="24"/>
          <w:szCs w:val="24"/>
          <w:highlight w:val="none"/>
          <w:lang w:val="zh-CN"/>
        </w:rPr>
        <w:t>安装完成后需对硬件进行健康性检查，设备交付后必须能正常工作并由设备运维服务商、本项目中标人和采购人共同签字确认，在保设备不影响后期质保。</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3</w:t>
      </w:r>
      <w:r>
        <w:rPr>
          <w:rFonts w:ascii="宋体" w:hAnsi="宋体" w:cs="宋体"/>
          <w:bCs/>
          <w:color w:val="auto"/>
          <w:sz w:val="24"/>
          <w:szCs w:val="24"/>
          <w:highlight w:val="none"/>
          <w:lang w:val="zh-CN"/>
        </w:rPr>
        <w:t>）小型机存储等关键设备按照采购人要求进行二次调试，其中小型机初始化包含分区划分，资源调配等，存储包含初始化，RAID重建、硬盘域存储池配置等，包含</w:t>
      </w:r>
      <w:r>
        <w:rPr>
          <w:rFonts w:ascii="宋体" w:hAnsi="宋体" w:cs="宋体"/>
          <w:bCs/>
          <w:color w:val="auto"/>
          <w:sz w:val="24"/>
          <w:szCs w:val="24"/>
          <w:highlight w:val="none"/>
        </w:rPr>
        <w:t>ZONE</w:t>
      </w:r>
      <w:r>
        <w:rPr>
          <w:rFonts w:ascii="宋体" w:hAnsi="宋体" w:cs="宋体"/>
          <w:bCs/>
          <w:color w:val="auto"/>
          <w:sz w:val="24"/>
          <w:szCs w:val="24"/>
          <w:highlight w:val="none"/>
          <w:lang w:val="zh-CN"/>
        </w:rPr>
        <w:t>划分等工作，并给采购人进行相关操作培训。</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4</w:t>
      </w:r>
      <w:r>
        <w:rPr>
          <w:rFonts w:ascii="宋体" w:hAnsi="宋体" w:cs="宋体"/>
          <w:bCs/>
          <w:color w:val="auto"/>
          <w:sz w:val="24"/>
          <w:szCs w:val="24"/>
          <w:highlight w:val="none"/>
          <w:lang w:val="zh-CN"/>
        </w:rPr>
        <w:t>）中标人负责设备的拆卸工作，负责将拆卸下的硬件重新组装，负责搬迁到位后的硬件恢复工作。</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5</w:t>
      </w:r>
      <w:r>
        <w:rPr>
          <w:rFonts w:ascii="宋体" w:hAnsi="宋体" w:cs="宋体"/>
          <w:bCs/>
          <w:color w:val="auto"/>
          <w:sz w:val="24"/>
          <w:szCs w:val="24"/>
          <w:highlight w:val="none"/>
          <w:lang w:val="zh-CN"/>
        </w:rPr>
        <w:t>）中标人负责对硬件按实施方案进行整体搬迁，并负责包装和运输，负责在目的机房的搬运等工作，相关单位进行健康检查，并进行签字确认。</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6</w:t>
      </w:r>
      <w:r>
        <w:rPr>
          <w:rFonts w:ascii="宋体" w:hAnsi="宋体" w:cs="宋体"/>
          <w:bCs/>
          <w:color w:val="auto"/>
          <w:sz w:val="24"/>
          <w:szCs w:val="24"/>
          <w:highlight w:val="none"/>
          <w:lang w:val="zh-CN"/>
        </w:rPr>
        <w:t>）将硬件上电检测，确认硬件的故障情况。</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7</w:t>
      </w:r>
      <w:r>
        <w:rPr>
          <w:rFonts w:ascii="宋体" w:hAnsi="宋体" w:cs="宋体"/>
          <w:bCs/>
          <w:color w:val="auto"/>
          <w:sz w:val="24"/>
          <w:szCs w:val="24"/>
          <w:highlight w:val="none"/>
          <w:lang w:val="zh-CN"/>
        </w:rPr>
        <w:t>）完成全部工作任务并提交交付文件和完工报告。</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rPr>
        <w:t>5.</w:t>
      </w:r>
      <w:r>
        <w:rPr>
          <w:rFonts w:ascii="宋体" w:hAnsi="宋体" w:cs="宋体"/>
          <w:bCs/>
          <w:color w:val="auto"/>
          <w:sz w:val="24"/>
          <w:szCs w:val="24"/>
          <w:highlight w:val="none"/>
          <w:lang w:val="zh-CN"/>
        </w:rPr>
        <w:t>机房搬迁项目集成详细技术要求。中标人应配合采购人实施总体的项目管理，并负责完成以下工作：</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1</w:t>
      </w:r>
      <w:r>
        <w:rPr>
          <w:rFonts w:ascii="宋体" w:hAnsi="宋体" w:cs="宋体"/>
          <w:bCs/>
          <w:color w:val="auto"/>
          <w:sz w:val="24"/>
          <w:szCs w:val="24"/>
          <w:highlight w:val="none"/>
          <w:lang w:val="zh-CN"/>
        </w:rPr>
        <w:t>）完成数据中心机房搬迁所需要的机房设备数量核对。</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2</w:t>
      </w:r>
      <w:r>
        <w:rPr>
          <w:rFonts w:ascii="宋体" w:hAnsi="宋体" w:cs="宋体"/>
          <w:bCs/>
          <w:color w:val="auto"/>
          <w:sz w:val="24"/>
          <w:szCs w:val="24"/>
          <w:highlight w:val="none"/>
          <w:lang w:val="zh-CN"/>
        </w:rPr>
        <w:t>）规划设计搬迁方案，包括详细的实施步骤和应急预案，并实施搬迁演练等，方案的规划设计要充分吸收采购人的建议和意见，及时进行整改。</w:t>
      </w:r>
    </w:p>
    <w:p>
      <w:pPr>
        <w:pStyle w:val="168"/>
        <w:spacing w:line="440" w:lineRule="exact"/>
        <w:ind w:firstLine="48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3</w:t>
      </w:r>
      <w:r>
        <w:rPr>
          <w:rFonts w:ascii="宋体" w:hAnsi="宋体" w:cs="宋体"/>
          <w:bCs/>
          <w:color w:val="auto"/>
          <w:sz w:val="24"/>
          <w:szCs w:val="24"/>
          <w:highlight w:val="none"/>
          <w:lang w:val="zh-CN"/>
        </w:rPr>
        <w:t>）负责实施迁移目的机房的综合布线，所有线材由中标人负责，整个布线工程要设计合理、施工规范、标识清晰，文档齐全，符合A级机房布线标准。其中，网络布线包括采购人要求的小型机、服务器、存储、交换机、路由器、防火墙等在搬迁设备清单所列出的全部设备之间的互联双绞线和光纤线；机柜、网络列头柜之间的互联双绞线和光纤，电源布线负责列头柜之后的所有线缆、工业连接器、航空插头等；所有设备电源线缆及设备互联线缆要求捆扎整齐，标识清晰，布线工程根据最终采购人使用的实际设备数量为准，并且要适配采购人设备。</w:t>
      </w:r>
    </w:p>
    <w:p>
      <w:pPr>
        <w:pStyle w:val="168"/>
        <w:spacing w:line="440" w:lineRule="exact"/>
        <w:ind w:firstLine="480" w:firstLineChars="200"/>
        <w:jc w:val="both"/>
        <w:rPr>
          <w:rFonts w:hint="default" w:ascii="宋体" w:hAnsi="宋体" w:cs="宋体"/>
          <w:bCs/>
          <w:color w:val="auto"/>
          <w:sz w:val="24"/>
          <w:szCs w:val="24"/>
          <w:highlight w:val="none"/>
          <w:lang w:val="zh-CN"/>
        </w:rPr>
      </w:pPr>
      <w:r>
        <w:rPr>
          <w:rFonts w:ascii="宋体" w:hAnsi="宋体" w:cs="宋体"/>
          <w:bCs/>
          <w:color w:val="auto"/>
          <w:sz w:val="24"/>
          <w:szCs w:val="24"/>
          <w:highlight w:val="none"/>
          <w:lang w:val="zh-CN"/>
        </w:rPr>
        <w:t>（</w:t>
      </w:r>
      <w:r>
        <w:rPr>
          <w:rFonts w:ascii="宋体" w:hAnsi="宋体" w:cs="宋体"/>
          <w:bCs/>
          <w:color w:val="auto"/>
          <w:sz w:val="24"/>
          <w:szCs w:val="24"/>
          <w:highlight w:val="none"/>
        </w:rPr>
        <w:t>4</w:t>
      </w:r>
      <w:r>
        <w:rPr>
          <w:rFonts w:ascii="宋体" w:hAnsi="宋体" w:cs="宋体"/>
          <w:bCs/>
          <w:color w:val="auto"/>
          <w:sz w:val="24"/>
          <w:szCs w:val="24"/>
          <w:highlight w:val="none"/>
          <w:lang w:val="zh-CN"/>
        </w:rPr>
        <w:t>）根据采购人提供的目的机房功能分布架构以及目标机房现有设备位置，规划设计拟搬迁设备在目的机房内的位置分布，并提供目的机房系统及网络架构图，负责完成目的机房的综合布线工作，包含所有线材，其中网络布线标准为六类非屏蔽双绞线、多模光纤等级OM3及以上，且光纤布线要求定制不允许现场制作，各种规格的光纤线和双绞线预留10%的冗余。服务期内目的机房现有设备或新增设备布线，采购人不再支付任何费用。</w:t>
      </w:r>
    </w:p>
    <w:p>
      <w:pPr>
        <w:pStyle w:val="168"/>
        <w:spacing w:line="440" w:lineRule="exact"/>
        <w:ind w:firstLine="480"/>
        <w:jc w:val="both"/>
        <w:rPr>
          <w:rFonts w:hint="default" w:ascii="宋体" w:hAnsi="宋体" w:cs="宋体"/>
          <w:b/>
          <w:bCs/>
          <w:color w:val="auto"/>
          <w:sz w:val="24"/>
          <w:szCs w:val="24"/>
          <w:highlight w:val="none"/>
        </w:rPr>
      </w:pPr>
      <w:r>
        <w:rPr>
          <w:rFonts w:ascii="宋体" w:hAnsi="宋体" w:cs="宋体"/>
          <w:b/>
          <w:bCs/>
          <w:color w:val="auto"/>
          <w:sz w:val="24"/>
          <w:szCs w:val="24"/>
          <w:highlight w:val="none"/>
        </w:rPr>
        <w:t xml:space="preserve"> (八)数据中心切换</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整体数据和应用切换到新机房中转设备。包含网络切换、部分硬件系统和设备搬迁、虚拟化切换、数据库切换、运营商链路切割、应用切换等内容。</w:t>
      </w:r>
    </w:p>
    <w:p>
      <w:pPr>
        <w:pStyle w:val="168"/>
        <w:spacing w:line="440" w:lineRule="exact"/>
        <w:ind w:firstLine="480"/>
        <w:jc w:val="both"/>
        <w:rPr>
          <w:rFonts w:hint="default" w:ascii="宋体" w:hAnsi="宋体" w:cs="宋体"/>
          <w:b/>
          <w:bCs/>
          <w:color w:val="auto"/>
          <w:sz w:val="24"/>
          <w:szCs w:val="24"/>
          <w:highlight w:val="none"/>
        </w:rPr>
      </w:pPr>
      <w:r>
        <w:rPr>
          <w:rFonts w:ascii="宋体" w:hAnsi="宋体" w:cs="宋体"/>
          <w:b/>
          <w:bCs/>
          <w:color w:val="auto"/>
          <w:sz w:val="24"/>
          <w:szCs w:val="24"/>
          <w:highlight w:val="none"/>
        </w:rPr>
        <w:t>（九）业务回迁</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在新机房通过局域网络将</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提供的过渡设备承载的业务系统迁移到采购人自有设备上，将</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提供的过渡设备替换回采购人自有设备，主要包括虚拟化切换、数据库切换、硬件环境切换、网络环境切换等。</w:t>
      </w:r>
    </w:p>
    <w:p>
      <w:pPr>
        <w:pStyle w:val="168"/>
        <w:spacing w:line="440" w:lineRule="exact"/>
        <w:ind w:firstLine="480"/>
        <w:jc w:val="both"/>
        <w:rPr>
          <w:rFonts w:hint="default" w:ascii="宋体" w:hAnsi="宋体" w:cs="宋体"/>
          <w:b/>
          <w:bCs/>
          <w:color w:val="auto"/>
          <w:sz w:val="24"/>
          <w:szCs w:val="24"/>
          <w:highlight w:val="none"/>
        </w:rPr>
      </w:pPr>
      <w:r>
        <w:rPr>
          <w:rFonts w:ascii="宋体" w:hAnsi="宋体" w:cs="宋体"/>
          <w:b/>
          <w:bCs/>
          <w:color w:val="auto"/>
          <w:sz w:val="24"/>
          <w:szCs w:val="24"/>
          <w:highlight w:val="none"/>
        </w:rPr>
        <w:t>（十）优化整合</w:t>
      </w:r>
    </w:p>
    <w:p>
      <w:pPr>
        <w:pStyle w:val="168"/>
        <w:spacing w:line="440" w:lineRule="exact"/>
        <w:ind w:firstLine="480" w:firstLineChars="200"/>
        <w:jc w:val="both"/>
        <w:rPr>
          <w:rFonts w:hint="default" w:ascii="宋体" w:hAnsi="宋体" w:cs="宋体"/>
          <w:bCs/>
          <w:color w:val="auto"/>
          <w:sz w:val="24"/>
          <w:szCs w:val="24"/>
          <w:highlight w:val="none"/>
          <w:lang w:val="en"/>
        </w:rPr>
      </w:pPr>
      <w:r>
        <w:rPr>
          <w:rFonts w:ascii="宋体" w:hAnsi="宋体" w:cs="宋体"/>
          <w:bCs/>
          <w:color w:val="auto"/>
          <w:sz w:val="24"/>
          <w:szCs w:val="24"/>
          <w:highlight w:val="none"/>
          <w:lang w:val="en"/>
        </w:rPr>
        <w:t>利用此次搬迁，中标人须对</w:t>
      </w:r>
      <w:r>
        <w:rPr>
          <w:rFonts w:ascii="宋体" w:hAnsi="宋体" w:cs="宋体"/>
          <w:bCs/>
          <w:color w:val="auto"/>
          <w:sz w:val="24"/>
          <w:szCs w:val="24"/>
          <w:highlight w:val="none"/>
          <w:lang w:eastAsia="zh-CN"/>
        </w:rPr>
        <w:t>福建省税务</w:t>
      </w:r>
      <w:r>
        <w:rPr>
          <w:rFonts w:ascii="宋体" w:hAnsi="宋体" w:cs="宋体"/>
          <w:bCs/>
          <w:color w:val="auto"/>
          <w:sz w:val="24"/>
          <w:szCs w:val="24"/>
          <w:highlight w:val="none"/>
          <w:lang w:val="en"/>
        </w:rPr>
        <w:t>局备份系统、存储系统、虚拟化系统和网络进行整合优化，提高基础资源利用效率。</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1.备份系统</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本次机房搬迁项目涉及备份系统5套。</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2.虚拟化系统</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将采购人目前部署在上街机房、省局机房的22个资源池进行整合，减少资源池数量，提高使用效率，并增加冗余提高安全性。同时，尽量将已使用年限较短、性能相对好的设备分配给与纳税人直接相关的生产业务系统。</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3.存储系统</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中标人</w:t>
      </w:r>
      <w:r>
        <w:rPr>
          <w:rFonts w:ascii="宋体" w:hAnsi="宋体" w:cs="宋体"/>
          <w:bCs/>
          <w:color w:val="auto"/>
          <w:sz w:val="24"/>
          <w:szCs w:val="24"/>
          <w:highlight w:val="none"/>
        </w:rPr>
        <w:t>必须对采购人的各存储系统进行整合、优化，将性能较好的资源优先分配给重要的生产系统；利用逐步成熟的重删、压缩等先进技术提高部分高端存储的资源使用效率。</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4.网络</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lang w:eastAsia="zh-CN"/>
        </w:rPr>
        <w:t>福建省税务局省局</w:t>
      </w:r>
      <w:r>
        <w:rPr>
          <w:rFonts w:ascii="宋体" w:hAnsi="宋体" w:cs="宋体"/>
          <w:bCs/>
          <w:color w:val="auto"/>
          <w:sz w:val="24"/>
          <w:szCs w:val="24"/>
          <w:highlight w:val="none"/>
        </w:rPr>
        <w:t>机房原有弱电汇聚迁移至新汇聚间，同时分别连接</w:t>
      </w:r>
      <w:r>
        <w:rPr>
          <w:rFonts w:ascii="宋体" w:hAnsi="宋体" w:cs="宋体"/>
          <w:bCs/>
          <w:color w:val="auto"/>
          <w:sz w:val="24"/>
          <w:szCs w:val="24"/>
          <w:highlight w:val="none"/>
          <w:lang w:eastAsia="zh-CN"/>
        </w:rPr>
        <w:t>福建省税务局省局机房两栋</w:t>
      </w:r>
      <w:r>
        <w:rPr>
          <w:rFonts w:ascii="宋体" w:hAnsi="宋体" w:cs="宋体"/>
          <w:bCs/>
          <w:color w:val="auto"/>
          <w:sz w:val="24"/>
          <w:szCs w:val="24"/>
          <w:highlight w:val="none"/>
        </w:rPr>
        <w:t>楼的税务专网和互联网，无需通过第三方机房进行网络中转。</w:t>
      </w:r>
    </w:p>
    <w:p>
      <w:pPr>
        <w:pStyle w:val="144"/>
        <w:spacing w:after="156" w:line="520" w:lineRule="exact"/>
        <w:ind w:firstLine="0" w:firstLineChars="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五、项目管理和实施要求</w:t>
      </w:r>
    </w:p>
    <w:p>
      <w:pPr>
        <w:pStyle w:val="168"/>
        <w:spacing w:line="440" w:lineRule="exact"/>
        <w:ind w:firstLine="480"/>
        <w:jc w:val="both"/>
        <w:rPr>
          <w:rFonts w:hint="default" w:ascii="宋体" w:hAnsi="宋体" w:cs="宋体"/>
          <w:b/>
          <w:bCs/>
          <w:color w:val="auto"/>
          <w:sz w:val="24"/>
          <w:szCs w:val="24"/>
          <w:highlight w:val="none"/>
        </w:rPr>
      </w:pPr>
      <w:r>
        <w:rPr>
          <w:rFonts w:ascii="宋体" w:hAnsi="宋体" w:cs="宋体"/>
          <w:b/>
          <w:bCs/>
          <w:color w:val="auto"/>
          <w:sz w:val="24"/>
          <w:szCs w:val="24"/>
          <w:highlight w:val="none"/>
          <w:lang w:eastAsia="zh-CN"/>
        </w:rPr>
        <w:t>（一）人员</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为确保本项目顺利，中标人必须组成一个由项目经理、技术负责人、闽侯机房驻场人员、项目技术服务团队专业工程师、文档员等组成的技术服务团队，团队成员至少必须有全日制本科学历、学士学位、3年IT行业工作经验。</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1.项目经理</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项目经理必须具有10年以上的IT类项目管理经验和机房搬迁项目经验。投标人在投标文件中需要列出拟出任本项目项目经理的相关IT证书、管理证书、类似项目经验等内容，所有提交给采购人的项目正式文档，必须经验项目经理审核。项目经理每周至少参加一次项目例会，每月至少到采购人单位当面交流沟通一次。</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2.技术负责人</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技术负责人作为本项目的项目日常协调人，必须拥有丰富的IT系统集成经验和IT服务类项目经验（10年以上的IT类项目系统集成及服务经验），熟悉主机、数据库、虚拟化、网络、安全等与本次搬迁主要难点相关的IT知识。在项目服务期内，项目技术负责人必须常驻福州，且手机必须7*24小时开机，随时解决项目碰到的问题，且每天须向采购人相关项目人员通报当天的项目进展、需要采购人协调解决的问题、第二天的计划等内容。</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3.闽侯机房驻场人员</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为确保相关设备安全、可靠、稳定的运行，从任一生产系统运行在闽侯机房起，至本次搬迁的所有业务系统迁移到闽侯机房止，中标人必须确保闽侯机房7*24小时有至少1名网络工程师</w:t>
      </w:r>
      <w:r>
        <w:rPr>
          <w:rFonts w:ascii="宋体" w:hAnsi="宋体" w:cs="宋体"/>
          <w:bCs/>
          <w:color w:val="auto"/>
          <w:sz w:val="24"/>
          <w:szCs w:val="24"/>
          <w:highlight w:val="none"/>
          <w:lang w:eastAsia="zh-CN"/>
        </w:rPr>
        <w:t>驻点，必须确保有1名主机或数据库工程师</w:t>
      </w:r>
      <w:r>
        <w:rPr>
          <w:rFonts w:ascii="宋体" w:hAnsi="宋体" w:cs="宋体"/>
          <w:bCs/>
          <w:color w:val="auto"/>
          <w:sz w:val="24"/>
          <w:szCs w:val="24"/>
          <w:highlight w:val="none"/>
        </w:rPr>
        <w:t>7*12小时</w:t>
      </w:r>
      <w:r>
        <w:rPr>
          <w:rFonts w:ascii="宋体" w:hAnsi="宋体" w:cs="宋体"/>
          <w:bCs/>
          <w:color w:val="auto"/>
          <w:sz w:val="24"/>
          <w:szCs w:val="24"/>
          <w:highlight w:val="none"/>
          <w:lang w:eastAsia="zh-CN"/>
        </w:rPr>
        <w:t>在采购人指定地点</w:t>
      </w:r>
      <w:r>
        <w:rPr>
          <w:rFonts w:ascii="宋体" w:hAnsi="宋体" w:cs="宋体"/>
          <w:bCs/>
          <w:color w:val="auto"/>
          <w:sz w:val="24"/>
          <w:szCs w:val="24"/>
          <w:highlight w:val="none"/>
        </w:rPr>
        <w:t>驻点，负责机房内的各网络设备</w:t>
      </w:r>
      <w:r>
        <w:rPr>
          <w:rFonts w:ascii="宋体" w:hAnsi="宋体" w:cs="宋体"/>
          <w:bCs/>
          <w:color w:val="auto"/>
          <w:sz w:val="24"/>
          <w:szCs w:val="24"/>
          <w:highlight w:val="none"/>
          <w:lang w:eastAsia="zh-CN"/>
        </w:rPr>
        <w:t>、主机和数据库</w:t>
      </w:r>
      <w:r>
        <w:rPr>
          <w:rFonts w:ascii="宋体" w:hAnsi="宋体" w:cs="宋体"/>
          <w:bCs/>
          <w:color w:val="auto"/>
          <w:sz w:val="24"/>
          <w:szCs w:val="24"/>
          <w:highlight w:val="none"/>
        </w:rPr>
        <w:t>的调试、确保相关网络传输</w:t>
      </w:r>
      <w:r>
        <w:rPr>
          <w:rFonts w:ascii="宋体" w:hAnsi="宋体" w:cs="宋体"/>
          <w:bCs/>
          <w:color w:val="auto"/>
          <w:sz w:val="24"/>
          <w:szCs w:val="24"/>
          <w:highlight w:val="none"/>
          <w:lang w:eastAsia="zh-CN"/>
        </w:rPr>
        <w:t>及应用系统</w:t>
      </w:r>
      <w:r>
        <w:rPr>
          <w:rFonts w:ascii="宋体" w:hAnsi="宋体" w:cs="宋体"/>
          <w:bCs/>
          <w:color w:val="auto"/>
          <w:sz w:val="24"/>
          <w:szCs w:val="24"/>
          <w:highlight w:val="none"/>
        </w:rPr>
        <w:t>的安全、稳定、可靠。同时，驻场工程师须完成对机房内设备进行巡检，及时发现并报修故障，并配合相关厂商完成相关软硬件故障的修复。</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4.项目技术服务团队专业工程师</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为确保项目顺利，项目技术服务团队还需主机备份工程师、数据库工程师、虚拟化平台工程师、网络工程师、安全工程师、应用工程师、文档员等项目服务团队成员。项目技术服务团队包括现场技术服务专业工程师和二线支持专业工程师。项目相关工作必须由上述服务团队中对应的成员或原厂工程师完成，投标人必须在投标文件中明确主机（含操作系统、存储）、备份、数据库、虚拟化、网络、安全、应用7个岗位的具体工程师名单（主机、数据库、虚拟化、网络至少2个，其他至少1个，名单中不得包含项目经理和技术负责人），项目经理和技术负责人如持有上述7个岗位的相关认证也可进行与认证相匹配的具体工作。如服务团队成员因故无法到场服务，公司必须委派水平不低于被替换人员的工程师到场服务（如在投标文件中，公司承诺派出的被替换工程师持有某个认证证书，则替换的工程师必须持有该认证证书或更高级别的同类认证证书）。若搬迁过程中出现重大故障或重要割接等，中标人须派二线支持专业工程师到现场参与技术支持。</w:t>
      </w:r>
    </w:p>
    <w:p>
      <w:pPr>
        <w:pStyle w:val="168"/>
        <w:spacing w:line="440" w:lineRule="exact"/>
        <w:ind w:firstLine="480"/>
        <w:jc w:val="both"/>
        <w:rPr>
          <w:rFonts w:hint="default" w:ascii="宋体" w:hAnsi="宋体" w:cs="宋体"/>
          <w:b/>
          <w:bCs/>
          <w:color w:val="auto"/>
          <w:sz w:val="24"/>
          <w:szCs w:val="24"/>
          <w:highlight w:val="none"/>
          <w:lang w:eastAsia="zh-CN"/>
        </w:rPr>
      </w:pPr>
      <w:r>
        <w:rPr>
          <w:rFonts w:ascii="宋体" w:hAnsi="宋体" w:cs="宋体"/>
          <w:b/>
          <w:bCs/>
          <w:color w:val="auto"/>
          <w:sz w:val="24"/>
          <w:szCs w:val="24"/>
          <w:highlight w:val="none"/>
          <w:lang w:eastAsia="zh-CN"/>
        </w:rPr>
        <w:t>（二）文档</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为了更好的完成本项目，</w:t>
      </w: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需提供详尽的文档包含但不限于以下内容：</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1.上街机房设备部署文档。根据机房内设备的实际情况详细描述机房内机柜部署</w:t>
      </w:r>
      <w:r>
        <w:rPr>
          <w:rFonts w:ascii="宋体" w:hAnsi="宋体" w:cs="宋体"/>
          <w:b/>
          <w:bCs/>
          <w:color w:val="auto"/>
          <w:sz w:val="24"/>
          <w:szCs w:val="24"/>
          <w:highlight w:val="none"/>
        </w:rPr>
        <w:t>、</w:t>
      </w:r>
      <w:r>
        <w:rPr>
          <w:rFonts w:ascii="宋体" w:hAnsi="宋体" w:cs="宋体"/>
          <w:bCs/>
          <w:color w:val="auto"/>
          <w:sz w:val="24"/>
          <w:szCs w:val="24"/>
          <w:highlight w:val="none"/>
        </w:rPr>
        <w:t>机房内设备的品牌、型号、详细配置、运行状态、部署的具体应用、IP、在机房的详细位置等信息。</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2.采购人</w:t>
      </w:r>
      <w:r>
        <w:rPr>
          <w:rFonts w:ascii="宋体" w:hAnsi="宋体" w:cs="宋体"/>
          <w:bCs/>
          <w:color w:val="auto"/>
          <w:sz w:val="24"/>
          <w:szCs w:val="24"/>
          <w:highlight w:val="none"/>
          <w:lang w:eastAsia="zh-CN"/>
        </w:rPr>
        <w:t>省局</w:t>
      </w:r>
      <w:r>
        <w:rPr>
          <w:rFonts w:ascii="宋体" w:hAnsi="宋体" w:cs="宋体"/>
          <w:bCs/>
          <w:color w:val="auto"/>
          <w:sz w:val="24"/>
          <w:szCs w:val="24"/>
          <w:highlight w:val="none"/>
        </w:rPr>
        <w:t>机房搬迁设备部署文档。根据机房内需要搬迁设备的实际情况详细描述机房内机柜部署情况、机房内需要搬迁设备的信息（品牌、型号、详细配置、运行状态、部署的具体应用、IP、在机房的详细位置等，下同）。</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3.闽侯机房机柜部署文档。该文档在搬迁前必须先规划好，搬迁过程中根据实际情况进行调整，至少包含闽侯机房内机柜的平面图、每个机柜部署的设备信息等。</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4.搬迁前应用系统部署文档。该文档须正列举本次搬迁的所有应用系统，并通过细致调研明确每个应用系统涉及的小型机分区、独立PC SERVER、虚拟机、存储、存储用光纤交换机（具体接口）、以太网交换机（具体接口）、数据库、中间件、负载均衡相关策略、安全设备相关策略、与该应用系统数据库有数据交换的所有其他系统链路信息（包含但不限于应用访问、OGG等底层链路交换、数据库直接连接等数据访问和数据交换）。</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5.搬迁后应用系统部署文档。该文档须正列举本次搬迁的所有应用系统，并通过细致调研明确每个应用系统涉及的小型机分区、独立PC SERVER、虚拟机、存储、存储用光纤交换机（具体接口）、以太网交换机（具体接口）、数据库、中间件、负载均衡相关策略、安全设备相关策略、与该应用系统数据库有数据交换的所有其他系统链路信息（包含但不限于应用访问、OGG等底层链路交换、数据库直接连接等数据访问和数据交换）。</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6.备份文档。该文档必须明确本次搬迁涉及的每一个应用系统的具体数据库、操作系统、应用、文档的备份策略、备份集存放位置、传输方式，并评估出大致的恢复时间。</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7.数据库文档。该文档必须明确本次搬迁涉及的每一个数据库的品牌及版本、原部署位置、搬迁前涉及资源（IP、主机、存储、存储用光纤交换机具体接口、以太网交换机具体接口，下同）、大小、目标位置、搬迁后涉及资源、迁移方式、预测迁移时间、业务影响评估、与之有数据访问和数据交换的相关信息。</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8.虚拟化文档。该文档必须明确本次搬迁所有资源池（搬迁前、搬迁后）的宿主机明细、计算资源明细、使用的存储明细、每一个虚拟机的IP、计算存储资源、具体应用相关信息。</w:t>
      </w:r>
    </w:p>
    <w:p>
      <w:pPr>
        <w:pStyle w:val="168"/>
        <w:spacing w:line="440" w:lineRule="exact"/>
        <w:ind w:firstLine="480"/>
        <w:jc w:val="both"/>
        <w:rPr>
          <w:rFonts w:hint="default" w:ascii="宋体" w:hAnsi="宋体" w:cs="宋体"/>
          <w:bCs/>
          <w:color w:val="auto"/>
          <w:sz w:val="24"/>
          <w:szCs w:val="24"/>
          <w:highlight w:val="none"/>
        </w:rPr>
      </w:pPr>
      <w:r>
        <w:rPr>
          <w:rFonts w:ascii="宋体" w:hAnsi="宋体" w:cs="宋体"/>
          <w:bCs/>
          <w:color w:val="auto"/>
          <w:sz w:val="24"/>
          <w:szCs w:val="24"/>
          <w:highlight w:val="none"/>
        </w:rPr>
        <w:t xml:space="preserve"> 9.存储使用文档。该文档必须明确本次搬迁的每一个存储的配置情况、使用情况、剩余资源情况等，须正列举出每一个存储连接的存储用光纤交换机和具体物理服务器（含小型机）等。</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10.存储用光纤交换机文档。该文档必须明确每一台存储用光纤交换机的每一个端口连接的物理设备、ZONE划分情况等。</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11.以太网络文档。该文档必须提供搬迁后的整个闽侯机房网络拓扑图（包括网络、安全设备等），必须明确每一个IP对应的具体设备及用途、每一台交换机上每个口连接的对端设备及IP等信息。</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rPr>
        <w:t>12.外联网和互联网文档。该文档必须提供搬迁后的整个闽侯机房的所有外联网和互联网线路涉及设备、对端设备、联网方式等详细信息。</w:t>
      </w:r>
    </w:p>
    <w:p>
      <w:pPr>
        <w:pStyle w:val="168"/>
        <w:spacing w:line="440" w:lineRule="exact"/>
        <w:ind w:firstLine="480" w:firstLineChars="200"/>
        <w:jc w:val="both"/>
        <w:rPr>
          <w:rFonts w:hint="default" w:ascii="宋体" w:hAnsi="宋体" w:cs="宋体"/>
          <w:bCs/>
          <w:color w:val="auto"/>
          <w:sz w:val="24"/>
          <w:szCs w:val="24"/>
          <w:highlight w:val="none"/>
        </w:rPr>
      </w:pPr>
      <w:r>
        <w:rPr>
          <w:rFonts w:ascii="宋体" w:hAnsi="宋体" w:cs="宋体"/>
          <w:bCs/>
          <w:color w:val="auto"/>
          <w:sz w:val="24"/>
          <w:szCs w:val="24"/>
          <w:highlight w:val="none"/>
          <w:lang w:val="zh-CN"/>
        </w:rPr>
        <w:t>中标人</w:t>
      </w:r>
      <w:r>
        <w:rPr>
          <w:rFonts w:ascii="宋体" w:hAnsi="宋体" w:cs="宋体"/>
          <w:bCs/>
          <w:color w:val="auto"/>
          <w:sz w:val="24"/>
          <w:szCs w:val="24"/>
          <w:highlight w:val="none"/>
        </w:rPr>
        <w:t>必须确保以上信息与实际一致，并按采购人认可的输出格式提供，配合采购人在相关信息系统内对应用系统（包括数据库、中间件和应用节点）、小型机、存储、备份系统、虚拟化系统、PC服务器系统、网络系统、安全系统等设备信息进行更新。</w:t>
      </w:r>
    </w:p>
    <w:p>
      <w:pPr>
        <w:pStyle w:val="156"/>
        <w:spacing w:line="520" w:lineRule="exact"/>
        <w:ind w:firstLine="0" w:firstLineChars="0"/>
        <w:rPr>
          <w:rFonts w:ascii="宋体" w:hAnsi="宋体" w:cs="宋体"/>
          <w:b/>
          <w:bCs/>
          <w:color w:val="auto"/>
          <w:szCs w:val="24"/>
          <w:highlight w:val="none"/>
        </w:rPr>
      </w:pPr>
      <w:r>
        <w:rPr>
          <w:rFonts w:hint="eastAsia" w:ascii="宋体" w:hAnsi="宋体" w:cs="宋体"/>
          <w:b/>
          <w:bCs/>
          <w:color w:val="auto"/>
          <w:szCs w:val="24"/>
          <w:highlight w:val="none"/>
        </w:rPr>
        <w:t>六、违约责任</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1.若</w:t>
      </w:r>
      <w:r>
        <w:rPr>
          <w:rFonts w:hint="eastAsia" w:ascii="宋体" w:hAnsi="宋体" w:cs="宋体"/>
          <w:bCs/>
          <w:color w:val="auto"/>
          <w:szCs w:val="24"/>
          <w:highlight w:val="none"/>
          <w:lang w:val="zh-CN"/>
        </w:rPr>
        <w:t>中标人未能</w:t>
      </w:r>
      <w:r>
        <w:rPr>
          <w:rFonts w:hint="eastAsia" w:ascii="宋体" w:hAnsi="宋体" w:cs="宋体"/>
          <w:bCs/>
          <w:color w:val="auto"/>
          <w:szCs w:val="24"/>
          <w:highlight w:val="none"/>
        </w:rPr>
        <w:t>在承诺的响应时限内派工程师到现场或未能及时提供整机或备件进行故障处置的，每次处以合同金额0.1%的违约金。如果</w:t>
      </w:r>
      <w:r>
        <w:rPr>
          <w:rFonts w:hint="eastAsia" w:ascii="宋体" w:hAnsi="宋体" w:cs="宋体"/>
          <w:bCs/>
          <w:color w:val="auto"/>
          <w:szCs w:val="24"/>
          <w:highlight w:val="none"/>
          <w:lang w:val="zh-CN"/>
        </w:rPr>
        <w:t>故障设备</w:t>
      </w:r>
      <w:r>
        <w:rPr>
          <w:rFonts w:hint="eastAsia" w:ascii="宋体" w:hAnsi="宋体" w:cs="宋体"/>
          <w:bCs/>
          <w:color w:val="auto"/>
          <w:szCs w:val="24"/>
          <w:highlight w:val="none"/>
        </w:rPr>
        <w:t>在3天内仍未修复，则采购人有权另找第三方维修，其费用由</w:t>
      </w:r>
      <w:r>
        <w:rPr>
          <w:rFonts w:hint="eastAsia" w:ascii="宋体" w:hAnsi="宋体" w:cs="宋体"/>
          <w:bCs/>
          <w:color w:val="auto"/>
          <w:szCs w:val="24"/>
          <w:highlight w:val="none"/>
          <w:lang w:val="zh-CN"/>
        </w:rPr>
        <w:t>中标人</w:t>
      </w:r>
      <w:r>
        <w:rPr>
          <w:rFonts w:hint="eastAsia" w:ascii="宋体" w:hAnsi="宋体" w:cs="宋体"/>
          <w:bCs/>
          <w:color w:val="auto"/>
          <w:szCs w:val="24"/>
          <w:highlight w:val="none"/>
        </w:rPr>
        <w:t>承担（由</w:t>
      </w:r>
      <w:r>
        <w:rPr>
          <w:rFonts w:hint="eastAsia" w:ascii="宋体" w:hAnsi="宋体" w:cs="宋体"/>
          <w:bCs/>
          <w:color w:val="auto"/>
          <w:szCs w:val="24"/>
          <w:highlight w:val="none"/>
          <w:lang w:val="zh-CN"/>
        </w:rPr>
        <w:t>中标人</w:t>
      </w:r>
      <w:r>
        <w:rPr>
          <w:rFonts w:hint="eastAsia" w:ascii="宋体" w:hAnsi="宋体" w:cs="宋体"/>
          <w:bCs/>
          <w:color w:val="auto"/>
          <w:szCs w:val="24"/>
          <w:highlight w:val="none"/>
        </w:rPr>
        <w:t>直接支付给第三方）。</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2.若</w:t>
      </w:r>
      <w:r>
        <w:rPr>
          <w:rFonts w:hint="eastAsia" w:ascii="宋体" w:hAnsi="宋体" w:cs="宋体"/>
          <w:bCs/>
          <w:color w:val="auto"/>
          <w:szCs w:val="24"/>
          <w:highlight w:val="none"/>
          <w:lang w:val="zh-CN"/>
        </w:rPr>
        <w:t>中标人</w:t>
      </w:r>
      <w:r>
        <w:rPr>
          <w:rFonts w:hint="eastAsia" w:ascii="宋体" w:hAnsi="宋体" w:cs="宋体"/>
          <w:bCs/>
          <w:color w:val="auto"/>
          <w:szCs w:val="24"/>
          <w:highlight w:val="none"/>
        </w:rPr>
        <w:t>未能在10个月内完成上街机房或搬迁清单内省局机房内所有设备及应用系统的搬迁（若因采购人或不可抗力等因素导致某个时间段无法正常搬迁，则时间顺延），每推迟1天处以合同金额0.1%的违约金。</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3.</w:t>
      </w:r>
      <w:r>
        <w:rPr>
          <w:rFonts w:hint="eastAsia" w:ascii="宋体" w:hAnsi="宋体" w:cs="宋体"/>
          <w:bCs/>
          <w:color w:val="auto"/>
          <w:szCs w:val="24"/>
          <w:highlight w:val="none"/>
          <w:lang w:val="zh-CN"/>
        </w:rPr>
        <w:t>中标人</w:t>
      </w:r>
      <w:r>
        <w:rPr>
          <w:rFonts w:hint="eastAsia" w:ascii="宋体" w:hAnsi="宋体" w:cs="宋体"/>
          <w:bCs/>
          <w:color w:val="auto"/>
          <w:szCs w:val="24"/>
          <w:highlight w:val="none"/>
        </w:rPr>
        <w:t>未经采购人书面同意而更换项目经理、技术负责人的，从更换之日起至纠正之日止每人/天处以合同金额0.01%的违约金。</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4.若中标人未能按照投标文件中承诺于合同签订后30天内提供采购相关原厂服务证明材料的，采购人有权终止合同并拒绝支付任何合同款项。</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5.中标人未严格遵守《中华人民共和国保密法》《税务系统外部技术支持人员网络安全管理规范》及其他相关安全管理规定导致数据泄密的，每次处以合同金额0.1%的违约金；由于中标人公司人员主观因素导致纳税人身份、申报、发票等关键数据批量泄密的，采购人有权终止合同并拒绝支付任何合同款项，并将中标人及相关人员列入失信名单。</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6.中标人在投标文件中明确列出的项目服务团队成员无法到采购人现场进行服务，中标人须派出水平不低于原团队成员（在投标文件中所列举被替换的原团队成员所持有的专业技术证书，替岗人员必须持有）到采购人现场服务。中标人无法做到的，每人/天处以合同金额0.01%的违约金。</w:t>
      </w:r>
    </w:p>
    <w:p>
      <w:pPr>
        <w:pStyle w:val="156"/>
        <w:spacing w:line="520" w:lineRule="exact"/>
        <w:ind w:firstLine="480"/>
        <w:rPr>
          <w:rFonts w:ascii="宋体" w:hAnsi="宋体" w:cs="宋体"/>
          <w:bCs/>
          <w:color w:val="auto"/>
          <w:szCs w:val="24"/>
          <w:highlight w:val="none"/>
        </w:rPr>
      </w:pPr>
      <w:r>
        <w:rPr>
          <w:rFonts w:hint="eastAsia" w:ascii="宋体" w:hAnsi="宋体" w:cs="宋体"/>
          <w:bCs/>
          <w:color w:val="auto"/>
          <w:szCs w:val="24"/>
          <w:highlight w:val="none"/>
        </w:rPr>
        <w:t>上述违约金从支付给</w:t>
      </w:r>
      <w:r>
        <w:rPr>
          <w:rFonts w:hint="eastAsia" w:ascii="宋体" w:hAnsi="宋体" w:cs="宋体"/>
          <w:bCs/>
          <w:color w:val="auto"/>
          <w:szCs w:val="24"/>
          <w:highlight w:val="none"/>
          <w:lang w:val="zh-CN"/>
        </w:rPr>
        <w:t>中标人</w:t>
      </w:r>
      <w:r>
        <w:rPr>
          <w:rFonts w:hint="eastAsia" w:ascii="宋体" w:hAnsi="宋体" w:cs="宋体"/>
          <w:bCs/>
          <w:color w:val="auto"/>
          <w:szCs w:val="24"/>
          <w:highlight w:val="none"/>
        </w:rPr>
        <w:t>的合同款中扣除，如果违约金超过合同金额的10%，采购人有权单方面解除合同且不支付剩余的所有合同款项。</w:t>
      </w:r>
    </w:p>
    <w:p>
      <w:pPr>
        <w:pStyle w:val="156"/>
        <w:spacing w:line="520" w:lineRule="exact"/>
        <w:ind w:firstLine="0" w:firstLineChars="0"/>
        <w:rPr>
          <w:rFonts w:ascii="宋体" w:hAnsi="宋体" w:cs="宋体"/>
          <w:color w:val="auto"/>
          <w:szCs w:val="24"/>
          <w:highlight w:val="none"/>
          <w:lang w:val="en"/>
        </w:rPr>
      </w:pPr>
      <w:r>
        <w:rPr>
          <w:rFonts w:hint="eastAsia" w:ascii="宋体" w:hAnsi="宋体" w:cs="宋体"/>
          <w:b/>
          <w:bCs/>
          <w:color w:val="auto"/>
          <w:szCs w:val="24"/>
          <w:highlight w:val="none"/>
        </w:rPr>
        <w:t>七、验收标准</w:t>
      </w:r>
    </w:p>
    <w:p>
      <w:pPr>
        <w:pStyle w:val="144"/>
        <w:snapToGrid w:val="0"/>
        <w:spacing w:after="156" w:line="440" w:lineRule="exact"/>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本项目验收分项目初步验收和项目最终验收2次，具体如下：</w:t>
      </w:r>
    </w:p>
    <w:p>
      <w:pPr>
        <w:pStyle w:val="144"/>
        <w:snapToGrid w:val="0"/>
        <w:spacing w:after="156" w:line="440" w:lineRule="exact"/>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（一）项目初步验收</w:t>
      </w:r>
    </w:p>
    <w:p>
      <w:pPr>
        <w:pStyle w:val="144"/>
        <w:snapToGrid w:val="0"/>
        <w:spacing w:after="156" w:line="440" w:lineRule="exact"/>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完成搬迁准备，并提交符合要求的《上街机房设备部署文档》《省局机房搬迁设备部署文档》《闽侯机房机柜部署文档》《搬迁前应用系统部署文档》以及《备份文档》《数据库文档》《虚拟化文档》《存储使用文档》《存储用光纤交换机文档》《以太网络文档》《外联网和互联网文档》的搬迁前部分。</w:t>
      </w:r>
    </w:p>
    <w:p>
      <w:pPr>
        <w:pStyle w:val="144"/>
        <w:snapToGrid w:val="0"/>
        <w:spacing w:after="156" w:line="440" w:lineRule="exact"/>
        <w:ind w:firstLine="480"/>
        <w:rPr>
          <w:rFonts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2.完成过渡环境的安装和调试，达到可用状态，双方签署</w:t>
      </w:r>
      <w:r>
        <w:rPr>
          <w:rFonts w:hint="eastAsia" w:ascii="宋体" w:hAnsi="宋体" w:eastAsia="宋体" w:cs="宋体"/>
          <w:b/>
          <w:bCs/>
          <w:color w:val="auto"/>
          <w:sz w:val="24"/>
          <w:szCs w:val="24"/>
          <w:highlight w:val="none"/>
        </w:rPr>
        <w:t>《安装服务报告》；</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3.所有硬件设备均搬迁到位且没有损坏，在用设备完成上架、安装、布线、调试等相关工作，设备正常运行；非在用设备搬迁、部署至采购人指定地点；</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4.所有网络均迁移、交割完毕，内网、互联网、横向联网正常；</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5.所有应用均迁移完成，相关业务系统正常运行，所有数据库（含数据交换链路或服务）均迁移完成，没有数据丢失；</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6.存储、虚拟化、备份等系统整合到位；</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7.过渡环境上的应用回迁完成，相关使用痕迹清除完毕；</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8.所有文档按规定提交，没有缺失；</w:t>
      </w:r>
    </w:p>
    <w:p>
      <w:pPr>
        <w:pStyle w:val="144"/>
        <w:snapToGrid w:val="0"/>
        <w:spacing w:after="156" w:line="276" w:lineRule="auto"/>
        <w:ind w:firstLine="48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以上所有事项均已完成，双方签署《初步验收报告》。</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（二）项目最终验收</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初步验收后，项目进入试运行期，完成3个月试运行，无服务质量未了事宜，双方签署《最终验收报告》。</w:t>
      </w:r>
    </w:p>
    <w:p>
      <w:pPr>
        <w:pStyle w:val="156"/>
        <w:spacing w:line="520" w:lineRule="exact"/>
        <w:ind w:firstLine="0" w:firstLineChars="0"/>
        <w:rPr>
          <w:rFonts w:ascii="宋体" w:hAnsi="宋体" w:cs="宋体"/>
          <w:color w:val="auto"/>
          <w:szCs w:val="24"/>
          <w:highlight w:val="none"/>
          <w:lang w:val="en"/>
        </w:rPr>
      </w:pPr>
      <w:r>
        <w:rPr>
          <w:rFonts w:hint="eastAsia" w:ascii="宋体" w:hAnsi="宋体" w:cs="宋体"/>
          <w:b/>
          <w:bCs/>
          <w:color w:val="auto"/>
          <w:szCs w:val="24"/>
          <w:highlight w:val="none"/>
        </w:rPr>
        <w:t>八、报价及付款</w:t>
      </w:r>
    </w:p>
    <w:p>
      <w:pPr>
        <w:pStyle w:val="144"/>
        <w:snapToGrid w:val="0"/>
        <w:spacing w:after="156" w:line="276" w:lineRule="auto"/>
        <w:ind w:firstLine="482"/>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投标人须针对本项目的基础搬迁服务、过渡环境服务分别报价，明确每一部分的投标金额。</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项目分3次付款：完成搬迁前调研，完成过渡环境的安装和调试并达到可用状态，支付项目合同金额的30%；完成机房搬迁的总体工作并提交相关文档资料，支付项目合同金额60%；完成连续3个月无故障试运行，支付项目合同金额10%。付款时须提交以下付款材料：</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1.付款申请报告</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2.与付款金额相等的国家法定的发票</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3.与付款金额相匹配的验收或服务报告</w:t>
      </w:r>
    </w:p>
    <w:p>
      <w:pPr>
        <w:pStyle w:val="156"/>
        <w:spacing w:line="520" w:lineRule="exact"/>
        <w:ind w:firstLine="0" w:firstLineChars="0"/>
        <w:rPr>
          <w:rFonts w:ascii="宋体" w:hAnsi="宋体" w:cs="宋体"/>
          <w:color w:val="auto"/>
          <w:szCs w:val="24"/>
          <w:highlight w:val="none"/>
          <w:lang w:val="en"/>
        </w:rPr>
      </w:pPr>
      <w:r>
        <w:rPr>
          <w:rFonts w:hint="eastAsia" w:ascii="宋体" w:hAnsi="宋体" w:cs="宋体"/>
          <w:b/>
          <w:bCs/>
          <w:color w:val="auto"/>
          <w:szCs w:val="24"/>
          <w:highlight w:val="none"/>
          <w:lang w:val="en"/>
        </w:rPr>
        <w:t>九、保密条款</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1．中标人应对在本项目实施过程中所接触的采购人信息，包括但不限于知识产权、技术资料、技术诀窍、内部管理及其他相关信息，负有保密义务。</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2．保密期限不受合同有效期的限制，在合同有效期结束后，信息接受方仍应承担保密义务，直至该等信息成为公开信息。</w:t>
      </w:r>
    </w:p>
    <w:p>
      <w:pPr>
        <w:pStyle w:val="144"/>
        <w:snapToGrid w:val="0"/>
        <w:spacing w:after="156" w:line="276" w:lineRule="auto"/>
        <w:ind w:firstLine="48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3．中标人如出现泄密行为，应承担相关的法律责任，包括但是不限于对由此给采购人造成的经济损失进行赔偿。</w:t>
      </w:r>
    </w:p>
    <w:p>
      <w:pPr>
        <w:rPr>
          <w:color w:val="auto"/>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长城仿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Futura Bk">
    <w:altName w:val="Segoe Print"/>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 Light">
    <w:altName w:val="Segoe Print"/>
    <w:panose1 w:val="00000000000000000000"/>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ingLiU_HKSCS">
    <w:altName w:val="PMingLiU-ExtB"/>
    <w:panose1 w:val="00000000000000000000"/>
    <w:charset w:val="88"/>
    <w:family w:val="roman"/>
    <w:pitch w:val="default"/>
    <w:sig w:usb0="00000000" w:usb1="00000000" w:usb2="00000016" w:usb3="00000000" w:csb0="00100001" w:csb1="00000000"/>
  </w:font>
  <w:font w:name="inheri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文本框 1025 3" o:spid="_x0000_s3073" o:spt="202" type="#_x0000_t202" style="position:absolute;left:0pt;margin-top:0pt;height:11.65pt;width:76.7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jc w:val="center"/>
                </w:pPr>
                <w:r>
                  <w:rPr>
                    <w:rFonts w:hint="eastAsia"/>
                  </w:rPr>
                  <w:t>第</w:t>
                </w:r>
                <w:r>
                  <w:t xml:space="preserve"> </w:t>
                </w:r>
                <w:r>
                  <w:fldChar w:fldCharType="begin"/>
                </w:r>
                <w:r>
                  <w:instrText xml:space="preserve"> PAGE  \* MERGEFORMAT </w:instrText>
                </w:r>
                <w:r>
                  <w:fldChar w:fldCharType="separate"/>
                </w:r>
                <w:r>
                  <w:t>76</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76</w:t>
                </w:r>
                <w:r>
                  <w:fldChar w:fldCharType="end"/>
                </w:r>
                <w:r>
                  <w:t xml:space="preserve"> </w:t>
                </w:r>
                <w:r>
                  <w:rPr>
                    <w:rFonts w:hint="eastAsia"/>
                  </w:rPr>
                  <w:t>页</w:t>
                </w:r>
              </w:p>
            </w:txbxContent>
          </v:textbox>
        </v:shape>
      </w:pic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6"/>
      <w:ind w:firstLine="480"/>
    </w:pPr>
  </w:p>
  <w:p>
    <w:pPr>
      <w:tabs>
        <w:tab w:val="left" w:pos="1170"/>
      </w:tabs>
      <w:ind w:firstLine="4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2BC74"/>
    <w:multiLevelType w:val="singleLevel"/>
    <w:tmpl w:val="96C2BC74"/>
    <w:lvl w:ilvl="0" w:tentative="0">
      <w:start w:val="4"/>
      <w:numFmt w:val="chineseCounting"/>
      <w:suff w:val="nothing"/>
      <w:lvlText w:val="%1、"/>
      <w:lvlJc w:val="left"/>
      <w:pPr>
        <w:ind w:left="960" w:firstLine="0"/>
      </w:pPr>
      <w:rPr>
        <w:rFonts w:hint="eastAsia"/>
      </w:rPr>
    </w:lvl>
  </w:abstractNum>
  <w:abstractNum w:abstractNumId="1">
    <w:nsid w:val="9DF0FFA9"/>
    <w:multiLevelType w:val="multilevel"/>
    <w:tmpl w:val="9DF0FFA9"/>
    <w:lvl w:ilvl="0" w:tentative="0">
      <w:start w:val="1"/>
      <w:numFmt w:val="decimal"/>
      <w:lvlText w:val="(%1)"/>
      <w:legacy w:legacy="1" w:legacySpace="0" w:legacyIndent="360"/>
      <w:lvlJc w:val="left"/>
      <w:pPr>
        <w:ind w:left="840" w:hanging="360"/>
      </w:pPr>
      <w:rPr>
        <w:rFonts w:cs="Times New Roman"/>
      </w:rPr>
    </w:lvl>
    <w:lvl w:ilvl="1" w:tentative="0">
      <w:start w:val="1"/>
      <w:numFmt w:val="lowerLetter"/>
      <w:lvlText w:val="%2)"/>
      <w:legacy w:legacy="1" w:legacySpace="0" w:legacyIndent="420"/>
      <w:lvlJc w:val="left"/>
      <w:pPr>
        <w:ind w:left="1320" w:hanging="420"/>
      </w:pPr>
      <w:rPr>
        <w:rFonts w:cs="Times New Roman"/>
      </w:rPr>
    </w:lvl>
    <w:lvl w:ilvl="2" w:tentative="0">
      <w:start w:val="1"/>
      <w:numFmt w:val="lowerRoman"/>
      <w:lvlText w:val="%3."/>
      <w:legacy w:legacy="1" w:legacySpace="0" w:legacyIndent="420"/>
      <w:lvlJc w:val="right"/>
      <w:pPr>
        <w:ind w:left="1740" w:hanging="420"/>
      </w:pPr>
      <w:rPr>
        <w:rFonts w:cs="Times New Roman"/>
      </w:rPr>
    </w:lvl>
    <w:lvl w:ilvl="3" w:tentative="0">
      <w:start w:val="1"/>
      <w:numFmt w:val="decimal"/>
      <w:lvlText w:val="%4."/>
      <w:legacy w:legacy="1" w:legacySpace="0" w:legacyIndent="420"/>
      <w:lvlJc w:val="left"/>
      <w:pPr>
        <w:ind w:left="2160" w:hanging="420"/>
      </w:pPr>
      <w:rPr>
        <w:rFonts w:cs="Times New Roman"/>
      </w:rPr>
    </w:lvl>
    <w:lvl w:ilvl="4" w:tentative="0">
      <w:start w:val="1"/>
      <w:numFmt w:val="lowerLetter"/>
      <w:lvlText w:val="%5)"/>
      <w:legacy w:legacy="1" w:legacySpace="0" w:legacyIndent="420"/>
      <w:lvlJc w:val="left"/>
      <w:pPr>
        <w:ind w:left="2580" w:hanging="420"/>
      </w:pPr>
      <w:rPr>
        <w:rFonts w:cs="Times New Roman"/>
      </w:rPr>
    </w:lvl>
    <w:lvl w:ilvl="5" w:tentative="0">
      <w:start w:val="1"/>
      <w:numFmt w:val="lowerRoman"/>
      <w:lvlText w:val="%6."/>
      <w:legacy w:legacy="1" w:legacySpace="0" w:legacyIndent="420"/>
      <w:lvlJc w:val="right"/>
      <w:pPr>
        <w:ind w:left="3000" w:hanging="420"/>
      </w:pPr>
      <w:rPr>
        <w:rFonts w:cs="Times New Roman"/>
      </w:rPr>
    </w:lvl>
    <w:lvl w:ilvl="6" w:tentative="0">
      <w:start w:val="1"/>
      <w:numFmt w:val="decimal"/>
      <w:lvlText w:val="%7."/>
      <w:legacy w:legacy="1" w:legacySpace="0" w:legacyIndent="420"/>
      <w:lvlJc w:val="left"/>
      <w:pPr>
        <w:ind w:left="3420" w:hanging="420"/>
      </w:pPr>
      <w:rPr>
        <w:rFonts w:cs="Times New Roman"/>
      </w:rPr>
    </w:lvl>
    <w:lvl w:ilvl="7" w:tentative="0">
      <w:start w:val="1"/>
      <w:numFmt w:val="lowerLetter"/>
      <w:lvlText w:val="%8)"/>
      <w:legacy w:legacy="1" w:legacySpace="0" w:legacyIndent="420"/>
      <w:lvlJc w:val="left"/>
      <w:pPr>
        <w:ind w:left="3840" w:hanging="420"/>
      </w:pPr>
      <w:rPr>
        <w:rFonts w:cs="Times New Roman"/>
      </w:rPr>
    </w:lvl>
    <w:lvl w:ilvl="8" w:tentative="0">
      <w:start w:val="1"/>
      <w:numFmt w:val="lowerRoman"/>
      <w:lvlText w:val="%9."/>
      <w:legacy w:legacy="1" w:legacySpace="0" w:legacyIndent="420"/>
      <w:lvlJc w:val="right"/>
      <w:pPr>
        <w:ind w:left="4260" w:hanging="420"/>
      </w:pPr>
      <w:rPr>
        <w:rFonts w:cs="Times New Roman"/>
      </w:rPr>
    </w:lvl>
  </w:abstractNum>
  <w:abstractNum w:abstractNumId="2">
    <w:nsid w:val="A06DDD08"/>
    <w:multiLevelType w:val="singleLevel"/>
    <w:tmpl w:val="A06DDD08"/>
    <w:lvl w:ilvl="0" w:tentative="0">
      <w:start w:val="2"/>
      <w:numFmt w:val="chineseCounting"/>
      <w:suff w:val="nothing"/>
      <w:lvlText w:val="第%1部分　"/>
      <w:lvlJc w:val="left"/>
      <w:rPr>
        <w:rFonts w:hint="eastAsia"/>
      </w:rPr>
    </w:lvl>
  </w:abstractNum>
  <w:abstractNum w:abstractNumId="3">
    <w:nsid w:val="FBBF35C4"/>
    <w:multiLevelType w:val="singleLevel"/>
    <w:tmpl w:val="FBBF35C4"/>
    <w:lvl w:ilvl="0" w:tentative="0">
      <w:start w:val="1"/>
      <w:numFmt w:val="chineseCounting"/>
      <w:suff w:val="nothing"/>
      <w:lvlText w:val="（%1）"/>
      <w:lvlJc w:val="left"/>
      <w:pPr>
        <w:ind w:left="690" w:firstLine="0"/>
      </w:pPr>
      <w:rPr>
        <w:rFonts w:hint="eastAsia"/>
      </w:rPr>
    </w:lvl>
  </w:abstractNum>
  <w:abstractNum w:abstractNumId="4">
    <w:nsid w:val="44647BC5"/>
    <w:multiLevelType w:val="multilevel"/>
    <w:tmpl w:val="44647BC5"/>
    <w:lvl w:ilvl="0" w:tentative="0">
      <w:start w:val="6"/>
      <w:numFmt w:val="japaneseCounting"/>
      <w:lvlText w:val="（%1）"/>
      <w:lvlJc w:val="left"/>
      <w:pPr>
        <w:ind w:left="1770" w:hanging="1080"/>
      </w:pPr>
      <w:rPr>
        <w:rFonts w:hint="default"/>
      </w:rPr>
    </w:lvl>
    <w:lvl w:ilvl="1" w:tentative="0">
      <w:start w:val="1"/>
      <w:numFmt w:val="lowerLetter"/>
      <w:lvlText w:val="%2)"/>
      <w:lvlJc w:val="left"/>
      <w:pPr>
        <w:ind w:left="1530" w:hanging="420"/>
      </w:pPr>
    </w:lvl>
    <w:lvl w:ilvl="2" w:tentative="0">
      <w:start w:val="1"/>
      <w:numFmt w:val="lowerRoman"/>
      <w:lvlText w:val="%3."/>
      <w:lvlJc w:val="right"/>
      <w:pPr>
        <w:ind w:left="1950" w:hanging="420"/>
      </w:pPr>
    </w:lvl>
    <w:lvl w:ilvl="3" w:tentative="0">
      <w:start w:val="1"/>
      <w:numFmt w:val="decimal"/>
      <w:lvlText w:val="%4."/>
      <w:lvlJc w:val="left"/>
      <w:pPr>
        <w:ind w:left="2370" w:hanging="420"/>
      </w:pPr>
    </w:lvl>
    <w:lvl w:ilvl="4" w:tentative="0">
      <w:start w:val="1"/>
      <w:numFmt w:val="lowerLetter"/>
      <w:lvlText w:val="%5)"/>
      <w:lvlJc w:val="left"/>
      <w:pPr>
        <w:ind w:left="2790" w:hanging="420"/>
      </w:pPr>
    </w:lvl>
    <w:lvl w:ilvl="5" w:tentative="0">
      <w:start w:val="1"/>
      <w:numFmt w:val="lowerRoman"/>
      <w:lvlText w:val="%6."/>
      <w:lvlJc w:val="right"/>
      <w:pPr>
        <w:ind w:left="3210" w:hanging="420"/>
      </w:pPr>
    </w:lvl>
    <w:lvl w:ilvl="6" w:tentative="0">
      <w:start w:val="1"/>
      <w:numFmt w:val="decimal"/>
      <w:lvlText w:val="%7."/>
      <w:lvlJc w:val="left"/>
      <w:pPr>
        <w:ind w:left="3630" w:hanging="420"/>
      </w:pPr>
    </w:lvl>
    <w:lvl w:ilvl="7" w:tentative="0">
      <w:start w:val="1"/>
      <w:numFmt w:val="lowerLetter"/>
      <w:lvlText w:val="%8)"/>
      <w:lvlJc w:val="left"/>
      <w:pPr>
        <w:ind w:left="4050" w:hanging="420"/>
      </w:pPr>
    </w:lvl>
    <w:lvl w:ilvl="8" w:tentative="0">
      <w:start w:val="1"/>
      <w:numFmt w:val="lowerRoman"/>
      <w:lvlText w:val="%9."/>
      <w:lvlJc w:val="right"/>
      <w:pPr>
        <w:ind w:left="4470" w:hanging="420"/>
      </w:pPr>
    </w:lvl>
  </w:abstractNum>
  <w:abstractNum w:abstractNumId="5">
    <w:nsid w:val="59E6ADD2"/>
    <w:multiLevelType w:val="singleLevel"/>
    <w:tmpl w:val="59E6ADD2"/>
    <w:lvl w:ilvl="0" w:tentative="0">
      <w:start w:val="1"/>
      <w:numFmt w:val="decimal"/>
      <w:lvlText w:val="(%1)"/>
      <w:lvlJc w:val="left"/>
      <w:pPr>
        <w:tabs>
          <w:tab w:val="left" w:pos="312"/>
        </w:tabs>
      </w:pPr>
      <w:rPr>
        <w:rFonts w:cs="Times New Roman"/>
      </w:rPr>
    </w:lvl>
  </w:abstractNum>
  <w:abstractNum w:abstractNumId="6">
    <w:nsid w:val="59E6C00E"/>
    <w:multiLevelType w:val="singleLevel"/>
    <w:tmpl w:val="59E6C00E"/>
    <w:lvl w:ilvl="0" w:tentative="0">
      <w:start w:val="6"/>
      <w:numFmt w:val="chineseCounting"/>
      <w:suff w:val="nothing"/>
      <w:lvlText w:val="第%1章"/>
      <w:lvlJc w:val="left"/>
      <w:pPr>
        <w:tabs>
          <w:tab w:val="left" w:pos="0"/>
        </w:tabs>
      </w:pPr>
      <w:rPr>
        <w:rFonts w:cs="Times New Roman"/>
      </w:rPr>
    </w:lvl>
  </w:abstractNum>
  <w:num w:numId="1">
    <w:abstractNumId w:val="5"/>
    <w:lvlOverride w:ilvl="0">
      <w:startOverride w:val="1"/>
      <w:lvl w:ilvl="0" w:tentative="1">
        <w:start w:val="1"/>
        <w:numFmt w:val="decimal"/>
        <w:lvlText w:val="(%1)"/>
        <w:lvlJc w:val="left"/>
        <w:pPr>
          <w:tabs>
            <w:tab w:val="left" w:pos="312"/>
          </w:tabs>
        </w:pPr>
        <w:rPr>
          <w:rFonts w:cs="Times New Roman"/>
        </w:rPr>
      </w:lvl>
    </w:lvlOverride>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wZDNjZDlmZjFmZTMyNGRmNDg2ODA4MTE3ZGJhMTYifQ=="/>
    <w:docVar w:name="KSO_WPS_MARK_KEY" w:val="f23bfdb2-53bd-49d3-bbce-005f2464e47b"/>
  </w:docVars>
  <w:rsids>
    <w:rsidRoot w:val="00EA5F9B"/>
    <w:rsid w:val="00002B4B"/>
    <w:rsid w:val="00004AD6"/>
    <w:rsid w:val="00007B3E"/>
    <w:rsid w:val="00010348"/>
    <w:rsid w:val="00017241"/>
    <w:rsid w:val="00044E9F"/>
    <w:rsid w:val="000478BB"/>
    <w:rsid w:val="00053CB2"/>
    <w:rsid w:val="00054700"/>
    <w:rsid w:val="00056084"/>
    <w:rsid w:val="00063CC5"/>
    <w:rsid w:val="000648AB"/>
    <w:rsid w:val="00064F58"/>
    <w:rsid w:val="00071E1C"/>
    <w:rsid w:val="00072EF7"/>
    <w:rsid w:val="00073AFC"/>
    <w:rsid w:val="00080C11"/>
    <w:rsid w:val="00082452"/>
    <w:rsid w:val="000854B3"/>
    <w:rsid w:val="00086A50"/>
    <w:rsid w:val="00087E64"/>
    <w:rsid w:val="0009365F"/>
    <w:rsid w:val="000B1964"/>
    <w:rsid w:val="000B304D"/>
    <w:rsid w:val="000B4CD2"/>
    <w:rsid w:val="000B7C5A"/>
    <w:rsid w:val="000C4881"/>
    <w:rsid w:val="000C4C4E"/>
    <w:rsid w:val="000C7570"/>
    <w:rsid w:val="000D58EE"/>
    <w:rsid w:val="000E24AA"/>
    <w:rsid w:val="000E3DE1"/>
    <w:rsid w:val="000F38C0"/>
    <w:rsid w:val="000F60E1"/>
    <w:rsid w:val="001027A3"/>
    <w:rsid w:val="00106AA2"/>
    <w:rsid w:val="00117278"/>
    <w:rsid w:val="00125DA0"/>
    <w:rsid w:val="00130900"/>
    <w:rsid w:val="00130B76"/>
    <w:rsid w:val="0014448A"/>
    <w:rsid w:val="00146034"/>
    <w:rsid w:val="00150878"/>
    <w:rsid w:val="001560AF"/>
    <w:rsid w:val="001568AE"/>
    <w:rsid w:val="001612FC"/>
    <w:rsid w:val="00167BE2"/>
    <w:rsid w:val="00173B56"/>
    <w:rsid w:val="001741F6"/>
    <w:rsid w:val="00177C81"/>
    <w:rsid w:val="00182EBB"/>
    <w:rsid w:val="00183C97"/>
    <w:rsid w:val="001A2541"/>
    <w:rsid w:val="001A45AB"/>
    <w:rsid w:val="001B14AF"/>
    <w:rsid w:val="001B64DC"/>
    <w:rsid w:val="001C08F0"/>
    <w:rsid w:val="001C4452"/>
    <w:rsid w:val="001C44DA"/>
    <w:rsid w:val="001C6007"/>
    <w:rsid w:val="001D2464"/>
    <w:rsid w:val="001E0362"/>
    <w:rsid w:val="001E2170"/>
    <w:rsid w:val="001E27F5"/>
    <w:rsid w:val="001E6B7C"/>
    <w:rsid w:val="001F0B28"/>
    <w:rsid w:val="001F5C2A"/>
    <w:rsid w:val="0020067F"/>
    <w:rsid w:val="00201DFA"/>
    <w:rsid w:val="00202B5C"/>
    <w:rsid w:val="002066EC"/>
    <w:rsid w:val="00214C8D"/>
    <w:rsid w:val="0022205B"/>
    <w:rsid w:val="00227FB3"/>
    <w:rsid w:val="00236B00"/>
    <w:rsid w:val="00242D75"/>
    <w:rsid w:val="00243AE6"/>
    <w:rsid w:val="00243F96"/>
    <w:rsid w:val="00245CA0"/>
    <w:rsid w:val="00250423"/>
    <w:rsid w:val="00252719"/>
    <w:rsid w:val="00256205"/>
    <w:rsid w:val="002603DB"/>
    <w:rsid w:val="00261A20"/>
    <w:rsid w:val="002621F8"/>
    <w:rsid w:val="00264A10"/>
    <w:rsid w:val="002743A3"/>
    <w:rsid w:val="00283DD3"/>
    <w:rsid w:val="00284BE0"/>
    <w:rsid w:val="002912D7"/>
    <w:rsid w:val="00294B30"/>
    <w:rsid w:val="0029636F"/>
    <w:rsid w:val="002964C3"/>
    <w:rsid w:val="002A1FF3"/>
    <w:rsid w:val="002A2F47"/>
    <w:rsid w:val="002A6D79"/>
    <w:rsid w:val="002A7088"/>
    <w:rsid w:val="002C4B3B"/>
    <w:rsid w:val="002C6885"/>
    <w:rsid w:val="002E12F1"/>
    <w:rsid w:val="002E2421"/>
    <w:rsid w:val="002E366B"/>
    <w:rsid w:val="002E4DFB"/>
    <w:rsid w:val="003053F7"/>
    <w:rsid w:val="00307D8B"/>
    <w:rsid w:val="00314A7C"/>
    <w:rsid w:val="00322911"/>
    <w:rsid w:val="003241CF"/>
    <w:rsid w:val="00324F41"/>
    <w:rsid w:val="00334382"/>
    <w:rsid w:val="00334A38"/>
    <w:rsid w:val="00334A5C"/>
    <w:rsid w:val="0034296A"/>
    <w:rsid w:val="00347CDE"/>
    <w:rsid w:val="00352AAB"/>
    <w:rsid w:val="003537AD"/>
    <w:rsid w:val="0035573C"/>
    <w:rsid w:val="00363DC5"/>
    <w:rsid w:val="00371813"/>
    <w:rsid w:val="00374021"/>
    <w:rsid w:val="00375996"/>
    <w:rsid w:val="0038314E"/>
    <w:rsid w:val="003831E9"/>
    <w:rsid w:val="0038402D"/>
    <w:rsid w:val="0039317B"/>
    <w:rsid w:val="00395FA2"/>
    <w:rsid w:val="00396B00"/>
    <w:rsid w:val="003A1907"/>
    <w:rsid w:val="003A29FB"/>
    <w:rsid w:val="003A501A"/>
    <w:rsid w:val="003B2122"/>
    <w:rsid w:val="003B52E7"/>
    <w:rsid w:val="003C4C8B"/>
    <w:rsid w:val="003D142F"/>
    <w:rsid w:val="003D750E"/>
    <w:rsid w:val="003E0542"/>
    <w:rsid w:val="003E2E4B"/>
    <w:rsid w:val="003E465B"/>
    <w:rsid w:val="003E5EB6"/>
    <w:rsid w:val="003E75E5"/>
    <w:rsid w:val="003E79B5"/>
    <w:rsid w:val="003F172A"/>
    <w:rsid w:val="003F1B42"/>
    <w:rsid w:val="003F29E3"/>
    <w:rsid w:val="003F72BE"/>
    <w:rsid w:val="004013DC"/>
    <w:rsid w:val="00401C45"/>
    <w:rsid w:val="004151EB"/>
    <w:rsid w:val="00420151"/>
    <w:rsid w:val="00421159"/>
    <w:rsid w:val="00424D93"/>
    <w:rsid w:val="00430A17"/>
    <w:rsid w:val="00432B91"/>
    <w:rsid w:val="00434CEF"/>
    <w:rsid w:val="00442CD8"/>
    <w:rsid w:val="00445C38"/>
    <w:rsid w:val="0044760A"/>
    <w:rsid w:val="004500C8"/>
    <w:rsid w:val="00452958"/>
    <w:rsid w:val="00454F28"/>
    <w:rsid w:val="00456EB2"/>
    <w:rsid w:val="0046748C"/>
    <w:rsid w:val="00470120"/>
    <w:rsid w:val="0047066C"/>
    <w:rsid w:val="00480200"/>
    <w:rsid w:val="00481BA3"/>
    <w:rsid w:val="004923FF"/>
    <w:rsid w:val="004938F4"/>
    <w:rsid w:val="004A48F0"/>
    <w:rsid w:val="004A4BA5"/>
    <w:rsid w:val="004A6D95"/>
    <w:rsid w:val="004C0A80"/>
    <w:rsid w:val="004C25DF"/>
    <w:rsid w:val="004C283B"/>
    <w:rsid w:val="004C2918"/>
    <w:rsid w:val="004C2A85"/>
    <w:rsid w:val="004C505B"/>
    <w:rsid w:val="004D2A9B"/>
    <w:rsid w:val="004E01C7"/>
    <w:rsid w:val="004E0611"/>
    <w:rsid w:val="004E6E61"/>
    <w:rsid w:val="004F0E76"/>
    <w:rsid w:val="004F79E9"/>
    <w:rsid w:val="00503241"/>
    <w:rsid w:val="005056C1"/>
    <w:rsid w:val="00507EE9"/>
    <w:rsid w:val="005159BB"/>
    <w:rsid w:val="005203C6"/>
    <w:rsid w:val="00522A43"/>
    <w:rsid w:val="00525627"/>
    <w:rsid w:val="0052641B"/>
    <w:rsid w:val="0052702D"/>
    <w:rsid w:val="00541FB2"/>
    <w:rsid w:val="005435DD"/>
    <w:rsid w:val="0055017F"/>
    <w:rsid w:val="00561699"/>
    <w:rsid w:val="00572607"/>
    <w:rsid w:val="0057797D"/>
    <w:rsid w:val="0058223C"/>
    <w:rsid w:val="00582DB6"/>
    <w:rsid w:val="005833D8"/>
    <w:rsid w:val="00593115"/>
    <w:rsid w:val="00596273"/>
    <w:rsid w:val="005A09BC"/>
    <w:rsid w:val="005A43BF"/>
    <w:rsid w:val="005B09B7"/>
    <w:rsid w:val="005B2EEE"/>
    <w:rsid w:val="005C2884"/>
    <w:rsid w:val="005C6ABC"/>
    <w:rsid w:val="005C796E"/>
    <w:rsid w:val="005D0ACC"/>
    <w:rsid w:val="005D1650"/>
    <w:rsid w:val="005D2208"/>
    <w:rsid w:val="005D543D"/>
    <w:rsid w:val="005D60EC"/>
    <w:rsid w:val="005F284C"/>
    <w:rsid w:val="005F797E"/>
    <w:rsid w:val="0060180B"/>
    <w:rsid w:val="006064D6"/>
    <w:rsid w:val="00606D6F"/>
    <w:rsid w:val="00611BD3"/>
    <w:rsid w:val="006143C2"/>
    <w:rsid w:val="0061513A"/>
    <w:rsid w:val="00615FF0"/>
    <w:rsid w:val="006205BE"/>
    <w:rsid w:val="006248D8"/>
    <w:rsid w:val="00627DA2"/>
    <w:rsid w:val="00632395"/>
    <w:rsid w:val="006446F5"/>
    <w:rsid w:val="00650184"/>
    <w:rsid w:val="00662949"/>
    <w:rsid w:val="00665422"/>
    <w:rsid w:val="006701EB"/>
    <w:rsid w:val="00671492"/>
    <w:rsid w:val="00673CDD"/>
    <w:rsid w:val="0067617A"/>
    <w:rsid w:val="00676285"/>
    <w:rsid w:val="00676CBB"/>
    <w:rsid w:val="006775C4"/>
    <w:rsid w:val="006806E3"/>
    <w:rsid w:val="0068441A"/>
    <w:rsid w:val="00686A4A"/>
    <w:rsid w:val="0069674A"/>
    <w:rsid w:val="006972B1"/>
    <w:rsid w:val="006A1089"/>
    <w:rsid w:val="006A13AB"/>
    <w:rsid w:val="006A1830"/>
    <w:rsid w:val="006B0B45"/>
    <w:rsid w:val="006B1038"/>
    <w:rsid w:val="006B3631"/>
    <w:rsid w:val="006C7F1D"/>
    <w:rsid w:val="006D5BB1"/>
    <w:rsid w:val="006D6ADA"/>
    <w:rsid w:val="006E0E01"/>
    <w:rsid w:val="006E1540"/>
    <w:rsid w:val="006E1DAC"/>
    <w:rsid w:val="006F1AA1"/>
    <w:rsid w:val="006F2F4B"/>
    <w:rsid w:val="006F76AF"/>
    <w:rsid w:val="00700166"/>
    <w:rsid w:val="00706746"/>
    <w:rsid w:val="00711442"/>
    <w:rsid w:val="00714F2F"/>
    <w:rsid w:val="00721C63"/>
    <w:rsid w:val="00730856"/>
    <w:rsid w:val="007326DC"/>
    <w:rsid w:val="00733C24"/>
    <w:rsid w:val="00736AEC"/>
    <w:rsid w:val="00736DFD"/>
    <w:rsid w:val="00737DDD"/>
    <w:rsid w:val="00746123"/>
    <w:rsid w:val="007529D4"/>
    <w:rsid w:val="00752C4B"/>
    <w:rsid w:val="00757731"/>
    <w:rsid w:val="00763064"/>
    <w:rsid w:val="00763A5D"/>
    <w:rsid w:val="007720AF"/>
    <w:rsid w:val="00772AD0"/>
    <w:rsid w:val="00773FD8"/>
    <w:rsid w:val="007760B1"/>
    <w:rsid w:val="007803E8"/>
    <w:rsid w:val="00784547"/>
    <w:rsid w:val="007848C2"/>
    <w:rsid w:val="00787DD3"/>
    <w:rsid w:val="007919D4"/>
    <w:rsid w:val="00797B2A"/>
    <w:rsid w:val="007A6C9E"/>
    <w:rsid w:val="007B161C"/>
    <w:rsid w:val="007B2251"/>
    <w:rsid w:val="007B2FC9"/>
    <w:rsid w:val="007B765B"/>
    <w:rsid w:val="007C20AB"/>
    <w:rsid w:val="007C2E61"/>
    <w:rsid w:val="007C4498"/>
    <w:rsid w:val="007C46BA"/>
    <w:rsid w:val="007C72DE"/>
    <w:rsid w:val="007D184D"/>
    <w:rsid w:val="007D2A7B"/>
    <w:rsid w:val="007E5ACD"/>
    <w:rsid w:val="007E7BB9"/>
    <w:rsid w:val="007F3DBA"/>
    <w:rsid w:val="007F64B3"/>
    <w:rsid w:val="00802A66"/>
    <w:rsid w:val="0080378E"/>
    <w:rsid w:val="0080780F"/>
    <w:rsid w:val="00811985"/>
    <w:rsid w:val="00811B22"/>
    <w:rsid w:val="008132CE"/>
    <w:rsid w:val="00815886"/>
    <w:rsid w:val="00817B4E"/>
    <w:rsid w:val="00823B5D"/>
    <w:rsid w:val="00834DFA"/>
    <w:rsid w:val="0083548C"/>
    <w:rsid w:val="00841495"/>
    <w:rsid w:val="00845EA6"/>
    <w:rsid w:val="00846367"/>
    <w:rsid w:val="00851739"/>
    <w:rsid w:val="00852590"/>
    <w:rsid w:val="00854D4F"/>
    <w:rsid w:val="008561A4"/>
    <w:rsid w:val="0086349D"/>
    <w:rsid w:val="00866518"/>
    <w:rsid w:val="00866820"/>
    <w:rsid w:val="00867387"/>
    <w:rsid w:val="00873974"/>
    <w:rsid w:val="00876A79"/>
    <w:rsid w:val="0087779D"/>
    <w:rsid w:val="00883BDF"/>
    <w:rsid w:val="0089360D"/>
    <w:rsid w:val="008979B0"/>
    <w:rsid w:val="008A4605"/>
    <w:rsid w:val="008A54F2"/>
    <w:rsid w:val="008A56BC"/>
    <w:rsid w:val="008B6B5C"/>
    <w:rsid w:val="008B6BFA"/>
    <w:rsid w:val="008C0611"/>
    <w:rsid w:val="008C3958"/>
    <w:rsid w:val="008C4FC2"/>
    <w:rsid w:val="008D121A"/>
    <w:rsid w:val="008E1374"/>
    <w:rsid w:val="008E4B7E"/>
    <w:rsid w:val="008E7156"/>
    <w:rsid w:val="008E7535"/>
    <w:rsid w:val="008F1CAC"/>
    <w:rsid w:val="008F4DD6"/>
    <w:rsid w:val="00903A27"/>
    <w:rsid w:val="0091693F"/>
    <w:rsid w:val="009265B5"/>
    <w:rsid w:val="00926FA7"/>
    <w:rsid w:val="00931790"/>
    <w:rsid w:val="00934C47"/>
    <w:rsid w:val="009369E5"/>
    <w:rsid w:val="00945DCA"/>
    <w:rsid w:val="00946A68"/>
    <w:rsid w:val="00951079"/>
    <w:rsid w:val="00954687"/>
    <w:rsid w:val="00957D61"/>
    <w:rsid w:val="00960461"/>
    <w:rsid w:val="0096336B"/>
    <w:rsid w:val="0097387D"/>
    <w:rsid w:val="00974C36"/>
    <w:rsid w:val="00982DD8"/>
    <w:rsid w:val="00983100"/>
    <w:rsid w:val="0098329B"/>
    <w:rsid w:val="00987E54"/>
    <w:rsid w:val="0099195A"/>
    <w:rsid w:val="009933F6"/>
    <w:rsid w:val="0099364D"/>
    <w:rsid w:val="009A12D1"/>
    <w:rsid w:val="009A3A78"/>
    <w:rsid w:val="009A4682"/>
    <w:rsid w:val="009B6E33"/>
    <w:rsid w:val="009C072F"/>
    <w:rsid w:val="009C1BAB"/>
    <w:rsid w:val="009C2DB8"/>
    <w:rsid w:val="009C3BDE"/>
    <w:rsid w:val="009D4F8E"/>
    <w:rsid w:val="009E3470"/>
    <w:rsid w:val="009E58F6"/>
    <w:rsid w:val="009E668F"/>
    <w:rsid w:val="009F4C31"/>
    <w:rsid w:val="009F7581"/>
    <w:rsid w:val="00A0129E"/>
    <w:rsid w:val="00A016CE"/>
    <w:rsid w:val="00A050BD"/>
    <w:rsid w:val="00A1114C"/>
    <w:rsid w:val="00A16C40"/>
    <w:rsid w:val="00A240C1"/>
    <w:rsid w:val="00A245C9"/>
    <w:rsid w:val="00A24CB7"/>
    <w:rsid w:val="00A336BE"/>
    <w:rsid w:val="00A4166F"/>
    <w:rsid w:val="00A41A9E"/>
    <w:rsid w:val="00A60BCC"/>
    <w:rsid w:val="00A65580"/>
    <w:rsid w:val="00A655C6"/>
    <w:rsid w:val="00A678F0"/>
    <w:rsid w:val="00A70BF8"/>
    <w:rsid w:val="00A716EF"/>
    <w:rsid w:val="00A7208E"/>
    <w:rsid w:val="00A72719"/>
    <w:rsid w:val="00A82E8E"/>
    <w:rsid w:val="00A82F13"/>
    <w:rsid w:val="00A85220"/>
    <w:rsid w:val="00A93B46"/>
    <w:rsid w:val="00A9464E"/>
    <w:rsid w:val="00A957B8"/>
    <w:rsid w:val="00AB2D02"/>
    <w:rsid w:val="00AB32D2"/>
    <w:rsid w:val="00AB6386"/>
    <w:rsid w:val="00AB6F9A"/>
    <w:rsid w:val="00AC1974"/>
    <w:rsid w:val="00AC502C"/>
    <w:rsid w:val="00AD360E"/>
    <w:rsid w:val="00AD65B7"/>
    <w:rsid w:val="00AE0EE8"/>
    <w:rsid w:val="00AE62AC"/>
    <w:rsid w:val="00AE68D7"/>
    <w:rsid w:val="00AE7565"/>
    <w:rsid w:val="00AF6F3E"/>
    <w:rsid w:val="00B03D32"/>
    <w:rsid w:val="00B064D5"/>
    <w:rsid w:val="00B15FC5"/>
    <w:rsid w:val="00B1645C"/>
    <w:rsid w:val="00B22371"/>
    <w:rsid w:val="00B23154"/>
    <w:rsid w:val="00B26AA5"/>
    <w:rsid w:val="00B34B86"/>
    <w:rsid w:val="00B4100C"/>
    <w:rsid w:val="00B44B3B"/>
    <w:rsid w:val="00B52663"/>
    <w:rsid w:val="00B5373B"/>
    <w:rsid w:val="00B53D95"/>
    <w:rsid w:val="00B53FD5"/>
    <w:rsid w:val="00B55080"/>
    <w:rsid w:val="00B57A44"/>
    <w:rsid w:val="00B602A1"/>
    <w:rsid w:val="00B643C4"/>
    <w:rsid w:val="00B730E5"/>
    <w:rsid w:val="00B76FBA"/>
    <w:rsid w:val="00B803B7"/>
    <w:rsid w:val="00B827C1"/>
    <w:rsid w:val="00B85B72"/>
    <w:rsid w:val="00B870F2"/>
    <w:rsid w:val="00B87288"/>
    <w:rsid w:val="00B93A5C"/>
    <w:rsid w:val="00B9401D"/>
    <w:rsid w:val="00B975A4"/>
    <w:rsid w:val="00BA208A"/>
    <w:rsid w:val="00BA2AD5"/>
    <w:rsid w:val="00BA30EB"/>
    <w:rsid w:val="00BB08A1"/>
    <w:rsid w:val="00BB21D7"/>
    <w:rsid w:val="00BB7EE2"/>
    <w:rsid w:val="00BD03E3"/>
    <w:rsid w:val="00BD27DD"/>
    <w:rsid w:val="00BD38E9"/>
    <w:rsid w:val="00BD589D"/>
    <w:rsid w:val="00BD6317"/>
    <w:rsid w:val="00BD6FC9"/>
    <w:rsid w:val="00BE11B1"/>
    <w:rsid w:val="00BE56DC"/>
    <w:rsid w:val="00BF2A8D"/>
    <w:rsid w:val="00BF31DB"/>
    <w:rsid w:val="00BF52F1"/>
    <w:rsid w:val="00BF5F48"/>
    <w:rsid w:val="00C06C25"/>
    <w:rsid w:val="00C07610"/>
    <w:rsid w:val="00C10B51"/>
    <w:rsid w:val="00C179EC"/>
    <w:rsid w:val="00C22126"/>
    <w:rsid w:val="00C23055"/>
    <w:rsid w:val="00C3024F"/>
    <w:rsid w:val="00C3470F"/>
    <w:rsid w:val="00C364E1"/>
    <w:rsid w:val="00C56E19"/>
    <w:rsid w:val="00C61DD6"/>
    <w:rsid w:val="00C6252C"/>
    <w:rsid w:val="00C64C4F"/>
    <w:rsid w:val="00C70332"/>
    <w:rsid w:val="00C71329"/>
    <w:rsid w:val="00C75242"/>
    <w:rsid w:val="00C756A5"/>
    <w:rsid w:val="00C81F4A"/>
    <w:rsid w:val="00C91E71"/>
    <w:rsid w:val="00C92EC8"/>
    <w:rsid w:val="00C93238"/>
    <w:rsid w:val="00C95878"/>
    <w:rsid w:val="00CA1BE2"/>
    <w:rsid w:val="00CB1180"/>
    <w:rsid w:val="00CC4FC2"/>
    <w:rsid w:val="00CC6EC9"/>
    <w:rsid w:val="00CD529A"/>
    <w:rsid w:val="00CE41C1"/>
    <w:rsid w:val="00CF162C"/>
    <w:rsid w:val="00CF2E88"/>
    <w:rsid w:val="00D045E1"/>
    <w:rsid w:val="00D051F7"/>
    <w:rsid w:val="00D07B47"/>
    <w:rsid w:val="00D25268"/>
    <w:rsid w:val="00D26271"/>
    <w:rsid w:val="00D26B9A"/>
    <w:rsid w:val="00D27541"/>
    <w:rsid w:val="00D30390"/>
    <w:rsid w:val="00D31837"/>
    <w:rsid w:val="00D33E5C"/>
    <w:rsid w:val="00D437EA"/>
    <w:rsid w:val="00D446D2"/>
    <w:rsid w:val="00D459D2"/>
    <w:rsid w:val="00D51E32"/>
    <w:rsid w:val="00D62B18"/>
    <w:rsid w:val="00D71861"/>
    <w:rsid w:val="00D71C21"/>
    <w:rsid w:val="00D75274"/>
    <w:rsid w:val="00D80633"/>
    <w:rsid w:val="00D80DCC"/>
    <w:rsid w:val="00D82151"/>
    <w:rsid w:val="00D821FC"/>
    <w:rsid w:val="00D82D31"/>
    <w:rsid w:val="00D83151"/>
    <w:rsid w:val="00D95A4E"/>
    <w:rsid w:val="00D96854"/>
    <w:rsid w:val="00DA01F8"/>
    <w:rsid w:val="00DB2336"/>
    <w:rsid w:val="00DB2994"/>
    <w:rsid w:val="00DB467C"/>
    <w:rsid w:val="00DC564D"/>
    <w:rsid w:val="00DC5969"/>
    <w:rsid w:val="00DD4467"/>
    <w:rsid w:val="00DD5E94"/>
    <w:rsid w:val="00DD69E2"/>
    <w:rsid w:val="00DE122A"/>
    <w:rsid w:val="00DE1656"/>
    <w:rsid w:val="00DE3107"/>
    <w:rsid w:val="00DF0878"/>
    <w:rsid w:val="00DF3E6F"/>
    <w:rsid w:val="00DF4A2E"/>
    <w:rsid w:val="00DF522B"/>
    <w:rsid w:val="00E0629A"/>
    <w:rsid w:val="00E07B37"/>
    <w:rsid w:val="00E135AD"/>
    <w:rsid w:val="00E14AA7"/>
    <w:rsid w:val="00E15A75"/>
    <w:rsid w:val="00E16012"/>
    <w:rsid w:val="00E20EB5"/>
    <w:rsid w:val="00E21A51"/>
    <w:rsid w:val="00E22683"/>
    <w:rsid w:val="00E269DB"/>
    <w:rsid w:val="00E271E4"/>
    <w:rsid w:val="00E32DD0"/>
    <w:rsid w:val="00E41D3D"/>
    <w:rsid w:val="00E42217"/>
    <w:rsid w:val="00E430F9"/>
    <w:rsid w:val="00E44684"/>
    <w:rsid w:val="00E52EE4"/>
    <w:rsid w:val="00E539F0"/>
    <w:rsid w:val="00E57E2B"/>
    <w:rsid w:val="00E722DF"/>
    <w:rsid w:val="00E72FD8"/>
    <w:rsid w:val="00E75229"/>
    <w:rsid w:val="00E76889"/>
    <w:rsid w:val="00E81D2A"/>
    <w:rsid w:val="00E8347B"/>
    <w:rsid w:val="00E836A6"/>
    <w:rsid w:val="00E91835"/>
    <w:rsid w:val="00EA00C1"/>
    <w:rsid w:val="00EA098F"/>
    <w:rsid w:val="00EA450F"/>
    <w:rsid w:val="00EA490A"/>
    <w:rsid w:val="00EA5DCF"/>
    <w:rsid w:val="00EA5F9B"/>
    <w:rsid w:val="00EA75A6"/>
    <w:rsid w:val="00EA7AD2"/>
    <w:rsid w:val="00EB043D"/>
    <w:rsid w:val="00EB0B05"/>
    <w:rsid w:val="00EB164E"/>
    <w:rsid w:val="00EB6DF0"/>
    <w:rsid w:val="00EC0D35"/>
    <w:rsid w:val="00EC1714"/>
    <w:rsid w:val="00EC63CB"/>
    <w:rsid w:val="00EC696A"/>
    <w:rsid w:val="00ED1972"/>
    <w:rsid w:val="00ED4DE2"/>
    <w:rsid w:val="00EE5419"/>
    <w:rsid w:val="00EE68D1"/>
    <w:rsid w:val="00EF251B"/>
    <w:rsid w:val="00EF486E"/>
    <w:rsid w:val="00EF6EB5"/>
    <w:rsid w:val="00F03173"/>
    <w:rsid w:val="00F045B1"/>
    <w:rsid w:val="00F053E6"/>
    <w:rsid w:val="00F0725A"/>
    <w:rsid w:val="00F166AA"/>
    <w:rsid w:val="00F20934"/>
    <w:rsid w:val="00F27EA5"/>
    <w:rsid w:val="00F300D9"/>
    <w:rsid w:val="00F32FF3"/>
    <w:rsid w:val="00F357F4"/>
    <w:rsid w:val="00F40411"/>
    <w:rsid w:val="00F442D3"/>
    <w:rsid w:val="00F442D4"/>
    <w:rsid w:val="00F51109"/>
    <w:rsid w:val="00F53370"/>
    <w:rsid w:val="00F53A63"/>
    <w:rsid w:val="00F71C44"/>
    <w:rsid w:val="00F725EB"/>
    <w:rsid w:val="00F915C3"/>
    <w:rsid w:val="00F96D14"/>
    <w:rsid w:val="00F9757C"/>
    <w:rsid w:val="00FA2043"/>
    <w:rsid w:val="00FA24EC"/>
    <w:rsid w:val="00FA4015"/>
    <w:rsid w:val="00FA5CC8"/>
    <w:rsid w:val="00FA6902"/>
    <w:rsid w:val="00FB27E9"/>
    <w:rsid w:val="00FC14E9"/>
    <w:rsid w:val="00FC6BB8"/>
    <w:rsid w:val="00FD22D4"/>
    <w:rsid w:val="00FD3256"/>
    <w:rsid w:val="00FE17A7"/>
    <w:rsid w:val="00FE3E67"/>
    <w:rsid w:val="00FF321D"/>
    <w:rsid w:val="00FF4621"/>
    <w:rsid w:val="00FF534F"/>
    <w:rsid w:val="00FF6833"/>
    <w:rsid w:val="032A56C2"/>
    <w:rsid w:val="0414147C"/>
    <w:rsid w:val="04900851"/>
    <w:rsid w:val="054933A7"/>
    <w:rsid w:val="05992DB1"/>
    <w:rsid w:val="05D53AD5"/>
    <w:rsid w:val="069C40D7"/>
    <w:rsid w:val="06AB260F"/>
    <w:rsid w:val="06B7668C"/>
    <w:rsid w:val="0C607422"/>
    <w:rsid w:val="0CB953B2"/>
    <w:rsid w:val="0F3610C8"/>
    <w:rsid w:val="10942509"/>
    <w:rsid w:val="10B97633"/>
    <w:rsid w:val="13D447A0"/>
    <w:rsid w:val="160C46A9"/>
    <w:rsid w:val="18483693"/>
    <w:rsid w:val="1A295829"/>
    <w:rsid w:val="1A827396"/>
    <w:rsid w:val="1A837A34"/>
    <w:rsid w:val="1B7156DA"/>
    <w:rsid w:val="1B840462"/>
    <w:rsid w:val="1C662D65"/>
    <w:rsid w:val="1D305121"/>
    <w:rsid w:val="1D83003F"/>
    <w:rsid w:val="20142AD8"/>
    <w:rsid w:val="208D2386"/>
    <w:rsid w:val="213C0AD0"/>
    <w:rsid w:val="2188679B"/>
    <w:rsid w:val="22074D93"/>
    <w:rsid w:val="22723AE6"/>
    <w:rsid w:val="23250B58"/>
    <w:rsid w:val="234436D4"/>
    <w:rsid w:val="23C245F9"/>
    <w:rsid w:val="265B0B9B"/>
    <w:rsid w:val="26D0285C"/>
    <w:rsid w:val="29467535"/>
    <w:rsid w:val="29C42B06"/>
    <w:rsid w:val="2A4C2E6E"/>
    <w:rsid w:val="2B4D3EA0"/>
    <w:rsid w:val="2B7D3C27"/>
    <w:rsid w:val="2C124B88"/>
    <w:rsid w:val="2C646B95"/>
    <w:rsid w:val="2CE638BA"/>
    <w:rsid w:val="2DDB3611"/>
    <w:rsid w:val="2DF51244"/>
    <w:rsid w:val="2DFB7085"/>
    <w:rsid w:val="2E0777D8"/>
    <w:rsid w:val="2E20089A"/>
    <w:rsid w:val="2E2C2EBC"/>
    <w:rsid w:val="30050C0E"/>
    <w:rsid w:val="313D1CA9"/>
    <w:rsid w:val="319A6273"/>
    <w:rsid w:val="31C81974"/>
    <w:rsid w:val="32AF5D7F"/>
    <w:rsid w:val="32FE71D6"/>
    <w:rsid w:val="33CB3B02"/>
    <w:rsid w:val="34E07698"/>
    <w:rsid w:val="351E7DE2"/>
    <w:rsid w:val="35257EF7"/>
    <w:rsid w:val="36790C8D"/>
    <w:rsid w:val="368256FD"/>
    <w:rsid w:val="370A20E7"/>
    <w:rsid w:val="38800924"/>
    <w:rsid w:val="38BE71D1"/>
    <w:rsid w:val="38D62BC9"/>
    <w:rsid w:val="38F66DC7"/>
    <w:rsid w:val="39E135D3"/>
    <w:rsid w:val="3A105C66"/>
    <w:rsid w:val="3E10092B"/>
    <w:rsid w:val="3EFE69D5"/>
    <w:rsid w:val="3FC77C0A"/>
    <w:rsid w:val="40291959"/>
    <w:rsid w:val="426E0BA8"/>
    <w:rsid w:val="434766DC"/>
    <w:rsid w:val="43EA6480"/>
    <w:rsid w:val="448602DC"/>
    <w:rsid w:val="44BF1710"/>
    <w:rsid w:val="45092757"/>
    <w:rsid w:val="47A66ECA"/>
    <w:rsid w:val="4908674F"/>
    <w:rsid w:val="4B30028E"/>
    <w:rsid w:val="4B730599"/>
    <w:rsid w:val="4BA821A3"/>
    <w:rsid w:val="4C8A7AFA"/>
    <w:rsid w:val="4CFA4C80"/>
    <w:rsid w:val="4DCA69F7"/>
    <w:rsid w:val="4DDF4455"/>
    <w:rsid w:val="4EDB463D"/>
    <w:rsid w:val="4F89142E"/>
    <w:rsid w:val="50D740F5"/>
    <w:rsid w:val="51AE2C07"/>
    <w:rsid w:val="52000822"/>
    <w:rsid w:val="53073C53"/>
    <w:rsid w:val="54602D1C"/>
    <w:rsid w:val="54754BEC"/>
    <w:rsid w:val="54A52298"/>
    <w:rsid w:val="55681E6C"/>
    <w:rsid w:val="56DE2F1C"/>
    <w:rsid w:val="588F4BF5"/>
    <w:rsid w:val="5DF70D68"/>
    <w:rsid w:val="5F9920D6"/>
    <w:rsid w:val="60487659"/>
    <w:rsid w:val="60C4597B"/>
    <w:rsid w:val="60EC3E4F"/>
    <w:rsid w:val="61C6117D"/>
    <w:rsid w:val="620F6DE6"/>
    <w:rsid w:val="62943029"/>
    <w:rsid w:val="62D12820"/>
    <w:rsid w:val="641C355F"/>
    <w:rsid w:val="656A0A18"/>
    <w:rsid w:val="66DB2FD4"/>
    <w:rsid w:val="68467CCF"/>
    <w:rsid w:val="691473BC"/>
    <w:rsid w:val="69150AFF"/>
    <w:rsid w:val="69184D65"/>
    <w:rsid w:val="69357C0F"/>
    <w:rsid w:val="6948296B"/>
    <w:rsid w:val="69692B1A"/>
    <w:rsid w:val="6A2922A9"/>
    <w:rsid w:val="6A9F0099"/>
    <w:rsid w:val="6B871F5D"/>
    <w:rsid w:val="6CAD2EC8"/>
    <w:rsid w:val="6CF4542B"/>
    <w:rsid w:val="6D365409"/>
    <w:rsid w:val="6E5F4A82"/>
    <w:rsid w:val="6E955409"/>
    <w:rsid w:val="6ED44ED9"/>
    <w:rsid w:val="707D3AE5"/>
    <w:rsid w:val="716D58B3"/>
    <w:rsid w:val="717A28C6"/>
    <w:rsid w:val="735A1725"/>
    <w:rsid w:val="742E5A58"/>
    <w:rsid w:val="75575CBA"/>
    <w:rsid w:val="755D6AA8"/>
    <w:rsid w:val="77DD2085"/>
    <w:rsid w:val="77DF3DFD"/>
    <w:rsid w:val="7BB5399C"/>
    <w:rsid w:val="7CF46746"/>
    <w:rsid w:val="7D380D29"/>
    <w:rsid w:val="7D7F6A36"/>
    <w:rsid w:val="7E3C4B7F"/>
    <w:rsid w:val="7E8476C2"/>
    <w:rsid w:val="7EEA2275"/>
    <w:rsid w:val="7F5B0CFF"/>
    <w:rsid w:val="7F695A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99" w:semiHidden="0" w:name="Message Header"/>
    <w:lsdException w:qFormat="1" w:unhideWhenUsed="0" w:uiPriority="11" w:semiHidden="0" w:name="Subtitle" w:locked="1"/>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1"/>
    <w:qFormat/>
    <w:uiPriority w:val="99"/>
    <w:pPr>
      <w:keepNext/>
      <w:keepLines/>
      <w:tabs>
        <w:tab w:val="left" w:pos="420"/>
      </w:tabs>
      <w:spacing w:before="120" w:after="120"/>
      <w:jc w:val="left"/>
      <w:outlineLvl w:val="0"/>
    </w:pPr>
    <w:rPr>
      <w:b/>
      <w:bCs/>
      <w:kern w:val="44"/>
      <w:sz w:val="28"/>
      <w:szCs w:val="28"/>
    </w:rPr>
  </w:style>
  <w:style w:type="paragraph" w:styleId="4">
    <w:name w:val="heading 2"/>
    <w:basedOn w:val="1"/>
    <w:next w:val="1"/>
    <w:link w:val="42"/>
    <w:qFormat/>
    <w:uiPriority w:val="99"/>
    <w:pPr>
      <w:tabs>
        <w:tab w:val="left" w:pos="420"/>
      </w:tabs>
      <w:spacing w:before="120" w:after="120"/>
      <w:jc w:val="left"/>
      <w:outlineLvl w:val="1"/>
    </w:pPr>
    <w:rPr>
      <w:b/>
      <w:color w:val="000000"/>
      <w:sz w:val="28"/>
    </w:rPr>
  </w:style>
  <w:style w:type="paragraph" w:styleId="5">
    <w:name w:val="heading 3"/>
    <w:basedOn w:val="1"/>
    <w:next w:val="1"/>
    <w:link w:val="43"/>
    <w:qFormat/>
    <w:uiPriority w:val="99"/>
    <w:pPr>
      <w:keepNext/>
      <w:keepLines/>
      <w:tabs>
        <w:tab w:val="left" w:pos="131"/>
        <w:tab w:val="left" w:pos="420"/>
      </w:tabs>
      <w:snapToGrid w:val="0"/>
      <w:ind w:left="-289" w:firstLine="289"/>
      <w:jc w:val="left"/>
      <w:outlineLvl w:val="2"/>
    </w:pPr>
    <w:rPr>
      <w:b/>
      <w:bCs/>
      <w:sz w:val="24"/>
    </w:rPr>
  </w:style>
  <w:style w:type="paragraph" w:styleId="6">
    <w:name w:val="heading 4"/>
    <w:basedOn w:val="1"/>
    <w:next w:val="1"/>
    <w:link w:val="44"/>
    <w:qFormat/>
    <w:uiPriority w:val="99"/>
    <w:pPr>
      <w:keepNext/>
      <w:keepLines/>
      <w:tabs>
        <w:tab w:val="left" w:pos="0"/>
        <w:tab w:val="left" w:pos="420"/>
      </w:tabs>
      <w:ind w:left="421" w:firstLine="289"/>
      <w:outlineLvl w:val="3"/>
    </w:pPr>
    <w:rPr>
      <w:rFonts w:eastAsia="黑体"/>
      <w:bCs/>
      <w:sz w:val="28"/>
    </w:rPr>
  </w:style>
  <w:style w:type="paragraph" w:styleId="7">
    <w:name w:val="heading 5"/>
    <w:basedOn w:val="1"/>
    <w:next w:val="1"/>
    <w:link w:val="45"/>
    <w:qFormat/>
    <w:uiPriority w:val="99"/>
    <w:pPr>
      <w:keepNext/>
      <w:keepLines/>
      <w:spacing w:before="120" w:after="120"/>
      <w:ind w:left="1276"/>
      <w:outlineLvl w:val="4"/>
    </w:pPr>
    <w:rPr>
      <w:rFonts w:eastAsia="仿宋_GB2312"/>
      <w:b/>
      <w:bCs/>
      <w:sz w:val="32"/>
      <w:szCs w:val="28"/>
    </w:rPr>
  </w:style>
  <w:style w:type="paragraph" w:styleId="8">
    <w:name w:val="heading 6"/>
    <w:basedOn w:val="1"/>
    <w:next w:val="1"/>
    <w:link w:val="46"/>
    <w:qFormat/>
    <w:uiPriority w:val="99"/>
    <w:pPr>
      <w:keepNext/>
      <w:keepLines/>
      <w:spacing w:before="240" w:after="64" w:line="319" w:lineRule="auto"/>
      <w:outlineLvl w:val="5"/>
    </w:pPr>
    <w:rPr>
      <w:rFonts w:ascii="Calibri Light" w:hAnsi="Calibri Light"/>
      <w:b/>
      <w:bCs/>
      <w:sz w:val="24"/>
    </w:rPr>
  </w:style>
  <w:style w:type="paragraph" w:styleId="9">
    <w:name w:val="heading 7"/>
    <w:basedOn w:val="1"/>
    <w:next w:val="1"/>
    <w:link w:val="47"/>
    <w:qFormat/>
    <w:uiPriority w:val="99"/>
    <w:pPr>
      <w:keepNext/>
      <w:keepLines/>
      <w:spacing w:before="240" w:after="64" w:line="319" w:lineRule="auto"/>
      <w:outlineLvl w:val="6"/>
    </w:pPr>
    <w:rPr>
      <w:b/>
      <w:bCs/>
      <w:sz w:val="24"/>
    </w:rPr>
  </w:style>
  <w:style w:type="paragraph" w:styleId="10">
    <w:name w:val="heading 8"/>
    <w:basedOn w:val="1"/>
    <w:next w:val="1"/>
    <w:link w:val="48"/>
    <w:qFormat/>
    <w:uiPriority w:val="99"/>
    <w:pPr>
      <w:widowControl/>
      <w:overflowPunct w:val="0"/>
      <w:autoSpaceDE w:val="0"/>
      <w:autoSpaceDN w:val="0"/>
      <w:adjustRightInd w:val="0"/>
      <w:spacing w:before="240" w:after="60" w:line="360" w:lineRule="auto"/>
      <w:ind w:left="1276"/>
      <w:textAlignment w:val="baseline"/>
      <w:outlineLvl w:val="7"/>
    </w:pPr>
    <w:rPr>
      <w:rFonts w:ascii="Arial" w:hAnsi="Arial" w:eastAsia="仿宋_GB2312"/>
      <w:i/>
      <w:kern w:val="0"/>
      <w:sz w:val="24"/>
      <w:szCs w:val="20"/>
    </w:rPr>
  </w:style>
  <w:style w:type="paragraph" w:styleId="11">
    <w:name w:val="heading 9"/>
    <w:basedOn w:val="1"/>
    <w:next w:val="1"/>
    <w:link w:val="49"/>
    <w:qFormat/>
    <w:uiPriority w:val="99"/>
    <w:pPr>
      <w:widowControl/>
      <w:overflowPunct w:val="0"/>
      <w:autoSpaceDE w:val="0"/>
      <w:autoSpaceDN w:val="0"/>
      <w:adjustRightInd w:val="0"/>
      <w:spacing w:before="240" w:after="60" w:line="360" w:lineRule="auto"/>
      <w:ind w:left="1276"/>
      <w:textAlignment w:val="baseline"/>
      <w:outlineLvl w:val="8"/>
    </w:pPr>
    <w:rPr>
      <w:rFonts w:ascii="Arial" w:hAnsi="Arial" w:eastAsia="仿宋_GB2312"/>
      <w:i/>
      <w:kern w:val="0"/>
      <w:sz w:val="18"/>
      <w:szCs w:val="20"/>
    </w:rPr>
  </w:style>
  <w:style w:type="character" w:default="1" w:styleId="36">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99"/>
    <w:pPr>
      <w:spacing w:line="400" w:lineRule="atLeast"/>
      <w:ind w:left="280" w:right="134" w:rightChars="134" w:firstLine="497"/>
    </w:pPr>
    <w:rPr>
      <w:rFonts w:ascii="宋体" w:hAnsi="宋体" w:eastAsia="楷体_GB2312"/>
      <w:sz w:val="24"/>
      <w:szCs w:val="20"/>
    </w:rPr>
  </w:style>
  <w:style w:type="paragraph" w:styleId="12">
    <w:name w:val="Normal Indent"/>
    <w:basedOn w:val="1"/>
    <w:qFormat/>
    <w:uiPriority w:val="99"/>
    <w:pPr>
      <w:ind w:firstLine="420"/>
    </w:pPr>
    <w:rPr>
      <w:szCs w:val="20"/>
    </w:rPr>
  </w:style>
  <w:style w:type="paragraph" w:styleId="13">
    <w:name w:val="caption"/>
    <w:basedOn w:val="1"/>
    <w:next w:val="1"/>
    <w:qFormat/>
    <w:uiPriority w:val="99"/>
    <w:rPr>
      <w:rFonts w:ascii="Cambria" w:hAnsi="Cambria" w:eastAsia="黑体"/>
      <w:sz w:val="20"/>
      <w:szCs w:val="20"/>
    </w:rPr>
  </w:style>
  <w:style w:type="paragraph" w:styleId="14">
    <w:name w:val="Document Map"/>
    <w:basedOn w:val="1"/>
    <w:link w:val="50"/>
    <w:qFormat/>
    <w:uiPriority w:val="99"/>
    <w:pPr>
      <w:shd w:val="clear" w:color="auto" w:fill="000080"/>
    </w:pPr>
  </w:style>
  <w:style w:type="paragraph" w:styleId="15">
    <w:name w:val="annotation text"/>
    <w:basedOn w:val="1"/>
    <w:link w:val="51"/>
    <w:qFormat/>
    <w:uiPriority w:val="99"/>
    <w:pPr>
      <w:jc w:val="left"/>
    </w:pPr>
  </w:style>
  <w:style w:type="paragraph" w:styleId="16">
    <w:name w:val="Body Text"/>
    <w:basedOn w:val="1"/>
    <w:next w:val="5"/>
    <w:link w:val="52"/>
    <w:qFormat/>
    <w:uiPriority w:val="99"/>
  </w:style>
  <w:style w:type="paragraph" w:styleId="17">
    <w:name w:val="Body Text Indent"/>
    <w:basedOn w:val="1"/>
    <w:next w:val="18"/>
    <w:qFormat/>
    <w:locked/>
    <w:uiPriority w:val="0"/>
    <w:pPr>
      <w:spacing w:after="120"/>
      <w:ind w:left="420" w:leftChars="200"/>
    </w:pPr>
    <w:rPr>
      <w:rFonts w:ascii="楷体_GB2312" w:hAnsi="Times New Roman" w:eastAsia="楷体_GB2312"/>
      <w:kern w:val="0"/>
      <w:sz w:val="28"/>
      <w:szCs w:val="20"/>
    </w:rPr>
  </w:style>
  <w:style w:type="paragraph" w:styleId="18">
    <w:name w:val="envelope return"/>
    <w:basedOn w:val="1"/>
    <w:qFormat/>
    <w:locked/>
    <w:uiPriority w:val="0"/>
    <w:pPr>
      <w:snapToGrid w:val="0"/>
    </w:pPr>
    <w:rPr>
      <w:rFonts w:ascii="Arial" w:hAnsi="Arial"/>
    </w:rPr>
  </w:style>
  <w:style w:type="paragraph" w:styleId="19">
    <w:name w:val="toc 3"/>
    <w:basedOn w:val="1"/>
    <w:next w:val="1"/>
    <w:qFormat/>
    <w:uiPriority w:val="99"/>
    <w:pPr>
      <w:widowControl/>
      <w:spacing w:after="100" w:line="259" w:lineRule="auto"/>
      <w:ind w:left="440"/>
      <w:jc w:val="left"/>
    </w:pPr>
    <w:rPr>
      <w:rFonts w:ascii="宋体" w:hAnsi="宋体" w:eastAsia="仿宋_GB2312"/>
      <w:kern w:val="0"/>
      <w:sz w:val="22"/>
    </w:rPr>
  </w:style>
  <w:style w:type="paragraph" w:styleId="20">
    <w:name w:val="Plain Text"/>
    <w:basedOn w:val="1"/>
    <w:link w:val="53"/>
    <w:qFormat/>
    <w:uiPriority w:val="99"/>
    <w:rPr>
      <w:rFonts w:ascii="宋体"/>
      <w:szCs w:val="21"/>
    </w:rPr>
  </w:style>
  <w:style w:type="paragraph" w:styleId="21">
    <w:name w:val="Date"/>
    <w:basedOn w:val="1"/>
    <w:next w:val="1"/>
    <w:link w:val="54"/>
    <w:qFormat/>
    <w:uiPriority w:val="99"/>
    <w:pPr>
      <w:ind w:left="2500" w:leftChars="2500"/>
    </w:pPr>
  </w:style>
  <w:style w:type="paragraph" w:styleId="22">
    <w:name w:val="Body Text Indent 2"/>
    <w:basedOn w:val="1"/>
    <w:link w:val="55"/>
    <w:qFormat/>
    <w:uiPriority w:val="99"/>
    <w:pPr>
      <w:spacing w:after="120" w:line="480" w:lineRule="auto"/>
      <w:ind w:left="420"/>
    </w:pPr>
    <w:rPr>
      <w:szCs w:val="20"/>
    </w:rPr>
  </w:style>
  <w:style w:type="paragraph" w:styleId="23">
    <w:name w:val="Balloon Text"/>
    <w:basedOn w:val="1"/>
    <w:link w:val="56"/>
    <w:qFormat/>
    <w:uiPriority w:val="99"/>
    <w:rPr>
      <w:sz w:val="18"/>
      <w:szCs w:val="18"/>
    </w:rPr>
  </w:style>
  <w:style w:type="paragraph" w:styleId="24">
    <w:name w:val="footer"/>
    <w:basedOn w:val="1"/>
    <w:link w:val="57"/>
    <w:qFormat/>
    <w:uiPriority w:val="99"/>
    <w:pPr>
      <w:tabs>
        <w:tab w:val="center" w:pos="4153"/>
        <w:tab w:val="right" w:pos="8306"/>
      </w:tabs>
      <w:snapToGrid w:val="0"/>
      <w:jc w:val="left"/>
    </w:pPr>
    <w:rPr>
      <w:sz w:val="18"/>
      <w:szCs w:val="18"/>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99"/>
    <w:rPr>
      <w:rFonts w:cs="Calibri"/>
      <w:szCs w:val="21"/>
    </w:rPr>
  </w:style>
  <w:style w:type="paragraph" w:styleId="27">
    <w:name w:val="toc 2"/>
    <w:basedOn w:val="1"/>
    <w:next w:val="1"/>
    <w:qFormat/>
    <w:uiPriority w:val="99"/>
    <w:pPr>
      <w:ind w:left="200" w:leftChars="200"/>
    </w:pPr>
    <w:rPr>
      <w:rFonts w:cs="Calibri"/>
      <w:szCs w:val="21"/>
    </w:rPr>
  </w:style>
  <w:style w:type="paragraph" w:styleId="28">
    <w:name w:val="Message Header"/>
    <w:basedOn w:val="1"/>
    <w:link w:val="59"/>
    <w:qFormat/>
    <w:uiPriority w:val="99"/>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kern w:val="0"/>
      <w:sz w:val="24"/>
    </w:rPr>
  </w:style>
  <w:style w:type="paragraph" w:styleId="29">
    <w:name w:val="HTML Preformatted"/>
    <w:basedOn w:val="1"/>
    <w:link w:val="6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0">
    <w:name w:val="Normal (Web)"/>
    <w:basedOn w:val="1"/>
    <w:qFormat/>
    <w:uiPriority w:val="99"/>
    <w:pPr>
      <w:spacing w:beforeAutospacing="1" w:afterAutospacing="1"/>
      <w:jc w:val="left"/>
    </w:pPr>
    <w:rPr>
      <w:color w:val="333333"/>
      <w:kern w:val="0"/>
      <w:sz w:val="24"/>
      <w:szCs w:val="28"/>
    </w:rPr>
  </w:style>
  <w:style w:type="paragraph" w:styleId="31">
    <w:name w:val="Title"/>
    <w:basedOn w:val="1"/>
    <w:next w:val="1"/>
    <w:link w:val="61"/>
    <w:qFormat/>
    <w:locked/>
    <w:uiPriority w:val="99"/>
    <w:pPr>
      <w:jc w:val="center"/>
    </w:pPr>
    <w:rPr>
      <w:sz w:val="30"/>
      <w:szCs w:val="30"/>
    </w:rPr>
  </w:style>
  <w:style w:type="paragraph" w:styleId="32">
    <w:name w:val="annotation subject"/>
    <w:basedOn w:val="15"/>
    <w:next w:val="15"/>
    <w:link w:val="62"/>
    <w:qFormat/>
    <w:uiPriority w:val="99"/>
    <w:rPr>
      <w:b/>
      <w:bCs/>
    </w:rPr>
  </w:style>
  <w:style w:type="paragraph" w:styleId="33">
    <w:name w:val="Body Text First Indent"/>
    <w:basedOn w:val="16"/>
    <w:qFormat/>
    <w:locked/>
    <w:uiPriority w:val="0"/>
    <w:pPr>
      <w:autoSpaceDE w:val="0"/>
      <w:adjustRightInd w:val="0"/>
      <w:snapToGrid w:val="0"/>
      <w:ind w:firstLine="420" w:firstLineChars="100"/>
    </w:pPr>
  </w:style>
  <w:style w:type="paragraph" w:styleId="34">
    <w:name w:val="Body Text First Indent 2"/>
    <w:basedOn w:val="17"/>
    <w:next w:val="33"/>
    <w:qFormat/>
    <w:locked/>
    <w:uiPriority w:val="0"/>
    <w:pPr>
      <w:ind w:firstLine="420" w:firstLineChars="200"/>
    </w:pPr>
    <w:rPr>
      <w:rFonts w:ascii="Times New Roman" w:eastAsia="仿宋_GB2312"/>
      <w:sz w:val="32"/>
      <w:szCs w:val="24"/>
    </w:rPr>
  </w:style>
  <w:style w:type="character" w:styleId="37">
    <w:name w:val="Strong"/>
    <w:qFormat/>
    <w:uiPriority w:val="99"/>
    <w:rPr>
      <w:rFonts w:cs="Times New Roman"/>
      <w:b/>
    </w:rPr>
  </w:style>
  <w:style w:type="character" w:styleId="38">
    <w:name w:val="page number"/>
    <w:qFormat/>
    <w:uiPriority w:val="99"/>
    <w:rPr>
      <w:rFonts w:cs="Times New Roman"/>
    </w:rPr>
  </w:style>
  <w:style w:type="character" w:styleId="39">
    <w:name w:val="Hyperlink"/>
    <w:qFormat/>
    <w:uiPriority w:val="99"/>
    <w:rPr>
      <w:rFonts w:cs="Times New Roman"/>
      <w:color w:val="0563C1"/>
      <w:u w:val="single"/>
    </w:rPr>
  </w:style>
  <w:style w:type="character" w:styleId="40">
    <w:name w:val="annotation reference"/>
    <w:qFormat/>
    <w:uiPriority w:val="99"/>
    <w:rPr>
      <w:rFonts w:cs="Times New Roman"/>
      <w:sz w:val="21"/>
    </w:rPr>
  </w:style>
  <w:style w:type="character" w:customStyle="1" w:styleId="41">
    <w:name w:val="标题 1 字符"/>
    <w:link w:val="3"/>
    <w:qFormat/>
    <w:locked/>
    <w:uiPriority w:val="99"/>
    <w:rPr>
      <w:rFonts w:ascii="Calibri" w:hAnsi="Calibri" w:cs="Times New Roman"/>
      <w:b/>
      <w:kern w:val="44"/>
      <w:sz w:val="28"/>
    </w:rPr>
  </w:style>
  <w:style w:type="character" w:customStyle="1" w:styleId="42">
    <w:name w:val="标题 2 字符"/>
    <w:link w:val="4"/>
    <w:qFormat/>
    <w:locked/>
    <w:uiPriority w:val="99"/>
    <w:rPr>
      <w:rFonts w:ascii="Calibri" w:hAnsi="Calibri" w:cs="Times New Roman"/>
      <w:b/>
      <w:color w:val="000000"/>
      <w:kern w:val="2"/>
      <w:sz w:val="24"/>
    </w:rPr>
  </w:style>
  <w:style w:type="character" w:customStyle="1" w:styleId="43">
    <w:name w:val="标题 3 字符"/>
    <w:link w:val="5"/>
    <w:qFormat/>
    <w:locked/>
    <w:uiPriority w:val="99"/>
    <w:rPr>
      <w:rFonts w:ascii="Calibri" w:hAnsi="Calibri" w:cs="Times New Roman"/>
      <w:b/>
      <w:kern w:val="2"/>
      <w:sz w:val="24"/>
    </w:rPr>
  </w:style>
  <w:style w:type="character" w:customStyle="1" w:styleId="44">
    <w:name w:val="标题 4 字符"/>
    <w:link w:val="6"/>
    <w:qFormat/>
    <w:locked/>
    <w:uiPriority w:val="99"/>
    <w:rPr>
      <w:rFonts w:ascii="Calibri" w:hAnsi="Calibri" w:eastAsia="黑体" w:cs="Times New Roman"/>
      <w:kern w:val="2"/>
      <w:sz w:val="24"/>
    </w:rPr>
  </w:style>
  <w:style w:type="character" w:customStyle="1" w:styleId="45">
    <w:name w:val="标题 5 字符"/>
    <w:link w:val="7"/>
    <w:semiHidden/>
    <w:qFormat/>
    <w:locked/>
    <w:uiPriority w:val="99"/>
    <w:rPr>
      <w:rFonts w:ascii="Calibri" w:hAnsi="Calibri" w:cs="Times New Roman"/>
      <w:b/>
      <w:bCs/>
      <w:sz w:val="28"/>
      <w:szCs w:val="28"/>
    </w:rPr>
  </w:style>
  <w:style w:type="character" w:customStyle="1" w:styleId="46">
    <w:name w:val="标题 6 字符"/>
    <w:link w:val="8"/>
    <w:semiHidden/>
    <w:qFormat/>
    <w:locked/>
    <w:uiPriority w:val="99"/>
    <w:rPr>
      <w:rFonts w:ascii="Cambria" w:hAnsi="Cambria" w:eastAsia="宋体" w:cs="Times New Roman"/>
      <w:b/>
      <w:bCs/>
      <w:sz w:val="24"/>
      <w:szCs w:val="24"/>
    </w:rPr>
  </w:style>
  <w:style w:type="character" w:customStyle="1" w:styleId="47">
    <w:name w:val="标题 7 字符"/>
    <w:link w:val="9"/>
    <w:semiHidden/>
    <w:qFormat/>
    <w:locked/>
    <w:uiPriority w:val="99"/>
    <w:rPr>
      <w:rFonts w:ascii="Calibri" w:hAnsi="Calibri" w:cs="Times New Roman"/>
      <w:b/>
      <w:bCs/>
      <w:sz w:val="24"/>
      <w:szCs w:val="24"/>
    </w:rPr>
  </w:style>
  <w:style w:type="character" w:customStyle="1" w:styleId="48">
    <w:name w:val="标题 8 字符"/>
    <w:link w:val="10"/>
    <w:semiHidden/>
    <w:qFormat/>
    <w:locked/>
    <w:uiPriority w:val="99"/>
    <w:rPr>
      <w:rFonts w:ascii="Cambria" w:hAnsi="Cambria" w:eastAsia="宋体" w:cs="Times New Roman"/>
      <w:sz w:val="24"/>
      <w:szCs w:val="24"/>
    </w:rPr>
  </w:style>
  <w:style w:type="character" w:customStyle="1" w:styleId="49">
    <w:name w:val="标题 9 字符"/>
    <w:link w:val="11"/>
    <w:semiHidden/>
    <w:qFormat/>
    <w:locked/>
    <w:uiPriority w:val="99"/>
    <w:rPr>
      <w:rFonts w:ascii="Cambria" w:hAnsi="Cambria" w:eastAsia="宋体" w:cs="Times New Roman"/>
      <w:sz w:val="21"/>
      <w:szCs w:val="21"/>
    </w:rPr>
  </w:style>
  <w:style w:type="character" w:customStyle="1" w:styleId="50">
    <w:name w:val="文档结构图 字符"/>
    <w:link w:val="14"/>
    <w:qFormat/>
    <w:locked/>
    <w:uiPriority w:val="99"/>
    <w:rPr>
      <w:rFonts w:ascii="Calibri" w:hAnsi="Calibri" w:cs="Times New Roman"/>
      <w:kern w:val="2"/>
      <w:sz w:val="24"/>
      <w:shd w:val="clear" w:color="auto" w:fill="000080"/>
    </w:rPr>
  </w:style>
  <w:style w:type="character" w:customStyle="1" w:styleId="51">
    <w:name w:val="批注文字 字符"/>
    <w:link w:val="15"/>
    <w:semiHidden/>
    <w:qFormat/>
    <w:locked/>
    <w:uiPriority w:val="99"/>
    <w:rPr>
      <w:rFonts w:ascii="Calibri" w:hAnsi="Calibri" w:cs="Times New Roman"/>
      <w:sz w:val="24"/>
      <w:szCs w:val="24"/>
    </w:rPr>
  </w:style>
  <w:style w:type="character" w:customStyle="1" w:styleId="52">
    <w:name w:val="正文文本 字符"/>
    <w:link w:val="16"/>
    <w:semiHidden/>
    <w:qFormat/>
    <w:locked/>
    <w:uiPriority w:val="99"/>
    <w:rPr>
      <w:rFonts w:ascii="Calibri" w:hAnsi="Calibri" w:cs="Times New Roman"/>
      <w:sz w:val="24"/>
      <w:szCs w:val="24"/>
    </w:rPr>
  </w:style>
  <w:style w:type="character" w:customStyle="1" w:styleId="53">
    <w:name w:val="纯文本 字符"/>
    <w:link w:val="20"/>
    <w:qFormat/>
    <w:locked/>
    <w:uiPriority w:val="99"/>
    <w:rPr>
      <w:rFonts w:ascii="宋体" w:hAnsi="Calibri" w:cs="Times New Roman"/>
      <w:kern w:val="2"/>
      <w:sz w:val="21"/>
    </w:rPr>
  </w:style>
  <w:style w:type="character" w:customStyle="1" w:styleId="54">
    <w:name w:val="日期 字符"/>
    <w:link w:val="21"/>
    <w:semiHidden/>
    <w:qFormat/>
    <w:locked/>
    <w:uiPriority w:val="99"/>
    <w:rPr>
      <w:rFonts w:ascii="Calibri" w:hAnsi="Calibri" w:cs="Times New Roman"/>
      <w:sz w:val="24"/>
      <w:szCs w:val="24"/>
    </w:rPr>
  </w:style>
  <w:style w:type="character" w:customStyle="1" w:styleId="55">
    <w:name w:val="正文文本缩进 2 字符"/>
    <w:link w:val="22"/>
    <w:semiHidden/>
    <w:qFormat/>
    <w:locked/>
    <w:uiPriority w:val="99"/>
    <w:rPr>
      <w:rFonts w:ascii="Calibri" w:hAnsi="Calibri" w:cs="Times New Roman"/>
      <w:sz w:val="24"/>
      <w:szCs w:val="24"/>
    </w:rPr>
  </w:style>
  <w:style w:type="character" w:customStyle="1" w:styleId="56">
    <w:name w:val="批注框文本 字符"/>
    <w:link w:val="23"/>
    <w:qFormat/>
    <w:locked/>
    <w:uiPriority w:val="99"/>
    <w:rPr>
      <w:rFonts w:ascii="Calibri" w:hAnsi="Calibri" w:cs="Times New Roman"/>
      <w:kern w:val="2"/>
      <w:sz w:val="18"/>
    </w:rPr>
  </w:style>
  <w:style w:type="character" w:customStyle="1" w:styleId="57">
    <w:name w:val="页脚 字符"/>
    <w:link w:val="24"/>
    <w:qFormat/>
    <w:locked/>
    <w:uiPriority w:val="99"/>
    <w:rPr>
      <w:rFonts w:ascii="Calibri" w:hAnsi="Calibri" w:cs="Times New Roman"/>
      <w:kern w:val="2"/>
      <w:sz w:val="18"/>
    </w:rPr>
  </w:style>
  <w:style w:type="character" w:customStyle="1" w:styleId="58">
    <w:name w:val="页眉 字符"/>
    <w:link w:val="25"/>
    <w:qFormat/>
    <w:locked/>
    <w:uiPriority w:val="99"/>
    <w:rPr>
      <w:rFonts w:ascii="Calibri" w:hAnsi="Calibri" w:cs="Times New Roman"/>
      <w:kern w:val="2"/>
      <w:sz w:val="18"/>
    </w:rPr>
  </w:style>
  <w:style w:type="character" w:customStyle="1" w:styleId="59">
    <w:name w:val="信息标题 字符"/>
    <w:link w:val="28"/>
    <w:semiHidden/>
    <w:qFormat/>
    <w:locked/>
    <w:uiPriority w:val="99"/>
    <w:rPr>
      <w:rFonts w:ascii="Cambria" w:hAnsi="Cambria" w:eastAsia="宋体" w:cs="Times New Roman"/>
      <w:sz w:val="24"/>
      <w:szCs w:val="24"/>
      <w:shd w:val="pct20" w:color="auto" w:fill="auto"/>
    </w:rPr>
  </w:style>
  <w:style w:type="character" w:customStyle="1" w:styleId="60">
    <w:name w:val="HTML 预设格式 字符"/>
    <w:link w:val="29"/>
    <w:semiHidden/>
    <w:qFormat/>
    <w:locked/>
    <w:uiPriority w:val="99"/>
    <w:rPr>
      <w:rFonts w:ascii="Courier New" w:hAnsi="Courier New" w:cs="Courier New"/>
      <w:sz w:val="20"/>
      <w:szCs w:val="20"/>
    </w:rPr>
  </w:style>
  <w:style w:type="character" w:customStyle="1" w:styleId="61">
    <w:name w:val="标题 字符"/>
    <w:link w:val="31"/>
    <w:qFormat/>
    <w:uiPriority w:val="10"/>
    <w:rPr>
      <w:rFonts w:ascii="Cambria" w:hAnsi="Cambria" w:cs="Times New Roman"/>
      <w:b/>
      <w:bCs/>
      <w:sz w:val="32"/>
      <w:szCs w:val="32"/>
    </w:rPr>
  </w:style>
  <w:style w:type="character" w:customStyle="1" w:styleId="62">
    <w:name w:val="批注主题 字符"/>
    <w:link w:val="32"/>
    <w:semiHidden/>
    <w:qFormat/>
    <w:locked/>
    <w:uiPriority w:val="99"/>
    <w:rPr>
      <w:rFonts w:ascii="Calibri" w:hAnsi="Calibri" w:cs="Times New Roman"/>
      <w:b/>
      <w:bCs/>
      <w:sz w:val="24"/>
      <w:szCs w:val="24"/>
    </w:rPr>
  </w:style>
  <w:style w:type="paragraph" w:customStyle="1" w:styleId="63">
    <w:name w:val="文档正文"/>
    <w:basedOn w:val="1"/>
    <w:qFormat/>
    <w:uiPriority w:val="99"/>
    <w:pPr>
      <w:adjustRightInd w:val="0"/>
      <w:spacing w:line="480" w:lineRule="atLeast"/>
      <w:ind w:firstLine="567"/>
      <w:textAlignment w:val="baseline"/>
    </w:pPr>
    <w:rPr>
      <w:rFonts w:ascii="长城仿宋" w:hAnsi="长城仿宋"/>
      <w:kern w:val="0"/>
      <w:sz w:val="24"/>
      <w:szCs w:val="20"/>
    </w:rPr>
  </w:style>
  <w:style w:type="character" w:customStyle="1" w:styleId="64">
    <w:name w:val="valueinfo"/>
    <w:qFormat/>
    <w:uiPriority w:val="99"/>
    <w:rPr>
      <w:color w:val="666666"/>
    </w:rPr>
  </w:style>
  <w:style w:type="paragraph" w:customStyle="1" w:styleId="65">
    <w:name w:val="p0"/>
    <w:basedOn w:val="1"/>
    <w:qFormat/>
    <w:uiPriority w:val="99"/>
    <w:pPr>
      <w:widowControl/>
    </w:pPr>
    <w:rPr>
      <w:kern w:val="0"/>
      <w:sz w:val="20"/>
      <w:szCs w:val="21"/>
    </w:rPr>
  </w:style>
  <w:style w:type="character" w:customStyle="1" w:styleId="66">
    <w:name w:val="tree-title5"/>
    <w:qFormat/>
    <w:uiPriority w:val="99"/>
    <w:rPr>
      <w:color w:val="FFFFFF"/>
      <w:shd w:val="clear" w:color="auto" w:fill="3366CC"/>
    </w:rPr>
  </w:style>
  <w:style w:type="character" w:customStyle="1" w:styleId="67">
    <w:name w:val="l-btn-left1"/>
    <w:qFormat/>
    <w:uiPriority w:val="99"/>
  </w:style>
  <w:style w:type="paragraph" w:customStyle="1" w:styleId="68">
    <w:name w:val="正文-首行缩进"/>
    <w:basedOn w:val="1"/>
    <w:qFormat/>
    <w:uiPriority w:val="99"/>
    <w:pPr>
      <w:spacing w:line="360" w:lineRule="auto"/>
      <w:ind w:firstLine="200" w:firstLineChars="200"/>
    </w:pPr>
    <w:rPr>
      <w:sz w:val="24"/>
      <w:szCs w:val="21"/>
    </w:rPr>
  </w:style>
  <w:style w:type="character" w:customStyle="1" w:styleId="69">
    <w:name w:val="tree-title1"/>
    <w:qFormat/>
    <w:uiPriority w:val="99"/>
    <w:rPr>
      <w:color w:val="FFFFFF"/>
      <w:shd w:val="clear" w:color="auto" w:fill="3366CC"/>
    </w:rPr>
  </w:style>
  <w:style w:type="character" w:customStyle="1" w:styleId="70">
    <w:name w:val="l-btn-empty"/>
    <w:qFormat/>
    <w:uiPriority w:val="99"/>
  </w:style>
  <w:style w:type="paragraph" w:customStyle="1" w:styleId="71">
    <w:name w:val="样式3"/>
    <w:basedOn w:val="20"/>
    <w:qFormat/>
    <w:uiPriority w:val="99"/>
    <w:pPr>
      <w:spacing w:line="240" w:lineRule="atLeast"/>
      <w:outlineLvl w:val="0"/>
    </w:pPr>
    <w:rPr>
      <w:sz w:val="28"/>
      <w:szCs w:val="24"/>
    </w:rPr>
  </w:style>
  <w:style w:type="character" w:customStyle="1" w:styleId="72">
    <w:name w:val="l-btn-left"/>
    <w:qFormat/>
    <w:uiPriority w:val="99"/>
  </w:style>
  <w:style w:type="character" w:customStyle="1" w:styleId="73">
    <w:name w:val="red"/>
    <w:qFormat/>
    <w:uiPriority w:val="99"/>
    <w:rPr>
      <w:color w:val="FF0000"/>
    </w:rPr>
  </w:style>
  <w:style w:type="character" w:customStyle="1" w:styleId="74">
    <w:name w:val="pwdtips_error"/>
    <w:qFormat/>
    <w:uiPriority w:val="99"/>
    <w:rPr>
      <w:bdr w:val="single" w:color="FF2525" w:sz="6" w:space="0"/>
      <w:shd w:val="clear" w:color="auto" w:fill="FFA6A6"/>
    </w:rPr>
  </w:style>
  <w:style w:type="character" w:customStyle="1" w:styleId="75">
    <w:name w:val="pwdtips_ok"/>
    <w:qFormat/>
    <w:uiPriority w:val="99"/>
    <w:rPr>
      <w:bdr w:val="single" w:color="8EFF25" w:sz="6" w:space="0"/>
      <w:shd w:val="clear" w:color="auto" w:fill="B4FFA6"/>
    </w:rPr>
  </w:style>
  <w:style w:type="character" w:customStyle="1" w:styleId="76">
    <w:name w:val="green"/>
    <w:qFormat/>
    <w:uiPriority w:val="99"/>
    <w:rPr>
      <w:color w:val="00A521"/>
    </w:rPr>
  </w:style>
  <w:style w:type="character" w:customStyle="1" w:styleId="77">
    <w:name w:val="topic"/>
    <w:qFormat/>
    <w:uiPriority w:val="99"/>
    <w:rPr>
      <w:color w:val="FF0000"/>
    </w:rPr>
  </w:style>
  <w:style w:type="character" w:customStyle="1" w:styleId="78">
    <w:name w:val="l-btn-left5"/>
    <w:qFormat/>
    <w:uiPriority w:val="99"/>
  </w:style>
  <w:style w:type="character" w:customStyle="1" w:styleId="79">
    <w:name w:val="combo2"/>
    <w:qFormat/>
    <w:uiPriority w:val="99"/>
  </w:style>
  <w:style w:type="character" w:customStyle="1" w:styleId="80">
    <w:name w:val="纯文本 Char1"/>
    <w:qFormat/>
    <w:uiPriority w:val="99"/>
    <w:rPr>
      <w:rFonts w:ascii="宋体"/>
      <w:kern w:val="2"/>
      <w:sz w:val="21"/>
    </w:rPr>
  </w:style>
  <w:style w:type="paragraph" w:customStyle="1" w:styleId="81">
    <w:name w:val="文章正文"/>
    <w:basedOn w:val="1"/>
    <w:link w:val="167"/>
    <w:qFormat/>
    <w:uiPriority w:val="99"/>
    <w:pPr>
      <w:adjustRightInd w:val="0"/>
      <w:snapToGrid w:val="0"/>
      <w:spacing w:before="156" w:line="360" w:lineRule="auto"/>
      <w:ind w:firstLine="200" w:firstLineChars="200"/>
    </w:pPr>
    <w:rPr>
      <w:rFonts w:eastAsia="楷体"/>
      <w:kern w:val="0"/>
      <w:sz w:val="24"/>
      <w:szCs w:val="20"/>
    </w:rPr>
  </w:style>
  <w:style w:type="character" w:customStyle="1" w:styleId="82">
    <w:name w:val="l-btn-left4"/>
    <w:qFormat/>
    <w:uiPriority w:val="99"/>
  </w:style>
  <w:style w:type="character" w:customStyle="1" w:styleId="83">
    <w:name w:val="l-btn-left2"/>
    <w:qFormat/>
    <w:uiPriority w:val="99"/>
  </w:style>
  <w:style w:type="character" w:customStyle="1" w:styleId="84">
    <w:name w:val="l-btn-text1"/>
    <w:qFormat/>
    <w:uiPriority w:val="99"/>
    <w:rPr>
      <w:color w:val="1864AC"/>
      <w:sz w:val="18"/>
    </w:rPr>
  </w:style>
  <w:style w:type="character" w:customStyle="1" w:styleId="85">
    <w:name w:val="正文缩进 Char1"/>
    <w:qFormat/>
    <w:uiPriority w:val="99"/>
    <w:rPr>
      <w:rFonts w:ascii="Arial" w:hAnsi="Arial"/>
      <w:kern w:val="2"/>
      <w:sz w:val="24"/>
    </w:rPr>
  </w:style>
  <w:style w:type="character" w:customStyle="1" w:styleId="86">
    <w:name w:val="tree-file2"/>
    <w:qFormat/>
    <w:uiPriority w:val="99"/>
  </w:style>
  <w:style w:type="character" w:customStyle="1" w:styleId="87">
    <w:name w:val="标题 3 Char1"/>
    <w:qFormat/>
    <w:uiPriority w:val="99"/>
    <w:rPr>
      <w:rFonts w:ascii="Arial" w:hAnsi="Arial"/>
      <w:kern w:val="2"/>
      <w:sz w:val="32"/>
    </w:rPr>
  </w:style>
  <w:style w:type="character" w:customStyle="1" w:styleId="88">
    <w:name w:val="cke_colorbox2"/>
    <w:qFormat/>
    <w:uiPriority w:val="99"/>
  </w:style>
  <w:style w:type="character" w:customStyle="1" w:styleId="89">
    <w:name w:val="l-btn-text"/>
    <w:qFormat/>
    <w:uiPriority w:val="99"/>
  </w:style>
  <w:style w:type="character" w:customStyle="1" w:styleId="90">
    <w:name w:val="vainfo"/>
    <w:qFormat/>
    <w:uiPriority w:val="99"/>
    <w:rPr>
      <w:color w:val="FF0000"/>
      <w:bdr w:val="single" w:color="FCBCBC" w:sz="6" w:space="0"/>
      <w:shd w:val="clear" w:color="auto" w:fill="FFE4E4"/>
    </w:rPr>
  </w:style>
  <w:style w:type="character" w:customStyle="1" w:styleId="91">
    <w:name w:val="正文缩进 字符"/>
    <w:qFormat/>
    <w:uiPriority w:val="99"/>
    <w:rPr>
      <w:rFonts w:ascii="Arial" w:hAnsi="Arial"/>
      <w:kern w:val="2"/>
      <w:sz w:val="24"/>
    </w:rPr>
  </w:style>
  <w:style w:type="paragraph" w:customStyle="1" w:styleId="92">
    <w:name w:val="列出段落1"/>
    <w:basedOn w:val="1"/>
    <w:qFormat/>
    <w:uiPriority w:val="99"/>
    <w:pPr>
      <w:ind w:firstLine="200" w:firstLineChars="200"/>
    </w:pPr>
  </w:style>
  <w:style w:type="character" w:customStyle="1" w:styleId="93">
    <w:name w:val="edittexttarea"/>
    <w:qFormat/>
    <w:uiPriority w:val="99"/>
  </w:style>
  <w:style w:type="character" w:customStyle="1" w:styleId="94">
    <w:name w:val="_正文段落 Char Char"/>
    <w:qFormat/>
    <w:uiPriority w:val="99"/>
    <w:rPr>
      <w:kern w:val="2"/>
      <w:sz w:val="24"/>
    </w:rPr>
  </w:style>
  <w:style w:type="character" w:customStyle="1" w:styleId="95">
    <w:name w:val="pwdtips_alert"/>
    <w:qFormat/>
    <w:uiPriority w:val="99"/>
    <w:rPr>
      <w:bdr w:val="single" w:color="FFCB25" w:sz="6" w:space="0"/>
      <w:shd w:val="clear" w:color="auto" w:fill="FFEAA6"/>
    </w:rPr>
  </w:style>
  <w:style w:type="character" w:customStyle="1" w:styleId="96">
    <w:name w:val="combo"/>
    <w:qFormat/>
    <w:uiPriority w:val="99"/>
  </w:style>
  <w:style w:type="character" w:customStyle="1" w:styleId="97">
    <w:name w:val="font71"/>
    <w:qFormat/>
    <w:uiPriority w:val="99"/>
    <w:rPr>
      <w:rFonts w:ascii="微软雅黑" w:eastAsia="微软雅黑"/>
      <w:color w:val="FF0000"/>
      <w:sz w:val="20"/>
      <w:u w:val="none"/>
    </w:rPr>
  </w:style>
  <w:style w:type="character" w:customStyle="1" w:styleId="98">
    <w:name w:val="tree-title"/>
    <w:qFormat/>
    <w:uiPriority w:val="99"/>
    <w:rPr>
      <w:color w:val="1864AC"/>
    </w:rPr>
  </w:style>
  <w:style w:type="character" w:customStyle="1" w:styleId="99">
    <w:name w:val="Char Char4"/>
    <w:qFormat/>
    <w:uiPriority w:val="99"/>
    <w:rPr>
      <w:rFonts w:eastAsia="宋体"/>
      <w:b/>
      <w:kern w:val="2"/>
      <w:sz w:val="21"/>
      <w:lang w:val="en-US" w:eastAsia="zh-CN"/>
    </w:rPr>
  </w:style>
  <w:style w:type="character" w:customStyle="1" w:styleId="100">
    <w:name w:val="tree-title4"/>
    <w:qFormat/>
    <w:uiPriority w:val="99"/>
    <w:rPr>
      <w:color w:val="1864AC"/>
    </w:rPr>
  </w:style>
  <w:style w:type="character" w:customStyle="1" w:styleId="101">
    <w:name w:val="l-btn-left3"/>
    <w:qFormat/>
    <w:uiPriority w:val="99"/>
  </w:style>
  <w:style w:type="character" w:customStyle="1" w:styleId="102">
    <w:name w:val="vainfo2"/>
    <w:qFormat/>
    <w:uiPriority w:val="99"/>
    <w:rPr>
      <w:color w:val="FF0000"/>
      <w:bdr w:val="single" w:color="FCBCBC" w:sz="6" w:space="0"/>
      <w:shd w:val="clear" w:color="auto" w:fill="FFE4E4"/>
    </w:rPr>
  </w:style>
  <w:style w:type="character" w:customStyle="1" w:styleId="103">
    <w:name w:val="info"/>
    <w:qFormat/>
    <w:uiPriority w:val="99"/>
  </w:style>
  <w:style w:type="character" w:customStyle="1" w:styleId="104">
    <w:name w:val="tree-file"/>
    <w:qFormat/>
    <w:uiPriority w:val="99"/>
  </w:style>
  <w:style w:type="paragraph" w:customStyle="1" w:styleId="105">
    <w:name w:val="*正文"/>
    <w:basedOn w:val="1"/>
    <w:qFormat/>
    <w:uiPriority w:val="99"/>
    <w:rPr>
      <w:rFonts w:ascii="宋体"/>
      <w:sz w:val="28"/>
    </w:rPr>
  </w:style>
  <w:style w:type="paragraph" w:customStyle="1" w:styleId="106">
    <w:name w:val="XX方案书"/>
    <w:basedOn w:val="1"/>
    <w:qFormat/>
    <w:uiPriority w:val="99"/>
    <w:pPr>
      <w:spacing w:before="100" w:beforeAutospacing="1" w:after="100" w:afterAutospacing="1" w:line="360" w:lineRule="auto"/>
      <w:jc w:val="center"/>
    </w:pPr>
    <w:rPr>
      <w:rFonts w:ascii="宋体" w:cs="宋体"/>
      <w:b/>
      <w:bCs/>
      <w:sz w:val="48"/>
      <w:szCs w:val="20"/>
    </w:rPr>
  </w:style>
  <w:style w:type="paragraph" w:customStyle="1" w:styleId="107">
    <w:name w:val="列出段落11"/>
    <w:basedOn w:val="1"/>
    <w:next w:val="16"/>
    <w:qFormat/>
    <w:uiPriority w:val="99"/>
    <w:pPr>
      <w:ind w:firstLine="420"/>
    </w:pPr>
  </w:style>
  <w:style w:type="paragraph" w:customStyle="1" w:styleId="108">
    <w:name w:val="Fließtext"/>
    <w:basedOn w:val="1"/>
    <w:qFormat/>
    <w:uiPriority w:val="99"/>
    <w:pPr>
      <w:overflowPunct w:val="0"/>
      <w:autoSpaceDE w:val="0"/>
      <w:autoSpaceDN w:val="0"/>
      <w:adjustRightInd w:val="0"/>
      <w:textAlignment w:val="baseline"/>
    </w:pPr>
    <w:rPr>
      <w:kern w:val="28"/>
      <w:szCs w:val="20"/>
    </w:rPr>
  </w:style>
  <w:style w:type="paragraph" w:customStyle="1" w:styleId="109">
    <w:name w:val="二级条标题"/>
    <w:basedOn w:val="1"/>
    <w:next w:val="110"/>
    <w:qFormat/>
    <w:uiPriority w:val="99"/>
    <w:pPr>
      <w:widowControl/>
      <w:ind w:left="735"/>
      <w:outlineLvl w:val="3"/>
    </w:pPr>
    <w:rPr>
      <w:rFonts w:ascii="黑体" w:eastAsia="黑体"/>
      <w:kern w:val="0"/>
      <w:szCs w:val="20"/>
    </w:rPr>
  </w:style>
  <w:style w:type="paragraph" w:customStyle="1" w:styleId="110">
    <w:name w:val="段"/>
    <w:qFormat/>
    <w:uiPriority w:val="99"/>
    <w:pPr>
      <w:autoSpaceDE w:val="0"/>
      <w:autoSpaceDN w:val="0"/>
      <w:jc w:val="both"/>
    </w:pPr>
    <w:rPr>
      <w:rFonts w:ascii="宋体" w:hAnsi="Times New Roman" w:eastAsia="宋体" w:cs="Times New Roman"/>
      <w:sz w:val="21"/>
      <w:lang w:val="en-US" w:eastAsia="zh-CN" w:bidi="ar-SA"/>
    </w:rPr>
  </w:style>
  <w:style w:type="paragraph" w:customStyle="1" w:styleId="111">
    <w:name w:val="三级条标题"/>
    <w:basedOn w:val="109"/>
    <w:next w:val="110"/>
    <w:qFormat/>
    <w:uiPriority w:val="99"/>
    <w:pPr>
      <w:ind w:left="0"/>
      <w:outlineLvl w:val="4"/>
    </w:pPr>
  </w:style>
  <w:style w:type="paragraph" w:customStyle="1" w:styleId="112">
    <w:name w:val="四级条标题"/>
    <w:basedOn w:val="111"/>
    <w:next w:val="110"/>
    <w:qFormat/>
    <w:uiPriority w:val="99"/>
    <w:pPr>
      <w:outlineLvl w:val="5"/>
    </w:pPr>
  </w:style>
  <w:style w:type="paragraph" w:customStyle="1" w:styleId="113">
    <w:name w:val="样式 小四"/>
    <w:qFormat/>
    <w:uiPriority w:val="99"/>
    <w:pPr>
      <w:widowControl w:val="0"/>
      <w:adjustRightInd w:val="0"/>
      <w:spacing w:line="360" w:lineRule="atLeast"/>
      <w:textAlignment w:val="baseline"/>
    </w:pPr>
    <w:rPr>
      <w:rFonts w:ascii="Calibri" w:hAnsi="Calibri" w:eastAsia="宋体" w:cs="Arial"/>
      <w:sz w:val="24"/>
      <w:szCs w:val="22"/>
      <w:lang w:val="en-US" w:eastAsia="zh-CN" w:bidi="ar-SA"/>
    </w:rPr>
  </w:style>
  <w:style w:type="paragraph" w:customStyle="1" w:styleId="114">
    <w:name w:val="WPSOffice手动目录 2"/>
    <w:qFormat/>
    <w:uiPriority w:val="99"/>
    <w:pPr>
      <w:ind w:left="200" w:leftChars="200"/>
    </w:pPr>
    <w:rPr>
      <w:rFonts w:ascii="Calibri" w:hAnsi="Calibri" w:eastAsia="宋体" w:cs="Times New Roman"/>
      <w:lang w:val="en-US" w:eastAsia="zh-CN" w:bidi="ar-SA"/>
    </w:rPr>
  </w:style>
  <w:style w:type="paragraph" w:customStyle="1" w:styleId="115">
    <w:name w:val="_正文"/>
    <w:basedOn w:val="1"/>
    <w:qFormat/>
    <w:uiPriority w:val="99"/>
    <w:pPr>
      <w:adjustRightInd w:val="0"/>
      <w:snapToGrid w:val="0"/>
      <w:spacing w:line="360" w:lineRule="auto"/>
      <w:ind w:firstLine="200" w:firstLineChars="200"/>
    </w:pPr>
    <w:rPr>
      <w:sz w:val="24"/>
    </w:rPr>
  </w:style>
  <w:style w:type="paragraph" w:customStyle="1" w:styleId="116">
    <w:name w:val="样式 标题 3二级条标题h3第二层条第三层1.1.1 标题 3l3CT3h4Heading 3 - old...2"/>
    <w:basedOn w:val="1"/>
    <w:qFormat/>
    <w:uiPriority w:val="99"/>
    <w:rPr>
      <w:rFonts w:ascii="Times New Roman" w:hAnsi="Times New Roman" w:eastAsia="仿宋_GB2312"/>
      <w:sz w:val="32"/>
      <w:szCs w:val="32"/>
    </w:rPr>
  </w:style>
  <w:style w:type="paragraph" w:customStyle="1" w:styleId="11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TitlePage_Header"/>
    <w:basedOn w:val="1"/>
    <w:qFormat/>
    <w:uiPriority w:val="99"/>
    <w:pPr>
      <w:widowControl/>
      <w:spacing w:before="240" w:after="240"/>
      <w:ind w:left="3240"/>
      <w:jc w:val="left"/>
    </w:pPr>
    <w:rPr>
      <w:rFonts w:ascii="Futura Bk" w:hAnsi="Futura Bk"/>
      <w:b/>
      <w:kern w:val="0"/>
      <w:sz w:val="32"/>
      <w:szCs w:val="20"/>
      <w:lang w:val="en-GB"/>
    </w:rPr>
  </w:style>
  <w:style w:type="paragraph" w:customStyle="1" w:styleId="119">
    <w:name w:val="正文格式"/>
    <w:basedOn w:val="19"/>
    <w:qFormat/>
    <w:uiPriority w:val="99"/>
    <w:pPr>
      <w:widowControl w:val="0"/>
      <w:tabs>
        <w:tab w:val="right" w:leader="dot" w:pos="8296"/>
      </w:tabs>
      <w:spacing w:after="0" w:line="240" w:lineRule="auto"/>
      <w:ind w:left="0"/>
      <w:jc w:val="both"/>
    </w:pPr>
    <w:rPr>
      <w:rFonts w:ascii="微软雅黑" w:hAnsi="微软雅黑" w:eastAsia="宋体"/>
      <w:kern w:val="2"/>
      <w:sz w:val="24"/>
    </w:rPr>
  </w:style>
  <w:style w:type="paragraph" w:customStyle="1" w:styleId="120">
    <w:name w:val="Body text|21"/>
    <w:basedOn w:val="1"/>
    <w:qFormat/>
    <w:uiPriority w:val="99"/>
    <w:pPr>
      <w:shd w:val="clear" w:color="auto" w:fill="FFFFFF"/>
      <w:spacing w:before="680" w:after="240" w:line="190" w:lineRule="exact"/>
    </w:pPr>
    <w:rPr>
      <w:rFonts w:ascii="PMingLiU" w:hAnsi="PMingLiU" w:eastAsia="PMingLiU" w:cs="PMingLiU"/>
      <w:sz w:val="19"/>
      <w:szCs w:val="19"/>
    </w:rPr>
  </w:style>
  <w:style w:type="paragraph" w:customStyle="1" w:styleId="121">
    <w:name w:val="章标题"/>
    <w:next w:val="110"/>
    <w:qFormat/>
    <w:uiPriority w:val="99"/>
    <w:pPr>
      <w:spacing w:beforeLines="50" w:afterLines="50"/>
      <w:ind w:left="105"/>
      <w:jc w:val="both"/>
      <w:outlineLvl w:val="1"/>
    </w:pPr>
    <w:rPr>
      <w:rFonts w:ascii="黑体" w:hAnsi="Times New Roman" w:eastAsia="黑体" w:cs="Times New Roman"/>
      <w:sz w:val="21"/>
      <w:lang w:val="en-US" w:eastAsia="zh-CN" w:bidi="ar-SA"/>
    </w:rPr>
  </w:style>
  <w:style w:type="paragraph" w:customStyle="1" w:styleId="122">
    <w:name w:val="一级条标题"/>
    <w:basedOn w:val="121"/>
    <w:next w:val="110"/>
    <w:qFormat/>
    <w:uiPriority w:val="99"/>
    <w:pPr>
      <w:spacing w:beforeLines="0" w:afterLines="0"/>
      <w:ind w:left="210"/>
      <w:outlineLvl w:val="2"/>
    </w:pPr>
  </w:style>
  <w:style w:type="paragraph" w:customStyle="1" w:styleId="123">
    <w:name w:val="Char1"/>
    <w:basedOn w:val="1"/>
    <w:qFormat/>
    <w:uiPriority w:val="99"/>
    <w:rPr>
      <w:rFonts w:ascii="Tahoma" w:hAnsi="Tahoma" w:eastAsia="仿宋_GB2312"/>
      <w:sz w:val="24"/>
      <w:szCs w:val="20"/>
    </w:rPr>
  </w:style>
  <w:style w:type="paragraph" w:customStyle="1" w:styleId="124">
    <w:name w:val="NormalIndent"/>
    <w:basedOn w:val="1"/>
    <w:next w:val="1"/>
    <w:qFormat/>
    <w:uiPriority w:val="99"/>
    <w:pPr>
      <w:widowControl/>
      <w:spacing w:before="120" w:after="240" w:line="288" w:lineRule="auto"/>
      <w:ind w:firstLine="420"/>
      <w:textAlignment w:val="baseline"/>
    </w:pPr>
    <w:rPr>
      <w:rFonts w:ascii="Arial" w:hAnsi="Arial" w:eastAsia="华文细黑"/>
      <w:sz w:val="22"/>
      <w:szCs w:val="20"/>
      <w:lang w:val="ru-RU"/>
    </w:rPr>
  </w:style>
  <w:style w:type="paragraph" w:customStyle="1" w:styleId="125">
    <w:name w:val="公司名称及日期"/>
    <w:basedOn w:val="106"/>
    <w:qFormat/>
    <w:uiPriority w:val="99"/>
    <w:pPr>
      <w:ind w:firstLine="1200" w:firstLineChars="1200"/>
      <w:jc w:val="both"/>
    </w:pPr>
    <w:rPr>
      <w:sz w:val="30"/>
    </w:rPr>
  </w:style>
  <w:style w:type="paragraph" w:customStyle="1" w:styleId="126">
    <w:name w:val="Char Char Char Char Char Char Char"/>
    <w:basedOn w:val="14"/>
    <w:qFormat/>
    <w:uiPriority w:val="99"/>
    <w:pPr>
      <w:adjustRightInd w:val="0"/>
      <w:spacing w:line="360" w:lineRule="auto"/>
      <w:jc w:val="center"/>
      <w:outlineLvl w:val="3"/>
    </w:pPr>
    <w:rPr>
      <w:rFonts w:ascii="Tahoma" w:hAnsi="Tahoma" w:eastAsia="仿宋_GB2312"/>
      <w:sz w:val="24"/>
      <w:szCs w:val="32"/>
    </w:rPr>
  </w:style>
  <w:style w:type="paragraph" w:customStyle="1" w:styleId="127">
    <w:name w:val="5正文"/>
    <w:basedOn w:val="1"/>
    <w:qFormat/>
    <w:uiPriority w:val="99"/>
    <w:pPr>
      <w:adjustRightInd w:val="0"/>
      <w:snapToGrid w:val="0"/>
      <w:ind w:firstLine="200" w:firstLineChars="200"/>
    </w:pPr>
    <w:rPr>
      <w:sz w:val="24"/>
    </w:rPr>
  </w:style>
  <w:style w:type="paragraph" w:customStyle="1" w:styleId="128">
    <w:name w:val="WPSOffice手动目录 3"/>
    <w:qFormat/>
    <w:uiPriority w:val="99"/>
    <w:pPr>
      <w:ind w:left="400" w:leftChars="400"/>
    </w:pPr>
    <w:rPr>
      <w:rFonts w:ascii="Calibri" w:hAnsi="Calibri" w:eastAsia="宋体" w:cs="Times New Roman"/>
      <w:lang w:val="en-US" w:eastAsia="zh-CN" w:bidi="ar-SA"/>
    </w:rPr>
  </w:style>
  <w:style w:type="paragraph" w:customStyle="1" w:styleId="129">
    <w:name w:val="正常"/>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30">
    <w:name w:val="p16"/>
    <w:qFormat/>
    <w:uiPriority w:val="99"/>
    <w:pPr>
      <w:jc w:val="both"/>
    </w:pPr>
    <w:rPr>
      <w:rFonts w:ascii="宋体" w:hAnsi="Times New Roman" w:eastAsia="宋体" w:cs="宋体"/>
      <w:color w:val="000000"/>
      <w:lang w:val="en-US" w:eastAsia="zh-CN" w:bidi="ar-SA"/>
    </w:rPr>
  </w:style>
  <w:style w:type="paragraph" w:customStyle="1" w:styleId="131">
    <w:name w:val="TOC 标题1"/>
    <w:basedOn w:val="3"/>
    <w:next w:val="1"/>
    <w:qFormat/>
    <w:uiPriority w:val="99"/>
    <w:pPr>
      <w:widowControl/>
      <w:spacing w:before="240" w:after="0" w:line="259" w:lineRule="auto"/>
      <w:outlineLvl w:val="9"/>
    </w:pPr>
    <w:rPr>
      <w:rFonts w:ascii="Calibri Light" w:hAnsi="Calibri Light"/>
      <w:b w:val="0"/>
      <w:bCs w:val="0"/>
      <w:color w:val="2E74B5"/>
      <w:kern w:val="0"/>
      <w:sz w:val="32"/>
      <w:szCs w:val="32"/>
    </w:rPr>
  </w:style>
  <w:style w:type="paragraph" w:styleId="132">
    <w:name w:val="No Spacing"/>
    <w:link w:val="158"/>
    <w:qFormat/>
    <w:uiPriority w:val="99"/>
    <w:pPr>
      <w:ind w:hanging="720"/>
    </w:pPr>
    <w:rPr>
      <w:rFonts w:ascii="Calibri" w:hAnsi="Calibri" w:eastAsia="宋体" w:cs="Times New Roman"/>
      <w:kern w:val="2"/>
      <w:sz w:val="22"/>
      <w:szCs w:val="22"/>
      <w:lang w:val="en-US" w:eastAsia="zh-CN" w:bidi="ar-SA"/>
    </w:rPr>
  </w:style>
  <w:style w:type="paragraph" w:customStyle="1" w:styleId="133">
    <w:name w:val="WPSOffice手动目录 1"/>
    <w:qFormat/>
    <w:uiPriority w:val="99"/>
    <w:rPr>
      <w:rFonts w:ascii="Calibri" w:hAnsi="Calibri" w:eastAsia="宋体" w:cs="Times New Roman"/>
      <w:lang w:val="en-US" w:eastAsia="zh-CN" w:bidi="ar-SA"/>
    </w:rPr>
  </w:style>
  <w:style w:type="paragraph" w:customStyle="1" w:styleId="134">
    <w:name w:val="首行缩进"/>
    <w:qFormat/>
    <w:uiPriority w:val="99"/>
    <w:pPr>
      <w:widowControl w:val="0"/>
      <w:spacing w:line="360" w:lineRule="auto"/>
      <w:ind w:firstLine="200" w:firstLineChars="200"/>
      <w:jc w:val="both"/>
    </w:pPr>
    <w:rPr>
      <w:rFonts w:ascii="Calibri" w:hAnsi="Calibri" w:eastAsia="宋体" w:cs="Times New Roman"/>
      <w:kern w:val="2"/>
      <w:sz w:val="24"/>
      <w:szCs w:val="21"/>
      <w:lang w:val="en-US" w:eastAsia="zh-CN" w:bidi="ar-SA"/>
    </w:rPr>
  </w:style>
  <w:style w:type="paragraph" w:customStyle="1" w:styleId="135">
    <w:name w:val="Char Char Char Char"/>
    <w:basedOn w:val="1"/>
    <w:qFormat/>
    <w:uiPriority w:val="99"/>
    <w:rPr>
      <w:rFonts w:ascii="Times New Roman" w:hAnsi="Times New Roman"/>
    </w:rPr>
  </w:style>
  <w:style w:type="paragraph" w:customStyle="1" w:styleId="136">
    <w:name w:val="！正文"/>
    <w:basedOn w:val="1"/>
    <w:qFormat/>
    <w:uiPriority w:val="99"/>
    <w:pPr>
      <w:adjustRightInd w:val="0"/>
      <w:snapToGrid w:val="0"/>
      <w:spacing w:line="360" w:lineRule="auto"/>
      <w:ind w:firstLine="200" w:firstLineChars="200"/>
    </w:pPr>
    <w:rPr>
      <w:rFonts w:eastAsia="仿宋"/>
      <w:sz w:val="24"/>
      <w:szCs w:val="21"/>
    </w:rPr>
  </w:style>
  <w:style w:type="paragraph" w:customStyle="1" w:styleId="137">
    <w:name w:val="样式 标题 2一级条标题l22Heading 2 CharH2H3二级h22nd levelheading ...1"/>
    <w:basedOn w:val="4"/>
    <w:qFormat/>
    <w:uiPriority w:val="99"/>
    <w:pPr>
      <w:keepNext/>
      <w:keepLines/>
      <w:spacing w:before="156" w:after="156"/>
      <w:jc w:val="both"/>
    </w:pPr>
    <w:rPr>
      <w:rFonts w:ascii="黑体" w:eastAsia="黑体"/>
      <w:b w:val="0"/>
      <w:bCs/>
      <w:sz w:val="32"/>
      <w:szCs w:val="32"/>
    </w:rPr>
  </w:style>
  <w:style w:type="paragraph" w:customStyle="1" w:styleId="138">
    <w:name w:val="样式 标题 2h2l22nd level2Header 2Titre2Head 2H2sect 1.2H21..."/>
    <w:basedOn w:val="4"/>
    <w:qFormat/>
    <w:uiPriority w:val="99"/>
    <w:pPr>
      <w:keepNext/>
      <w:widowControl/>
      <w:tabs>
        <w:tab w:val="left" w:pos="576"/>
        <w:tab w:val="left" w:pos="709"/>
        <w:tab w:val="left" w:pos="840"/>
        <w:tab w:val="clear" w:pos="420"/>
      </w:tabs>
      <w:overflowPunct w:val="0"/>
      <w:spacing w:before="480" w:after="480" w:line="460" w:lineRule="atLeast"/>
      <w:ind w:left="575" w:hanging="420"/>
    </w:pPr>
    <w:rPr>
      <w:rFonts w:ascii="宋体" w:cs="宋体"/>
      <w:bCs/>
      <w:color w:val="auto"/>
      <w:kern w:val="0"/>
      <w:sz w:val="32"/>
      <w:szCs w:val="32"/>
    </w:rPr>
  </w:style>
  <w:style w:type="paragraph" w:customStyle="1" w:styleId="139">
    <w:name w:val="列出段落2"/>
    <w:basedOn w:val="1"/>
    <w:qFormat/>
    <w:uiPriority w:val="99"/>
    <w:pPr>
      <w:spacing w:line="360" w:lineRule="auto"/>
      <w:ind w:firstLine="200" w:firstLineChars="200"/>
    </w:pPr>
    <w:rPr>
      <w:rFonts w:ascii="Times New Roman" w:hAnsi="Times New Roman"/>
      <w:sz w:val="28"/>
      <w:szCs w:val="20"/>
    </w:rPr>
  </w:style>
  <w:style w:type="paragraph" w:customStyle="1" w:styleId="140">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41">
    <w:name w:val="石墨文档正文"/>
    <w:qFormat/>
    <w:uiPriority w:val="99"/>
    <w:rPr>
      <w:rFonts w:ascii="微软雅黑" w:hAnsi="Times New Roman" w:eastAsia="微软雅黑" w:cs="微软雅黑"/>
      <w:sz w:val="24"/>
      <w:szCs w:val="24"/>
      <w:lang w:val="en-US" w:eastAsia="zh-CN" w:bidi="ar-SA"/>
    </w:rPr>
  </w:style>
  <w:style w:type="paragraph" w:customStyle="1" w:styleId="142">
    <w:name w:val="[正文行首缩进]"/>
    <w:qFormat/>
    <w:uiPriority w:val="99"/>
    <w:pPr>
      <w:widowControl w:val="0"/>
      <w:spacing w:line="360" w:lineRule="auto"/>
      <w:ind w:firstLine="200" w:firstLineChars="200"/>
    </w:pPr>
    <w:rPr>
      <w:rFonts w:ascii="宋体" w:hAnsi="Times New Roman" w:eastAsia="宋体" w:cs="Times New Roman"/>
      <w:sz w:val="28"/>
      <w:szCs w:val="24"/>
      <w:lang w:val="en-US" w:eastAsia="zh-CN" w:bidi="ar-SA"/>
    </w:rPr>
  </w:style>
  <w:style w:type="paragraph" w:customStyle="1" w:styleId="143">
    <w:name w:val="Char"/>
    <w:basedOn w:val="1"/>
    <w:qFormat/>
    <w:uiPriority w:val="99"/>
    <w:rPr>
      <w:rFonts w:ascii="Times New Roman" w:hAnsi="Times New Roman" w:eastAsia="仿宋_GB2312"/>
      <w:sz w:val="32"/>
    </w:rPr>
  </w:style>
  <w:style w:type="paragraph" w:customStyle="1" w:styleId="144">
    <w:name w:val="Normal Indent1"/>
    <w:basedOn w:val="1"/>
    <w:qFormat/>
    <w:uiPriority w:val="99"/>
    <w:pPr>
      <w:spacing w:line="660" w:lineRule="exact"/>
      <w:ind w:firstLine="200" w:firstLineChars="200"/>
    </w:pPr>
    <w:rPr>
      <w:rFonts w:eastAsia="楷体_GB2312" w:cs="Calibri"/>
      <w:sz w:val="36"/>
      <w:szCs w:val="36"/>
    </w:rPr>
  </w:style>
  <w:style w:type="paragraph" w:customStyle="1" w:styleId="14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46">
    <w:name w:val="Char Char Char"/>
    <w:basedOn w:val="1"/>
    <w:qFormat/>
    <w:uiPriority w:val="99"/>
    <w:rPr>
      <w:rFonts w:ascii="Tahoma" w:hAnsi="Tahoma"/>
      <w:sz w:val="24"/>
      <w:szCs w:val="20"/>
    </w:rPr>
  </w:style>
  <w:style w:type="paragraph" w:customStyle="1" w:styleId="147">
    <w:name w:val="五级条标题"/>
    <w:basedOn w:val="112"/>
    <w:next w:val="110"/>
    <w:qFormat/>
    <w:uiPriority w:val="99"/>
    <w:pPr>
      <w:outlineLvl w:val="6"/>
    </w:pPr>
  </w:style>
  <w:style w:type="paragraph" w:customStyle="1" w:styleId="148">
    <w:name w:val="样式 投标文件 + 居中 首行缩进:  0 字符"/>
    <w:basedOn w:val="1"/>
    <w:qFormat/>
    <w:uiPriority w:val="99"/>
    <w:pPr>
      <w:spacing w:before="100" w:beforeAutospacing="1" w:after="100" w:afterAutospacing="1" w:line="360" w:lineRule="auto"/>
      <w:jc w:val="center"/>
    </w:pPr>
    <w:rPr>
      <w:rFonts w:ascii="宋体" w:cs="宋体"/>
      <w:b/>
      <w:bCs/>
      <w:sz w:val="84"/>
      <w:szCs w:val="20"/>
    </w:rPr>
  </w:style>
  <w:style w:type="paragraph" w:customStyle="1" w:styleId="149">
    <w:name w:val="样式1"/>
    <w:basedOn w:val="3"/>
    <w:qFormat/>
    <w:uiPriority w:val="99"/>
    <w:pPr>
      <w:tabs>
        <w:tab w:val="left" w:pos="360"/>
        <w:tab w:val="left" w:pos="816"/>
        <w:tab w:val="clear" w:pos="420"/>
      </w:tabs>
      <w:spacing w:before="340" w:after="330" w:line="240" w:lineRule="atLeast"/>
      <w:ind w:left="816" w:hanging="816"/>
      <w:jc w:val="center"/>
    </w:pPr>
    <w:rPr>
      <w:rFonts w:ascii="Times New Roman" w:hAnsi="Times New Roman" w:eastAsia="黑体"/>
      <w:b w:val="0"/>
      <w:bCs w:val="0"/>
      <w:sz w:val="36"/>
      <w:szCs w:val="20"/>
    </w:rPr>
  </w:style>
  <w:style w:type="paragraph" w:customStyle="1" w:styleId="150">
    <w:name w:val="Fließtext3"/>
    <w:basedOn w:val="1"/>
    <w:qFormat/>
    <w:uiPriority w:val="99"/>
    <w:pPr>
      <w:overflowPunct w:val="0"/>
      <w:autoSpaceDE w:val="0"/>
      <w:autoSpaceDN w:val="0"/>
      <w:adjustRightInd w:val="0"/>
      <w:textAlignment w:val="baseline"/>
    </w:pPr>
    <w:rPr>
      <w:kern w:val="28"/>
      <w:szCs w:val="20"/>
    </w:rPr>
  </w:style>
  <w:style w:type="paragraph" w:customStyle="1" w:styleId="151">
    <w:name w:val="样式5"/>
    <w:basedOn w:val="3"/>
    <w:qFormat/>
    <w:uiPriority w:val="99"/>
    <w:pPr>
      <w:widowControl/>
      <w:tabs>
        <w:tab w:val="left" w:pos="794"/>
        <w:tab w:val="left" w:pos="2127"/>
        <w:tab w:val="left" w:pos="2410"/>
        <w:tab w:val="left" w:pos="2921"/>
        <w:tab w:val="left" w:pos="3261"/>
      </w:tabs>
      <w:overflowPunct w:val="0"/>
      <w:autoSpaceDE w:val="0"/>
      <w:autoSpaceDN w:val="0"/>
      <w:adjustRightInd w:val="0"/>
      <w:spacing w:before="50" w:after="50"/>
      <w:jc w:val="center"/>
      <w:textAlignment w:val="baseline"/>
    </w:pPr>
    <w:rPr>
      <w:rFonts w:ascii="黑体" w:eastAsia="黑体"/>
      <w:b w:val="0"/>
      <w:kern w:val="0"/>
      <w:sz w:val="36"/>
      <w:szCs w:val="36"/>
      <w:lang w:val="en-GB"/>
    </w:rPr>
  </w:style>
  <w:style w:type="paragraph" w:customStyle="1" w:styleId="152">
    <w:name w:val="标书-正文"/>
    <w:basedOn w:val="1"/>
    <w:qFormat/>
    <w:uiPriority w:val="99"/>
    <w:pPr>
      <w:spacing w:before="56" w:after="113" w:line="360" w:lineRule="auto"/>
      <w:ind w:firstLine="200" w:firstLineChars="200"/>
    </w:pPr>
    <w:rPr>
      <w:rFonts w:ascii="Arial" w:hAnsi="Arial" w:cs="Arial"/>
      <w:sz w:val="24"/>
    </w:rPr>
  </w:style>
  <w:style w:type="paragraph" w:customStyle="1" w:styleId="153">
    <w:name w:val="石墨文档中标题"/>
    <w:next w:val="141"/>
    <w:qFormat/>
    <w:uiPriority w:val="99"/>
    <w:pPr>
      <w:spacing w:before="260" w:after="260"/>
      <w:outlineLvl w:val="1"/>
    </w:pPr>
    <w:rPr>
      <w:rFonts w:ascii="微软雅黑" w:hAnsi="Times New Roman" w:eastAsia="微软雅黑" w:cs="微软雅黑"/>
      <w:b/>
      <w:bCs/>
      <w:sz w:val="36"/>
      <w:szCs w:val="36"/>
      <w:lang w:val="en-US" w:eastAsia="zh-CN" w:bidi="ar-SA"/>
    </w:rPr>
  </w:style>
  <w:style w:type="paragraph" w:customStyle="1" w:styleId="154">
    <w:name w:val="[正文不缩]"/>
    <w:basedOn w:val="1"/>
    <w:qFormat/>
    <w:uiPriority w:val="99"/>
    <w:pPr>
      <w:tabs>
        <w:tab w:val="left" w:pos="840"/>
      </w:tabs>
      <w:snapToGrid w:val="0"/>
      <w:spacing w:before="80" w:after="80"/>
    </w:pPr>
    <w:rPr>
      <w:rFonts w:ascii="宋体"/>
      <w:sz w:val="28"/>
    </w:rPr>
  </w:style>
  <w:style w:type="paragraph" w:customStyle="1" w:styleId="155">
    <w:name w:val="修订1"/>
    <w:qFormat/>
    <w:uiPriority w:val="99"/>
    <w:rPr>
      <w:rFonts w:ascii="Calibri" w:hAnsi="Calibri" w:eastAsia="宋体" w:cs="Times New Roman"/>
      <w:kern w:val="2"/>
      <w:sz w:val="21"/>
      <w:szCs w:val="22"/>
      <w:lang w:val="en-US" w:eastAsia="zh-CN" w:bidi="ar-SA"/>
    </w:rPr>
  </w:style>
  <w:style w:type="paragraph" w:styleId="156">
    <w:name w:val="List Paragraph"/>
    <w:basedOn w:val="1"/>
    <w:link w:val="157"/>
    <w:qFormat/>
    <w:uiPriority w:val="99"/>
    <w:pPr>
      <w:ind w:firstLine="420" w:firstLineChars="200"/>
    </w:pPr>
    <w:rPr>
      <w:sz w:val="24"/>
      <w:szCs w:val="20"/>
    </w:rPr>
  </w:style>
  <w:style w:type="character" w:customStyle="1" w:styleId="157">
    <w:name w:val="列表段落 字符"/>
    <w:link w:val="156"/>
    <w:qFormat/>
    <w:locked/>
    <w:uiPriority w:val="99"/>
    <w:rPr>
      <w:rFonts w:ascii="Calibri" w:hAnsi="Calibri"/>
      <w:kern w:val="2"/>
      <w:sz w:val="24"/>
    </w:rPr>
  </w:style>
  <w:style w:type="character" w:customStyle="1" w:styleId="158">
    <w:name w:val="无间隔 字符"/>
    <w:link w:val="132"/>
    <w:qFormat/>
    <w:locked/>
    <w:uiPriority w:val="99"/>
    <w:rPr>
      <w:rFonts w:ascii="Calibri" w:hAnsi="Calibri"/>
      <w:kern w:val="2"/>
      <w:sz w:val="22"/>
    </w:rPr>
  </w:style>
  <w:style w:type="character" w:customStyle="1" w:styleId="159">
    <w:name w:val="纯文本 Char2"/>
    <w:qFormat/>
    <w:locked/>
    <w:uiPriority w:val="99"/>
    <w:rPr>
      <w:rFonts w:ascii="宋体" w:hAnsi="Courier New"/>
      <w:kern w:val="2"/>
      <w:sz w:val="21"/>
    </w:rPr>
  </w:style>
  <w:style w:type="paragraph" w:customStyle="1" w:styleId="160">
    <w:name w:val="TOC 标题2"/>
    <w:basedOn w:val="3"/>
    <w:next w:val="1"/>
    <w:qFormat/>
    <w:uiPriority w:val="99"/>
    <w:pPr>
      <w:widowControl/>
      <w:tabs>
        <w:tab w:val="clear" w:pos="420"/>
      </w:tabs>
      <w:spacing w:before="240" w:after="0" w:line="259" w:lineRule="auto"/>
      <w:outlineLvl w:val="9"/>
    </w:pPr>
    <w:rPr>
      <w:rFonts w:ascii="Calibri Light" w:hAnsi="Calibri Light"/>
      <w:b w:val="0"/>
      <w:bCs w:val="0"/>
      <w:color w:val="2E74B5"/>
      <w:kern w:val="0"/>
      <w:sz w:val="32"/>
      <w:szCs w:val="32"/>
    </w:rPr>
  </w:style>
  <w:style w:type="character" w:customStyle="1" w:styleId="161">
    <w:name w:val="正文缩进 Char"/>
    <w:qFormat/>
    <w:locked/>
    <w:uiPriority w:val="99"/>
    <w:rPr>
      <w:rFonts w:ascii="Arial" w:hAnsi="Arial"/>
      <w:kern w:val="2"/>
      <w:sz w:val="24"/>
    </w:rPr>
  </w:style>
  <w:style w:type="character" w:customStyle="1" w:styleId="162">
    <w:name w:val="Char Char3"/>
    <w:semiHidden/>
    <w:locked/>
    <w:uiPriority w:val="99"/>
    <w:rPr>
      <w:rFonts w:ascii="宋体" w:hAnsi="Courier New" w:eastAsia="宋体"/>
      <w:kern w:val="2"/>
      <w:sz w:val="21"/>
      <w:lang w:val="en-US" w:eastAsia="zh-CN"/>
    </w:rPr>
  </w:style>
  <w:style w:type="paragraph" w:customStyle="1" w:styleId="163">
    <w:name w:val="列出段落3"/>
    <w:basedOn w:val="1"/>
    <w:uiPriority w:val="99"/>
    <w:pPr>
      <w:ind w:firstLine="420" w:firstLineChars="200"/>
    </w:pPr>
    <w:rPr>
      <w:rFonts w:cs="Calibri"/>
      <w:szCs w:val="21"/>
    </w:rPr>
  </w:style>
  <w:style w:type="character" w:customStyle="1" w:styleId="164">
    <w:name w:val="Char Char5"/>
    <w:qFormat/>
    <w:uiPriority w:val="99"/>
    <w:rPr>
      <w:rFonts w:ascii="宋体" w:hAnsi="Courier New" w:eastAsia="宋体"/>
      <w:kern w:val="0"/>
      <w:sz w:val="21"/>
    </w:rPr>
  </w:style>
  <w:style w:type="paragraph" w:customStyle="1" w:styleId="165">
    <w:name w:val="修订2"/>
    <w:semiHidden/>
    <w:qFormat/>
    <w:uiPriority w:val="99"/>
    <w:rPr>
      <w:rFonts w:ascii="Calibri" w:hAnsi="Calibri" w:eastAsia="宋体" w:cs="Calibri"/>
      <w:kern w:val="2"/>
      <w:sz w:val="21"/>
      <w:szCs w:val="21"/>
      <w:lang w:val="en-US" w:eastAsia="zh-CN" w:bidi="ar-SA"/>
    </w:rPr>
  </w:style>
  <w:style w:type="character" w:customStyle="1" w:styleId="166">
    <w:name w:val="标题 字符2"/>
    <w:uiPriority w:val="99"/>
    <w:rPr>
      <w:rFonts w:ascii="?? Light" w:hAnsi="?? Light"/>
      <w:b/>
      <w:kern w:val="2"/>
      <w:sz w:val="32"/>
    </w:rPr>
  </w:style>
  <w:style w:type="character" w:customStyle="1" w:styleId="167">
    <w:name w:val="文章正文 Char"/>
    <w:link w:val="81"/>
    <w:qFormat/>
    <w:locked/>
    <w:uiPriority w:val="99"/>
    <w:rPr>
      <w:rFonts w:ascii="Calibri" w:hAnsi="Calibri" w:eastAsia="楷体"/>
      <w:sz w:val="24"/>
    </w:rPr>
  </w:style>
  <w:style w:type="paragraph" w:customStyle="1" w:styleId="168">
    <w:name w:val="null3"/>
    <w:qFormat/>
    <w:uiPriority w:val="0"/>
    <w:rPr>
      <w:rFonts w:hint="eastAsia" w:ascii="Calibri" w:hAnsi="Calibri" w:eastAsia="宋体" w:cs="Times New Roman"/>
      <w:lang w:val="en-US" w:eastAsia="zh-Hans" w:bidi="ar-SA"/>
    </w:rPr>
  </w:style>
  <w:style w:type="paragraph" w:customStyle="1" w:styleId="169">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45521</Words>
  <Characters>49431</Characters>
  <Lines>364</Lines>
  <Paragraphs>102</Paragraphs>
  <TotalTime>0</TotalTime>
  <ScaleCrop>false</ScaleCrop>
  <LinksUpToDate>false</LinksUpToDate>
  <CharactersWithSpaces>50259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2023-11-16T02:06:00Z</dcterms:created>
  <dc:creator>Administrator</dc:creator>
  <cp:lastModifiedBy>Administrator</cp:lastModifiedBy>
  <cp:lastPrinted>2024-03-12T00:46:00Z</cp:lastPrinted>
  <dcterms:modified xsi:type="dcterms:W3CDTF">2024-03-28T09:20:02Z</dcterms:modified>
  <dc:title>公开招标文件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7711205FF79F4A7E87832A570F4B3199</vt:lpwstr>
  </property>
</Properties>
</file>